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February 2, 2023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Sun Country Airlines Holdings,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61" w:lineRule="exact"/>
        <w:rPr>
          <w:sz w:val="24"/>
          <w:szCs w:val="24"/>
          <w:color w:val="auto"/>
        </w:rPr>
      </w:pPr>
    </w:p>
    <w:tbl>
      <w:tblPr>
        <w:tblLayout w:type="fixed"/>
        <w:tblInd w:w="1360" w:type="dxa"/>
        <w:tblCellMar>
          <w:top w:w="0" w:type="dxa"/>
          <w:left w:w="0" w:type="dxa"/>
          <w:bottom w:w="0" w:type="dxa"/>
          <w:right w:w="0" w:type="dxa"/>
        </w:tblCellMar>
      </w:tblPr>
      <w:tr>
        <w:trPr>
          <w:trHeight w:val="234"/>
        </w:trPr>
        <w:tc>
          <w:tcPr>
            <w:tcW w:w="3320" w:type="dxa"/>
            <w:vAlign w:val="bottom"/>
          </w:tcPr>
          <w:p>
            <w:pPr>
              <w:jc w:val="center"/>
              <w:ind w:right="2210"/>
              <w:spacing w:after="0"/>
              <w:rPr>
                <w:sz w:val="20"/>
                <w:szCs w:val="20"/>
                <w:color w:val="auto"/>
              </w:rPr>
            </w:pPr>
            <w:r>
              <w:rPr>
                <w:rFonts w:ascii="Arial" w:cs="Arial" w:eastAsia="Arial" w:hAnsi="Arial"/>
                <w:sz w:val="18"/>
                <w:szCs w:val="18"/>
                <w:b w:val="1"/>
                <w:bCs w:val="1"/>
                <w:color w:val="auto"/>
                <w:w w:val="93"/>
              </w:rPr>
              <w:t>Delaware</w:t>
            </w:r>
          </w:p>
        </w:tc>
        <w:tc>
          <w:tcPr>
            <w:tcW w:w="2380" w:type="dxa"/>
            <w:vAlign w:val="bottom"/>
          </w:tcPr>
          <w:p>
            <w:pPr>
              <w:jc w:val="center"/>
              <w:ind w:right="430"/>
              <w:spacing w:after="0"/>
              <w:rPr>
                <w:sz w:val="20"/>
                <w:szCs w:val="20"/>
                <w:color w:val="auto"/>
              </w:rPr>
            </w:pPr>
            <w:r>
              <w:rPr>
                <w:rFonts w:ascii="Arial" w:cs="Arial" w:eastAsia="Arial" w:hAnsi="Arial"/>
                <w:sz w:val="18"/>
                <w:szCs w:val="18"/>
                <w:b w:val="1"/>
                <w:bCs w:val="1"/>
                <w:color w:val="auto"/>
                <w:w w:val="90"/>
              </w:rPr>
              <w:t>001-40217</w:t>
            </w:r>
          </w:p>
        </w:tc>
        <w:tc>
          <w:tcPr>
            <w:tcW w:w="2980" w:type="dxa"/>
            <w:vAlign w:val="bottom"/>
          </w:tcPr>
          <w:p>
            <w:pPr>
              <w:jc w:val="center"/>
              <w:ind w:left="1530"/>
              <w:spacing w:after="0"/>
              <w:rPr>
                <w:sz w:val="20"/>
                <w:szCs w:val="20"/>
                <w:color w:val="auto"/>
              </w:rPr>
            </w:pPr>
            <w:r>
              <w:rPr>
                <w:rFonts w:ascii="Arial" w:cs="Arial" w:eastAsia="Arial" w:hAnsi="Arial"/>
                <w:sz w:val="18"/>
                <w:szCs w:val="18"/>
                <w:b w:val="1"/>
                <w:bCs w:val="1"/>
                <w:color w:val="auto"/>
                <w:w w:val="91"/>
              </w:rPr>
              <w:t>82-4092570</w:t>
            </w:r>
          </w:p>
        </w:tc>
      </w:tr>
      <w:tr>
        <w:trPr>
          <w:trHeight w:val="256"/>
        </w:trPr>
        <w:tc>
          <w:tcPr>
            <w:tcW w:w="3320" w:type="dxa"/>
            <w:vAlign w:val="bottom"/>
          </w:tcPr>
          <w:p>
            <w:pPr>
              <w:jc w:val="center"/>
              <w:ind w:right="2210"/>
              <w:spacing w:after="0"/>
              <w:rPr>
                <w:sz w:val="20"/>
                <w:szCs w:val="20"/>
                <w:color w:val="auto"/>
              </w:rPr>
            </w:pPr>
            <w:r>
              <w:rPr>
                <w:rFonts w:ascii="Arial" w:cs="Arial" w:eastAsia="Arial" w:hAnsi="Arial"/>
                <w:sz w:val="18"/>
                <w:szCs w:val="18"/>
                <w:color w:val="auto"/>
                <w:w w:val="91"/>
              </w:rPr>
              <w:t>(State of</w:t>
            </w:r>
          </w:p>
        </w:tc>
        <w:tc>
          <w:tcPr>
            <w:tcW w:w="2380" w:type="dxa"/>
            <w:vAlign w:val="bottom"/>
          </w:tcPr>
          <w:p>
            <w:pPr>
              <w:jc w:val="center"/>
              <w:ind w:right="430"/>
              <w:spacing w:after="0"/>
              <w:rPr>
                <w:sz w:val="20"/>
                <w:szCs w:val="20"/>
                <w:color w:val="auto"/>
              </w:rPr>
            </w:pPr>
            <w:r>
              <w:rPr>
                <w:rFonts w:ascii="Arial" w:cs="Arial" w:eastAsia="Arial" w:hAnsi="Arial"/>
                <w:sz w:val="18"/>
                <w:szCs w:val="18"/>
                <w:color w:val="auto"/>
                <w:w w:val="93"/>
              </w:rPr>
              <w:t>(Commission</w:t>
            </w:r>
          </w:p>
        </w:tc>
        <w:tc>
          <w:tcPr>
            <w:tcW w:w="2980" w:type="dxa"/>
            <w:vAlign w:val="bottom"/>
          </w:tcPr>
          <w:p>
            <w:pPr>
              <w:jc w:val="center"/>
              <w:ind w:left="1530"/>
              <w:spacing w:after="0"/>
              <w:rPr>
                <w:sz w:val="20"/>
                <w:szCs w:val="20"/>
                <w:color w:val="auto"/>
              </w:rPr>
            </w:pPr>
            <w:r>
              <w:rPr>
                <w:rFonts w:ascii="Arial" w:cs="Arial" w:eastAsia="Arial" w:hAnsi="Arial"/>
                <w:sz w:val="18"/>
                <w:szCs w:val="18"/>
                <w:color w:val="auto"/>
                <w:w w:val="93"/>
              </w:rPr>
              <w:t>(I.R.S. Employer</w:t>
            </w:r>
          </w:p>
        </w:tc>
      </w:tr>
      <w:tr>
        <w:trPr>
          <w:trHeight w:val="230"/>
        </w:trPr>
        <w:tc>
          <w:tcPr>
            <w:tcW w:w="3320" w:type="dxa"/>
            <w:vAlign w:val="bottom"/>
          </w:tcPr>
          <w:p>
            <w:pPr>
              <w:jc w:val="center"/>
              <w:ind w:right="2190"/>
              <w:spacing w:after="0"/>
              <w:rPr>
                <w:sz w:val="20"/>
                <w:szCs w:val="20"/>
                <w:color w:val="auto"/>
              </w:rPr>
            </w:pPr>
            <w:r>
              <w:rPr>
                <w:rFonts w:ascii="Arial" w:cs="Arial" w:eastAsia="Arial" w:hAnsi="Arial"/>
                <w:sz w:val="18"/>
                <w:szCs w:val="18"/>
                <w:color w:val="auto"/>
                <w:w w:val="93"/>
              </w:rPr>
              <w:t>Incorporation)</w:t>
            </w:r>
          </w:p>
        </w:tc>
        <w:tc>
          <w:tcPr>
            <w:tcW w:w="2380" w:type="dxa"/>
            <w:vAlign w:val="bottom"/>
          </w:tcPr>
          <w:p>
            <w:pPr>
              <w:jc w:val="center"/>
              <w:ind w:right="430"/>
              <w:spacing w:after="0"/>
              <w:rPr>
                <w:sz w:val="20"/>
                <w:szCs w:val="20"/>
                <w:color w:val="auto"/>
              </w:rPr>
            </w:pPr>
            <w:r>
              <w:rPr>
                <w:rFonts w:ascii="Arial" w:cs="Arial" w:eastAsia="Arial" w:hAnsi="Arial"/>
                <w:sz w:val="18"/>
                <w:szCs w:val="18"/>
                <w:color w:val="auto"/>
                <w:w w:val="94"/>
              </w:rPr>
              <w:t>File Number)</w:t>
            </w:r>
          </w:p>
        </w:tc>
        <w:tc>
          <w:tcPr>
            <w:tcW w:w="2980" w:type="dxa"/>
            <w:vAlign w:val="bottom"/>
          </w:tcPr>
          <w:p>
            <w:pPr>
              <w:jc w:val="center"/>
              <w:ind w:left="1550"/>
              <w:spacing w:after="0"/>
              <w:rPr>
                <w:sz w:val="20"/>
                <w:szCs w:val="20"/>
                <w:color w:val="auto"/>
              </w:rPr>
            </w:pPr>
            <w:r>
              <w:rPr>
                <w:rFonts w:ascii="Arial" w:cs="Arial" w:eastAsia="Arial" w:hAnsi="Arial"/>
                <w:sz w:val="18"/>
                <w:szCs w:val="18"/>
                <w:color w:val="auto"/>
                <w:w w:val="95"/>
              </w:rPr>
              <w:t>Identification No.)</w:t>
            </w:r>
          </w:p>
        </w:tc>
      </w:tr>
      <w:tr>
        <w:trPr>
          <w:trHeight w:val="580"/>
        </w:trPr>
        <w:tc>
          <w:tcPr>
            <w:tcW w:w="3320" w:type="dxa"/>
            <w:vAlign w:val="bottom"/>
          </w:tcPr>
          <w:p>
            <w:pPr>
              <w:jc w:val="center"/>
              <w:ind w:right="330"/>
              <w:spacing w:after="0"/>
              <w:rPr>
                <w:sz w:val="20"/>
                <w:szCs w:val="20"/>
                <w:color w:val="auto"/>
              </w:rPr>
            </w:pPr>
            <w:r>
              <w:rPr>
                <w:rFonts w:ascii="Arial" w:cs="Arial" w:eastAsia="Arial" w:hAnsi="Arial"/>
                <w:sz w:val="18"/>
                <w:szCs w:val="18"/>
                <w:b w:val="1"/>
                <w:bCs w:val="1"/>
                <w:color w:val="auto"/>
                <w:w w:val="91"/>
              </w:rPr>
              <w:t>2005 Cargo Road</w:t>
            </w:r>
          </w:p>
        </w:tc>
        <w:tc>
          <w:tcPr>
            <w:tcW w:w="238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473"/>
        </w:trPr>
        <w:tc>
          <w:tcPr>
            <w:tcW w:w="3320" w:type="dxa"/>
            <w:vAlign w:val="bottom"/>
          </w:tcPr>
          <w:p>
            <w:pPr>
              <w:jc w:val="center"/>
              <w:ind w:right="310"/>
              <w:spacing w:after="0"/>
              <w:rPr>
                <w:sz w:val="20"/>
                <w:szCs w:val="20"/>
                <w:color w:val="auto"/>
              </w:rPr>
            </w:pPr>
            <w:r>
              <w:rPr>
                <w:rFonts w:ascii="Arial" w:cs="Arial" w:eastAsia="Arial" w:hAnsi="Arial"/>
                <w:sz w:val="18"/>
                <w:szCs w:val="18"/>
                <w:b w:val="1"/>
                <w:bCs w:val="1"/>
                <w:color w:val="auto"/>
                <w:w w:val="90"/>
              </w:rPr>
              <w:t>Minneapolis, Minnesota</w:t>
            </w:r>
          </w:p>
        </w:tc>
        <w:tc>
          <w:tcPr>
            <w:tcW w:w="2380" w:type="dxa"/>
            <w:vAlign w:val="bottom"/>
          </w:tcPr>
          <w:p>
            <w:pPr>
              <w:spacing w:after="0"/>
              <w:rPr>
                <w:sz w:val="24"/>
                <w:szCs w:val="24"/>
                <w:color w:val="auto"/>
              </w:rPr>
            </w:pPr>
          </w:p>
        </w:tc>
        <w:tc>
          <w:tcPr>
            <w:tcW w:w="2980" w:type="dxa"/>
            <w:vAlign w:val="bottom"/>
          </w:tcPr>
          <w:p>
            <w:pPr>
              <w:jc w:val="right"/>
              <w:ind w:right="1290"/>
              <w:spacing w:after="0"/>
              <w:rPr>
                <w:sz w:val="20"/>
                <w:szCs w:val="20"/>
                <w:color w:val="auto"/>
              </w:rPr>
            </w:pPr>
            <w:r>
              <w:rPr>
                <w:rFonts w:ascii="Arial" w:cs="Arial" w:eastAsia="Arial" w:hAnsi="Arial"/>
                <w:sz w:val="18"/>
                <w:szCs w:val="18"/>
                <w:b w:val="1"/>
                <w:bCs w:val="1"/>
                <w:color w:val="auto"/>
              </w:rPr>
              <w:t>55450</w:t>
            </w:r>
          </w:p>
        </w:tc>
      </w:tr>
      <w:tr>
        <w:trPr>
          <w:trHeight w:val="243"/>
        </w:trPr>
        <w:tc>
          <w:tcPr>
            <w:tcW w:w="3320" w:type="dxa"/>
            <w:vAlign w:val="bottom"/>
          </w:tcPr>
          <w:p>
            <w:pPr>
              <w:jc w:val="center"/>
              <w:ind w:right="330"/>
              <w:spacing w:after="0"/>
              <w:rPr>
                <w:sz w:val="20"/>
                <w:szCs w:val="20"/>
                <w:color w:val="auto"/>
              </w:rPr>
            </w:pPr>
            <w:r>
              <w:rPr>
                <w:rFonts w:ascii="Arial" w:cs="Arial" w:eastAsia="Arial" w:hAnsi="Arial"/>
                <w:sz w:val="18"/>
                <w:szCs w:val="18"/>
                <w:color w:val="auto"/>
                <w:w w:val="92"/>
              </w:rPr>
              <w:t>(Address of principal executive offices)</w:t>
            </w:r>
          </w:p>
        </w:tc>
        <w:tc>
          <w:tcPr>
            <w:tcW w:w="2380" w:type="dxa"/>
            <w:vAlign w:val="bottom"/>
          </w:tcPr>
          <w:p>
            <w:pPr>
              <w:spacing w:after="0"/>
              <w:rPr>
                <w:sz w:val="21"/>
                <w:szCs w:val="21"/>
                <w:color w:val="auto"/>
              </w:rPr>
            </w:pPr>
          </w:p>
        </w:tc>
        <w:tc>
          <w:tcPr>
            <w:tcW w:w="2980" w:type="dxa"/>
            <w:vAlign w:val="bottom"/>
          </w:tcPr>
          <w:p>
            <w:pPr>
              <w:jc w:val="center"/>
              <w:ind w:right="150"/>
              <w:spacing w:after="0"/>
              <w:rPr>
                <w:sz w:val="20"/>
                <w:szCs w:val="20"/>
                <w:color w:val="auto"/>
              </w:rPr>
            </w:pPr>
            <w:r>
              <w:rPr>
                <w:rFonts w:ascii="Arial" w:cs="Arial" w:eastAsia="Arial" w:hAnsi="Arial"/>
                <w:sz w:val="18"/>
                <w:szCs w:val="18"/>
                <w:color w:val="auto"/>
                <w:w w:val="91"/>
              </w:rPr>
              <w:t>(Zip Code)</w:t>
            </w:r>
          </w:p>
        </w:tc>
      </w:tr>
    </w:tbl>
    <w:p>
      <w:pPr>
        <w:spacing w:after="0" w:line="3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651 681-3900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4"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4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8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468"/>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4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w w:val="93"/>
              </w:rPr>
              <w:t>Trading</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6"/>
              </w:rPr>
              <w:t>Name of each exchange</w:t>
            </w:r>
          </w:p>
        </w:tc>
      </w:tr>
      <w:tr>
        <w:trPr>
          <w:trHeight w:val="234"/>
        </w:trPr>
        <w:tc>
          <w:tcPr>
            <w:tcW w:w="468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w w:val="87"/>
              </w:rPr>
              <w:t>Title of each class</w:t>
            </w:r>
          </w:p>
        </w:tc>
        <w:tc>
          <w:tcPr>
            <w:tcW w:w="2840" w:type="dxa"/>
            <w:vAlign w:val="bottom"/>
            <w:gridSpan w:val="2"/>
          </w:tcPr>
          <w:p>
            <w:pPr>
              <w:jc w:val="center"/>
              <w:ind w:right="1000"/>
              <w:spacing w:after="0"/>
              <w:rPr>
                <w:sz w:val="20"/>
                <w:szCs w:val="20"/>
                <w:color w:val="auto"/>
              </w:rPr>
            </w:pPr>
            <w:r>
              <w:rPr>
                <w:rFonts w:ascii="Arial" w:cs="Arial" w:eastAsia="Arial" w:hAnsi="Arial"/>
                <w:sz w:val="18"/>
                <w:szCs w:val="18"/>
                <w:b w:val="1"/>
                <w:bCs w:val="1"/>
                <w:color w:val="auto"/>
                <w:w w:val="87"/>
              </w:rPr>
              <w:t>Symbol(s)</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7"/>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37"/>
        </w:trPr>
        <w:tc>
          <w:tcPr>
            <w:tcW w:w="4680" w:type="dxa"/>
            <w:vAlign w:val="bottom"/>
            <w:gridSpan w:val="3"/>
          </w:tcPr>
          <w:p>
            <w:pPr>
              <w:jc w:val="center"/>
              <w:ind w:right="1000"/>
              <w:spacing w:after="0"/>
              <w:rPr>
                <w:sz w:val="20"/>
                <w:szCs w:val="20"/>
                <w:color w:val="auto"/>
              </w:rPr>
            </w:pPr>
            <w:r>
              <w:rPr>
                <w:rFonts w:ascii="Arial" w:cs="Arial" w:eastAsia="Arial" w:hAnsi="Arial"/>
                <w:sz w:val="18"/>
                <w:szCs w:val="18"/>
                <w:color w:val="auto"/>
                <w:w w:val="89"/>
              </w:rPr>
              <w:t>Common Stock, par value $0.01 per share</w:t>
            </w:r>
          </w:p>
        </w:tc>
        <w:tc>
          <w:tcPr>
            <w:tcW w:w="2840" w:type="dxa"/>
            <w:vAlign w:val="bottom"/>
            <w:gridSpan w:val="2"/>
          </w:tcPr>
          <w:p>
            <w:pPr>
              <w:jc w:val="center"/>
              <w:ind w:right="1000"/>
              <w:spacing w:after="0"/>
              <w:rPr>
                <w:sz w:val="20"/>
                <w:szCs w:val="20"/>
                <w:color w:val="auto"/>
              </w:rPr>
            </w:pPr>
            <w:r>
              <w:rPr>
                <w:rFonts w:ascii="Arial" w:cs="Arial" w:eastAsia="Arial" w:hAnsi="Arial"/>
                <w:sz w:val="18"/>
                <w:szCs w:val="18"/>
                <w:color w:val="auto"/>
                <w:w w:val="95"/>
              </w:rPr>
              <w:t>SNCY</w:t>
            </w:r>
          </w:p>
        </w:tc>
        <w:tc>
          <w:tcPr>
            <w:tcW w:w="370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31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On February 2, 2023, Sun Country Airlines Holdings, Inc. issued a press release announcing its financial results for the year and fiscal quarter ended December 31, 2022. A copy of the press release is attached hereto as Exhibit 99.1 and incorporated by reference herein.</w:t>
      </w:r>
    </w:p>
    <w:p>
      <w:pPr>
        <w:spacing w:after="0" w:line="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information contained in this Item 2.02,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of 1934, as amended, regardless of any general incorporation language in such filings, unless expressly incorporated by specific reference in such filing.</w:t>
      </w:r>
    </w:p>
    <w:p>
      <w:pPr>
        <w:spacing w:after="0" w:line="29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gridSpan w:val="4"/>
          </w:tcPr>
          <w:p>
            <w:pPr>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color w:val="auto"/>
              </w:rPr>
              <w:t>Exhibits.</w:t>
            </w:r>
          </w:p>
        </w:tc>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686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16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3"/>
                <w:szCs w:val="23"/>
                <w:color w:val="auto"/>
              </w:rPr>
            </w:pPr>
          </w:p>
        </w:tc>
        <w:tc>
          <w:tcPr>
            <w:tcW w:w="95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6860" w:type="dxa"/>
            <w:vAlign w:val="bottom"/>
            <w:tcBorders>
              <w:bottom w:val="single" w:sz="8" w:color="auto"/>
            </w:tcBorders>
          </w:tcPr>
          <w:p>
            <w:pPr>
              <w:spacing w:after="0"/>
              <w:rPr>
                <w:sz w:val="2"/>
                <w:szCs w:val="2"/>
                <w:color w:val="auto"/>
              </w:rPr>
            </w:pPr>
          </w:p>
        </w:tc>
      </w:tr>
      <w:tr>
        <w:trPr>
          <w:trHeight w:val="196"/>
        </w:trPr>
        <w:tc>
          <w:tcPr>
            <w:tcW w:w="1580" w:type="dxa"/>
            <w:vAlign w:val="bottom"/>
            <w:gridSpan w:val="3"/>
          </w:tcPr>
          <w:p>
            <w:pPr>
              <w:ind w:left="20"/>
              <w:spacing w:after="0" w:line="196" w:lineRule="exact"/>
              <w:rPr>
                <w:sz w:val="20"/>
                <w:szCs w:val="20"/>
                <w:color w:val="auto"/>
              </w:rPr>
            </w:pPr>
            <w:r>
              <w:rPr>
                <w:rFonts w:ascii="Arial" w:cs="Arial" w:eastAsia="Arial" w:hAnsi="Arial"/>
                <w:sz w:val="18"/>
                <w:szCs w:val="18"/>
                <w:color w:val="0000FF"/>
              </w:rPr>
              <w:t>99.</w:t>
            </w:r>
            <w:r>
              <w:rPr>
                <w:rFonts w:ascii="Arial" w:cs="Arial" w:eastAsia="Arial" w:hAnsi="Arial"/>
                <w:sz w:val="18"/>
                <w:szCs w:val="18"/>
                <w:u w:val="single" w:color="auto"/>
                <w:color w:val="0000FF"/>
              </w:rPr>
              <w:t>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40" w:type="dxa"/>
            <w:vAlign w:val="bottom"/>
            <w:gridSpan w:val="2"/>
          </w:tcPr>
          <w:p>
            <w:pPr>
              <w:spacing w:after="0" w:line="196" w:lineRule="exact"/>
              <w:rPr>
                <w:sz w:val="20"/>
                <w:szCs w:val="20"/>
                <w:color w:val="auto"/>
              </w:rPr>
            </w:pPr>
            <w:r>
              <w:rPr>
                <w:rFonts w:ascii="Arial" w:cs="Arial" w:eastAsia="Arial" w:hAnsi="Arial"/>
                <w:sz w:val="18"/>
                <w:szCs w:val="18"/>
                <w:color w:val="0000FF"/>
              </w:rPr>
              <w:t>Press release, dated February 2, 2023</w:t>
            </w:r>
          </w:p>
        </w:tc>
      </w:tr>
      <w:tr>
        <w:trPr>
          <w:trHeight w:val="20"/>
        </w:trPr>
        <w:tc>
          <w:tcPr>
            <w:tcW w:w="3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r>
        <w:trPr>
          <w:trHeight w:val="291"/>
        </w:trPr>
        <w:tc>
          <w:tcPr>
            <w:tcW w:w="340" w:type="dxa"/>
            <w:vAlign w:val="bottom"/>
            <w:gridSpan w:val="2"/>
          </w:tcPr>
          <w:p>
            <w:pPr>
              <w:ind w:left="20"/>
              <w:spacing w:after="0"/>
              <w:rPr>
                <w:sz w:val="20"/>
                <w:szCs w:val="20"/>
                <w:color w:val="auto"/>
              </w:rPr>
            </w:pPr>
            <w:r>
              <w:rPr>
                <w:rFonts w:ascii="Arial" w:cs="Arial" w:eastAsia="Arial" w:hAnsi="Arial"/>
                <w:sz w:val="18"/>
                <w:szCs w:val="18"/>
                <w:color w:val="auto"/>
                <w:w w:val="99"/>
              </w:rPr>
              <w:t>104</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046"/>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6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Arial" w:cs="Arial" w:eastAsia="Arial" w:hAnsi="Arial"/>
                <w:sz w:val="18"/>
                <w:szCs w:val="18"/>
                <w:color w:val="auto"/>
              </w:rPr>
              <w:t>Date: February 2, 2023</w:t>
            </w:r>
          </w:p>
        </w:tc>
        <w:tc>
          <w:tcPr>
            <w:tcW w:w="7900" w:type="dxa"/>
            <w:vAlign w:val="bottom"/>
            <w:gridSpan w:val="3"/>
          </w:tcPr>
          <w:p>
            <w:pPr>
              <w:ind w:left="1660"/>
              <w:spacing w:after="0"/>
              <w:rPr>
                <w:sz w:val="20"/>
                <w:szCs w:val="20"/>
                <w:color w:val="auto"/>
              </w:rPr>
            </w:pPr>
            <w:r>
              <w:rPr>
                <w:rFonts w:ascii="Arial" w:cs="Arial" w:eastAsia="Arial" w:hAnsi="Arial"/>
                <w:sz w:val="18"/>
                <w:szCs w:val="18"/>
                <w:b w:val="1"/>
                <w:bCs w:val="1"/>
                <w:color w:val="auto"/>
              </w:rPr>
              <w:t>Sun Country Airlines Holdings, Inc.</w:t>
            </w:r>
          </w:p>
        </w:tc>
      </w:tr>
      <w:tr>
        <w:trPr>
          <w:trHeight w:val="513"/>
        </w:trPr>
        <w:tc>
          <w:tcPr>
            <w:tcW w:w="3320" w:type="dxa"/>
            <w:vAlign w:val="bottom"/>
          </w:tcPr>
          <w:p>
            <w:pPr>
              <w:spacing w:after="0"/>
              <w:rPr>
                <w:sz w:val="24"/>
                <w:szCs w:val="24"/>
                <w:color w:val="auto"/>
              </w:rPr>
            </w:pPr>
          </w:p>
        </w:tc>
        <w:tc>
          <w:tcPr>
            <w:tcW w:w="7900" w:type="dxa"/>
            <w:vAlign w:val="bottom"/>
            <w:gridSpan w:val="3"/>
          </w:tcPr>
          <w:p>
            <w:pPr>
              <w:ind w:left="1660"/>
              <w:spacing w:after="0"/>
              <w:rPr>
                <w:sz w:val="20"/>
                <w:szCs w:val="20"/>
                <w:color w:val="auto"/>
              </w:rPr>
            </w:pPr>
            <w:r>
              <w:rPr>
                <w:rFonts w:ascii="Arial" w:cs="Arial" w:eastAsia="Arial" w:hAnsi="Arial"/>
                <w:sz w:val="18"/>
                <w:szCs w:val="18"/>
                <w:color w:val="auto"/>
              </w:rPr>
              <w:t>By:  /s/ Erin Rose Neale</w:t>
            </w:r>
          </w:p>
        </w:tc>
      </w:tr>
      <w:tr>
        <w:trPr>
          <w:trHeight w:val="222"/>
        </w:trPr>
        <w:tc>
          <w:tcPr>
            <w:tcW w:w="33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6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518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Erin Rose Neale</w:t>
            </w:r>
          </w:p>
        </w:tc>
      </w:tr>
      <w:tr>
        <w:trPr>
          <w:trHeight w:val="230"/>
        </w:trPr>
        <w:tc>
          <w:tcPr>
            <w:tcW w:w="33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Title:</w:t>
            </w:r>
          </w:p>
        </w:tc>
        <w:tc>
          <w:tcPr>
            <w:tcW w:w="5180" w:type="dxa"/>
            <w:vAlign w:val="bottom"/>
          </w:tcPr>
          <w:p>
            <w:pPr>
              <w:ind w:left="140"/>
              <w:spacing w:after="0"/>
              <w:rPr>
                <w:sz w:val="20"/>
                <w:szCs w:val="20"/>
                <w:color w:val="auto"/>
              </w:rPr>
            </w:pPr>
            <w:r>
              <w:rPr>
                <w:rFonts w:ascii="Arial" w:cs="Arial" w:eastAsia="Arial" w:hAnsi="Arial"/>
                <w:sz w:val="18"/>
                <w:szCs w:val="18"/>
                <w:color w:val="auto"/>
              </w:rPr>
              <w:t>Senior Vice President, General Counsel and Secretary</w:t>
            </w:r>
          </w:p>
        </w:tc>
      </w:tr>
    </w:tbl>
    <w:p>
      <w:pPr>
        <w:sectPr>
          <w:pgSz w:w="11900" w:h="16838" w:orient="portrait"/>
          <w:cols w:equalWidth="0" w:num="1">
            <w:col w:w="11240"/>
          </w:cols>
          <w:pgMar w:left="320" w:top="1147" w:right="339" w:bottom="1440" w:gutter="0" w:footer="0" w:header="0"/>
        </w:sectPr>
      </w:pPr>
    </w:p>
    <w:bookmarkStart w:id="3" w:name="page4"/>
    <w:bookmarkEnd w:id="3"/>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243205</wp:posOffset>
            </wp:positionV>
            <wp:extent cx="2571750" cy="514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571750" cy="51435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31" w:lineRule="exact"/>
        <w:rPr>
          <w:sz w:val="20"/>
          <w:szCs w:val="20"/>
          <w:color w:val="auto"/>
        </w:rPr>
      </w:pPr>
    </w:p>
    <w:p>
      <w:pPr>
        <w:jc w:val="center"/>
        <w:ind w:left="340" w:right="2340"/>
        <w:spacing w:after="0"/>
        <w:rPr>
          <w:sz w:val="20"/>
          <w:szCs w:val="20"/>
          <w:color w:val="auto"/>
        </w:rPr>
      </w:pPr>
      <w:r>
        <w:rPr>
          <w:rFonts w:ascii="Arial" w:cs="Arial" w:eastAsia="Arial" w:hAnsi="Arial"/>
          <w:sz w:val="18"/>
          <w:szCs w:val="18"/>
          <w:b w:val="1"/>
          <w:bCs w:val="1"/>
          <w:color w:val="auto"/>
        </w:rPr>
        <w:t xml:space="preserve">Sun Country Airlines Reports Fourth Quarter and Full Year 2022 Results </w:t>
      </w:r>
      <w:r>
        <w:rPr>
          <w:rFonts w:ascii="Arial" w:cs="Arial" w:eastAsia="Arial" w:hAnsi="Arial"/>
          <w:sz w:val="18"/>
          <w:szCs w:val="18"/>
          <w:color w:val="auto"/>
        </w:rPr>
        <w:t>Q4 2022 GAAP diluted EPS of $0.12 and operating margin of 6.7% Q4 2022 Adjusted diluted EPS of $0.13</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and adjusted operating margin of 7.0%</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FY 2022 GAAP diluted EPS of $0.29 and operating margin of 6.2% FY 2022 Adjusted diluted EPS of $0.42</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and adjusted operating margin of 6.5%</w:t>
      </w:r>
      <w:r>
        <w:rPr>
          <w:rFonts w:ascii="Arial" w:cs="Arial" w:eastAsia="Arial" w:hAnsi="Arial"/>
          <w:sz w:val="23"/>
          <w:szCs w:val="23"/>
          <w:color w:val="auto"/>
          <w:vertAlign w:val="superscript"/>
        </w:rPr>
        <w:t>(1)</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MINNEAPOLIS. February 2, 2023. Sun Country Airlines Holdings, Inc. (“Sun Country Airlines,” “Sun Country,” the “Company”) (</w:t>
      </w:r>
      <w:r>
        <w:rPr>
          <w:rFonts w:ascii="Arial" w:cs="Arial" w:eastAsia="Arial" w:hAnsi="Arial"/>
          <w:sz w:val="18"/>
          <w:szCs w:val="18"/>
          <w:color w:val="0563C1"/>
        </w:rPr>
        <w:t>NASDAQ: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563C1"/>
        </w:rPr>
        <w:t>SNCY</w:t>
      </w:r>
      <w:r>
        <w:rPr>
          <w:rFonts w:ascii="Arial" w:cs="Arial" w:eastAsia="Arial" w:hAnsi="Arial"/>
          <w:sz w:val="18"/>
          <w:szCs w:val="18"/>
          <w:color w:val="000000"/>
        </w:rPr>
        <w:t>) today reported financial results for its fourth quarter and full year ended December 31, 2022.</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0A0A0A"/>
        </w:rPr>
        <w:t>“Thank you to the entire Sun Country team for a successful 2022,” said Jude Bricker, Chief Executive Officer of Sun Country. “Our unique and diversified business model continued to produce strong results in the face of significant industry challenges, as we grew year-over-year</w:t>
      </w:r>
    </w:p>
    <w:p>
      <w:pPr>
        <w:spacing w:after="0" w:line="2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0A0A0A"/>
        </w:rPr>
        <w:t>revenue by 43.6% to $894.4 million, a record high for Sun Country. Despite constraints on our growth, the impact of Omicron in Q1 and a 71% increase in fuel prices versus 2021, we produced a GAAP pre-tax margin of 2.7% and an adjusted pre-tax margin of 3.7% for the year</w:t>
      </w:r>
    </w:p>
    <w:p>
      <w:pPr>
        <w:spacing w:after="0" w:line="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0A0A0A"/>
        </w:rPr>
        <w:t>while growing scheduled service block hours nearly 18%. Over the important holiday travel season, our operations team produced the industry’s highest completion factor of 99.3%. We are very optimistic about 2023, as we continue to see strong bookings, unit revenues and earnings growth heading into Q1.”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Fourth Quarter and Full Year</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400" w:type="dxa"/>
            <w:vAlign w:val="bottom"/>
            <w:gridSpan w:val="3"/>
          </w:tcPr>
          <w:p>
            <w:pPr>
              <w:jc w:val="right"/>
              <w:ind w:right="695"/>
              <w:spacing w:after="0"/>
              <w:rPr>
                <w:sz w:val="20"/>
                <w:szCs w:val="20"/>
                <w:color w:val="auto"/>
              </w:rPr>
            </w:pPr>
            <w:r>
              <w:rPr>
                <w:rFonts w:ascii="Arial" w:cs="Arial" w:eastAsia="Arial" w:hAnsi="Arial"/>
                <w:sz w:val="14"/>
                <w:szCs w:val="14"/>
                <w:b w:val="1"/>
                <w:bCs w:val="1"/>
                <w:color w:val="auto"/>
              </w:rPr>
              <w:t>Three Months Ended December 31,</w:t>
            </w:r>
          </w:p>
        </w:tc>
        <w:tc>
          <w:tcPr>
            <w:tcW w:w="1480" w:type="dxa"/>
            <w:vAlign w:val="bottom"/>
          </w:tcPr>
          <w:p>
            <w:pPr>
              <w:spacing w:after="0"/>
              <w:rPr>
                <w:sz w:val="16"/>
                <w:szCs w:val="16"/>
                <w:color w:val="auto"/>
              </w:rPr>
            </w:pPr>
          </w:p>
        </w:tc>
      </w:tr>
      <w:tr>
        <w:trPr>
          <w:trHeight w:val="215"/>
        </w:trPr>
        <w:tc>
          <w:tcPr>
            <w:tcW w:w="4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A0A0A"/>
              </w:rPr>
              <w:t>(unaudited) (in millions, except per share amounts)</w:t>
            </w:r>
          </w:p>
        </w:tc>
        <w:tc>
          <w:tcPr>
            <w:tcW w:w="15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18"/>
              <w:spacing w:after="0"/>
              <w:rPr>
                <w:sz w:val="20"/>
                <w:szCs w:val="20"/>
                <w:color w:val="auto"/>
              </w:rPr>
            </w:pPr>
            <w:r>
              <w:rPr>
                <w:rFonts w:ascii="Arial" w:cs="Arial" w:eastAsia="Arial" w:hAnsi="Arial"/>
                <w:sz w:val="14"/>
                <w:szCs w:val="14"/>
                <w:b w:val="1"/>
                <w:bCs w:val="1"/>
                <w:color w:val="0A0A0A"/>
              </w:rPr>
              <w:t>2022</w:t>
            </w:r>
          </w:p>
        </w:tc>
        <w:tc>
          <w:tcPr>
            <w:tcW w:w="4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815"/>
              <w:spacing w:after="0"/>
              <w:rPr>
                <w:sz w:val="20"/>
                <w:szCs w:val="20"/>
                <w:color w:val="auto"/>
              </w:rPr>
            </w:pPr>
            <w:r>
              <w:rPr>
                <w:rFonts w:ascii="Arial" w:cs="Arial" w:eastAsia="Arial" w:hAnsi="Arial"/>
                <w:sz w:val="14"/>
                <w:szCs w:val="14"/>
                <w:b w:val="1"/>
                <w:bCs w:val="1"/>
                <w:color w:val="0A0A0A"/>
              </w:rPr>
              <w:t>2021</w:t>
            </w:r>
            <w:r>
              <w:rPr>
                <w:rFonts w:ascii="Arial" w:cs="Arial" w:eastAsia="Arial" w:hAnsi="Arial"/>
                <w:sz w:val="18"/>
                <w:szCs w:val="18"/>
                <w:b w:val="1"/>
                <w:bCs w:val="1"/>
                <w:color w:val="0A0A0A"/>
                <w:vertAlign w:val="superscript"/>
              </w:rPr>
              <w:t>(7)</w:t>
            </w:r>
          </w:p>
        </w:tc>
        <w:tc>
          <w:tcPr>
            <w:tcW w:w="14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0A0A0A"/>
              </w:rPr>
              <w:t>% Change</w:t>
            </w:r>
          </w:p>
        </w:tc>
      </w:tr>
      <w:tr>
        <w:trPr>
          <w:trHeight w:val="223"/>
        </w:trPr>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Total Operating Revenue</w:t>
            </w:r>
          </w:p>
        </w:tc>
        <w:tc>
          <w:tcPr>
            <w:tcW w:w="1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0A0A0A"/>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227.2</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0A0A0A"/>
              </w:rPr>
              <w:t>$</w:t>
            </w:r>
          </w:p>
        </w:tc>
        <w:tc>
          <w:tcPr>
            <w:tcW w:w="160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0A0A0A"/>
              </w:rPr>
              <w:t>172.6</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31.6</w:t>
            </w:r>
          </w:p>
        </w:tc>
      </w:tr>
      <w:tr>
        <w:trPr>
          <w:trHeight w:val="229"/>
        </w:trPr>
        <w:tc>
          <w:tcPr>
            <w:tcW w:w="4800" w:type="dxa"/>
            <w:vAlign w:val="bottom"/>
          </w:tcPr>
          <w:p>
            <w:pPr>
              <w:ind w:left="80"/>
              <w:spacing w:after="0"/>
              <w:rPr>
                <w:sz w:val="20"/>
                <w:szCs w:val="20"/>
                <w:color w:val="auto"/>
              </w:rPr>
            </w:pPr>
            <w:r>
              <w:rPr>
                <w:rFonts w:ascii="Arial" w:cs="Arial" w:eastAsia="Arial" w:hAnsi="Arial"/>
                <w:sz w:val="18"/>
                <w:szCs w:val="18"/>
                <w:color w:val="0A0A0A"/>
              </w:rPr>
              <w:t>Operating Income</w:t>
            </w:r>
          </w:p>
        </w:tc>
        <w:tc>
          <w:tcPr>
            <w:tcW w:w="15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0A0A0A"/>
              </w:rPr>
              <w:t>15.1</w:t>
            </w:r>
          </w:p>
        </w:tc>
        <w:tc>
          <w:tcPr>
            <w:tcW w:w="400" w:type="dxa"/>
            <w:vAlign w:val="bottom"/>
          </w:tcPr>
          <w:p>
            <w:pPr>
              <w:spacing w:after="0"/>
              <w:rPr>
                <w:sz w:val="19"/>
                <w:szCs w:val="19"/>
                <w:color w:val="auto"/>
              </w:rPr>
            </w:pPr>
          </w:p>
        </w:tc>
        <w:tc>
          <w:tcPr>
            <w:tcW w:w="1600" w:type="dxa"/>
            <w:vAlign w:val="bottom"/>
          </w:tcPr>
          <w:p>
            <w:pPr>
              <w:jc w:val="right"/>
              <w:ind w:right="235"/>
              <w:spacing w:after="0"/>
              <w:rPr>
                <w:sz w:val="20"/>
                <w:szCs w:val="20"/>
                <w:color w:val="auto"/>
              </w:rPr>
            </w:pPr>
            <w:r>
              <w:rPr>
                <w:rFonts w:ascii="Arial" w:cs="Arial" w:eastAsia="Arial" w:hAnsi="Arial"/>
                <w:sz w:val="18"/>
                <w:szCs w:val="18"/>
                <w:color w:val="0A0A0A"/>
              </w:rPr>
              <w:t>10.2</w:t>
            </w:r>
          </w:p>
        </w:tc>
        <w:tc>
          <w:tcPr>
            <w:tcW w:w="1480" w:type="dxa"/>
            <w:vAlign w:val="bottom"/>
          </w:tcPr>
          <w:p>
            <w:pPr>
              <w:jc w:val="right"/>
              <w:spacing w:after="0"/>
              <w:rPr>
                <w:sz w:val="20"/>
                <w:szCs w:val="20"/>
                <w:color w:val="auto"/>
              </w:rPr>
            </w:pPr>
            <w:r>
              <w:rPr>
                <w:rFonts w:ascii="Arial" w:cs="Arial" w:eastAsia="Arial" w:hAnsi="Arial"/>
                <w:sz w:val="18"/>
                <w:szCs w:val="18"/>
                <w:color w:val="0A0A0A"/>
              </w:rPr>
              <w:t>48.0</w:t>
            </w:r>
          </w:p>
        </w:tc>
      </w:tr>
      <w:tr>
        <w:trPr>
          <w:trHeight w:val="230"/>
        </w:trPr>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Income (Loss) Before Income Tax</w:t>
            </w:r>
          </w:p>
        </w:tc>
        <w:tc>
          <w:tcPr>
            <w:tcW w:w="15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9.5</w:t>
            </w:r>
          </w:p>
        </w:tc>
        <w:tc>
          <w:tcPr>
            <w:tcW w:w="4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0A0A0A"/>
              </w:rPr>
              <w:t>(0.4)</w:t>
            </w:r>
          </w:p>
        </w:tc>
        <w:tc>
          <w:tcPr>
            <w:tcW w:w="1480" w:type="dxa"/>
            <w:vAlign w:val="bottom"/>
            <w:shd w:val="clear" w:color="auto" w:fill="CCEEFF"/>
          </w:tcPr>
          <w:p>
            <w:pPr>
              <w:ind w:left="1180"/>
              <w:spacing w:after="0"/>
              <w:rPr>
                <w:sz w:val="20"/>
                <w:szCs w:val="20"/>
                <w:color w:val="auto"/>
              </w:rPr>
            </w:pPr>
            <w:r>
              <w:rPr>
                <w:rFonts w:ascii="Arial" w:cs="Arial" w:eastAsia="Arial" w:hAnsi="Arial"/>
                <w:sz w:val="18"/>
                <w:szCs w:val="18"/>
                <w:color w:val="0A0A0A"/>
                <w:w w:val="99"/>
              </w:rPr>
              <w:t>NM</w:t>
            </w:r>
          </w:p>
        </w:tc>
      </w:tr>
      <w:tr>
        <w:trPr>
          <w:trHeight w:val="230"/>
        </w:trPr>
        <w:tc>
          <w:tcPr>
            <w:tcW w:w="4800" w:type="dxa"/>
            <w:vAlign w:val="bottom"/>
          </w:tcPr>
          <w:p>
            <w:pPr>
              <w:ind w:left="80"/>
              <w:spacing w:after="0"/>
              <w:rPr>
                <w:sz w:val="20"/>
                <w:szCs w:val="20"/>
                <w:color w:val="auto"/>
              </w:rPr>
            </w:pPr>
            <w:r>
              <w:rPr>
                <w:rFonts w:ascii="Arial" w:cs="Arial" w:eastAsia="Arial" w:hAnsi="Arial"/>
                <w:sz w:val="18"/>
                <w:szCs w:val="18"/>
                <w:color w:val="0A0A0A"/>
              </w:rPr>
              <w:t>Net Income (Loss)</w:t>
            </w:r>
          </w:p>
        </w:tc>
        <w:tc>
          <w:tcPr>
            <w:tcW w:w="15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0A0A0A"/>
              </w:rPr>
              <w:t>7.3</w:t>
            </w:r>
          </w:p>
        </w:tc>
        <w:tc>
          <w:tcPr>
            <w:tcW w:w="400" w:type="dxa"/>
            <w:vAlign w:val="bottom"/>
          </w:tcPr>
          <w:p>
            <w:pPr>
              <w:spacing w:after="0"/>
              <w:rPr>
                <w:sz w:val="19"/>
                <w:szCs w:val="19"/>
                <w:color w:val="auto"/>
              </w:rPr>
            </w:pPr>
          </w:p>
        </w:tc>
        <w:tc>
          <w:tcPr>
            <w:tcW w:w="1600" w:type="dxa"/>
            <w:vAlign w:val="bottom"/>
          </w:tcPr>
          <w:p>
            <w:pPr>
              <w:jc w:val="right"/>
              <w:ind w:right="175"/>
              <w:spacing w:after="0"/>
              <w:rPr>
                <w:sz w:val="20"/>
                <w:szCs w:val="20"/>
                <w:color w:val="auto"/>
              </w:rPr>
            </w:pPr>
            <w:r>
              <w:rPr>
                <w:rFonts w:ascii="Arial" w:cs="Arial" w:eastAsia="Arial" w:hAnsi="Arial"/>
                <w:sz w:val="18"/>
                <w:szCs w:val="18"/>
                <w:color w:val="0A0A0A"/>
              </w:rPr>
              <w:t>(1.1)</w:t>
            </w:r>
          </w:p>
        </w:tc>
        <w:tc>
          <w:tcPr>
            <w:tcW w:w="1480" w:type="dxa"/>
            <w:vAlign w:val="bottom"/>
          </w:tcPr>
          <w:p>
            <w:pPr>
              <w:ind w:left="1180"/>
              <w:spacing w:after="0"/>
              <w:rPr>
                <w:sz w:val="20"/>
                <w:szCs w:val="20"/>
                <w:color w:val="auto"/>
              </w:rPr>
            </w:pPr>
            <w:r>
              <w:rPr>
                <w:rFonts w:ascii="Arial" w:cs="Arial" w:eastAsia="Arial" w:hAnsi="Arial"/>
                <w:sz w:val="18"/>
                <w:szCs w:val="18"/>
                <w:color w:val="0A0A0A"/>
                <w:w w:val="99"/>
              </w:rPr>
              <w:t>NM</w:t>
            </w:r>
          </w:p>
        </w:tc>
      </w:tr>
      <w:tr>
        <w:trPr>
          <w:trHeight w:val="230"/>
        </w:trPr>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Diluted earnings (Loss) per share</w:t>
            </w:r>
          </w:p>
        </w:tc>
        <w:tc>
          <w:tcPr>
            <w:tcW w:w="1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0A0A0A"/>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0.12</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0A0A0A"/>
              </w:rPr>
              <w:t>$</w:t>
            </w:r>
          </w:p>
        </w:tc>
        <w:tc>
          <w:tcPr>
            <w:tcW w:w="16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0A0A0A"/>
              </w:rPr>
              <w:t>(0.02)</w:t>
            </w:r>
          </w:p>
        </w:tc>
        <w:tc>
          <w:tcPr>
            <w:tcW w:w="1480" w:type="dxa"/>
            <w:vAlign w:val="bottom"/>
            <w:shd w:val="clear" w:color="auto" w:fill="CCEEFF"/>
          </w:tcPr>
          <w:p>
            <w:pPr>
              <w:ind w:left="1180"/>
              <w:spacing w:after="0"/>
              <w:rPr>
                <w:sz w:val="20"/>
                <w:szCs w:val="20"/>
                <w:color w:val="auto"/>
              </w:rPr>
            </w:pPr>
            <w:r>
              <w:rPr>
                <w:rFonts w:ascii="Arial" w:cs="Arial" w:eastAsia="Arial" w:hAnsi="Arial"/>
                <w:sz w:val="18"/>
                <w:szCs w:val="18"/>
                <w:color w:val="0A0A0A"/>
                <w:w w:val="99"/>
              </w:rPr>
              <w:t>NM</w:t>
            </w:r>
          </w:p>
        </w:tc>
      </w:tr>
      <w:tr>
        <w:trPr>
          <w:trHeight w:val="406"/>
        </w:trPr>
        <w:tc>
          <w:tcPr>
            <w:tcW w:w="4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0" w:type="dxa"/>
            <w:vAlign w:val="bottom"/>
            <w:gridSpan w:val="3"/>
          </w:tcPr>
          <w:p>
            <w:pPr>
              <w:jc w:val="right"/>
              <w:ind w:right="695"/>
              <w:spacing w:after="0"/>
              <w:rPr>
                <w:sz w:val="20"/>
                <w:szCs w:val="20"/>
                <w:color w:val="auto"/>
              </w:rPr>
            </w:pPr>
            <w:r>
              <w:rPr>
                <w:rFonts w:ascii="Arial" w:cs="Arial" w:eastAsia="Arial" w:hAnsi="Arial"/>
                <w:sz w:val="14"/>
                <w:szCs w:val="14"/>
                <w:b w:val="1"/>
                <w:bCs w:val="1"/>
                <w:color w:val="auto"/>
              </w:rPr>
              <w:t>Three Months Ended December 31,</w:t>
            </w:r>
          </w:p>
        </w:tc>
        <w:tc>
          <w:tcPr>
            <w:tcW w:w="1480" w:type="dxa"/>
            <w:vAlign w:val="bottom"/>
          </w:tcPr>
          <w:p>
            <w:pPr>
              <w:spacing w:after="0"/>
              <w:rPr>
                <w:sz w:val="24"/>
                <w:szCs w:val="24"/>
                <w:color w:val="auto"/>
              </w:rPr>
            </w:pPr>
          </w:p>
        </w:tc>
      </w:tr>
      <w:tr>
        <w:trPr>
          <w:trHeight w:val="203"/>
        </w:trPr>
        <w:tc>
          <w:tcPr>
            <w:tcW w:w="4800" w:type="dxa"/>
            <w:vAlign w:val="bottom"/>
          </w:tcPr>
          <w:p>
            <w:pPr>
              <w:ind w:left="20"/>
              <w:spacing w:after="0"/>
              <w:rPr>
                <w:sz w:val="20"/>
                <w:szCs w:val="20"/>
                <w:color w:val="auto"/>
              </w:rPr>
            </w:pPr>
            <w:r>
              <w:rPr>
                <w:rFonts w:ascii="Arial" w:cs="Arial" w:eastAsia="Arial" w:hAnsi="Arial"/>
                <w:sz w:val="14"/>
                <w:szCs w:val="14"/>
                <w:b w:val="1"/>
                <w:bCs w:val="1"/>
                <w:color w:val="0A0A0A"/>
              </w:rPr>
              <w:t>(unaudited) (in millions, except per share amounts)</w:t>
            </w:r>
          </w:p>
        </w:tc>
        <w:tc>
          <w:tcPr>
            <w:tcW w:w="1540" w:type="dxa"/>
            <w:vAlign w:val="bottom"/>
          </w:tcPr>
          <w:p>
            <w:pPr>
              <w:spacing w:after="0"/>
              <w:rPr>
                <w:sz w:val="17"/>
                <w:szCs w:val="17"/>
                <w:color w:val="auto"/>
              </w:rPr>
            </w:pPr>
          </w:p>
        </w:tc>
        <w:tc>
          <w:tcPr>
            <w:tcW w:w="1400" w:type="dxa"/>
            <w:vAlign w:val="bottom"/>
          </w:tcPr>
          <w:p>
            <w:pPr>
              <w:jc w:val="right"/>
              <w:ind w:right="618"/>
              <w:spacing w:after="0"/>
              <w:rPr>
                <w:sz w:val="20"/>
                <w:szCs w:val="20"/>
                <w:color w:val="auto"/>
              </w:rPr>
            </w:pPr>
            <w:r>
              <w:rPr>
                <w:rFonts w:ascii="Arial" w:cs="Arial" w:eastAsia="Arial" w:hAnsi="Arial"/>
                <w:sz w:val="14"/>
                <w:szCs w:val="14"/>
                <w:b w:val="1"/>
                <w:bCs w:val="1"/>
                <w:color w:val="0A0A0A"/>
              </w:rPr>
              <w:t>2022</w:t>
            </w:r>
          </w:p>
        </w:tc>
        <w:tc>
          <w:tcPr>
            <w:tcW w:w="400" w:type="dxa"/>
            <w:vAlign w:val="bottom"/>
          </w:tcPr>
          <w:p>
            <w:pPr>
              <w:spacing w:after="0"/>
              <w:rPr>
                <w:sz w:val="17"/>
                <w:szCs w:val="17"/>
                <w:color w:val="auto"/>
              </w:rPr>
            </w:pPr>
          </w:p>
        </w:tc>
        <w:tc>
          <w:tcPr>
            <w:tcW w:w="1600" w:type="dxa"/>
            <w:vAlign w:val="bottom"/>
          </w:tcPr>
          <w:p>
            <w:pPr>
              <w:jc w:val="right"/>
              <w:ind w:right="815"/>
              <w:spacing w:after="0"/>
              <w:rPr>
                <w:sz w:val="20"/>
                <w:szCs w:val="20"/>
                <w:color w:val="auto"/>
              </w:rPr>
            </w:pPr>
            <w:r>
              <w:rPr>
                <w:rFonts w:ascii="Arial" w:cs="Arial" w:eastAsia="Arial" w:hAnsi="Arial"/>
                <w:sz w:val="14"/>
                <w:szCs w:val="14"/>
                <w:b w:val="1"/>
                <w:bCs w:val="1"/>
                <w:color w:val="0A0A0A"/>
              </w:rPr>
              <w:t>2021</w:t>
            </w:r>
            <w:r>
              <w:rPr>
                <w:rFonts w:ascii="Arial" w:cs="Arial" w:eastAsia="Arial" w:hAnsi="Arial"/>
                <w:sz w:val="9"/>
                <w:szCs w:val="9"/>
                <w:b w:val="1"/>
                <w:bCs w:val="1"/>
                <w:color w:val="0A0A0A"/>
              </w:rPr>
              <w:t>(7)</w:t>
            </w:r>
          </w:p>
        </w:tc>
        <w:tc>
          <w:tcPr>
            <w:tcW w:w="1480" w:type="dxa"/>
            <w:vAlign w:val="bottom"/>
          </w:tcPr>
          <w:p>
            <w:pPr>
              <w:ind w:left="280"/>
              <w:spacing w:after="0"/>
              <w:rPr>
                <w:sz w:val="20"/>
                <w:szCs w:val="20"/>
                <w:color w:val="auto"/>
              </w:rPr>
            </w:pPr>
            <w:r>
              <w:rPr>
                <w:rFonts w:ascii="Arial" w:cs="Arial" w:eastAsia="Arial" w:hAnsi="Arial"/>
                <w:sz w:val="14"/>
                <w:szCs w:val="14"/>
                <w:b w:val="1"/>
                <w:bCs w:val="1"/>
                <w:color w:val="0A0A0A"/>
              </w:rPr>
              <w:t>% 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23430" cy="179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1797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52" w:lineRule="exact"/>
        <w:rPr>
          <w:sz w:val="20"/>
          <w:szCs w:val="20"/>
          <w:color w:val="auto"/>
        </w:rPr>
      </w:pPr>
    </w:p>
    <w:p>
      <w:pPr>
        <w:ind w:left="80"/>
        <w:spacing w:after="0"/>
        <w:rPr>
          <w:sz w:val="20"/>
          <w:szCs w:val="20"/>
          <w:color w:val="auto"/>
        </w:rPr>
      </w:pPr>
      <w:r>
        <w:rPr>
          <w:rFonts w:ascii="Arial" w:cs="Arial" w:eastAsia="Arial" w:hAnsi="Arial"/>
          <w:sz w:val="18"/>
          <w:szCs w:val="18"/>
          <w:color w:val="0A0A0A"/>
        </w:rPr>
        <w:t xml:space="preserve">Adjusted Operating Income </w:t>
      </w:r>
      <w:r>
        <w:rPr>
          <w:rFonts w:ascii="Arial" w:cs="Arial" w:eastAsia="Arial" w:hAnsi="Arial"/>
          <w:sz w:val="23"/>
          <w:szCs w:val="23"/>
          <w:color w:val="0A0A0A"/>
          <w:vertAlign w:val="superscript"/>
        </w:rPr>
        <w:t>(1)</w:t>
      </w:r>
    </w:p>
    <w:p>
      <w:pPr>
        <w:spacing w:after="0" w:line="6" w:lineRule="exact"/>
        <w:rPr>
          <w:sz w:val="20"/>
          <w:szCs w:val="20"/>
          <w:color w:val="auto"/>
        </w:rPr>
      </w:pPr>
    </w:p>
    <w:p>
      <w:pPr>
        <w:ind w:left="80"/>
        <w:spacing w:after="0"/>
        <w:rPr>
          <w:sz w:val="20"/>
          <w:szCs w:val="20"/>
          <w:color w:val="auto"/>
        </w:rPr>
      </w:pPr>
      <w:r>
        <w:rPr>
          <w:rFonts w:ascii="Arial" w:cs="Arial" w:eastAsia="Arial" w:hAnsi="Arial"/>
          <w:sz w:val="18"/>
          <w:szCs w:val="18"/>
          <w:color w:val="0A0A0A"/>
        </w:rPr>
        <w:t xml:space="preserve">Adjusted Income Before Income Tax </w:t>
      </w:r>
      <w:r>
        <w:rPr>
          <w:rFonts w:ascii="Arial" w:cs="Arial" w:eastAsia="Arial" w:hAnsi="Arial"/>
          <w:sz w:val="23"/>
          <w:szCs w:val="23"/>
          <w:color w:val="0A0A0A"/>
          <w:vertAlign w:val="superscript"/>
        </w:rPr>
        <w:t>(1)</w:t>
      </w:r>
    </w:p>
    <w:p>
      <w:pPr>
        <w:spacing w:after="0" w:line="6" w:lineRule="exact"/>
        <w:rPr>
          <w:sz w:val="20"/>
          <w:szCs w:val="20"/>
          <w:color w:val="auto"/>
        </w:rPr>
      </w:pPr>
    </w:p>
    <w:p>
      <w:pPr>
        <w:ind w:left="80"/>
        <w:spacing w:after="0"/>
        <w:rPr>
          <w:sz w:val="20"/>
          <w:szCs w:val="20"/>
          <w:color w:val="auto"/>
        </w:rPr>
      </w:pPr>
      <w:r>
        <w:rPr>
          <w:rFonts w:ascii="Arial" w:cs="Arial" w:eastAsia="Arial" w:hAnsi="Arial"/>
          <w:sz w:val="18"/>
          <w:szCs w:val="18"/>
          <w:color w:val="0A0A0A"/>
        </w:rPr>
        <w:t xml:space="preserve">Adjusted Net Income </w:t>
      </w:r>
      <w:r>
        <w:rPr>
          <w:rFonts w:ascii="Arial" w:cs="Arial" w:eastAsia="Arial" w:hAnsi="Arial"/>
          <w:sz w:val="23"/>
          <w:szCs w:val="23"/>
          <w:color w:val="0A0A0A"/>
          <w:vertAlign w:val="superscript"/>
        </w:rPr>
        <w:t>(1)</w:t>
      </w:r>
    </w:p>
    <w:p>
      <w:pPr>
        <w:spacing w:after="0" w:line="6" w:lineRule="exact"/>
        <w:rPr>
          <w:sz w:val="20"/>
          <w:szCs w:val="20"/>
          <w:color w:val="auto"/>
        </w:rPr>
      </w:pPr>
    </w:p>
    <w:p>
      <w:pPr>
        <w:ind w:left="80"/>
        <w:spacing w:after="0"/>
        <w:rPr>
          <w:sz w:val="20"/>
          <w:szCs w:val="20"/>
          <w:color w:val="auto"/>
        </w:rPr>
      </w:pPr>
      <w:r>
        <w:rPr>
          <w:rFonts w:ascii="Arial" w:cs="Arial" w:eastAsia="Arial" w:hAnsi="Arial"/>
          <w:sz w:val="18"/>
          <w:szCs w:val="18"/>
          <w:color w:val="0A0A0A"/>
        </w:rPr>
        <w:t xml:space="preserve">Adjusted diluted earnings per share </w:t>
      </w:r>
      <w:r>
        <w:rPr>
          <w:rFonts w:ascii="Arial" w:cs="Arial" w:eastAsia="Arial" w:hAnsi="Arial"/>
          <w:sz w:val="23"/>
          <w:szCs w:val="23"/>
          <w:color w:val="0A0A0A"/>
          <w:vertAlign w:val="superscript"/>
        </w:rPr>
        <w:t>(1)</w:t>
      </w:r>
    </w:p>
    <w:p>
      <w:pPr>
        <w:spacing w:after="0" w:line="200" w:lineRule="exact"/>
        <w:rPr>
          <w:sz w:val="20"/>
          <w:szCs w:val="20"/>
          <w:color w:val="auto"/>
        </w:rPr>
      </w:pPr>
    </w:p>
    <w:p>
      <w:pPr>
        <w:spacing w:after="0" w:line="212"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0A0A0A"/>
        </w:rPr>
        <w:t>(unaudited) (in millions, except per share amounts)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380" w:type="dxa"/>
            <w:vAlign w:val="bottom"/>
          </w:tcPr>
          <w:p>
            <w:pPr>
              <w:jc w:val="right"/>
              <w:ind w:right="190"/>
              <w:spacing w:after="0"/>
              <w:rPr>
                <w:sz w:val="20"/>
                <w:szCs w:val="20"/>
                <w:color w:val="auto"/>
              </w:rPr>
            </w:pPr>
            <w:r>
              <w:rPr>
                <w:rFonts w:ascii="Arial" w:cs="Arial" w:eastAsia="Arial" w:hAnsi="Arial"/>
                <w:sz w:val="18"/>
                <w:szCs w:val="18"/>
                <w:color w:val="0A0A0A"/>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0A0A0A"/>
              </w:rPr>
              <w:t>15.9</w:t>
            </w:r>
          </w:p>
        </w:tc>
        <w:tc>
          <w:tcPr>
            <w:tcW w:w="400" w:type="dxa"/>
            <w:vAlign w:val="bottom"/>
          </w:tcPr>
          <w:p>
            <w:pPr>
              <w:jc w:val="right"/>
              <w:ind w:right="170"/>
              <w:spacing w:after="0"/>
              <w:rPr>
                <w:sz w:val="20"/>
                <w:szCs w:val="20"/>
                <w:color w:val="auto"/>
              </w:rPr>
            </w:pPr>
            <w:r>
              <w:rPr>
                <w:rFonts w:ascii="Arial" w:cs="Arial" w:eastAsia="Arial" w:hAnsi="Arial"/>
                <w:sz w:val="18"/>
                <w:szCs w:val="18"/>
                <w:color w:val="0A0A0A"/>
              </w:rPr>
              <w:t>$</w:t>
            </w:r>
          </w:p>
        </w:tc>
        <w:tc>
          <w:tcPr>
            <w:tcW w:w="1580" w:type="dxa"/>
            <w:vAlign w:val="bottom"/>
          </w:tcPr>
          <w:p>
            <w:pPr>
              <w:jc w:val="right"/>
              <w:ind w:right="214"/>
              <w:spacing w:after="0"/>
              <w:rPr>
                <w:sz w:val="20"/>
                <w:szCs w:val="20"/>
                <w:color w:val="auto"/>
              </w:rPr>
            </w:pPr>
            <w:r>
              <w:rPr>
                <w:rFonts w:ascii="Arial" w:cs="Arial" w:eastAsia="Arial" w:hAnsi="Arial"/>
                <w:sz w:val="18"/>
                <w:szCs w:val="18"/>
                <w:color w:val="0A0A0A"/>
              </w:rPr>
              <w:t>14.2</w:t>
            </w:r>
          </w:p>
        </w:tc>
        <w:tc>
          <w:tcPr>
            <w:tcW w:w="1440" w:type="dxa"/>
            <w:vAlign w:val="bottom"/>
          </w:tcPr>
          <w:p>
            <w:pPr>
              <w:jc w:val="right"/>
              <w:spacing w:after="0"/>
              <w:rPr>
                <w:sz w:val="20"/>
                <w:szCs w:val="20"/>
                <w:color w:val="auto"/>
              </w:rPr>
            </w:pPr>
            <w:r>
              <w:rPr>
                <w:rFonts w:ascii="Arial" w:cs="Arial" w:eastAsia="Arial" w:hAnsi="Arial"/>
                <w:sz w:val="18"/>
                <w:szCs w:val="18"/>
                <w:color w:val="0A0A0A"/>
              </w:rPr>
              <w:t>12.0</w:t>
            </w:r>
          </w:p>
        </w:tc>
      </w:tr>
      <w:tr>
        <w:trPr>
          <w:trHeight w:val="270"/>
        </w:trPr>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0A0A0A"/>
              </w:rPr>
              <w:t>10.3</w:t>
            </w:r>
          </w:p>
        </w:tc>
        <w:tc>
          <w:tcPr>
            <w:tcW w:w="400" w:type="dxa"/>
            <w:vAlign w:val="bottom"/>
          </w:tcPr>
          <w:p>
            <w:pPr>
              <w:spacing w:after="0"/>
              <w:rPr>
                <w:sz w:val="23"/>
                <w:szCs w:val="23"/>
                <w:color w:val="auto"/>
              </w:rPr>
            </w:pPr>
          </w:p>
        </w:tc>
        <w:tc>
          <w:tcPr>
            <w:tcW w:w="1580" w:type="dxa"/>
            <w:vAlign w:val="bottom"/>
          </w:tcPr>
          <w:p>
            <w:pPr>
              <w:jc w:val="right"/>
              <w:ind w:right="214"/>
              <w:spacing w:after="0"/>
              <w:rPr>
                <w:sz w:val="20"/>
                <w:szCs w:val="20"/>
                <w:color w:val="auto"/>
              </w:rPr>
            </w:pPr>
            <w:r>
              <w:rPr>
                <w:rFonts w:ascii="Arial" w:cs="Arial" w:eastAsia="Arial" w:hAnsi="Arial"/>
                <w:sz w:val="18"/>
                <w:szCs w:val="18"/>
                <w:color w:val="0A0A0A"/>
              </w:rPr>
              <w:t>7.4</w:t>
            </w:r>
          </w:p>
        </w:tc>
        <w:tc>
          <w:tcPr>
            <w:tcW w:w="1440" w:type="dxa"/>
            <w:vAlign w:val="bottom"/>
          </w:tcPr>
          <w:p>
            <w:pPr>
              <w:jc w:val="right"/>
              <w:spacing w:after="0"/>
              <w:rPr>
                <w:sz w:val="20"/>
                <w:szCs w:val="20"/>
                <w:color w:val="auto"/>
              </w:rPr>
            </w:pPr>
            <w:r>
              <w:rPr>
                <w:rFonts w:ascii="Arial" w:cs="Arial" w:eastAsia="Arial" w:hAnsi="Arial"/>
                <w:sz w:val="18"/>
                <w:szCs w:val="18"/>
                <w:color w:val="0A0A0A"/>
              </w:rPr>
              <w:t>39.2</w:t>
            </w:r>
          </w:p>
        </w:tc>
      </w:tr>
      <w:tr>
        <w:trPr>
          <w:trHeight w:val="270"/>
        </w:trPr>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0A0A0A"/>
              </w:rPr>
              <w:t>7.9</w:t>
            </w:r>
          </w:p>
        </w:tc>
        <w:tc>
          <w:tcPr>
            <w:tcW w:w="400" w:type="dxa"/>
            <w:vAlign w:val="bottom"/>
          </w:tcPr>
          <w:p>
            <w:pPr>
              <w:spacing w:after="0"/>
              <w:rPr>
                <w:sz w:val="23"/>
                <w:szCs w:val="23"/>
                <w:color w:val="auto"/>
              </w:rPr>
            </w:pPr>
          </w:p>
        </w:tc>
        <w:tc>
          <w:tcPr>
            <w:tcW w:w="1580" w:type="dxa"/>
            <w:vAlign w:val="bottom"/>
          </w:tcPr>
          <w:p>
            <w:pPr>
              <w:jc w:val="right"/>
              <w:ind w:right="214"/>
              <w:spacing w:after="0"/>
              <w:rPr>
                <w:sz w:val="20"/>
                <w:szCs w:val="20"/>
                <w:color w:val="auto"/>
              </w:rPr>
            </w:pPr>
            <w:r>
              <w:rPr>
                <w:rFonts w:ascii="Arial" w:cs="Arial" w:eastAsia="Arial" w:hAnsi="Arial"/>
                <w:sz w:val="18"/>
                <w:szCs w:val="18"/>
                <w:color w:val="0A0A0A"/>
              </w:rPr>
              <w:t>5.8</w:t>
            </w:r>
          </w:p>
        </w:tc>
        <w:tc>
          <w:tcPr>
            <w:tcW w:w="1440" w:type="dxa"/>
            <w:vAlign w:val="bottom"/>
          </w:tcPr>
          <w:p>
            <w:pPr>
              <w:jc w:val="right"/>
              <w:spacing w:after="0"/>
              <w:rPr>
                <w:sz w:val="20"/>
                <w:szCs w:val="20"/>
                <w:color w:val="auto"/>
              </w:rPr>
            </w:pPr>
            <w:r>
              <w:rPr>
                <w:rFonts w:ascii="Arial" w:cs="Arial" w:eastAsia="Arial" w:hAnsi="Arial"/>
                <w:sz w:val="18"/>
                <w:szCs w:val="18"/>
                <w:color w:val="0A0A0A"/>
              </w:rPr>
              <w:t>36.2</w:t>
            </w:r>
          </w:p>
        </w:tc>
      </w:tr>
      <w:tr>
        <w:trPr>
          <w:trHeight w:val="270"/>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0.13</w:t>
            </w:r>
          </w:p>
        </w:tc>
        <w:tc>
          <w:tcPr>
            <w:tcW w:w="400" w:type="dxa"/>
            <w:vAlign w:val="bottom"/>
          </w:tcPr>
          <w:p>
            <w:pPr>
              <w:jc w:val="right"/>
              <w:ind w:right="170"/>
              <w:spacing w:after="0"/>
              <w:rPr>
                <w:sz w:val="20"/>
                <w:szCs w:val="20"/>
                <w:color w:val="auto"/>
              </w:rPr>
            </w:pPr>
            <w:r>
              <w:rPr>
                <w:rFonts w:ascii="Arial" w:cs="Arial" w:eastAsia="Arial" w:hAnsi="Arial"/>
                <w:sz w:val="18"/>
                <w:szCs w:val="18"/>
                <w:color w:val="0A0A0A"/>
              </w:rPr>
              <w:t>$</w:t>
            </w:r>
          </w:p>
        </w:tc>
        <w:tc>
          <w:tcPr>
            <w:tcW w:w="1580" w:type="dxa"/>
            <w:vAlign w:val="bottom"/>
          </w:tcPr>
          <w:p>
            <w:pPr>
              <w:jc w:val="right"/>
              <w:ind w:right="214"/>
              <w:spacing w:after="0"/>
              <w:rPr>
                <w:sz w:val="20"/>
                <w:szCs w:val="20"/>
                <w:color w:val="auto"/>
              </w:rPr>
            </w:pPr>
            <w:r>
              <w:rPr>
                <w:rFonts w:ascii="Arial" w:cs="Arial" w:eastAsia="Arial" w:hAnsi="Arial"/>
                <w:sz w:val="18"/>
                <w:szCs w:val="18"/>
                <w:color w:val="0A0A0A"/>
              </w:rPr>
              <w:t>0.09</w:t>
            </w:r>
          </w:p>
        </w:tc>
        <w:tc>
          <w:tcPr>
            <w:tcW w:w="1440" w:type="dxa"/>
            <w:vAlign w:val="bottom"/>
          </w:tcPr>
          <w:p>
            <w:pPr>
              <w:jc w:val="right"/>
              <w:spacing w:after="0"/>
              <w:rPr>
                <w:sz w:val="20"/>
                <w:szCs w:val="20"/>
                <w:color w:val="auto"/>
              </w:rPr>
            </w:pPr>
            <w:r>
              <w:rPr>
                <w:rFonts w:ascii="Arial" w:cs="Arial" w:eastAsia="Arial" w:hAnsi="Arial"/>
                <w:sz w:val="18"/>
                <w:szCs w:val="18"/>
                <w:color w:val="0A0A0A"/>
              </w:rPr>
              <w:t>44.4</w:t>
            </w:r>
          </w:p>
        </w:tc>
      </w:tr>
      <w:tr>
        <w:trPr>
          <w:trHeight w:val="460"/>
        </w:trPr>
        <w:tc>
          <w:tcPr>
            <w:tcW w:w="380" w:type="dxa"/>
            <w:vAlign w:val="bottom"/>
          </w:tcPr>
          <w:p>
            <w:pPr>
              <w:spacing w:after="0"/>
              <w:rPr>
                <w:sz w:val="24"/>
                <w:szCs w:val="24"/>
                <w:color w:val="auto"/>
              </w:rPr>
            </w:pPr>
          </w:p>
        </w:tc>
        <w:tc>
          <w:tcPr>
            <w:tcW w:w="3300" w:type="dxa"/>
            <w:vAlign w:val="bottom"/>
            <w:gridSpan w:val="3"/>
          </w:tcPr>
          <w:p>
            <w:pPr>
              <w:jc w:val="right"/>
              <w:ind w:right="994"/>
              <w:spacing w:after="0"/>
              <w:rPr>
                <w:sz w:val="20"/>
                <w:szCs w:val="20"/>
                <w:color w:val="auto"/>
              </w:rPr>
            </w:pPr>
            <w:r>
              <w:rPr>
                <w:rFonts w:ascii="Arial" w:cs="Arial" w:eastAsia="Arial" w:hAnsi="Arial"/>
                <w:sz w:val="14"/>
                <w:szCs w:val="14"/>
                <w:b w:val="1"/>
                <w:bCs w:val="1"/>
                <w:color w:val="0A0A0A"/>
              </w:rPr>
              <w:t>Year Ended December 31,</w:t>
            </w:r>
          </w:p>
        </w:tc>
        <w:tc>
          <w:tcPr>
            <w:tcW w:w="1440" w:type="dxa"/>
            <w:vAlign w:val="bottom"/>
          </w:tcPr>
          <w:p>
            <w:pPr>
              <w:spacing w:after="0"/>
              <w:rPr>
                <w:sz w:val="24"/>
                <w:szCs w:val="24"/>
                <w:color w:val="auto"/>
              </w:rPr>
            </w:pPr>
          </w:p>
        </w:tc>
      </w:tr>
      <w:tr>
        <w:trPr>
          <w:trHeight w:val="215"/>
        </w:trPr>
        <w:tc>
          <w:tcPr>
            <w:tcW w:w="380" w:type="dxa"/>
            <w:vAlign w:val="bottom"/>
          </w:tcPr>
          <w:p>
            <w:pPr>
              <w:spacing w:after="0"/>
              <w:rPr>
                <w:sz w:val="18"/>
                <w:szCs w:val="18"/>
                <w:color w:val="auto"/>
              </w:rPr>
            </w:pPr>
          </w:p>
        </w:tc>
        <w:tc>
          <w:tcPr>
            <w:tcW w:w="1320" w:type="dxa"/>
            <w:vAlign w:val="bottom"/>
          </w:tcPr>
          <w:p>
            <w:pPr>
              <w:jc w:val="right"/>
              <w:ind w:right="616"/>
              <w:spacing w:after="0"/>
              <w:rPr>
                <w:sz w:val="20"/>
                <w:szCs w:val="20"/>
                <w:color w:val="auto"/>
              </w:rPr>
            </w:pPr>
            <w:r>
              <w:rPr>
                <w:rFonts w:ascii="Arial" w:cs="Arial" w:eastAsia="Arial" w:hAnsi="Arial"/>
                <w:sz w:val="14"/>
                <w:szCs w:val="14"/>
                <w:b w:val="1"/>
                <w:bCs w:val="1"/>
                <w:color w:val="0A0A0A"/>
              </w:rPr>
              <w:t>2022</w:t>
            </w:r>
          </w:p>
        </w:tc>
        <w:tc>
          <w:tcPr>
            <w:tcW w:w="400" w:type="dxa"/>
            <w:vAlign w:val="bottom"/>
          </w:tcPr>
          <w:p>
            <w:pPr>
              <w:spacing w:after="0"/>
              <w:rPr>
                <w:sz w:val="18"/>
                <w:szCs w:val="18"/>
                <w:color w:val="auto"/>
              </w:rPr>
            </w:pPr>
          </w:p>
        </w:tc>
        <w:tc>
          <w:tcPr>
            <w:tcW w:w="1580" w:type="dxa"/>
            <w:vAlign w:val="bottom"/>
          </w:tcPr>
          <w:p>
            <w:pPr>
              <w:jc w:val="right"/>
              <w:ind w:right="794"/>
              <w:spacing w:after="0"/>
              <w:rPr>
                <w:sz w:val="20"/>
                <w:szCs w:val="20"/>
                <w:color w:val="auto"/>
              </w:rPr>
            </w:pPr>
            <w:r>
              <w:rPr>
                <w:rFonts w:ascii="Arial" w:cs="Arial" w:eastAsia="Arial" w:hAnsi="Arial"/>
                <w:sz w:val="14"/>
                <w:szCs w:val="14"/>
                <w:b w:val="1"/>
                <w:bCs w:val="1"/>
                <w:color w:val="0A0A0A"/>
              </w:rPr>
              <w:t>2021</w:t>
            </w:r>
            <w:r>
              <w:rPr>
                <w:rFonts w:ascii="Arial" w:cs="Arial" w:eastAsia="Arial" w:hAnsi="Arial"/>
                <w:sz w:val="18"/>
                <w:szCs w:val="18"/>
                <w:b w:val="1"/>
                <w:bCs w:val="1"/>
                <w:color w:val="0A0A0A"/>
                <w:vertAlign w:val="superscript"/>
              </w:rPr>
              <w:t>(7)</w:t>
            </w:r>
          </w:p>
        </w:tc>
        <w:tc>
          <w:tcPr>
            <w:tcW w:w="1440" w:type="dxa"/>
            <w:vAlign w:val="bottom"/>
          </w:tcPr>
          <w:p>
            <w:pPr>
              <w:jc w:val="right"/>
              <w:ind w:right="354"/>
              <w:spacing w:after="0"/>
              <w:rPr>
                <w:sz w:val="20"/>
                <w:szCs w:val="20"/>
                <w:color w:val="auto"/>
              </w:rPr>
            </w:pPr>
            <w:r>
              <w:rPr>
                <w:rFonts w:ascii="Arial" w:cs="Arial" w:eastAsia="Arial" w:hAnsi="Arial"/>
                <w:sz w:val="14"/>
                <w:szCs w:val="14"/>
                <w:b w:val="1"/>
                <w:bCs w:val="1"/>
                <w:color w:val="0A0A0A"/>
              </w:rPr>
              <w:t>% 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-745490</wp:posOffset>
            </wp:positionV>
            <wp:extent cx="712343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320" w:space="720"/>
            <w:col w:w="520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8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0A0A0A"/>
              </w:rPr>
              <w:t>Total Operating Revenue</w:t>
            </w:r>
          </w:p>
        </w:tc>
        <w:tc>
          <w:tcPr>
            <w:tcW w:w="162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0A0A0A"/>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894.4</w:t>
            </w:r>
          </w:p>
        </w:tc>
        <w:tc>
          <w:tcPr>
            <w:tcW w:w="42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0A0A0A"/>
              </w:rPr>
              <w:t>$</w:t>
            </w:r>
          </w:p>
        </w:tc>
        <w:tc>
          <w:tcPr>
            <w:tcW w:w="1580" w:type="dxa"/>
            <w:vAlign w:val="bottom"/>
            <w:tcBorders>
              <w:top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0A0A0A"/>
              </w:rPr>
              <w:t>623.0</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43.6</w:t>
            </w:r>
          </w:p>
        </w:tc>
      </w:tr>
      <w:tr>
        <w:trPr>
          <w:trHeight w:val="230"/>
        </w:trPr>
        <w:tc>
          <w:tcPr>
            <w:tcW w:w="4800" w:type="dxa"/>
            <w:vAlign w:val="bottom"/>
          </w:tcPr>
          <w:p>
            <w:pPr>
              <w:ind w:left="80"/>
              <w:spacing w:after="0"/>
              <w:rPr>
                <w:sz w:val="20"/>
                <w:szCs w:val="20"/>
                <w:color w:val="auto"/>
              </w:rPr>
            </w:pPr>
            <w:r>
              <w:rPr>
                <w:rFonts w:ascii="Arial" w:cs="Arial" w:eastAsia="Arial" w:hAnsi="Arial"/>
                <w:sz w:val="18"/>
                <w:szCs w:val="18"/>
                <w:color w:val="0A0A0A"/>
              </w:rPr>
              <w:t>Operating Income</w:t>
            </w:r>
          </w:p>
        </w:tc>
        <w:tc>
          <w:tcPr>
            <w:tcW w:w="16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0A0A0A"/>
              </w:rPr>
              <w:t>55.7</w:t>
            </w:r>
          </w:p>
        </w:tc>
        <w:tc>
          <w:tcPr>
            <w:tcW w:w="420" w:type="dxa"/>
            <w:vAlign w:val="bottom"/>
          </w:tcPr>
          <w:p>
            <w:pPr>
              <w:spacing w:after="0"/>
              <w:rPr>
                <w:sz w:val="19"/>
                <w:szCs w:val="19"/>
                <w:color w:val="auto"/>
              </w:rPr>
            </w:pPr>
          </w:p>
        </w:tc>
        <w:tc>
          <w:tcPr>
            <w:tcW w:w="1580" w:type="dxa"/>
            <w:vAlign w:val="bottom"/>
          </w:tcPr>
          <w:p>
            <w:pPr>
              <w:jc w:val="right"/>
              <w:ind w:right="212"/>
              <w:spacing w:after="0"/>
              <w:rPr>
                <w:sz w:val="20"/>
                <w:szCs w:val="20"/>
                <w:color w:val="auto"/>
              </w:rPr>
            </w:pPr>
            <w:r>
              <w:rPr>
                <w:rFonts w:ascii="Arial" w:cs="Arial" w:eastAsia="Arial" w:hAnsi="Arial"/>
                <w:sz w:val="18"/>
                <w:szCs w:val="18"/>
                <w:color w:val="0A0A0A"/>
              </w:rPr>
              <w:t>111.9</w:t>
            </w:r>
          </w:p>
        </w:tc>
        <w:tc>
          <w:tcPr>
            <w:tcW w:w="1500" w:type="dxa"/>
            <w:vAlign w:val="bottom"/>
          </w:tcPr>
          <w:p>
            <w:pPr>
              <w:jc w:val="right"/>
              <w:spacing w:after="0"/>
              <w:rPr>
                <w:sz w:val="20"/>
                <w:szCs w:val="20"/>
                <w:color w:val="auto"/>
              </w:rPr>
            </w:pPr>
            <w:r>
              <w:rPr>
                <w:rFonts w:ascii="Arial" w:cs="Arial" w:eastAsia="Arial" w:hAnsi="Arial"/>
                <w:sz w:val="18"/>
                <w:szCs w:val="18"/>
                <w:color w:val="0A0A0A"/>
              </w:rPr>
              <w:t>(50.2)</w:t>
            </w:r>
          </w:p>
        </w:tc>
      </w:tr>
      <w:tr>
        <w:trPr>
          <w:trHeight w:val="229"/>
        </w:trPr>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Income Before Income Tax</w:t>
            </w:r>
          </w:p>
        </w:tc>
        <w:tc>
          <w:tcPr>
            <w:tcW w:w="16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24.0</w:t>
            </w:r>
          </w:p>
        </w:tc>
        <w:tc>
          <w:tcPr>
            <w:tcW w:w="4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100.3</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(76.1)</w:t>
            </w:r>
          </w:p>
        </w:tc>
      </w:tr>
      <w:tr>
        <w:trPr>
          <w:trHeight w:val="230"/>
        </w:trPr>
        <w:tc>
          <w:tcPr>
            <w:tcW w:w="4800" w:type="dxa"/>
            <w:vAlign w:val="bottom"/>
          </w:tcPr>
          <w:p>
            <w:pPr>
              <w:ind w:left="80"/>
              <w:spacing w:after="0"/>
              <w:rPr>
                <w:sz w:val="20"/>
                <w:szCs w:val="20"/>
                <w:color w:val="auto"/>
              </w:rPr>
            </w:pPr>
            <w:r>
              <w:rPr>
                <w:rFonts w:ascii="Arial" w:cs="Arial" w:eastAsia="Arial" w:hAnsi="Arial"/>
                <w:sz w:val="18"/>
                <w:szCs w:val="18"/>
                <w:color w:val="0A0A0A"/>
              </w:rPr>
              <w:t>Net Income</w:t>
            </w:r>
          </w:p>
        </w:tc>
        <w:tc>
          <w:tcPr>
            <w:tcW w:w="16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0A0A0A"/>
              </w:rPr>
              <w:t>17.7</w:t>
            </w:r>
          </w:p>
        </w:tc>
        <w:tc>
          <w:tcPr>
            <w:tcW w:w="420" w:type="dxa"/>
            <w:vAlign w:val="bottom"/>
          </w:tcPr>
          <w:p>
            <w:pPr>
              <w:spacing w:after="0"/>
              <w:rPr>
                <w:sz w:val="19"/>
                <w:szCs w:val="19"/>
                <w:color w:val="auto"/>
              </w:rPr>
            </w:pPr>
          </w:p>
        </w:tc>
        <w:tc>
          <w:tcPr>
            <w:tcW w:w="1580" w:type="dxa"/>
            <w:vAlign w:val="bottom"/>
          </w:tcPr>
          <w:p>
            <w:pPr>
              <w:jc w:val="right"/>
              <w:ind w:right="212"/>
              <w:spacing w:after="0"/>
              <w:rPr>
                <w:sz w:val="20"/>
                <w:szCs w:val="20"/>
                <w:color w:val="auto"/>
              </w:rPr>
            </w:pPr>
            <w:r>
              <w:rPr>
                <w:rFonts w:ascii="Arial" w:cs="Arial" w:eastAsia="Arial" w:hAnsi="Arial"/>
                <w:sz w:val="18"/>
                <w:szCs w:val="18"/>
                <w:color w:val="auto"/>
              </w:rPr>
              <w:t>81.2</w:t>
            </w:r>
          </w:p>
        </w:tc>
        <w:tc>
          <w:tcPr>
            <w:tcW w:w="1500" w:type="dxa"/>
            <w:vAlign w:val="bottom"/>
          </w:tcPr>
          <w:p>
            <w:pPr>
              <w:jc w:val="right"/>
              <w:spacing w:after="0"/>
              <w:rPr>
                <w:sz w:val="20"/>
                <w:szCs w:val="20"/>
                <w:color w:val="auto"/>
              </w:rPr>
            </w:pPr>
            <w:r>
              <w:rPr>
                <w:rFonts w:ascii="Arial" w:cs="Arial" w:eastAsia="Arial" w:hAnsi="Arial"/>
                <w:sz w:val="18"/>
                <w:szCs w:val="18"/>
                <w:color w:val="0A0A0A"/>
              </w:rPr>
              <w:t>(78.2)</w:t>
            </w:r>
          </w:p>
        </w:tc>
      </w:tr>
      <w:tr>
        <w:trPr>
          <w:trHeight w:val="230"/>
        </w:trPr>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Diluted earnings per share</w:t>
            </w:r>
          </w:p>
        </w:tc>
        <w:tc>
          <w:tcPr>
            <w:tcW w:w="16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0A0A0A"/>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0.29</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0A0A0A"/>
              </w:rPr>
              <w:t>$</w:t>
            </w:r>
          </w:p>
        </w:tc>
        <w:tc>
          <w:tcPr>
            <w:tcW w:w="15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0A0A0A"/>
              </w:rPr>
              <w:t>1.37</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(78.8)</w:t>
            </w:r>
          </w:p>
        </w:tc>
      </w:tr>
      <w:tr>
        <w:trPr>
          <w:trHeight w:val="420"/>
        </w:trPr>
        <w:tc>
          <w:tcPr>
            <w:tcW w:w="48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300" w:type="dxa"/>
            <w:vAlign w:val="bottom"/>
            <w:gridSpan w:val="3"/>
          </w:tcPr>
          <w:p>
            <w:pPr>
              <w:jc w:val="right"/>
              <w:ind w:right="992"/>
              <w:spacing w:after="0"/>
              <w:rPr>
                <w:sz w:val="20"/>
                <w:szCs w:val="20"/>
                <w:color w:val="auto"/>
              </w:rPr>
            </w:pPr>
            <w:r>
              <w:rPr>
                <w:rFonts w:ascii="Arial" w:cs="Arial" w:eastAsia="Arial" w:hAnsi="Arial"/>
                <w:sz w:val="14"/>
                <w:szCs w:val="14"/>
                <w:b w:val="1"/>
                <w:bCs w:val="1"/>
                <w:color w:val="0A0A0A"/>
              </w:rPr>
              <w:t>Year Ended December 31,</w:t>
            </w:r>
          </w:p>
        </w:tc>
        <w:tc>
          <w:tcPr>
            <w:tcW w:w="1500" w:type="dxa"/>
            <w:vAlign w:val="bottom"/>
          </w:tcPr>
          <w:p>
            <w:pPr>
              <w:spacing w:after="0"/>
              <w:rPr>
                <w:sz w:val="24"/>
                <w:szCs w:val="24"/>
                <w:color w:val="auto"/>
              </w:rPr>
            </w:pPr>
          </w:p>
        </w:tc>
      </w:tr>
      <w:tr>
        <w:trPr>
          <w:trHeight w:val="215"/>
        </w:trPr>
        <w:tc>
          <w:tcPr>
            <w:tcW w:w="4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A0A0A"/>
              </w:rPr>
              <w:t>(unaudited) (in millions, except per share amounts)</w:t>
            </w:r>
          </w:p>
        </w:tc>
        <w:tc>
          <w:tcPr>
            <w:tcW w:w="16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0A0A0A"/>
              </w:rPr>
              <w:t>2022</w:t>
            </w:r>
          </w:p>
        </w:tc>
        <w:tc>
          <w:tcPr>
            <w:tcW w:w="4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0A0A0A"/>
              </w:rPr>
              <w:t>2021</w:t>
            </w:r>
            <w:r>
              <w:rPr>
                <w:rFonts w:ascii="Arial" w:cs="Arial" w:eastAsia="Arial" w:hAnsi="Arial"/>
                <w:sz w:val="18"/>
                <w:szCs w:val="18"/>
                <w:b w:val="1"/>
                <w:bCs w:val="1"/>
                <w:color w:val="0A0A0A"/>
                <w:vertAlign w:val="superscript"/>
              </w:rPr>
              <w:t>(7)</w:t>
            </w:r>
          </w:p>
        </w:tc>
        <w:tc>
          <w:tcPr>
            <w:tcW w:w="15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0A0A0A"/>
              </w:rPr>
              <w:t>% Change</w:t>
            </w:r>
          </w:p>
        </w:tc>
      </w:tr>
      <w:tr>
        <w:trPr>
          <w:trHeight w:val="263"/>
        </w:trPr>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 xml:space="preserve">Adjusted Operating Income </w:t>
            </w:r>
            <w:r>
              <w:rPr>
                <w:rFonts w:ascii="Arial" w:cs="Arial" w:eastAsia="Arial" w:hAnsi="Arial"/>
                <w:sz w:val="23"/>
                <w:szCs w:val="23"/>
                <w:color w:val="0A0A0A"/>
                <w:vertAlign w:val="superscript"/>
              </w:rPr>
              <w:t>(1)</w:t>
            </w:r>
          </w:p>
        </w:tc>
        <w:tc>
          <w:tcPr>
            <w:tcW w:w="16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0A0A0A"/>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58.5</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0A0A0A"/>
              </w:rPr>
              <w:t>$</w:t>
            </w:r>
          </w:p>
        </w:tc>
        <w:tc>
          <w:tcPr>
            <w:tcW w:w="15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0A0A0A"/>
              </w:rPr>
              <w:t>48.4</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20.9</w:t>
            </w:r>
          </w:p>
        </w:tc>
      </w:tr>
      <w:tr>
        <w:trPr>
          <w:trHeight w:val="270"/>
        </w:trPr>
        <w:tc>
          <w:tcPr>
            <w:tcW w:w="4800" w:type="dxa"/>
            <w:vAlign w:val="bottom"/>
          </w:tcPr>
          <w:p>
            <w:pPr>
              <w:ind w:left="80"/>
              <w:spacing w:after="0"/>
              <w:rPr>
                <w:sz w:val="20"/>
                <w:szCs w:val="20"/>
                <w:color w:val="auto"/>
              </w:rPr>
            </w:pPr>
            <w:r>
              <w:rPr>
                <w:rFonts w:ascii="Arial" w:cs="Arial" w:eastAsia="Arial" w:hAnsi="Arial"/>
                <w:sz w:val="18"/>
                <w:szCs w:val="18"/>
                <w:color w:val="0A0A0A"/>
              </w:rPr>
              <w:t xml:space="preserve">Adjusted Income Before Income Tax </w:t>
            </w:r>
            <w:r>
              <w:rPr>
                <w:rFonts w:ascii="Arial" w:cs="Arial" w:eastAsia="Arial" w:hAnsi="Arial"/>
                <w:sz w:val="23"/>
                <w:szCs w:val="23"/>
                <w:color w:val="0A0A0A"/>
                <w:vertAlign w:val="superscript"/>
              </w:rPr>
              <w:t>(1)</w:t>
            </w:r>
          </w:p>
        </w:tc>
        <w:tc>
          <w:tcPr>
            <w:tcW w:w="16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0A0A0A"/>
              </w:rPr>
              <w:t>33.0</w:t>
            </w:r>
          </w:p>
        </w:tc>
        <w:tc>
          <w:tcPr>
            <w:tcW w:w="420" w:type="dxa"/>
            <w:vAlign w:val="bottom"/>
          </w:tcPr>
          <w:p>
            <w:pPr>
              <w:spacing w:after="0"/>
              <w:rPr>
                <w:sz w:val="23"/>
                <w:szCs w:val="23"/>
                <w:color w:val="auto"/>
              </w:rPr>
            </w:pPr>
          </w:p>
        </w:tc>
        <w:tc>
          <w:tcPr>
            <w:tcW w:w="1580" w:type="dxa"/>
            <w:vAlign w:val="bottom"/>
          </w:tcPr>
          <w:p>
            <w:pPr>
              <w:jc w:val="right"/>
              <w:ind w:right="212"/>
              <w:spacing w:after="0"/>
              <w:rPr>
                <w:sz w:val="20"/>
                <w:szCs w:val="20"/>
                <w:color w:val="auto"/>
              </w:rPr>
            </w:pPr>
            <w:r>
              <w:rPr>
                <w:rFonts w:ascii="Arial" w:cs="Arial" w:eastAsia="Arial" w:hAnsi="Arial"/>
                <w:sz w:val="18"/>
                <w:szCs w:val="18"/>
                <w:color w:val="0A0A0A"/>
              </w:rPr>
              <w:t>23.4</w:t>
            </w:r>
          </w:p>
        </w:tc>
        <w:tc>
          <w:tcPr>
            <w:tcW w:w="1500" w:type="dxa"/>
            <w:vAlign w:val="bottom"/>
          </w:tcPr>
          <w:p>
            <w:pPr>
              <w:jc w:val="right"/>
              <w:spacing w:after="0"/>
              <w:rPr>
                <w:sz w:val="20"/>
                <w:szCs w:val="20"/>
                <w:color w:val="auto"/>
              </w:rPr>
            </w:pPr>
            <w:r>
              <w:rPr>
                <w:rFonts w:ascii="Arial" w:cs="Arial" w:eastAsia="Arial" w:hAnsi="Arial"/>
                <w:sz w:val="18"/>
                <w:szCs w:val="18"/>
                <w:color w:val="0A0A0A"/>
              </w:rPr>
              <w:t>41.0</w:t>
            </w:r>
          </w:p>
        </w:tc>
      </w:tr>
      <w:tr>
        <w:trPr>
          <w:trHeight w:val="270"/>
        </w:trPr>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 xml:space="preserve">Adjusted Net Income </w:t>
            </w:r>
            <w:r>
              <w:rPr>
                <w:rFonts w:ascii="Arial" w:cs="Arial" w:eastAsia="Arial" w:hAnsi="Arial"/>
                <w:sz w:val="23"/>
                <w:szCs w:val="23"/>
                <w:color w:val="0A0A0A"/>
                <w:vertAlign w:val="superscript"/>
              </w:rPr>
              <w:t>(1)</w:t>
            </w:r>
          </w:p>
        </w:tc>
        <w:tc>
          <w:tcPr>
            <w:tcW w:w="16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25.8</w:t>
            </w:r>
          </w:p>
        </w:tc>
        <w:tc>
          <w:tcPr>
            <w:tcW w:w="4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0A0A0A"/>
              </w:rPr>
              <w:t>18.2</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41.8</w:t>
            </w:r>
          </w:p>
        </w:tc>
      </w:tr>
      <w:tr>
        <w:trPr>
          <w:trHeight w:val="314"/>
        </w:trPr>
        <w:tc>
          <w:tcPr>
            <w:tcW w:w="4800" w:type="dxa"/>
            <w:vAlign w:val="bottom"/>
          </w:tcPr>
          <w:p>
            <w:pPr>
              <w:ind w:left="80"/>
              <w:spacing w:after="0"/>
              <w:rPr>
                <w:sz w:val="20"/>
                <w:szCs w:val="20"/>
                <w:color w:val="auto"/>
              </w:rPr>
            </w:pPr>
            <w:r>
              <w:rPr>
                <w:rFonts w:ascii="Arial" w:cs="Arial" w:eastAsia="Arial" w:hAnsi="Arial"/>
                <w:sz w:val="18"/>
                <w:szCs w:val="18"/>
                <w:color w:val="0A0A0A"/>
              </w:rPr>
              <w:t xml:space="preserve">Adjusted diluted earnings per share </w:t>
            </w:r>
            <w:r>
              <w:rPr>
                <w:rFonts w:ascii="Arial" w:cs="Arial" w:eastAsia="Arial" w:hAnsi="Arial"/>
                <w:sz w:val="23"/>
                <w:szCs w:val="23"/>
                <w:color w:val="0A0A0A"/>
                <w:vertAlign w:val="superscript"/>
              </w:rPr>
              <w:t>(1)</w:t>
            </w:r>
          </w:p>
        </w:tc>
        <w:tc>
          <w:tcPr>
            <w:tcW w:w="1620" w:type="dxa"/>
            <w:vAlign w:val="bottom"/>
          </w:tcPr>
          <w:p>
            <w:pPr>
              <w:jc w:val="right"/>
              <w:ind w:right="190"/>
              <w:spacing w:after="0"/>
              <w:rPr>
                <w:sz w:val="20"/>
                <w:szCs w:val="20"/>
                <w:color w:val="auto"/>
              </w:rPr>
            </w:pPr>
            <w:r>
              <w:rPr>
                <w:rFonts w:ascii="Arial" w:cs="Arial" w:eastAsia="Arial" w:hAnsi="Arial"/>
                <w:sz w:val="18"/>
                <w:szCs w:val="18"/>
                <w:color w:val="0A0A0A"/>
              </w:rPr>
              <w:t>$</w:t>
            </w:r>
          </w:p>
        </w:tc>
        <w:tc>
          <w:tcPr>
            <w:tcW w:w="1300" w:type="dxa"/>
            <w:vAlign w:val="bottom"/>
          </w:tcPr>
          <w:p>
            <w:pPr>
              <w:jc w:val="right"/>
              <w:spacing w:after="0"/>
              <w:rPr>
                <w:sz w:val="20"/>
                <w:szCs w:val="20"/>
                <w:color w:val="auto"/>
              </w:rPr>
            </w:pPr>
            <w:r>
              <w:rPr>
                <w:rFonts w:ascii="Arial" w:cs="Arial" w:eastAsia="Arial" w:hAnsi="Arial"/>
                <w:sz w:val="18"/>
                <w:szCs w:val="18"/>
                <w:color w:val="0A0A0A"/>
              </w:rPr>
              <w:t>0.42</w:t>
            </w:r>
          </w:p>
        </w:tc>
        <w:tc>
          <w:tcPr>
            <w:tcW w:w="420" w:type="dxa"/>
            <w:vAlign w:val="bottom"/>
          </w:tcPr>
          <w:p>
            <w:pPr>
              <w:jc w:val="right"/>
              <w:ind w:right="170"/>
              <w:spacing w:after="0"/>
              <w:rPr>
                <w:sz w:val="20"/>
                <w:szCs w:val="20"/>
                <w:color w:val="auto"/>
              </w:rPr>
            </w:pPr>
            <w:r>
              <w:rPr>
                <w:rFonts w:ascii="Arial" w:cs="Arial" w:eastAsia="Arial" w:hAnsi="Arial"/>
                <w:sz w:val="18"/>
                <w:szCs w:val="18"/>
                <w:color w:val="0A0A0A"/>
              </w:rPr>
              <w:t>$</w:t>
            </w:r>
          </w:p>
        </w:tc>
        <w:tc>
          <w:tcPr>
            <w:tcW w:w="1580" w:type="dxa"/>
            <w:vAlign w:val="bottom"/>
          </w:tcPr>
          <w:p>
            <w:pPr>
              <w:jc w:val="right"/>
              <w:ind w:right="212"/>
              <w:spacing w:after="0"/>
              <w:rPr>
                <w:sz w:val="20"/>
                <w:szCs w:val="20"/>
                <w:color w:val="auto"/>
              </w:rPr>
            </w:pPr>
            <w:r>
              <w:rPr>
                <w:rFonts w:ascii="Arial" w:cs="Arial" w:eastAsia="Arial" w:hAnsi="Arial"/>
                <w:sz w:val="18"/>
                <w:szCs w:val="18"/>
                <w:color w:val="0A0A0A"/>
              </w:rPr>
              <w:t>0.31</w:t>
            </w:r>
          </w:p>
        </w:tc>
        <w:tc>
          <w:tcPr>
            <w:tcW w:w="1500" w:type="dxa"/>
            <w:vAlign w:val="bottom"/>
          </w:tcPr>
          <w:p>
            <w:pPr>
              <w:jc w:val="right"/>
              <w:spacing w:after="0"/>
              <w:rPr>
                <w:sz w:val="20"/>
                <w:szCs w:val="20"/>
                <w:color w:val="auto"/>
              </w:rPr>
            </w:pPr>
            <w:r>
              <w:rPr>
                <w:rFonts w:ascii="Arial" w:cs="Arial" w:eastAsia="Arial" w:hAnsi="Arial"/>
                <w:sz w:val="18"/>
                <w:szCs w:val="18"/>
                <w:color w:val="0A0A0A"/>
              </w:rPr>
              <w:t>35.5</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1</w:t>
      </w:r>
    </w:p>
    <w:p>
      <w:pPr>
        <w:sectPr>
          <w:pgSz w:w="11900" w:h="16838" w:orient="portrait"/>
          <w:cols w:equalWidth="0" w:num="1">
            <w:col w:w="11240"/>
          </w:cols>
          <w:pgMar w:left="320" w:top="1440" w:right="339" w:bottom="1440" w:gutter="0" w:footer="0" w:header="0"/>
          <w:type w:val="continuous"/>
        </w:sectPr>
      </w:pPr>
    </w:p>
    <w:bookmarkStart w:id="4" w:name="page5"/>
    <w:bookmarkEnd w:id="4"/>
    <w:p>
      <w:pPr>
        <w:jc w:val="both"/>
        <w:spacing w:after="0" w:line="227" w:lineRule="auto"/>
        <w:rPr>
          <w:sz w:val="20"/>
          <w:szCs w:val="20"/>
          <w:color w:val="auto"/>
        </w:rPr>
      </w:pPr>
      <w:r>
        <w:rPr>
          <w:rFonts w:ascii="Arial" w:cs="Arial" w:eastAsia="Arial" w:hAnsi="Arial"/>
          <w:sz w:val="18"/>
          <w:szCs w:val="18"/>
          <w:color w:val="0A0A0A"/>
        </w:rPr>
        <w:t>For the quarter ended December 31, 2022, Sun Country reported Income Before Income Tax of $9.5 million and Net Income of $ 7.3 million, on $227.2 million of revenue. Adjusted Income Before Income Tax for the quarter was $10.3 million</w:t>
      </w:r>
      <w:r>
        <w:rPr>
          <w:rFonts w:ascii="Arial" w:cs="Arial" w:eastAsia="Arial" w:hAnsi="Arial"/>
          <w:sz w:val="23"/>
          <w:szCs w:val="23"/>
          <w:color w:val="0A0A0A"/>
          <w:vertAlign w:val="superscript"/>
        </w:rPr>
        <w:t>(1)</w:t>
      </w:r>
      <w:r>
        <w:rPr>
          <w:rFonts w:ascii="Arial" w:cs="Arial" w:eastAsia="Arial" w:hAnsi="Arial"/>
          <w:sz w:val="18"/>
          <w:szCs w:val="18"/>
          <w:color w:val="0A0A0A"/>
        </w:rPr>
        <w:t>. GAAP Operating Income during the quarter was $15 million, producing an Operating Margin of 6.7%, while Adjusted Operating Income was $15.9 million</w:t>
      </w:r>
      <w:r>
        <w:rPr>
          <w:rFonts w:ascii="Arial" w:cs="Arial" w:eastAsia="Arial" w:hAnsi="Arial"/>
          <w:sz w:val="23"/>
          <w:szCs w:val="23"/>
          <w:color w:val="0A0A0A"/>
          <w:vertAlign w:val="superscript"/>
        </w:rPr>
        <w:t>(1)</w:t>
      </w:r>
      <w:r>
        <w:rPr>
          <w:rFonts w:ascii="Arial" w:cs="Arial" w:eastAsia="Arial" w:hAnsi="Arial"/>
          <w:sz w:val="18"/>
          <w:szCs w:val="18"/>
          <w:color w:val="0A0A0A"/>
        </w:rPr>
        <w:t>, resulting in an Adjusted Operating Income Margin of 7.0%</w:t>
      </w:r>
      <w:r>
        <w:rPr>
          <w:rFonts w:ascii="Arial" w:cs="Arial" w:eastAsia="Arial" w:hAnsi="Arial"/>
          <w:sz w:val="23"/>
          <w:szCs w:val="23"/>
          <w:color w:val="0A0A0A"/>
          <w:vertAlign w:val="superscript"/>
        </w:rPr>
        <w:t>(1)</w:t>
      </w:r>
      <w:r>
        <w:rPr>
          <w:rFonts w:ascii="Arial" w:cs="Arial" w:eastAsia="Arial" w:hAnsi="Arial"/>
          <w:sz w:val="18"/>
          <w:szCs w:val="18"/>
          <w:color w:val="0A0A0A"/>
        </w:rPr>
        <w:t>.</w:t>
      </w:r>
    </w:p>
    <w:p>
      <w:pPr>
        <w:spacing w:after="0" w:line="147"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0A0A0A"/>
        </w:rPr>
        <w:t>“Fourth quarter demand continued to remain strong,” said Dave Davis, President and Chief Financial Officer. “Both revenue and Adjusted Operating Margin were near the high end of our guidance. Scheduled service TRASM</w:t>
      </w:r>
      <w:r>
        <w:rPr>
          <w:rFonts w:ascii="Arial" w:cs="Arial" w:eastAsia="Arial" w:hAnsi="Arial"/>
          <w:sz w:val="23"/>
          <w:szCs w:val="23"/>
          <w:color w:val="0A0A0A"/>
          <w:vertAlign w:val="superscript"/>
        </w:rPr>
        <w:t>(3)</w:t>
      </w:r>
      <w:r>
        <w:rPr>
          <w:rFonts w:ascii="Arial" w:cs="Arial" w:eastAsia="Arial" w:hAnsi="Arial"/>
          <w:sz w:val="18"/>
          <w:szCs w:val="18"/>
          <w:color w:val="0A0A0A"/>
        </w:rPr>
        <w:t xml:space="preserve"> increased 27.3% year over year while we grew scheduled service ASMs 13.6% in the same period. We have continued to prudently grow our airline as we have overcome supply chain</w:t>
      </w:r>
    </w:p>
    <w:p>
      <w:pPr>
        <w:spacing w:after="0" w:line="29"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0A0A0A"/>
        </w:rPr>
        <w:t>challenges and the complexities of implementing a new pilot agreement. Our passenger fleet count increased 16.7% in 2022 and we ended the year with 571 pilots, which is 25% higher than 2021. Adjusted CASM grew 8.6%</w:t>
      </w:r>
      <w:r>
        <w:rPr>
          <w:rFonts w:ascii="Arial" w:cs="Arial" w:eastAsia="Arial" w:hAnsi="Arial"/>
          <w:sz w:val="23"/>
          <w:szCs w:val="23"/>
          <w:color w:val="0A0A0A"/>
          <w:vertAlign w:val="superscript"/>
        </w:rPr>
        <w:t>(1)</w:t>
      </w:r>
      <w:r>
        <w:rPr>
          <w:rFonts w:ascii="Arial" w:cs="Arial" w:eastAsia="Arial" w:hAnsi="Arial"/>
          <w:sz w:val="18"/>
          <w:szCs w:val="18"/>
          <w:color w:val="0A0A0A"/>
        </w:rPr>
        <w:t xml:space="preserve"> in 2022 due largely to the implementation of a new</w:t>
      </w:r>
    </w:p>
    <w:p>
      <w:pPr>
        <w:spacing w:after="0" w:line="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0A0A0A"/>
        </w:rPr>
        <w:t>labor agreement and constraints on our growth that resulted in less-than-planned capacity. We expect these pressures to moderate substantially in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Notable Highlights</w:t>
      </w:r>
    </w:p>
    <w:p>
      <w:pPr>
        <w:spacing w:after="0" w:line="274" w:lineRule="exact"/>
        <w:rPr>
          <w:sz w:val="20"/>
          <w:szCs w:val="20"/>
          <w:color w:val="auto"/>
        </w:rPr>
      </w:pPr>
    </w:p>
    <w:p>
      <w:pPr>
        <w:jc w:val="both"/>
        <w:ind w:left="660" w:hanging="328"/>
        <w:spacing w:after="0" w:line="250" w:lineRule="auto"/>
        <w:tabs>
          <w:tab w:leader="none" w:pos="655" w:val="left"/>
        </w:tabs>
        <w:numPr>
          <w:ilvl w:val="0"/>
          <w:numId w:val="2"/>
        </w:numPr>
        <w:rPr>
          <w:rFonts w:ascii="Arial" w:cs="Arial" w:eastAsia="Arial" w:hAnsi="Arial"/>
          <w:sz w:val="18"/>
          <w:szCs w:val="18"/>
          <w:color w:val="0A0A0A"/>
        </w:rPr>
      </w:pPr>
      <w:r>
        <w:rPr>
          <w:rFonts w:ascii="Arial" w:cs="Arial" w:eastAsia="Arial" w:hAnsi="Arial"/>
          <w:sz w:val="18"/>
          <w:szCs w:val="18"/>
          <w:color w:val="0A0A0A"/>
        </w:rPr>
        <w:t>Announced 15 new nonstop routes from Minneapolis-St. Paul International Airport (MSP) beginning in the summer of 2023. Twelve new destinations such as Colorado Springs, CO, Columbus, OH and Kansas City, MO are featured as the airline continues to expand its network</w:t>
      </w:r>
      <w:r>
        <w:rPr>
          <w:rFonts w:ascii="Arial" w:cs="Arial" w:eastAsia="Arial" w:hAnsi="Arial"/>
          <w:sz w:val="18"/>
          <w:szCs w:val="18"/>
          <w:color w:val="000000"/>
        </w:rPr>
        <w:t>.</w:t>
      </w:r>
    </w:p>
    <w:p>
      <w:pPr>
        <w:spacing w:after="0" w:line="1" w:lineRule="exact"/>
        <w:rPr>
          <w:rFonts w:ascii="Arial" w:cs="Arial" w:eastAsia="Arial" w:hAnsi="Arial"/>
          <w:sz w:val="18"/>
          <w:szCs w:val="18"/>
          <w:color w:val="0A0A0A"/>
        </w:rPr>
      </w:pPr>
    </w:p>
    <w:p>
      <w:pPr>
        <w:ind w:left="660" w:right="94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Began providing service to Eau Claire, Wisconsin in December under an Essential Air Service agreement awarded by the Department of Transportation.</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flying for Caesars Entertainment in October under the existing charter agreement to utilize a third aircraft.</w:t>
      </w:r>
    </w:p>
    <w:p>
      <w:pPr>
        <w:spacing w:after="0" w:line="9" w:lineRule="exact"/>
        <w:rPr>
          <w:rFonts w:ascii="Arial" w:cs="Arial" w:eastAsia="Arial" w:hAnsi="Arial"/>
          <w:sz w:val="18"/>
          <w:szCs w:val="18"/>
          <w:color w:val="auto"/>
        </w:rPr>
      </w:pPr>
    </w:p>
    <w:p>
      <w:pPr>
        <w:ind w:left="660" w:right="24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of the end of January 2023, the previously announced $25 million Accelerated Share Repurchase (ASR) program had been completed. The Company repurchased approximately 1.4 million shares at an average price of $18.23. The Company still has $25 million authorized by the board of directors available for share repurchases.</w:t>
      </w:r>
    </w:p>
    <w:p>
      <w:pPr>
        <w:spacing w:after="0" w:line="1" w:lineRule="exact"/>
        <w:rPr>
          <w:rFonts w:ascii="Arial" w:cs="Arial" w:eastAsia="Arial" w:hAnsi="Arial"/>
          <w:sz w:val="18"/>
          <w:szCs w:val="18"/>
          <w:color w:val="auto"/>
        </w:rPr>
      </w:pPr>
    </w:p>
    <w:p>
      <w:pPr>
        <w:ind w:left="660" w:right="68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Welcomed Jennifer Vogel to the Board of Directors in October. She brings over 30 years of governance and legal experience including key executive roles at Continental Airlines.</w:t>
      </w:r>
    </w:p>
    <w:p>
      <w:pPr>
        <w:ind w:left="66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Welcomed Gail Peterson to the Board of Directors in January. She currently serves as executive vice president of Global Marketing &amp; Communications for Ecolab Inc.</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Capacity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0A0A0A"/>
        </w:rPr>
        <w:t>System block hours flown during the fourth quarter of 2022 grew by 9.7% year over year, while scheduled service ASMs increased 13.6%.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A0A0A"/>
        </w:rPr>
        <w:t>Cargo block hours declined 1.8% year over year due to a shorter average stage length versus the previous year.</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0A0A0A"/>
        </w:rPr>
        <w:t>Fourth quarter charter block hours grew 15.5% year over year driven by the continued growth in flying under long-term contracts, which comprised 61% of total charter flying versus 35% in the fourth quarter of 2021. Charter flying not under long term contract (ad hoc charters) continued to grow throughout the year as pilot constraints eased, but still remain 30% below year over year levels. Full year 2022 ad hoc charter block hours were 60% lower than 2019, but we expect them to grow back towards 2019 levels as pilot staffing normalizes.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Revenue</w:t>
      </w:r>
    </w:p>
    <w:p>
      <w:pPr>
        <w:spacing w:after="0" w:line="247"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0A0A0A"/>
        </w:rPr>
        <w:t xml:space="preserve">For the fourth quarter of 2022, the Company reported total revenue of $227.2 million, which was 31.6% more than the fourth quarter of 2021. </w:t>
      </w:r>
      <w:r>
        <w:rPr>
          <w:rFonts w:ascii="Arial" w:cs="Arial" w:eastAsia="Arial" w:hAnsi="Arial"/>
          <w:sz w:val="18"/>
          <w:szCs w:val="18"/>
          <w:color w:val="000000"/>
        </w:rPr>
        <w:t>The Company’s scheduled service TRASM</w:t>
      </w:r>
      <w:r>
        <w:rPr>
          <w:rFonts w:ascii="Arial" w:cs="Arial" w:eastAsia="Arial" w:hAnsi="Arial"/>
          <w:sz w:val="23"/>
          <w:szCs w:val="23"/>
          <w:color w:val="000000"/>
          <w:vertAlign w:val="superscript"/>
        </w:rPr>
        <w:t>(3)</w:t>
      </w:r>
      <w:r>
        <w:rPr>
          <w:rFonts w:ascii="Arial" w:cs="Arial" w:eastAsia="Arial" w:hAnsi="Arial"/>
          <w:sz w:val="18"/>
          <w:szCs w:val="18"/>
          <w:color w:val="000000"/>
        </w:rPr>
        <w:t xml:space="preserve"> of 11.8 cents in the </w:t>
      </w:r>
      <w:r>
        <w:rPr>
          <w:rFonts w:ascii="Arial" w:cs="Arial" w:eastAsia="Arial" w:hAnsi="Arial"/>
          <w:sz w:val="18"/>
          <w:szCs w:val="18"/>
          <w:color w:val="0A0A0A"/>
        </w:rPr>
        <w:t>fourth</w:t>
      </w:r>
      <w:r>
        <w:rPr>
          <w:rFonts w:ascii="Arial" w:cs="Arial" w:eastAsia="Arial" w:hAnsi="Arial"/>
          <w:sz w:val="18"/>
          <w:szCs w:val="18"/>
          <w:color w:val="000000"/>
        </w:rPr>
        <w:t xml:space="preserve"> quarter of 2022 increased 27.3% year over year while scheduled service ASMs increased 13.6%. The fourth quarter 2022 total fare of $177 exceeded </w:t>
      </w:r>
      <w:r>
        <w:rPr>
          <w:rFonts w:ascii="Arial" w:cs="Arial" w:eastAsia="Arial" w:hAnsi="Arial"/>
          <w:sz w:val="18"/>
          <w:szCs w:val="18"/>
          <w:color w:val="0A0A0A"/>
        </w:rPr>
        <w:t>fourth</w:t>
      </w:r>
      <w:r>
        <w:rPr>
          <w:rFonts w:ascii="Arial" w:cs="Arial" w:eastAsia="Arial" w:hAnsi="Arial"/>
          <w:sz w:val="18"/>
          <w:szCs w:val="18"/>
          <w:color w:val="000000"/>
        </w:rPr>
        <w:t xml:space="preserve"> quarter 2021 by 14% while scheduled load factor increased 7.8 percentage points to 84.4%.</w:t>
      </w:r>
    </w:p>
    <w:p>
      <w:pPr>
        <w:spacing w:after="0" w:line="21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Charter service revenue is primarily generated through service provided to collegiate and professional sports teams, the U.S. Department of Defense, casinos, and other customers. In the fourth quarter of 2022, the Company’s charter service revenue was $43.1 million, an increase of 11.0% year over year.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2</w:t>
      </w:r>
    </w:p>
    <w:p>
      <w:pPr>
        <w:sectPr>
          <w:pgSz w:w="11900" w:h="16838" w:orient="portrait"/>
          <w:cols w:equalWidth="0" w:num="1">
            <w:col w:w="11240"/>
          </w:cols>
          <w:pgMar w:left="320" w:top="108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Cargo revenue consists of revenue earned from flying cargo aircraft under the Air Transportation Services Agreement (“ATSA”) with Amazon.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fourth quarter of 2022, cargo revenue was $24.4 million, a 4.6% increase versus the fourth quarter of 2021.</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Cost</w:t>
      </w:r>
    </w:p>
    <w:p>
      <w:pPr>
        <w:spacing w:after="0" w:line="247"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0A0A0A"/>
        </w:rPr>
        <w:t>For the fourth quarter of 2022, total GAAP Operating Expenses increased 30.6% year over year, primarily due to a 9.7% increase in flown block hours and a 61.2% increase in Aircraft Fuel expense in the quarter. This resulted in an increase in CASM of 14.9%. Adjusted CASM</w:t>
      </w:r>
      <w:r>
        <w:rPr>
          <w:rFonts w:ascii="Arial" w:cs="Arial" w:eastAsia="Arial" w:hAnsi="Arial"/>
          <w:sz w:val="23"/>
          <w:szCs w:val="23"/>
          <w:color w:val="0A0A0A"/>
          <w:vertAlign w:val="superscript"/>
        </w:rPr>
        <w:t>(1)</w:t>
      </w:r>
      <w:r>
        <w:rPr>
          <w:rFonts w:ascii="Arial" w:cs="Arial" w:eastAsia="Arial" w:hAnsi="Arial"/>
          <w:sz w:val="18"/>
          <w:szCs w:val="18"/>
          <w:color w:val="0A0A0A"/>
        </w:rPr>
        <w:t xml:space="preserve"> in the fourth quarter increased 7.1% versus the fourth quarter 2021 mostly driven by the new pilot agreement that was signed at the end of 2021.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Balance Sheet and Liquidity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0A0A0A"/>
        </w:rPr>
        <w:t>Total liquidity</w:t>
      </w:r>
      <w:r>
        <w:rPr>
          <w:rFonts w:ascii="Arial" w:cs="Arial" w:eastAsia="Arial" w:hAnsi="Arial"/>
          <w:sz w:val="23"/>
          <w:szCs w:val="23"/>
          <w:color w:val="0A0A0A"/>
          <w:vertAlign w:val="superscript"/>
        </w:rPr>
        <w:t>(6)</w:t>
      </w:r>
      <w:r>
        <w:rPr>
          <w:rFonts w:ascii="Arial" w:cs="Arial" w:eastAsia="Arial" w:hAnsi="Arial"/>
          <w:sz w:val="18"/>
          <w:szCs w:val="18"/>
          <w:color w:val="0A0A0A"/>
        </w:rPr>
        <w:t xml:space="preserve"> was $289.4 million on December 31, 2022, while the Company’s net debt</w:t>
      </w:r>
      <w:r>
        <w:rPr>
          <w:rFonts w:ascii="Arial" w:cs="Arial" w:eastAsia="Arial" w:hAnsi="Arial"/>
          <w:sz w:val="23"/>
          <w:szCs w:val="23"/>
          <w:color w:val="0A0A0A"/>
          <w:vertAlign w:val="superscript"/>
        </w:rPr>
        <w:t>(5)</w:t>
      </w:r>
      <w:r>
        <w:rPr>
          <w:rFonts w:ascii="Arial" w:cs="Arial" w:eastAsia="Arial" w:hAnsi="Arial"/>
          <w:sz w:val="18"/>
          <w:szCs w:val="18"/>
          <w:color w:val="0A0A0A"/>
        </w:rPr>
        <w:t xml:space="preserve"> was $364.9 million.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6"/>
                <w:szCs w:val="16"/>
                <w:color w:val="auto"/>
              </w:rPr>
            </w:pPr>
          </w:p>
        </w:tc>
        <w:tc>
          <w:tcPr>
            <w:tcW w:w="2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December 31, 2022</w:t>
            </w:r>
          </w:p>
        </w:tc>
        <w:tc>
          <w:tcPr>
            <w:tcW w:w="300" w:type="dxa"/>
            <w:vAlign w:val="bottom"/>
          </w:tcPr>
          <w:p>
            <w:pPr>
              <w:spacing w:after="0"/>
              <w:rPr>
                <w:sz w:val="16"/>
                <w:szCs w:val="16"/>
                <w:color w:val="auto"/>
              </w:rPr>
            </w:pPr>
          </w:p>
        </w:tc>
        <w:tc>
          <w:tcPr>
            <w:tcW w:w="1940" w:type="dxa"/>
            <w:vAlign w:val="bottom"/>
          </w:tcPr>
          <w:p>
            <w:pPr>
              <w:jc w:val="right"/>
              <w:ind w:right="393"/>
              <w:spacing w:after="0"/>
              <w:rPr>
                <w:sz w:val="20"/>
                <w:szCs w:val="20"/>
                <w:color w:val="auto"/>
              </w:rPr>
            </w:pPr>
            <w:r>
              <w:rPr>
                <w:rFonts w:ascii="Arial" w:cs="Arial" w:eastAsia="Arial" w:hAnsi="Arial"/>
                <w:sz w:val="14"/>
                <w:szCs w:val="14"/>
                <w:b w:val="1"/>
                <w:bCs w:val="1"/>
                <w:color w:val="auto"/>
              </w:rPr>
              <w:t>December 31, 2021</w:t>
            </w:r>
          </w:p>
        </w:tc>
      </w:tr>
      <w:tr>
        <w:trPr>
          <w:trHeight w:val="26"/>
        </w:trPr>
        <w:tc>
          <w:tcPr>
            <w:tcW w:w="6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197"/>
        </w:trPr>
        <w:tc>
          <w:tcPr>
            <w:tcW w:w="6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6"/>
        </w:trPr>
        <w:tc>
          <w:tcPr>
            <w:tcW w:w="6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309.3</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3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172.6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 Available Under Revolving Credit Facility</w:t>
            </w:r>
          </w:p>
        </w:tc>
        <w:tc>
          <w:tcPr>
            <w:tcW w:w="3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63"/>
        </w:trPr>
        <w:tc>
          <w:tcPr>
            <w:tcW w:w="6620" w:type="dxa"/>
            <w:vAlign w:val="bottom"/>
          </w:tcPr>
          <w:p>
            <w:pPr>
              <w:ind w:left="240"/>
              <w:spacing w:after="0"/>
              <w:rPr>
                <w:sz w:val="20"/>
                <w:szCs w:val="20"/>
                <w:color w:val="auto"/>
              </w:rPr>
            </w:pPr>
            <w:r>
              <w:rPr>
                <w:rFonts w:ascii="Arial" w:cs="Arial" w:eastAsia="Arial" w:hAnsi="Arial"/>
                <w:sz w:val="18"/>
                <w:szCs w:val="18"/>
                <w:color w:val="auto"/>
              </w:rPr>
              <w:t>Total Liquidity</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334.3</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183"/>
        </w:trPr>
        <w:tc>
          <w:tcPr>
            <w:tcW w:w="6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r>
      <w:tr>
        <w:trPr>
          <w:trHeight w:val="204"/>
        </w:trPr>
        <w:tc>
          <w:tcPr>
            <w:tcW w:w="66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7"/>
                <w:szCs w:val="17"/>
                <w:color w:val="auto"/>
              </w:rPr>
            </w:pPr>
          </w:p>
        </w:tc>
        <w:tc>
          <w:tcPr>
            <w:tcW w:w="2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December 31, 2022</w:t>
            </w:r>
          </w:p>
        </w:tc>
        <w:tc>
          <w:tcPr>
            <w:tcW w:w="300" w:type="dxa"/>
            <w:vAlign w:val="bottom"/>
          </w:tcPr>
          <w:p>
            <w:pPr>
              <w:spacing w:after="0"/>
              <w:rPr>
                <w:sz w:val="17"/>
                <w:szCs w:val="17"/>
                <w:color w:val="auto"/>
              </w:rPr>
            </w:pPr>
          </w:p>
        </w:tc>
        <w:tc>
          <w:tcPr>
            <w:tcW w:w="1940" w:type="dxa"/>
            <w:vAlign w:val="bottom"/>
          </w:tcPr>
          <w:p>
            <w:pPr>
              <w:jc w:val="right"/>
              <w:ind w:right="393"/>
              <w:spacing w:after="0"/>
              <w:rPr>
                <w:sz w:val="20"/>
                <w:szCs w:val="20"/>
                <w:color w:val="auto"/>
              </w:rPr>
            </w:pPr>
            <w:r>
              <w:rPr>
                <w:rFonts w:ascii="Arial" w:cs="Arial" w:eastAsia="Arial" w:hAnsi="Arial"/>
                <w:sz w:val="14"/>
                <w:szCs w:val="14"/>
                <w:b w:val="1"/>
                <w:bCs w:val="1"/>
                <w:color w:val="auto"/>
              </w:rPr>
              <w:t>December 31, 2021</w:t>
            </w:r>
          </w:p>
        </w:tc>
      </w:tr>
      <w:tr>
        <w:trPr>
          <w:trHeight w:val="26"/>
        </w:trPr>
        <w:tc>
          <w:tcPr>
            <w:tcW w:w="6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198"/>
        </w:trPr>
        <w:tc>
          <w:tcPr>
            <w:tcW w:w="6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5"/>
        </w:trPr>
        <w:tc>
          <w:tcPr>
            <w:tcW w:w="6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277.4</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3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251.3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192.2</w:t>
            </w:r>
          </w:p>
        </w:tc>
      </w:tr>
      <w:tr>
        <w:trPr>
          <w:trHeight w:val="27"/>
        </w:trPr>
        <w:tc>
          <w:tcPr>
            <w:tcW w:w="6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3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r>
      <w:tr>
        <w:trPr>
          <w:trHeight w:val="237"/>
        </w:trPr>
        <w:tc>
          <w:tcPr>
            <w:tcW w:w="6620" w:type="dxa"/>
            <w:vAlign w:val="bottom"/>
          </w:tcPr>
          <w:p>
            <w:pPr>
              <w:ind w:left="180"/>
              <w:spacing w:after="0"/>
              <w:rPr>
                <w:sz w:val="20"/>
                <w:szCs w:val="20"/>
                <w:color w:val="auto"/>
              </w:rPr>
            </w:pPr>
            <w:r>
              <w:rPr>
                <w:rFonts w:ascii="Arial" w:cs="Arial" w:eastAsia="Arial" w:hAnsi="Arial"/>
                <w:sz w:val="18"/>
                <w:szCs w:val="18"/>
                <w:color w:val="auto"/>
              </w:rPr>
              <w:t>Total Debt and Lease Obligations</w:t>
            </w:r>
          </w:p>
        </w:tc>
        <w:tc>
          <w:tcPr>
            <w:tcW w:w="30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545.6</w:t>
            </w:r>
          </w:p>
        </w:tc>
      </w:tr>
      <w:tr>
        <w:trPr>
          <w:trHeight w:val="27"/>
        </w:trPr>
        <w:tc>
          <w:tcPr>
            <w:tcW w:w="6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309.3</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3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172.6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88"/>
        </w:trPr>
        <w:tc>
          <w:tcPr>
            <w:tcW w:w="6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Debt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236.2</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Fleet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the Company had 42 aircraft in its passenger service fleet, and operated 12 freighter aircraft in its cargo operation.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Guidance for First Quarter 2023</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8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tcPr>
          <w:p>
            <w:pPr>
              <w:jc w:val="center"/>
              <w:ind w:left="1333"/>
              <w:spacing w:after="0"/>
              <w:rPr>
                <w:sz w:val="20"/>
                <w:szCs w:val="20"/>
                <w:color w:val="auto"/>
              </w:rPr>
            </w:pPr>
            <w:r>
              <w:rPr>
                <w:rFonts w:ascii="Arial" w:cs="Arial" w:eastAsia="Arial" w:hAnsi="Arial"/>
                <w:sz w:val="14"/>
                <w:szCs w:val="14"/>
                <w:b w:val="1"/>
                <w:bCs w:val="1"/>
                <w:color w:val="0A0A0A"/>
              </w:rPr>
              <w:t>Q1 2023</w:t>
            </w: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A0A0A"/>
              </w:rPr>
              <w:t>H/(L) vs Q1 2022</w:t>
            </w:r>
          </w:p>
        </w:tc>
      </w:tr>
      <w:tr>
        <w:trPr>
          <w:trHeight w:val="229"/>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Total revenue - millions</w:t>
            </w:r>
          </w:p>
        </w:tc>
        <w:tc>
          <w:tcPr>
            <w:tcW w:w="3700" w:type="dxa"/>
            <w:vAlign w:val="bottom"/>
            <w:shd w:val="clear" w:color="auto" w:fill="CCEEFF"/>
          </w:tcPr>
          <w:p>
            <w:pPr>
              <w:jc w:val="center"/>
              <w:ind w:left="1333"/>
              <w:spacing w:after="0"/>
              <w:rPr>
                <w:sz w:val="20"/>
                <w:szCs w:val="20"/>
                <w:color w:val="auto"/>
              </w:rPr>
            </w:pPr>
            <w:r>
              <w:rPr>
                <w:rFonts w:ascii="Arial" w:cs="Arial" w:eastAsia="Arial" w:hAnsi="Arial"/>
                <w:sz w:val="18"/>
                <w:szCs w:val="18"/>
                <w:color w:val="0A0A0A"/>
                <w:w w:val="98"/>
              </w:rPr>
              <w:t>$280 to $290</w:t>
            </w:r>
          </w:p>
        </w:tc>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0A0A0A"/>
              </w:rPr>
              <w:t>24% to 28%</w:t>
            </w:r>
          </w:p>
        </w:tc>
      </w:tr>
      <w:tr>
        <w:trPr>
          <w:trHeight w:val="230"/>
        </w:trPr>
        <w:tc>
          <w:tcPr>
            <w:tcW w:w="5180" w:type="dxa"/>
            <w:vAlign w:val="bottom"/>
          </w:tcPr>
          <w:p>
            <w:pPr>
              <w:ind w:left="80"/>
              <w:spacing w:after="0"/>
              <w:rPr>
                <w:sz w:val="20"/>
                <w:szCs w:val="20"/>
                <w:color w:val="auto"/>
              </w:rPr>
            </w:pPr>
            <w:r>
              <w:rPr>
                <w:rFonts w:ascii="Arial" w:cs="Arial" w:eastAsia="Arial" w:hAnsi="Arial"/>
                <w:sz w:val="18"/>
                <w:szCs w:val="18"/>
                <w:color w:val="0A0A0A"/>
              </w:rPr>
              <w:t>Economic fuel cost per gallon</w:t>
            </w:r>
          </w:p>
        </w:tc>
        <w:tc>
          <w:tcPr>
            <w:tcW w:w="3700" w:type="dxa"/>
            <w:vAlign w:val="bottom"/>
          </w:tcPr>
          <w:p>
            <w:pPr>
              <w:jc w:val="center"/>
              <w:ind w:left="1333"/>
              <w:spacing w:after="0"/>
              <w:rPr>
                <w:sz w:val="20"/>
                <w:szCs w:val="20"/>
                <w:color w:val="auto"/>
              </w:rPr>
            </w:pPr>
            <w:r>
              <w:rPr>
                <w:rFonts w:ascii="Arial" w:cs="Arial" w:eastAsia="Arial" w:hAnsi="Arial"/>
                <w:sz w:val="18"/>
                <w:szCs w:val="18"/>
                <w:color w:val="0A0A0A"/>
                <w:w w:val="97"/>
              </w:rPr>
              <w:t>$3.58</w:t>
            </w:r>
          </w:p>
        </w:tc>
        <w:tc>
          <w:tcPr>
            <w:tcW w:w="2340" w:type="dxa"/>
            <w:vAlign w:val="bottom"/>
          </w:tcPr>
          <w:p>
            <w:pPr>
              <w:jc w:val="center"/>
              <w:spacing w:after="0"/>
              <w:rPr>
                <w:sz w:val="20"/>
                <w:szCs w:val="20"/>
                <w:color w:val="auto"/>
              </w:rPr>
            </w:pPr>
            <w:r>
              <w:rPr>
                <w:rFonts w:ascii="Arial" w:cs="Arial" w:eastAsia="Arial" w:hAnsi="Arial"/>
                <w:sz w:val="18"/>
                <w:szCs w:val="18"/>
                <w:color w:val="0A0A0A"/>
                <w:w w:val="99"/>
              </w:rPr>
              <w:t>12%</w:t>
            </w:r>
          </w:p>
        </w:tc>
      </w:tr>
      <w:tr>
        <w:trPr>
          <w:trHeight w:val="229"/>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Operating income margin - percentage</w:t>
            </w:r>
          </w:p>
        </w:tc>
        <w:tc>
          <w:tcPr>
            <w:tcW w:w="3700" w:type="dxa"/>
            <w:vAlign w:val="bottom"/>
            <w:shd w:val="clear" w:color="auto" w:fill="CCEEFF"/>
          </w:tcPr>
          <w:p>
            <w:pPr>
              <w:jc w:val="center"/>
              <w:ind w:left="1333"/>
              <w:spacing w:after="0"/>
              <w:rPr>
                <w:sz w:val="20"/>
                <w:szCs w:val="20"/>
                <w:color w:val="auto"/>
              </w:rPr>
            </w:pPr>
            <w:r>
              <w:rPr>
                <w:rFonts w:ascii="Arial" w:cs="Arial" w:eastAsia="Arial" w:hAnsi="Arial"/>
                <w:sz w:val="18"/>
                <w:szCs w:val="18"/>
                <w:color w:val="0A0A0A"/>
                <w:w w:val="98"/>
              </w:rPr>
              <w:t>15% to 20%</w:t>
            </w:r>
          </w:p>
        </w:tc>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0A0A0A"/>
                <w:w w:val="98"/>
              </w:rPr>
              <w:t>5pp to 10pp</w:t>
            </w:r>
          </w:p>
        </w:tc>
      </w:tr>
      <w:tr>
        <w:trPr>
          <w:trHeight w:val="230"/>
        </w:trPr>
        <w:tc>
          <w:tcPr>
            <w:tcW w:w="5180" w:type="dxa"/>
            <w:vAlign w:val="bottom"/>
          </w:tcPr>
          <w:p>
            <w:pPr>
              <w:ind w:left="80"/>
              <w:spacing w:after="0"/>
              <w:rPr>
                <w:sz w:val="20"/>
                <w:szCs w:val="20"/>
                <w:color w:val="auto"/>
              </w:rPr>
            </w:pPr>
            <w:r>
              <w:rPr>
                <w:rFonts w:ascii="Arial" w:cs="Arial" w:eastAsia="Arial" w:hAnsi="Arial"/>
                <w:sz w:val="18"/>
                <w:szCs w:val="18"/>
                <w:color w:val="0A0A0A"/>
              </w:rPr>
              <w:t>Effective tax rate</w:t>
            </w:r>
          </w:p>
        </w:tc>
        <w:tc>
          <w:tcPr>
            <w:tcW w:w="3700" w:type="dxa"/>
            <w:vAlign w:val="bottom"/>
          </w:tcPr>
          <w:p>
            <w:pPr>
              <w:jc w:val="center"/>
              <w:ind w:left="1333"/>
              <w:spacing w:after="0"/>
              <w:rPr>
                <w:sz w:val="20"/>
                <w:szCs w:val="20"/>
                <w:color w:val="auto"/>
              </w:rPr>
            </w:pPr>
            <w:r>
              <w:rPr>
                <w:rFonts w:ascii="Arial" w:cs="Arial" w:eastAsia="Arial" w:hAnsi="Arial"/>
                <w:sz w:val="18"/>
                <w:szCs w:val="18"/>
                <w:color w:val="0A0A0A"/>
                <w:w w:val="99"/>
              </w:rPr>
              <w:t>23%</w:t>
            </w:r>
          </w:p>
        </w:tc>
        <w:tc>
          <w:tcPr>
            <w:tcW w:w="2340" w:type="dxa"/>
            <w:vAlign w:val="bottom"/>
          </w:tcPr>
          <w:p>
            <w:pPr>
              <w:spacing w:after="0"/>
              <w:rPr>
                <w:sz w:val="19"/>
                <w:szCs w:val="19"/>
                <w:color w:val="auto"/>
              </w:rPr>
            </w:pPr>
          </w:p>
        </w:tc>
      </w:tr>
      <w:tr>
        <w:trPr>
          <w:trHeight w:val="230"/>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Total system block hours - thousands</w:t>
            </w:r>
          </w:p>
        </w:tc>
        <w:tc>
          <w:tcPr>
            <w:tcW w:w="3700" w:type="dxa"/>
            <w:vAlign w:val="bottom"/>
            <w:shd w:val="clear" w:color="auto" w:fill="CCEEFF"/>
          </w:tcPr>
          <w:p>
            <w:pPr>
              <w:jc w:val="center"/>
              <w:ind w:left="1333"/>
              <w:spacing w:after="0"/>
              <w:rPr>
                <w:sz w:val="20"/>
                <w:szCs w:val="20"/>
                <w:color w:val="auto"/>
              </w:rPr>
            </w:pPr>
            <w:r>
              <w:rPr>
                <w:rFonts w:ascii="Arial" w:cs="Arial" w:eastAsia="Arial" w:hAnsi="Arial"/>
                <w:sz w:val="18"/>
                <w:szCs w:val="18"/>
                <w:color w:val="0A0A0A"/>
                <w:w w:val="98"/>
              </w:rPr>
              <w:t>35 to 36</w:t>
            </w:r>
          </w:p>
        </w:tc>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0A0A0A"/>
                <w:w w:val="98"/>
              </w:rPr>
              <w:t>3.5% to 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3</w:t>
      </w:r>
    </w:p>
    <w:p>
      <w:pPr>
        <w:sectPr>
          <w:pgSz w:w="11900" w:h="16838" w:orient="portrait"/>
          <w:cols w:equalWidth="0" w:num="1">
            <w:col w:w="11240"/>
          </w:cols>
          <w:pgMar w:left="320" w:top="130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0A0A0A"/>
        </w:rPr>
        <w:t>Conference Call &amp; Webcast Details</w:t>
      </w:r>
    </w:p>
    <w:p>
      <w:pPr>
        <w:spacing w:after="0" w:line="24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0A0A0A"/>
        </w:rPr>
        <w:t xml:space="preserve">Sun Country Airlines will host a conference call to discuss its fourth quarter and full year 2022 results at 8:30 a.m. Eastern Time on Friday, February 3, 2023. A live broadcast of the conference call will be available via the investor relations section of Sun Country Airlines’ website at </w:t>
      </w:r>
      <w:r>
        <w:rPr>
          <w:rFonts w:ascii="Arial" w:cs="Arial" w:eastAsia="Arial" w:hAnsi="Arial"/>
          <w:sz w:val="18"/>
          <w:szCs w:val="18"/>
          <w:u w:val="single" w:color="auto"/>
          <w:color w:val="026DCE"/>
        </w:rPr>
        <w:t>https://ir.suncountry.com/news-events/events-and-presentations</w:t>
      </w:r>
      <w:r>
        <w:rPr>
          <w:rFonts w:ascii="Arial" w:cs="Arial" w:eastAsia="Arial" w:hAnsi="Arial"/>
          <w:sz w:val="18"/>
          <w:szCs w:val="18"/>
          <w:color w:val="0A0A0A"/>
          <w:highlight w:val="white"/>
        </w:rPr>
        <w:t>.</w:t>
      </w:r>
      <w:r>
        <w:rPr>
          <w:rFonts w:ascii="Arial" w:cs="Arial" w:eastAsia="Arial" w:hAnsi="Arial"/>
          <w:sz w:val="18"/>
          <w:szCs w:val="18"/>
          <w:color w:val="026DCE"/>
        </w:rPr>
        <w:t xml:space="preserve"> </w:t>
      </w:r>
      <w:r>
        <w:rPr>
          <w:rFonts w:ascii="Arial" w:cs="Arial" w:eastAsia="Arial" w:hAnsi="Arial"/>
          <w:sz w:val="18"/>
          <w:szCs w:val="18"/>
          <w:color w:val="000000"/>
          <w:highlight w:val="white"/>
        </w:rPr>
        <w:t>The online replay will be available on the same website approximately one</w:t>
      </w:r>
    </w:p>
    <w:p>
      <w:pPr>
        <w:spacing w:after="0" w:line="1" w:lineRule="exact"/>
        <w:rPr>
          <w:sz w:val="20"/>
          <w:szCs w:val="20"/>
          <w:color w:val="auto"/>
        </w:rPr>
      </w:pPr>
    </w:p>
    <w:p>
      <w:pPr>
        <w:spacing w:after="0"/>
        <w:tabs>
          <w:tab w:leader="none" w:pos="740" w:val="left"/>
          <w:tab w:leader="none" w:pos="1520" w:val="left"/>
          <w:tab w:leader="none" w:pos="2160" w:val="left"/>
          <w:tab w:leader="none" w:pos="2880" w:val="left"/>
          <w:tab w:leader="none" w:pos="3600" w:val="left"/>
          <w:tab w:leader="none" w:pos="4880" w:val="left"/>
          <w:tab w:leader="none" w:pos="5560" w:val="left"/>
          <w:tab w:leader="none" w:pos="6240" w:val="left"/>
          <w:tab w:leader="none" w:pos="6980" w:val="left"/>
          <w:tab w:leader="none" w:pos="7580" w:val="left"/>
          <w:tab w:leader="none" w:pos="8600" w:val="left"/>
          <w:tab w:leader="none" w:pos="9160" w:val="left"/>
          <w:tab w:leader="none" w:pos="9820" w:val="left"/>
          <w:tab w:leader="none" w:pos="10420" w:val="left"/>
        </w:tabs>
        <w:rPr>
          <w:sz w:val="20"/>
          <w:szCs w:val="20"/>
          <w:color w:val="auto"/>
        </w:rPr>
      </w:pPr>
      <w:r>
        <w:rPr>
          <w:rFonts w:ascii="Arial" w:cs="Arial" w:eastAsia="Arial" w:hAnsi="Arial"/>
          <w:sz w:val="18"/>
          <w:szCs w:val="18"/>
          <w:color w:val="auto"/>
        </w:rPr>
        <w:t>hour</w:t>
      </w:r>
      <w:r>
        <w:rPr>
          <w:sz w:val="20"/>
          <w:szCs w:val="20"/>
          <w:color w:val="auto"/>
        </w:rPr>
        <w:tab/>
      </w:r>
      <w:r>
        <w:rPr>
          <w:rFonts w:ascii="Arial" w:cs="Arial" w:eastAsia="Arial" w:hAnsi="Arial"/>
          <w:sz w:val="18"/>
          <w:szCs w:val="18"/>
          <w:color w:val="auto"/>
        </w:rPr>
        <w:t>after</w:t>
      </w:r>
      <w:r>
        <w:rPr>
          <w:sz w:val="20"/>
          <w:szCs w:val="20"/>
          <w:color w:val="auto"/>
        </w:rPr>
        <w:tab/>
      </w:r>
      <w:r>
        <w:rPr>
          <w:rFonts w:ascii="Arial" w:cs="Arial" w:eastAsia="Arial" w:hAnsi="Arial"/>
          <w:sz w:val="18"/>
          <w:szCs w:val="18"/>
          <w:color w:val="auto"/>
        </w:rPr>
        <w:t>the</w:t>
      </w:r>
      <w:r>
        <w:rPr>
          <w:sz w:val="20"/>
          <w:szCs w:val="20"/>
          <w:color w:val="auto"/>
        </w:rPr>
        <w:tab/>
      </w:r>
      <w:r>
        <w:rPr>
          <w:rFonts w:ascii="Arial" w:cs="Arial" w:eastAsia="Arial" w:hAnsi="Arial"/>
          <w:sz w:val="18"/>
          <w:szCs w:val="18"/>
          <w:color w:val="auto"/>
        </w:rPr>
        <w:t>call.</w:t>
      </w:r>
      <w:r>
        <w:rPr>
          <w:sz w:val="20"/>
          <w:szCs w:val="20"/>
          <w:color w:val="auto"/>
        </w:rPr>
        <w:tab/>
      </w:r>
      <w:r>
        <w:rPr>
          <w:rFonts w:ascii="Arial" w:cs="Arial" w:eastAsia="Arial" w:hAnsi="Arial"/>
          <w:sz w:val="18"/>
          <w:szCs w:val="18"/>
          <w:color w:val="auto"/>
        </w:rPr>
        <w:t>The</w:t>
      </w:r>
      <w:r>
        <w:rPr>
          <w:sz w:val="20"/>
          <w:szCs w:val="20"/>
          <w:color w:val="auto"/>
        </w:rPr>
        <w:tab/>
      </w:r>
      <w:r>
        <w:rPr>
          <w:rFonts w:ascii="Arial" w:cs="Arial" w:eastAsia="Arial" w:hAnsi="Arial"/>
          <w:sz w:val="18"/>
          <w:szCs w:val="18"/>
          <w:color w:val="auto"/>
        </w:rPr>
        <w:t>conference</w:t>
      </w:r>
      <w:r>
        <w:rPr>
          <w:sz w:val="20"/>
          <w:szCs w:val="20"/>
          <w:color w:val="auto"/>
        </w:rPr>
        <w:tab/>
      </w:r>
      <w:r>
        <w:rPr>
          <w:rFonts w:ascii="Arial" w:cs="Arial" w:eastAsia="Arial" w:hAnsi="Arial"/>
          <w:sz w:val="18"/>
          <w:szCs w:val="18"/>
          <w:color w:val="auto"/>
        </w:rPr>
        <w:t>call</w:t>
      </w:r>
      <w:r>
        <w:rPr>
          <w:sz w:val="20"/>
          <w:szCs w:val="20"/>
          <w:color w:val="auto"/>
        </w:rPr>
        <w:tab/>
      </w:r>
      <w:r>
        <w:rPr>
          <w:rFonts w:ascii="Arial" w:cs="Arial" w:eastAsia="Arial" w:hAnsi="Arial"/>
          <w:sz w:val="18"/>
          <w:szCs w:val="18"/>
          <w:color w:val="auto"/>
        </w:rPr>
        <w:t>can</w:t>
      </w:r>
      <w:r>
        <w:rPr>
          <w:sz w:val="20"/>
          <w:szCs w:val="20"/>
          <w:color w:val="auto"/>
        </w:rPr>
        <w:tab/>
      </w:r>
      <w:r>
        <w:rPr>
          <w:rFonts w:ascii="Arial" w:cs="Arial" w:eastAsia="Arial" w:hAnsi="Arial"/>
          <w:sz w:val="18"/>
          <w:szCs w:val="18"/>
          <w:color w:val="auto"/>
        </w:rPr>
        <w:t>also</w:t>
      </w:r>
      <w:r>
        <w:rPr>
          <w:sz w:val="20"/>
          <w:szCs w:val="20"/>
          <w:color w:val="auto"/>
        </w:rPr>
        <w:tab/>
      </w:r>
      <w:r>
        <w:rPr>
          <w:rFonts w:ascii="Arial" w:cs="Arial" w:eastAsia="Arial" w:hAnsi="Arial"/>
          <w:sz w:val="18"/>
          <w:szCs w:val="18"/>
          <w:color w:val="auto"/>
        </w:rPr>
        <w:t>be</w:t>
      </w:r>
      <w:r>
        <w:rPr>
          <w:sz w:val="20"/>
          <w:szCs w:val="20"/>
          <w:color w:val="auto"/>
        </w:rPr>
        <w:tab/>
      </w:r>
      <w:r>
        <w:rPr>
          <w:rFonts w:ascii="Arial" w:cs="Arial" w:eastAsia="Arial" w:hAnsi="Arial"/>
          <w:sz w:val="18"/>
          <w:szCs w:val="18"/>
          <w:color w:val="auto"/>
        </w:rPr>
        <w:t>listened</w:t>
      </w:r>
      <w:r>
        <w:rPr>
          <w:sz w:val="20"/>
          <w:szCs w:val="20"/>
          <w:color w:val="auto"/>
        </w:rPr>
        <w:tab/>
      </w: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live</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accessing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26DCE"/>
        </w:rPr>
        <w:t>https://register.vevent.com/register/BI7c0a447b31ca49cfb77711f7e00f5b42</w:t>
      </w:r>
      <w:r>
        <w:rPr>
          <w:rFonts w:ascii="Arial" w:cs="Arial" w:eastAsia="Arial" w:hAnsi="Arial"/>
          <w:sz w:val="18"/>
          <w:szCs w:val="18"/>
          <w:color w:val="000000"/>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About Sun Country Airlines</w:t>
      </w:r>
    </w:p>
    <w:p>
      <w:pPr>
        <w:spacing w:after="0" w:line="166"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0A0A0A"/>
        </w:rPr>
        <w:t>Sun Country Airlines is a new breed of hybrid low-cost air carrier, whose mission is to connect guests to their favorite people and places, to create lifelong memories and transformative experiences. Sun Country dynamically deploys shared resources across our synergistic scheduled service, charter and cargo businesses. Based in Minnesota, we focus on serving leisure and visiting friends and relatives ("VFR") passengers and charter customers and providing cargo CMI services, with flights throughout the United States and to destinations in Mexico, Central America, Canada, and the Caribbean.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End Notes</w:t>
      </w:r>
    </w:p>
    <w:p>
      <w:pPr>
        <w:sectPr>
          <w:pgSz w:w="11900" w:h="16838" w:orient="portrait"/>
          <w:cols w:equalWidth="0" w:num="1">
            <w:col w:w="11240"/>
          </w:cols>
          <w:pgMar w:left="320" w:top="1278" w:right="339" w:bottom="1440" w:gutter="0" w:footer="0" w:header="0"/>
        </w:sectPr>
      </w:pP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w:t>
      </w:r>
    </w:p>
    <w:p>
      <w:pPr>
        <w:spacing w:after="0" w:line="252" w:lineRule="exact"/>
        <w:rPr>
          <w:sz w:val="20"/>
          <w:szCs w:val="20"/>
          <w:color w:val="auto"/>
        </w:rPr>
      </w:pPr>
    </w:p>
    <w:p>
      <w:pPr>
        <w:ind w:left="180" w:hanging="154"/>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p>
    <w:p>
      <w:pPr>
        <w:spacing w:after="0" w:line="49"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3 -</w:t>
      </w:r>
    </w:p>
    <w:p>
      <w:pPr>
        <w:spacing w:after="0" w:line="49"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left="240" w:right="120" w:hanging="242"/>
        <w:spacing w:after="0" w:line="246" w:lineRule="auto"/>
        <w:rPr>
          <w:sz w:val="20"/>
          <w:szCs w:val="20"/>
          <w:color w:val="auto"/>
        </w:rPr>
      </w:pPr>
      <w:r>
        <w:rPr>
          <w:rFonts w:ascii="Arial" w:cs="Arial" w:eastAsia="Arial" w:hAnsi="Arial"/>
          <w:sz w:val="18"/>
          <w:szCs w:val="18"/>
          <w:color w:val="0A0A0A"/>
        </w:rPr>
        <w:t>See additional details, including reconciliations to the most comparable GAAP measures, in the section titled “</w:t>
      </w:r>
      <w:r>
        <w:rPr>
          <w:rFonts w:ascii="Arial" w:cs="Arial" w:eastAsia="Arial" w:hAnsi="Arial"/>
          <w:sz w:val="18"/>
          <w:szCs w:val="18"/>
          <w:color w:val="000000"/>
        </w:rPr>
        <w:t>Non-GAAP financial</w:t>
      </w:r>
      <w:r>
        <w:rPr>
          <w:rFonts w:ascii="Arial" w:cs="Arial" w:eastAsia="Arial" w:hAnsi="Arial"/>
          <w:sz w:val="18"/>
          <w:szCs w:val="18"/>
          <w:color w:val="0A0A0A"/>
        </w:rPr>
        <w:t xml:space="preserve"> </w:t>
      </w:r>
      <w:r>
        <w:rPr>
          <w:rFonts w:ascii="Arial" w:cs="Arial" w:eastAsia="Arial" w:hAnsi="Arial"/>
          <w:sz w:val="18"/>
          <w:szCs w:val="18"/>
          <w:color w:val="000000"/>
        </w:rPr>
        <w:t>measures”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Total system TRASM = total revenue – cargo revenue / system ASMs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Scheduled service TRASM = scheduled service revenue + ancillary revenue + other revenue / scheduled service ASMs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0A0A0A"/>
        </w:rPr>
        <w:t>Adjusted CASM is a non-GAAP measure derived from CASM by excluding fuel costs, Special Items, non-cash management stock</w:t>
      </w:r>
    </w:p>
    <w:p>
      <w:pPr>
        <w:ind w:right="120"/>
        <w:spacing w:after="0" w:line="226" w:lineRule="auto"/>
        <w:rPr>
          <w:sz w:val="20"/>
          <w:szCs w:val="20"/>
          <w:color w:val="auto"/>
        </w:rPr>
      </w:pPr>
      <w:r>
        <w:rPr>
          <w:rFonts w:ascii="Arial" w:cs="Arial" w:eastAsia="Arial" w:hAnsi="Arial"/>
          <w:sz w:val="18"/>
          <w:szCs w:val="18"/>
          <w:color w:val="0A0A0A"/>
        </w:rPr>
        <w:t>compensation expense, costs arising from its cargo operations (began in 2020 when the Company launched cargo operations), certain commissions, and other costs of selling its vacations product from this measure. See table titled “</w:t>
      </w:r>
      <w:r>
        <w:rPr>
          <w:rFonts w:ascii="Arial" w:cs="Arial" w:eastAsia="Arial" w:hAnsi="Arial"/>
          <w:sz w:val="18"/>
          <w:szCs w:val="18"/>
          <w:color w:val="000000"/>
        </w:rPr>
        <w:t>Reconciliation of Adjusted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CASM to CASM”</w:t>
      </w:r>
    </w:p>
    <w:p>
      <w:pPr>
        <w:spacing w:after="0" w:line="63" w:lineRule="exact"/>
        <w:rPr>
          <w:sz w:val="20"/>
          <w:szCs w:val="20"/>
          <w:color w:val="auto"/>
        </w:rPr>
      </w:pPr>
    </w:p>
    <w:p>
      <w:pPr>
        <w:sectPr>
          <w:pgSz w:w="11900" w:h="16838" w:orient="portrait"/>
          <w:cols w:equalWidth="0" w:num="2">
            <w:col w:w="240" w:space="240"/>
            <w:col w:w="10760"/>
          </w:cols>
          <w:pgMar w:left="320" w:top="1278" w:right="339" w:bottom="1440" w:gutter="0" w:footer="0" w:header="0"/>
          <w:type w:val="continuous"/>
        </w:sectPr>
      </w:pP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5 -</w:t>
      </w:r>
    </w:p>
    <w:p>
      <w:pPr>
        <w:spacing w:after="0" w:line="252" w:lineRule="exact"/>
        <w:rPr>
          <w:sz w:val="20"/>
          <w:szCs w:val="20"/>
          <w:color w:val="auto"/>
        </w:rPr>
      </w:pPr>
    </w:p>
    <w:p>
      <w:pPr>
        <w:ind w:left="180" w:hanging="154"/>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p>
    <w:p>
      <w:pPr>
        <w:spacing w:after="0" w:line="49"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7 -</w:t>
      </w:r>
    </w:p>
    <w:p>
      <w:pPr>
        <w:spacing w:after="0" w:line="20" w:lineRule="exact"/>
        <w:rPr>
          <w:sz w:val="20"/>
          <w:szCs w:val="20"/>
          <w:color w:val="auto"/>
        </w:rPr>
      </w:pPr>
      <w:r>
        <w:rPr>
          <w:sz w:val="20"/>
          <w:szCs w:val="20"/>
          <w:color w:val="auto"/>
        </w:rPr>
        <w:br w:type="column"/>
      </w:r>
    </w:p>
    <w:p>
      <w:pPr>
        <w:ind w:right="120"/>
        <w:spacing w:after="0" w:line="246" w:lineRule="auto"/>
        <w:rPr>
          <w:sz w:val="20"/>
          <w:szCs w:val="20"/>
          <w:color w:val="auto"/>
        </w:rPr>
      </w:pPr>
      <w:r>
        <w:rPr>
          <w:rFonts w:ascii="Arial" w:cs="Arial" w:eastAsia="Arial" w:hAnsi="Arial"/>
          <w:sz w:val="18"/>
          <w:szCs w:val="18"/>
          <w:color w:val="auto"/>
        </w:rPr>
        <w:t>Net debt = current portion of long-term debt + long-term debt + finance lease obligations + operating lease obligations – cash and cash equivalents - Available-for-Sale Securities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Total liquidity = cash and cash equivalents + available-for-sale securities + amount available under revolver</w:t>
      </w:r>
    </w:p>
    <w:p>
      <w:pPr>
        <w:spacing w:after="0" w:line="50"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Certain prior period amounts have been revised to correct an immaterial change related to the application of the Company’s accounting for its aircraft transactions</w:t>
      </w:r>
    </w:p>
    <w:p>
      <w:pPr>
        <w:spacing w:after="0" w:line="200" w:lineRule="exact"/>
        <w:rPr>
          <w:sz w:val="20"/>
          <w:szCs w:val="20"/>
          <w:color w:val="auto"/>
        </w:rPr>
      </w:pPr>
    </w:p>
    <w:p>
      <w:pPr>
        <w:sectPr>
          <w:pgSz w:w="11900" w:h="16838" w:orient="portrait"/>
          <w:cols w:equalWidth="0" w:num="2">
            <w:col w:w="240" w:space="240"/>
            <w:col w:w="10760"/>
          </w:cols>
          <w:pgMar w:left="320" w:top="1278" w:right="339" w:bottom="1440" w:gutter="0" w:footer="0" w:header="0"/>
          <w:type w:val="continuous"/>
        </w:sectPr>
      </w:pP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Contacts</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0A0A0A"/>
        </w:rPr>
        <w:t>I</w:t>
      </w:r>
      <w:r>
        <w:rPr>
          <w:rFonts w:ascii="Arial" w:cs="Arial" w:eastAsia="Arial" w:hAnsi="Arial"/>
          <w:sz w:val="17"/>
          <w:szCs w:val="17"/>
          <w:b w:val="1"/>
          <w:bCs w:val="1"/>
          <w:color w:val="0A0A0A"/>
        </w:rPr>
        <w:t>nvestor Relations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0A0A0A"/>
        </w:rPr>
        <w:t>Chris Allen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A0A0A"/>
        </w:rPr>
        <w:t>651-681-4810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IR@suncountry.com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Media</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0A0A0A"/>
        </w:rPr>
        <w:t>Wendy Burt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A0A0A"/>
        </w:rPr>
        <w:t>651-900-8400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mediarelations@suncountry.com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4</w:t>
      </w:r>
    </w:p>
    <w:p>
      <w:pPr>
        <w:sectPr>
          <w:pgSz w:w="11900" w:h="16838" w:orient="portrait"/>
          <w:cols w:equalWidth="0" w:num="1">
            <w:col w:w="11240"/>
          </w:cols>
          <w:pgMar w:left="320" w:top="1278"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0A0A0A"/>
        </w:rPr>
        <w:t>Forward Looking Statements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0A0A0A"/>
        </w:rPr>
        <w:t>This press release contains forward-looking statements, which involve risks and uncertainties. These forward-looking statements are generally identified by the use of forward-looking terminology, including the terms “anticipate,” “believe,” “continue,” “could,” “estimate,” “expect,” “intend,” “likely,” “may,” “plan,” “possible,” “potential,” “predict,” “project,” “should,” “target,” “will,” “would” and, in each case, their negative or other various or comparable terminology. All statements other than statements of historical facts contained in this press release, including statements regarding our strategy, future operations, future financial position, future revenue, projected costs, prospects, plans, objectives of management, and expected market growth are forward-looking statements. The forward-looking statements are relating to:</w:t>
      </w:r>
    </w:p>
    <w:p>
      <w:pPr>
        <w:spacing w:after="0" w:line="208" w:lineRule="exact"/>
        <w:rPr>
          <w:sz w:val="20"/>
          <w:szCs w:val="20"/>
          <w:color w:val="auto"/>
        </w:rPr>
      </w:pPr>
    </w:p>
    <w:p>
      <w:pPr>
        <w:ind w:left="120" w:hanging="112"/>
        <w:spacing w:after="0"/>
        <w:tabs>
          <w:tab w:leader="none" w:pos="120" w:val="left"/>
        </w:tabs>
        <w:numPr>
          <w:ilvl w:val="0"/>
          <w:numId w:val="5"/>
        </w:numPr>
        <w:rPr>
          <w:rFonts w:ascii="Arial" w:cs="Arial" w:eastAsia="Arial" w:hAnsi="Arial"/>
          <w:sz w:val="18"/>
          <w:szCs w:val="18"/>
          <w:color w:val="0A0A0A"/>
        </w:rPr>
      </w:pPr>
      <w:r>
        <w:rPr>
          <w:rFonts w:ascii="Arial" w:cs="Arial" w:eastAsia="Arial" w:hAnsi="Arial"/>
          <w:sz w:val="18"/>
          <w:szCs w:val="18"/>
          <w:color w:val="0A0A0A"/>
        </w:rPr>
        <w:t>our strategy, outlook and growth prospects;</w:t>
      </w:r>
    </w:p>
    <w:p>
      <w:pPr>
        <w:spacing w:after="0" w:line="225" w:lineRule="exact"/>
        <w:rPr>
          <w:rFonts w:ascii="Arial" w:cs="Arial" w:eastAsia="Arial" w:hAnsi="Arial"/>
          <w:sz w:val="18"/>
          <w:szCs w:val="18"/>
          <w:color w:val="0A0A0A"/>
        </w:rPr>
      </w:pPr>
    </w:p>
    <w:p>
      <w:pPr>
        <w:ind w:left="120" w:hanging="112"/>
        <w:spacing w:after="0"/>
        <w:tabs>
          <w:tab w:leader="none" w:pos="120" w:val="left"/>
        </w:tabs>
        <w:numPr>
          <w:ilvl w:val="0"/>
          <w:numId w:val="5"/>
        </w:numPr>
        <w:rPr>
          <w:rFonts w:ascii="Arial" w:cs="Arial" w:eastAsia="Arial" w:hAnsi="Arial"/>
          <w:sz w:val="18"/>
          <w:szCs w:val="18"/>
          <w:color w:val="0A0A0A"/>
        </w:rPr>
      </w:pPr>
      <w:r>
        <w:rPr>
          <w:rFonts w:ascii="Arial" w:cs="Arial" w:eastAsia="Arial" w:hAnsi="Arial"/>
          <w:sz w:val="18"/>
          <w:szCs w:val="18"/>
          <w:color w:val="0A0A0A"/>
        </w:rPr>
        <w:t>our operational and financial targets and dividend policy;</w:t>
      </w:r>
    </w:p>
    <w:p>
      <w:pPr>
        <w:spacing w:after="0" w:line="225" w:lineRule="exact"/>
        <w:rPr>
          <w:rFonts w:ascii="Arial" w:cs="Arial" w:eastAsia="Arial" w:hAnsi="Arial"/>
          <w:sz w:val="18"/>
          <w:szCs w:val="18"/>
          <w:color w:val="0A0A0A"/>
        </w:rPr>
      </w:pPr>
    </w:p>
    <w:p>
      <w:pPr>
        <w:ind w:left="120" w:hanging="112"/>
        <w:spacing w:after="0"/>
        <w:tabs>
          <w:tab w:leader="none" w:pos="120" w:val="left"/>
        </w:tabs>
        <w:numPr>
          <w:ilvl w:val="0"/>
          <w:numId w:val="5"/>
        </w:numPr>
        <w:rPr>
          <w:rFonts w:ascii="Arial" w:cs="Arial" w:eastAsia="Arial" w:hAnsi="Arial"/>
          <w:sz w:val="18"/>
          <w:szCs w:val="18"/>
          <w:color w:val="0A0A0A"/>
        </w:rPr>
      </w:pPr>
      <w:r>
        <w:rPr>
          <w:rFonts w:ascii="Arial" w:cs="Arial" w:eastAsia="Arial" w:hAnsi="Arial"/>
          <w:sz w:val="18"/>
          <w:szCs w:val="18"/>
          <w:color w:val="0A0A0A"/>
        </w:rPr>
        <w:t>general economic trends and trends in the industry and markets;</w:t>
      </w:r>
    </w:p>
    <w:p>
      <w:pPr>
        <w:spacing w:after="0" w:line="225" w:lineRule="exact"/>
        <w:rPr>
          <w:rFonts w:ascii="Arial" w:cs="Arial" w:eastAsia="Arial" w:hAnsi="Arial"/>
          <w:sz w:val="18"/>
          <w:szCs w:val="18"/>
          <w:color w:val="0A0A0A"/>
        </w:rPr>
      </w:pPr>
    </w:p>
    <w:p>
      <w:pPr>
        <w:ind w:left="120" w:hanging="112"/>
        <w:spacing w:after="0"/>
        <w:tabs>
          <w:tab w:leader="none" w:pos="120" w:val="left"/>
        </w:tabs>
        <w:numPr>
          <w:ilvl w:val="0"/>
          <w:numId w:val="5"/>
        </w:numPr>
        <w:rPr>
          <w:rFonts w:ascii="Arial" w:cs="Arial" w:eastAsia="Arial" w:hAnsi="Arial"/>
          <w:sz w:val="18"/>
          <w:szCs w:val="18"/>
          <w:color w:val="0A0A0A"/>
        </w:rPr>
      </w:pPr>
      <w:r>
        <w:rPr>
          <w:rFonts w:ascii="Arial" w:cs="Arial" w:eastAsia="Arial" w:hAnsi="Arial"/>
          <w:sz w:val="18"/>
          <w:szCs w:val="18"/>
          <w:color w:val="0A0A0A"/>
        </w:rPr>
        <w:t>potential repurchases of our common stock; and</w:t>
      </w:r>
    </w:p>
    <w:p>
      <w:pPr>
        <w:spacing w:after="0" w:line="225" w:lineRule="exact"/>
        <w:rPr>
          <w:rFonts w:ascii="Arial" w:cs="Arial" w:eastAsia="Arial" w:hAnsi="Arial"/>
          <w:sz w:val="18"/>
          <w:szCs w:val="18"/>
          <w:color w:val="0A0A0A"/>
        </w:rPr>
      </w:pPr>
    </w:p>
    <w:p>
      <w:pPr>
        <w:ind w:left="120" w:hanging="112"/>
        <w:spacing w:after="0"/>
        <w:tabs>
          <w:tab w:leader="none" w:pos="120" w:val="left"/>
        </w:tabs>
        <w:numPr>
          <w:ilvl w:val="0"/>
          <w:numId w:val="5"/>
        </w:numPr>
        <w:rPr>
          <w:rFonts w:ascii="Arial" w:cs="Arial" w:eastAsia="Arial" w:hAnsi="Arial"/>
          <w:sz w:val="18"/>
          <w:szCs w:val="18"/>
          <w:color w:val="0A0A0A"/>
        </w:rPr>
      </w:pPr>
      <w:r>
        <w:rPr>
          <w:rFonts w:ascii="Arial" w:cs="Arial" w:eastAsia="Arial" w:hAnsi="Arial"/>
          <w:sz w:val="18"/>
          <w:szCs w:val="18"/>
          <w:color w:val="0A0A0A"/>
        </w:rPr>
        <w:t>the competitive environment in which we operate.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0A0A0A"/>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0A0A0A"/>
        </w:rPr>
        <w:t>These forward-looking statements reflect our views with respect to future events as of the date of this press release and are based on assumptions and subject to risks and uncertainties. Given these uncertainties, you should not place undue reliance on these forward-looking statements. These forward-looking statements represent our estimates and assumptions only as of the date of this press release and, except as required by law, we undertake no obligation to update or review publicly any forward-looking statements, whether as a result of new information, future events or otherwise after the date of this press release. We anticipate that subsequent events and developments will cause our views to change. You should read this press release completely and with the understanding that our actual future results may be materially different from what we expect. Our forward-looking statements do not reflect the potential impact of any future acquisitions, mergers, dispositions, joint ventures, or investments we may undertake. We qualify all of our forward-looking statements by these cautionary statements. Additional information concerning certain factors is contained in the Company’s Securities and Exchange Commission filings, including but not limited to the Company’s Annual Reports on Form 10-K, Quarterly Reports on Form 10-Q, and Current Reports on Form 8-K.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Non-GAAP Financial Measures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sometimes use information that is derived from the Consolidated Financial Statements, but that is not presented in accordance with GAAP. We believe these non-GAAP measures provide a meaningful comparison of our results to others in the airline industry and our prior year results. Investors should consider these non-GAAP financial measures in addition to, and not as a substitute for, our financial performance measures prepared in accordance with GAAP. Further, our non-GAAP information may be different from the non-GAAP information provided by other companies. We believe certain charges included in our operating expenses on a GAAP basis make it difficult to compare our current period results to prior periods as well as future periods and guidance. The tables below show a reconciliation of non-GAAP financial measures used in this document to the most directly comparable 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5</w:t>
      </w:r>
    </w:p>
    <w:p>
      <w:pPr>
        <w:sectPr>
          <w:pgSz w:w="11900" w:h="16838" w:orient="portrait"/>
          <w:cols w:equalWidth="0" w:num="1">
            <w:col w:w="11240"/>
          </w:cols>
          <w:pgMar w:left="320" w:top="1305" w:right="339" w:bottom="1440" w:gutter="0" w:footer="0" w:header="0"/>
        </w:sectPr>
      </w:pPr>
    </w:p>
    <w:bookmarkStart w:id="8" w:name="page9"/>
    <w:bookmarkEnd w:id="8"/>
    <w:p>
      <w:pPr>
        <w:ind w:left="8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(Dollars in thousands, except shares and per share amounts)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234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40" w:type="dxa"/>
            <w:vAlign w:val="bottom"/>
            <w:gridSpan w:val="5"/>
          </w:tcPr>
          <w:p>
            <w:pPr>
              <w:ind w:left="320"/>
              <w:spacing w:after="0"/>
              <w:rPr>
                <w:sz w:val="20"/>
                <w:szCs w:val="20"/>
                <w:color w:val="auto"/>
              </w:rPr>
            </w:pPr>
            <w:r>
              <w:rPr>
                <w:rFonts w:ascii="Arial" w:cs="Arial" w:eastAsia="Arial" w:hAnsi="Arial"/>
                <w:sz w:val="14"/>
                <w:szCs w:val="14"/>
                <w:b w:val="1"/>
                <w:bCs w:val="1"/>
                <w:color w:val="0A0A0A"/>
              </w:rPr>
              <w:t>Three Months Ended December 31,</w:t>
            </w:r>
          </w:p>
        </w:tc>
        <w:tc>
          <w:tcPr>
            <w:tcW w:w="1880" w:type="dxa"/>
            <w:vAlign w:val="bottom"/>
          </w:tcPr>
          <w:p>
            <w:pPr>
              <w:spacing w:after="0"/>
              <w:rPr>
                <w:sz w:val="16"/>
                <w:szCs w:val="16"/>
                <w:color w:val="auto"/>
              </w:rPr>
            </w:pPr>
          </w:p>
        </w:tc>
      </w:tr>
      <w:tr>
        <w:trPr>
          <w:trHeight w:val="215"/>
        </w:trPr>
        <w:tc>
          <w:tcPr>
            <w:tcW w:w="53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0A0A0A"/>
              </w:rPr>
              <w:t>2022</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0A0A0A"/>
              </w:rPr>
              <w:t>2021</w:t>
            </w:r>
            <w:r>
              <w:rPr>
                <w:rFonts w:ascii="Arial" w:cs="Arial" w:eastAsia="Arial" w:hAnsi="Arial"/>
                <w:sz w:val="18"/>
                <w:szCs w:val="18"/>
                <w:b w:val="1"/>
                <w:bCs w:val="1"/>
                <w:color w:val="0A0A0A"/>
                <w:vertAlign w:val="superscript"/>
              </w:rPr>
              <w:t>(7)</w:t>
            </w:r>
          </w:p>
        </w:tc>
        <w:tc>
          <w:tcPr>
            <w:tcW w:w="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0A0A0A"/>
              </w:rPr>
              <w:t>% Change</w:t>
            </w:r>
          </w:p>
        </w:tc>
      </w:tr>
      <w:tr>
        <w:trPr>
          <w:trHeight w:val="223"/>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0A0A0A"/>
              </w:rPr>
              <w:t>Operating Revenues: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Scheduled Service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103,629</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0A0A0A"/>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0A0A0A"/>
              </w:rPr>
              <w:t>77,472</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A0A0A"/>
              </w:rPr>
              <w:t>33.8</w:t>
            </w: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Charter Service</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43,092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38,820</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11.0</w:t>
            </w:r>
          </w:p>
        </w:tc>
      </w:tr>
      <w:tr>
        <w:trPr>
          <w:trHeight w:val="229"/>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0A0A0A"/>
              </w:rPr>
              <w:t>Ancillary</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52,958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30,611</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73.0</w:t>
            </w:r>
          </w:p>
        </w:tc>
      </w:tr>
      <w:tr>
        <w:trPr>
          <w:trHeight w:val="223"/>
        </w:trPr>
        <w:tc>
          <w:tcPr>
            <w:tcW w:w="5360" w:type="dxa"/>
            <w:vAlign w:val="bottom"/>
            <w:shd w:val="clear" w:color="auto" w:fill="CCEEFF"/>
          </w:tcPr>
          <w:p>
            <w:pPr>
              <w:ind w:left="300"/>
              <w:spacing w:after="0"/>
              <w:rPr>
                <w:sz w:val="20"/>
                <w:szCs w:val="20"/>
                <w:color w:val="auto"/>
              </w:rPr>
            </w:pPr>
            <w:r>
              <w:rPr>
                <w:rFonts w:ascii="Arial" w:cs="Arial" w:eastAsia="Arial" w:hAnsi="Arial"/>
                <w:sz w:val="18"/>
                <w:szCs w:val="18"/>
                <w:color w:val="0A0A0A"/>
              </w:rPr>
              <w:t>Passenger</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199,679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146,903</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35.9</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Cargo</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24,421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0A0A0A"/>
              </w:rPr>
              <w:t>23,344</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A0A0A"/>
              </w:rPr>
              <w:t>4.6</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3,054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2,305</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32.5</w:t>
            </w:r>
          </w:p>
        </w:tc>
      </w:tr>
      <w:tr>
        <w:trPr>
          <w:trHeight w:val="223"/>
        </w:trPr>
        <w:tc>
          <w:tcPr>
            <w:tcW w:w="53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0A0A0A"/>
              </w:rPr>
              <w:t>Total Operating Revenue</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227,154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172,552</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31.6</w:t>
            </w:r>
          </w:p>
        </w:tc>
      </w:tr>
      <w:tr>
        <w:trPr>
          <w:trHeight w:val="250"/>
        </w:trPr>
        <w:tc>
          <w:tcPr>
            <w:tcW w:w="53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r>
      <w:tr>
        <w:trPr>
          <w:trHeight w:val="230"/>
        </w:trPr>
        <w:tc>
          <w:tcPr>
            <w:tcW w:w="5360" w:type="dxa"/>
            <w:vAlign w:val="bottom"/>
          </w:tcPr>
          <w:p>
            <w:pPr>
              <w:ind w:left="80"/>
              <w:spacing w:after="0"/>
              <w:rPr>
                <w:sz w:val="20"/>
                <w:szCs w:val="20"/>
                <w:color w:val="auto"/>
              </w:rPr>
            </w:pPr>
            <w:r>
              <w:rPr>
                <w:rFonts w:ascii="Arial" w:cs="Arial" w:eastAsia="Arial" w:hAnsi="Arial"/>
                <w:sz w:val="18"/>
                <w:szCs w:val="18"/>
                <w:b w:val="1"/>
                <w:bCs w:val="1"/>
                <w:color w:val="0A0A0A"/>
              </w:rPr>
              <w:t>Operating Expenses:</w:t>
            </w: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Aircraft Fuel</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38,480</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Salaries, Wages, and Benefits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67,278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0A0A0A"/>
              </w:rPr>
              <w:t>48,392</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39.0</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Aircraft Rent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4,314</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Maintenance</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10,810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0A0A0A"/>
              </w:rPr>
              <w:t>9,925</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Sales and Marketing</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5,658</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Depreciation and Amortization</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18,277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0A0A0A"/>
              </w:rPr>
              <w:t>15,544</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Ground Handling</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7,327</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Landing Fees and Airport Rent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12,950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0A0A0A"/>
              </w:rPr>
              <w:t>11,119</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Other Operating, net</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21,554</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53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0A0A0A"/>
              </w:rPr>
              <w:t>Total Operating Expenses</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212,037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162,313</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30.6</w:t>
            </w:r>
          </w:p>
        </w:tc>
      </w:tr>
      <w:tr>
        <w:trPr>
          <w:trHeight w:val="223"/>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Operating Income</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10,239</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47.6</w:t>
            </w:r>
          </w:p>
        </w:tc>
      </w:tr>
      <w:tr>
        <w:trPr>
          <w:trHeight w:val="196"/>
        </w:trPr>
        <w:tc>
          <w:tcPr>
            <w:tcW w:w="5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30"/>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0A0A0A"/>
              </w:rPr>
              <w:t>Non-operating Income (Expense):</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Interest Income</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2,361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0A0A0A"/>
              </w:rPr>
              <w:t>33</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Interest Expense</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(6,840)</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30"/>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0A0A0A"/>
              </w:rPr>
              <w:t>Other, net</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(3,881)</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w:t>
            </w:r>
          </w:p>
        </w:tc>
      </w:tr>
      <w:tr>
        <w:trPr>
          <w:trHeight w:val="223"/>
        </w:trPr>
        <w:tc>
          <w:tcPr>
            <w:tcW w:w="5360" w:type="dxa"/>
            <w:vAlign w:val="bottom"/>
            <w:shd w:val="clear" w:color="auto" w:fill="CCEEFF"/>
          </w:tcPr>
          <w:p>
            <w:pPr>
              <w:ind w:left="300"/>
              <w:spacing w:after="0"/>
              <w:rPr>
                <w:sz w:val="20"/>
                <w:szCs w:val="20"/>
                <w:color w:val="auto"/>
              </w:rPr>
            </w:pPr>
            <w:r>
              <w:rPr>
                <w:rFonts w:ascii="Arial" w:cs="Arial" w:eastAsia="Arial" w:hAnsi="Arial"/>
                <w:sz w:val="18"/>
                <w:szCs w:val="18"/>
                <w:color w:val="0A0A0A"/>
              </w:rPr>
              <w:t>Total Non-operating Expense, net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(10,688)</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r>
      <w:tr>
        <w:trPr>
          <w:trHeight w:val="203"/>
        </w:trPr>
        <w:tc>
          <w:tcPr>
            <w:tcW w:w="53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r>
      <w:tr>
        <w:trPr>
          <w:trHeight w:val="223"/>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Income (Loss) before Income Tax</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0A0A0A"/>
              </w:rPr>
              <w:t>Income Tax Expense</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637</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244.3</w:t>
            </w:r>
          </w:p>
        </w:tc>
      </w:tr>
      <w:tr>
        <w:trPr>
          <w:trHeight w:val="248"/>
        </w:trPr>
        <w:tc>
          <w:tcPr>
            <w:tcW w:w="5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0A0A0A"/>
              </w:rPr>
              <w:t>Net Income (Loss)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29"/>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Net Income (Loss) per share to common stockholders: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Basic</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0A0A0A"/>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0A0A0A"/>
              </w:rPr>
              <w:t>(0.02)</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Diluted</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0A0A0A"/>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(0.02)</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5360" w:type="dxa"/>
            <w:vAlign w:val="bottom"/>
          </w:tcPr>
          <w:p>
            <w:pPr>
              <w:ind w:left="80"/>
              <w:spacing w:after="0"/>
              <w:rPr>
                <w:sz w:val="20"/>
                <w:szCs w:val="20"/>
                <w:color w:val="auto"/>
              </w:rPr>
            </w:pPr>
            <w:r>
              <w:rPr>
                <w:rFonts w:ascii="Arial" w:cs="Arial" w:eastAsia="Arial" w:hAnsi="Arial"/>
                <w:sz w:val="18"/>
                <w:szCs w:val="18"/>
                <w:color w:val="0A0A0A"/>
              </w:rPr>
              <w:t>Shares used for computation:</w:t>
            </w: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Basic</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57,693,064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57,712,097</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Diluted</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60,071,021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0A0A0A"/>
              </w:rPr>
              <w:t>57,712,097</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0A0A0A"/>
        </w:rPr>
        <w:t>“NM” stands for not meaningful</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6</w:t>
      </w:r>
    </w:p>
    <w:p>
      <w:pPr>
        <w:sectPr>
          <w:pgSz w:w="11900" w:h="16838" w:orient="portrait"/>
          <w:cols w:equalWidth="0" w:num="1">
            <w:col w:w="11220"/>
          </w:cols>
          <w:pgMar w:left="320" w:top="1332" w:right="359" w:bottom="1440" w:gutter="0" w:footer="0" w:header="0"/>
        </w:sectPr>
      </w:pPr>
    </w:p>
    <w:bookmarkStart w:id="9" w:name="page10"/>
    <w:bookmarkEnd w:id="9"/>
    <w:p>
      <w:pPr>
        <w:ind w:left="8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0980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520" w:type="dxa"/>
            <w:vAlign w:val="bottom"/>
            <w:gridSpan w:val="5"/>
          </w:tcPr>
          <w:p>
            <w:pPr>
              <w:ind w:left="620"/>
              <w:spacing w:after="0"/>
              <w:rPr>
                <w:sz w:val="20"/>
                <w:szCs w:val="20"/>
                <w:color w:val="auto"/>
              </w:rPr>
            </w:pPr>
            <w:r>
              <w:rPr>
                <w:rFonts w:ascii="Arial" w:cs="Arial" w:eastAsia="Arial" w:hAnsi="Arial"/>
                <w:sz w:val="14"/>
                <w:szCs w:val="14"/>
                <w:b w:val="1"/>
                <w:bCs w:val="1"/>
                <w:color w:val="0A0A0A"/>
              </w:rPr>
              <w:t>Year Ended December 31,</w:t>
            </w:r>
          </w:p>
        </w:tc>
        <w:tc>
          <w:tcPr>
            <w:tcW w:w="1880" w:type="dxa"/>
            <w:vAlign w:val="bottom"/>
          </w:tcPr>
          <w:p>
            <w:pPr>
              <w:spacing w:after="0"/>
              <w:rPr>
                <w:sz w:val="16"/>
                <w:szCs w:val="16"/>
                <w:color w:val="auto"/>
              </w:rPr>
            </w:pPr>
          </w:p>
        </w:tc>
      </w:tr>
      <w:tr>
        <w:trPr>
          <w:trHeight w:val="215"/>
        </w:trPr>
        <w:tc>
          <w:tcPr>
            <w:tcW w:w="53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0A0A0A"/>
              </w:rPr>
              <w:t>2022</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0A0A0A"/>
              </w:rPr>
              <w:t>2021</w:t>
            </w:r>
            <w:r>
              <w:rPr>
                <w:rFonts w:ascii="Arial" w:cs="Arial" w:eastAsia="Arial" w:hAnsi="Arial"/>
                <w:sz w:val="18"/>
                <w:szCs w:val="18"/>
                <w:b w:val="1"/>
                <w:bCs w:val="1"/>
                <w:color w:val="0A0A0A"/>
                <w:vertAlign w:val="superscript"/>
              </w:rPr>
              <w:t>(7)</w:t>
            </w:r>
          </w:p>
        </w:tc>
        <w:tc>
          <w:tcPr>
            <w:tcW w:w="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0A0A0A"/>
              </w:rPr>
              <w:t>% Change</w:t>
            </w:r>
          </w:p>
        </w:tc>
      </w:tr>
      <w:tr>
        <w:trPr>
          <w:trHeight w:val="223"/>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0A0A0A"/>
              </w:rPr>
              <w:t>Operating Revenues:</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Scheduled Service</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438,308</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0A0A0A"/>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0A0A0A"/>
              </w:rPr>
              <w:t>279,377</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A0A0A"/>
              </w:rPr>
              <w:t>56.9</w:t>
            </w: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Charter Service</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127,331</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26.9</w:t>
            </w:r>
          </w:p>
        </w:tc>
      </w:tr>
      <w:tr>
        <w:trPr>
          <w:trHeight w:val="229"/>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0A0A0A"/>
              </w:rPr>
              <w:t>Ancillary</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192,506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117,237</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64.2</w:t>
            </w:r>
          </w:p>
        </w:tc>
      </w:tr>
      <w:tr>
        <w:trPr>
          <w:trHeight w:val="223"/>
        </w:trPr>
        <w:tc>
          <w:tcPr>
            <w:tcW w:w="5360" w:type="dxa"/>
            <w:vAlign w:val="bottom"/>
            <w:shd w:val="clear" w:color="auto" w:fill="CCEEFF"/>
          </w:tcPr>
          <w:p>
            <w:pPr>
              <w:ind w:left="300"/>
              <w:spacing w:after="0"/>
              <w:rPr>
                <w:sz w:val="20"/>
                <w:szCs w:val="20"/>
                <w:color w:val="auto"/>
              </w:rPr>
            </w:pPr>
            <w:r>
              <w:rPr>
                <w:rFonts w:ascii="Arial" w:cs="Arial" w:eastAsia="Arial" w:hAnsi="Arial"/>
                <w:sz w:val="18"/>
                <w:szCs w:val="18"/>
                <w:color w:val="0A0A0A"/>
              </w:rPr>
              <w:t>Passenger</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792,433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523,945</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51.2</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Cargo</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A0A0A"/>
              </w:rPr>
              <w:t>90,350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0A0A0A"/>
              </w:rPr>
              <w:t>91,428</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A0A0A"/>
              </w:rPr>
              <w:t>(1.2)</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Other</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11,661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7,642</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52.6</w:t>
            </w:r>
          </w:p>
        </w:tc>
      </w:tr>
      <w:tr>
        <w:trPr>
          <w:trHeight w:val="223"/>
        </w:trPr>
        <w:tc>
          <w:tcPr>
            <w:tcW w:w="53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0A0A0A"/>
              </w:rPr>
              <w:t>Total Operating Revenue</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894,444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623,015</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43.6</w:t>
            </w:r>
          </w:p>
        </w:tc>
      </w:tr>
      <w:tr>
        <w:trPr>
          <w:trHeight w:val="250"/>
        </w:trPr>
        <w:tc>
          <w:tcPr>
            <w:tcW w:w="53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r>
      <w:tr>
        <w:trPr>
          <w:trHeight w:val="230"/>
        </w:trPr>
        <w:tc>
          <w:tcPr>
            <w:tcW w:w="5360" w:type="dxa"/>
            <w:vAlign w:val="bottom"/>
          </w:tcPr>
          <w:p>
            <w:pPr>
              <w:ind w:left="80"/>
              <w:spacing w:after="0"/>
              <w:rPr>
                <w:sz w:val="20"/>
                <w:szCs w:val="20"/>
                <w:color w:val="auto"/>
              </w:rPr>
            </w:pPr>
            <w:r>
              <w:rPr>
                <w:rFonts w:ascii="Arial" w:cs="Arial" w:eastAsia="Arial" w:hAnsi="Arial"/>
                <w:sz w:val="18"/>
                <w:szCs w:val="18"/>
                <w:b w:val="1"/>
                <w:bCs w:val="1"/>
                <w:color w:val="0A0A0A"/>
              </w:rPr>
              <w:t>Operating Expenses:</w:t>
            </w: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Aircraft Fuel</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268,363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129,110</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107.9</w:t>
            </w: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Salaries, Wages, and Benefits</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245,855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0A0A0A"/>
              </w:rPr>
              <w:t>178,207</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38.0</w:t>
            </w: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Aircraft Rent</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17,653</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Maintenance</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46,604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0A0A0A"/>
              </w:rPr>
              <w:t>40,095</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Sales and Marketing</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22,060</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Depreciation and Amortization</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67,641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0A0A0A"/>
              </w:rPr>
              <w:t>57,075</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A0A0A"/>
              </w:rPr>
              <w:t>18.5</w:t>
            </w: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Ground Handling</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26,981</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Landing Fees and Airport Rent</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45,658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0A0A0A"/>
              </w:rPr>
              <w:t>40,726</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Special Items, net</w:t>
            </w:r>
          </w:p>
        </w:tc>
        <w:tc>
          <w:tcPr>
            <w:tcW w:w="4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(72,419)</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0A0A0A"/>
              </w:rPr>
              <w:t>Other Operating, net</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90,978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71,580</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r>
      <w:tr>
        <w:trPr>
          <w:trHeight w:val="223"/>
        </w:trPr>
        <w:tc>
          <w:tcPr>
            <w:tcW w:w="5360" w:type="dxa"/>
            <w:vAlign w:val="bottom"/>
            <w:shd w:val="clear" w:color="auto" w:fill="CCEEFF"/>
          </w:tcPr>
          <w:p>
            <w:pPr>
              <w:ind w:left="300"/>
              <w:spacing w:after="0"/>
              <w:rPr>
                <w:sz w:val="20"/>
                <w:szCs w:val="20"/>
                <w:color w:val="auto"/>
              </w:rPr>
            </w:pPr>
            <w:r>
              <w:rPr>
                <w:rFonts w:ascii="Arial" w:cs="Arial" w:eastAsia="Arial" w:hAnsi="Arial"/>
                <w:sz w:val="18"/>
                <w:szCs w:val="18"/>
                <w:color w:val="0A0A0A"/>
              </w:rPr>
              <w:t>Total Operating Expenses</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838,736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511,068</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64.1</w:t>
            </w:r>
          </w:p>
        </w:tc>
      </w:tr>
      <w:tr>
        <w:trPr>
          <w:trHeight w:val="223"/>
        </w:trPr>
        <w:tc>
          <w:tcPr>
            <w:tcW w:w="53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0A0A0A"/>
              </w:rPr>
              <w:t>Operating Income</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55,708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111,947</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(50.2)</w:t>
            </w:r>
          </w:p>
        </w:tc>
      </w:tr>
      <w:tr>
        <w:trPr>
          <w:trHeight w:val="196"/>
        </w:trPr>
        <w:tc>
          <w:tcPr>
            <w:tcW w:w="5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r>
      <w:tr>
        <w:trPr>
          <w:trHeight w:val="229"/>
        </w:trPr>
        <w:tc>
          <w:tcPr>
            <w:tcW w:w="5360" w:type="dxa"/>
            <w:vAlign w:val="bottom"/>
          </w:tcPr>
          <w:p>
            <w:pPr>
              <w:ind w:left="80"/>
              <w:spacing w:after="0"/>
              <w:rPr>
                <w:sz w:val="20"/>
                <w:szCs w:val="20"/>
                <w:color w:val="auto"/>
              </w:rPr>
            </w:pPr>
            <w:r>
              <w:rPr>
                <w:rFonts w:ascii="Arial" w:cs="Arial" w:eastAsia="Arial" w:hAnsi="Arial"/>
                <w:sz w:val="18"/>
                <w:szCs w:val="18"/>
                <w:b w:val="1"/>
                <w:bCs w:val="1"/>
                <w:color w:val="0A0A0A"/>
              </w:rPr>
              <w:t>Non-operating Income (Expense):</w:t>
            </w: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Interest Income</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85</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Interest Expense</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(31,018)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0A0A0A"/>
              </w:rPr>
              <w:t>(26,326)</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Other, net</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14,624</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5360" w:type="dxa"/>
            <w:vAlign w:val="bottom"/>
          </w:tcPr>
          <w:p>
            <w:pPr>
              <w:ind w:left="300"/>
              <w:spacing w:after="0"/>
              <w:rPr>
                <w:sz w:val="20"/>
                <w:szCs w:val="20"/>
                <w:color w:val="auto"/>
              </w:rPr>
            </w:pPr>
            <w:r>
              <w:rPr>
                <w:rFonts w:ascii="Arial" w:cs="Arial" w:eastAsia="Arial" w:hAnsi="Arial"/>
                <w:sz w:val="18"/>
                <w:szCs w:val="18"/>
                <w:color w:val="0A0A0A"/>
              </w:rPr>
              <w:t>Total Non-operating Expense, net</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(31,726)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0A0A0A"/>
              </w:rPr>
              <w:t>(11,617)</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173.1</w:t>
            </w:r>
          </w:p>
        </w:tc>
      </w:tr>
      <w:tr>
        <w:trPr>
          <w:trHeight w:val="203"/>
        </w:trPr>
        <w:tc>
          <w:tcPr>
            <w:tcW w:w="536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80" w:type="dxa"/>
            <w:vAlign w:val="bottom"/>
            <w:tcBorders>
              <w:bottom w:val="single" w:sz="8" w:color="auto"/>
            </w:tcBorders>
            <w:shd w:val="clear" w:color="auto" w:fill="CCEEFF"/>
          </w:tcPr>
          <w:p>
            <w:pPr>
              <w:spacing w:after="0"/>
              <w:rPr>
                <w:sz w:val="17"/>
                <w:szCs w:val="17"/>
                <w:color w:val="auto"/>
              </w:rPr>
            </w:pPr>
          </w:p>
        </w:tc>
      </w:tr>
      <w:tr>
        <w:trPr>
          <w:trHeight w:val="223"/>
        </w:trPr>
        <w:tc>
          <w:tcPr>
            <w:tcW w:w="53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0A0A0A"/>
              </w:rPr>
              <w:t>Income before Income Tax</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23,982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100,330</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w:t>
            </w:r>
          </w:p>
        </w:tc>
      </w:tr>
      <w:tr>
        <w:trPr>
          <w:trHeight w:val="223"/>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Income Tax Expense</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19,082</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r>
      <w:tr>
        <w:trPr>
          <w:trHeight w:val="223"/>
        </w:trPr>
        <w:tc>
          <w:tcPr>
            <w:tcW w:w="5360" w:type="dxa"/>
            <w:vAlign w:val="bottom"/>
          </w:tcPr>
          <w:p>
            <w:pPr>
              <w:ind w:left="80"/>
              <w:spacing w:after="0"/>
              <w:rPr>
                <w:sz w:val="20"/>
                <w:szCs w:val="20"/>
                <w:color w:val="auto"/>
              </w:rPr>
            </w:pPr>
            <w:r>
              <w:rPr>
                <w:rFonts w:ascii="Arial" w:cs="Arial" w:eastAsia="Arial" w:hAnsi="Arial"/>
                <w:sz w:val="18"/>
                <w:szCs w:val="18"/>
                <w:color w:val="0A0A0A"/>
              </w:rPr>
              <w:t>Net Income</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81,248</w:t>
            </w:r>
          </w:p>
        </w:tc>
        <w:tc>
          <w:tcPr>
            <w:tcW w:w="8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w:t>
            </w: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83"/>
        </w:trPr>
        <w:tc>
          <w:tcPr>
            <w:tcW w:w="53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r>
      <w:tr>
        <w:trPr>
          <w:trHeight w:val="229"/>
        </w:trPr>
        <w:tc>
          <w:tcPr>
            <w:tcW w:w="5360" w:type="dxa"/>
            <w:vAlign w:val="bottom"/>
          </w:tcPr>
          <w:p>
            <w:pPr>
              <w:ind w:left="80"/>
              <w:spacing w:after="0"/>
              <w:rPr>
                <w:sz w:val="20"/>
                <w:szCs w:val="20"/>
                <w:color w:val="auto"/>
              </w:rPr>
            </w:pPr>
            <w:r>
              <w:rPr>
                <w:rFonts w:ascii="Arial" w:cs="Arial" w:eastAsia="Arial" w:hAnsi="Arial"/>
                <w:sz w:val="18"/>
                <w:szCs w:val="18"/>
                <w:color w:val="0A0A0A"/>
              </w:rPr>
              <w:t>Net Income per share to common stockholders:</w:t>
            </w: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Basic</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0A0A0A"/>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1.47</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Diluted</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0A0A0A"/>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0A0A0A"/>
              </w:rPr>
              <w:t>1.37</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(78.8)</w:t>
            </w:r>
          </w:p>
        </w:tc>
      </w:tr>
      <w:tr>
        <w:trPr>
          <w:trHeight w:val="230"/>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Shares used for computation:</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Basic</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57,951,955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0A0A0A"/>
              </w:rPr>
              <w:t>55,182,811</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Diluted</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61,046,595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59,324,040</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0A0A0A"/>
        </w:rPr>
        <w:t>“NM” stands for not meaningful</w:t>
      </w:r>
    </w:p>
    <w:p>
      <w:pPr>
        <w:sectPr>
          <w:pgSz w:w="11900" w:h="16838" w:orient="portrait"/>
          <w:cols w:equalWidth="0" w:num="1">
            <w:col w:w="11220"/>
          </w:cols>
          <w:pgMar w:left="320" w:top="133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7</w:t>
      </w:r>
    </w:p>
    <w:p>
      <w:pPr>
        <w:sectPr>
          <w:pgSz w:w="11900" w:h="16838" w:orient="portrait"/>
          <w:cols w:equalWidth="0" w:num="1">
            <w:col w:w="11220"/>
          </w:cols>
          <w:pgMar w:left="320" w:top="1332" w:right="359" w:bottom="1440" w:gutter="0" w:footer="0" w:header="0"/>
          <w:type w:val="continuous"/>
        </w:sectPr>
      </w:pPr>
    </w:p>
    <w:bookmarkStart w:id="10" w:name="page11"/>
    <w:bookmarkEnd w:id="10"/>
    <w:p>
      <w:pPr>
        <w:ind w:left="20"/>
        <w:spacing w:after="0"/>
        <w:rPr>
          <w:sz w:val="20"/>
          <w:szCs w:val="20"/>
          <w:color w:val="auto"/>
        </w:rPr>
      </w:pPr>
      <w:r>
        <w:rPr>
          <w:rFonts w:ascii="Arial" w:cs="Arial" w:eastAsia="Arial" w:hAnsi="Arial"/>
          <w:sz w:val="18"/>
          <w:szCs w:val="18"/>
          <w:b w:val="1"/>
          <w:bCs w:val="1"/>
          <w:color w:val="auto"/>
        </w:rPr>
        <w:t>KEY OPERATING STATISTICS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0294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29450" cy="8255"/>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key operating statistics and metrics for the three months and year ended December 31, 2022 and 2021.</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640" w:type="dxa"/>
            <w:vAlign w:val="bottom"/>
            <w:gridSpan w:val="3"/>
          </w:tcPr>
          <w:p>
            <w:pPr>
              <w:jc w:val="right"/>
              <w:ind w:right="851"/>
              <w:spacing w:after="0"/>
              <w:rPr>
                <w:sz w:val="20"/>
                <w:szCs w:val="20"/>
                <w:color w:val="auto"/>
              </w:rPr>
            </w:pPr>
            <w:r>
              <w:rPr>
                <w:rFonts w:ascii="Arial" w:cs="Arial" w:eastAsia="Arial" w:hAnsi="Arial"/>
                <w:sz w:val="14"/>
                <w:szCs w:val="14"/>
                <w:b w:val="1"/>
                <w:bCs w:val="1"/>
                <w:color w:val="0A0A0A"/>
              </w:rPr>
              <w:t>Three Months Ended December 31,</w:t>
            </w:r>
          </w:p>
        </w:tc>
        <w:tc>
          <w:tcPr>
            <w:tcW w:w="1660" w:type="dxa"/>
            <w:vAlign w:val="bottom"/>
          </w:tcPr>
          <w:p>
            <w:pPr>
              <w:spacing w:after="0"/>
              <w:rPr>
                <w:sz w:val="16"/>
                <w:szCs w:val="16"/>
                <w:color w:val="auto"/>
              </w:rPr>
            </w:pPr>
          </w:p>
        </w:tc>
      </w:tr>
      <w:tr>
        <w:trPr>
          <w:trHeight w:val="215"/>
        </w:trPr>
        <w:tc>
          <w:tcPr>
            <w:tcW w:w="46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891"/>
              <w:spacing w:after="0"/>
              <w:rPr>
                <w:sz w:val="20"/>
                <w:szCs w:val="20"/>
                <w:color w:val="auto"/>
              </w:rPr>
            </w:pPr>
            <w:r>
              <w:rPr>
                <w:rFonts w:ascii="Arial" w:cs="Arial" w:eastAsia="Arial" w:hAnsi="Arial"/>
                <w:sz w:val="14"/>
                <w:szCs w:val="14"/>
                <w:b w:val="1"/>
                <w:bCs w:val="1"/>
                <w:color w:val="auto"/>
              </w:rPr>
              <w:t>2021</w:t>
            </w:r>
            <w:r>
              <w:rPr>
                <w:rFonts w:ascii="Arial" w:cs="Arial" w:eastAsia="Arial" w:hAnsi="Arial"/>
                <w:sz w:val="18"/>
                <w:szCs w:val="18"/>
                <w:b w:val="1"/>
                <w:bCs w:val="1"/>
                <w:color w:val="auto"/>
                <w:vertAlign w:val="superscript"/>
              </w:rPr>
              <w:t>(7)</w:t>
            </w:r>
          </w:p>
        </w:tc>
        <w:tc>
          <w:tcPr>
            <w:tcW w:w="16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 Change</w:t>
            </w:r>
          </w:p>
        </w:tc>
      </w:tr>
      <w:tr>
        <w:trPr>
          <w:trHeight w:val="223"/>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Scheduled Service Statistics:</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4620" w:type="dxa"/>
            <w:vAlign w:val="bottom"/>
          </w:tcPr>
          <w:p>
            <w:pPr>
              <w:ind w:left="80"/>
              <w:spacing w:after="0"/>
              <w:rPr>
                <w:sz w:val="20"/>
                <w:szCs w:val="20"/>
                <w:color w:val="auto"/>
              </w:rPr>
            </w:pPr>
            <w:r>
              <w:rPr>
                <w:rFonts w:ascii="Arial" w:cs="Arial" w:eastAsia="Arial" w:hAnsi="Arial"/>
                <w:sz w:val="18"/>
                <w:szCs w:val="18"/>
                <w:color w:val="auto"/>
              </w:rPr>
              <w:t>Revenue passenger miles (RPMs) – thousands</w:t>
            </w:r>
          </w:p>
        </w:tc>
        <w:tc>
          <w:tcPr>
            <w:tcW w:w="1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1,141,495</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912,238</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25.1</w:t>
            </w: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Available seat miles (ASMs) – thousands</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1,352,830</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1,190,868</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13.6</w:t>
            </w:r>
          </w:p>
        </w:tc>
      </w:tr>
      <w:tr>
        <w:trPr>
          <w:trHeight w:val="229"/>
        </w:trPr>
        <w:tc>
          <w:tcPr>
            <w:tcW w:w="4620" w:type="dxa"/>
            <w:vAlign w:val="bottom"/>
          </w:tcPr>
          <w:p>
            <w:pPr>
              <w:ind w:left="80"/>
              <w:spacing w:after="0"/>
              <w:rPr>
                <w:sz w:val="20"/>
                <w:szCs w:val="20"/>
                <w:color w:val="auto"/>
              </w:rPr>
            </w:pPr>
            <w:r>
              <w:rPr>
                <w:rFonts w:ascii="Arial" w:cs="Arial" w:eastAsia="Arial" w:hAnsi="Arial"/>
                <w:sz w:val="18"/>
                <w:szCs w:val="18"/>
                <w:color w:val="auto"/>
              </w:rPr>
              <w:t>Load factor</w:t>
            </w:r>
          </w:p>
        </w:tc>
        <w:tc>
          <w:tcPr>
            <w:tcW w:w="1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84.4%</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76.6%</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7.8</w:t>
            </w: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Revenue passengers carried</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882,877</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694,965</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27.0</w:t>
            </w:r>
          </w:p>
        </w:tc>
      </w:tr>
      <w:tr>
        <w:trPr>
          <w:trHeight w:val="229"/>
        </w:trPr>
        <w:tc>
          <w:tcPr>
            <w:tcW w:w="4620" w:type="dxa"/>
            <w:vAlign w:val="bottom"/>
          </w:tcPr>
          <w:p>
            <w:pPr>
              <w:ind w:left="80"/>
              <w:spacing w:after="0"/>
              <w:rPr>
                <w:sz w:val="20"/>
                <w:szCs w:val="20"/>
                <w:color w:val="auto"/>
              </w:rPr>
            </w:pPr>
            <w:r>
              <w:rPr>
                <w:rFonts w:ascii="Arial" w:cs="Arial" w:eastAsia="Arial" w:hAnsi="Arial"/>
                <w:sz w:val="18"/>
                <w:szCs w:val="18"/>
                <w:color w:val="auto"/>
              </w:rPr>
              <w:t>Departures</w:t>
            </w:r>
          </w:p>
        </w:tc>
        <w:tc>
          <w:tcPr>
            <w:tcW w:w="1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5,654</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4,929</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14.7</w:t>
            </w:r>
          </w:p>
        </w:tc>
      </w:tr>
      <w:tr>
        <w:trPr>
          <w:trHeight w:val="229"/>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Block hours</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18,496</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16,164</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14.4</w:t>
            </w:r>
          </w:p>
        </w:tc>
      </w:tr>
      <w:tr>
        <w:trPr>
          <w:trHeight w:val="230"/>
        </w:trPr>
        <w:tc>
          <w:tcPr>
            <w:tcW w:w="4620" w:type="dxa"/>
            <w:vAlign w:val="bottom"/>
          </w:tcPr>
          <w:p>
            <w:pPr>
              <w:ind w:left="80"/>
              <w:spacing w:after="0" w:line="230" w:lineRule="exact"/>
              <w:rPr>
                <w:sz w:val="20"/>
                <w:szCs w:val="20"/>
                <w:color w:val="auto"/>
              </w:rPr>
            </w:pPr>
            <w:r>
              <w:rPr>
                <w:rFonts w:ascii="Arial" w:cs="Arial" w:eastAsia="Arial" w:hAnsi="Arial"/>
                <w:sz w:val="18"/>
                <w:szCs w:val="18"/>
                <w:color w:val="auto"/>
              </w:rPr>
              <w:t>Scheduled service TRASM</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 cents</w:t>
            </w:r>
          </w:p>
        </w:tc>
        <w:tc>
          <w:tcPr>
            <w:tcW w:w="1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11.80</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9.27</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27.3</w:t>
            </w:r>
          </w:p>
        </w:tc>
      </w:tr>
      <w:tr>
        <w:trPr>
          <w:trHeight w:val="229"/>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Average base fare per passenger</w:t>
            </w:r>
          </w:p>
        </w:tc>
        <w:tc>
          <w:tcPr>
            <w:tcW w:w="11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117.38</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111.48</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5.3</w:t>
            </w:r>
          </w:p>
        </w:tc>
      </w:tr>
      <w:tr>
        <w:trPr>
          <w:trHeight w:val="230"/>
        </w:trPr>
        <w:tc>
          <w:tcPr>
            <w:tcW w:w="4620" w:type="dxa"/>
            <w:vAlign w:val="bottom"/>
          </w:tcPr>
          <w:p>
            <w:pPr>
              <w:ind w:left="80"/>
              <w:spacing w:after="0"/>
              <w:rPr>
                <w:sz w:val="20"/>
                <w:szCs w:val="20"/>
                <w:color w:val="auto"/>
              </w:rPr>
            </w:pPr>
            <w:r>
              <w:rPr>
                <w:rFonts w:ascii="Arial" w:cs="Arial" w:eastAsia="Arial" w:hAnsi="Arial"/>
                <w:sz w:val="18"/>
                <w:szCs w:val="18"/>
                <w:color w:val="auto"/>
              </w:rPr>
              <w:t>Ancillary revenue per passenger</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59.98</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44.05</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36.2</w:t>
            </w:r>
          </w:p>
        </w:tc>
      </w:tr>
      <w:tr>
        <w:trPr>
          <w:trHeight w:val="229"/>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Fuel gallons - thousands</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14,282</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12,386</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15.3</w:t>
            </w:r>
          </w:p>
        </w:tc>
      </w:tr>
      <w:tr>
        <w:trPr>
          <w:trHeight w:val="270"/>
        </w:trPr>
        <w:tc>
          <w:tcPr>
            <w:tcW w:w="46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29"/>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Charter Statistics:</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4620" w:type="dxa"/>
            <w:vAlign w:val="bottom"/>
          </w:tcPr>
          <w:p>
            <w:pPr>
              <w:ind w:left="80"/>
              <w:spacing w:after="0"/>
              <w:rPr>
                <w:sz w:val="20"/>
                <w:szCs w:val="20"/>
                <w:color w:val="auto"/>
              </w:rPr>
            </w:pPr>
            <w:r>
              <w:rPr>
                <w:rFonts w:ascii="Arial" w:cs="Arial" w:eastAsia="Arial" w:hAnsi="Arial"/>
                <w:sz w:val="18"/>
                <w:szCs w:val="18"/>
                <w:color w:val="auto"/>
              </w:rPr>
              <w:t>Departures</w:t>
            </w:r>
          </w:p>
        </w:tc>
        <w:tc>
          <w:tcPr>
            <w:tcW w:w="1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2,402</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2,057</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16.8</w:t>
            </w:r>
          </w:p>
        </w:tc>
      </w:tr>
      <w:tr>
        <w:trPr>
          <w:trHeight w:val="229"/>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Block hours</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4,788</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4,145</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15.5</w:t>
            </w:r>
          </w:p>
        </w:tc>
      </w:tr>
      <w:tr>
        <w:trPr>
          <w:trHeight w:val="229"/>
        </w:trPr>
        <w:tc>
          <w:tcPr>
            <w:tcW w:w="4620" w:type="dxa"/>
            <w:vAlign w:val="bottom"/>
          </w:tcPr>
          <w:p>
            <w:pPr>
              <w:ind w:left="80"/>
              <w:spacing w:after="0"/>
              <w:rPr>
                <w:sz w:val="20"/>
                <w:szCs w:val="20"/>
                <w:color w:val="auto"/>
              </w:rPr>
            </w:pPr>
            <w:r>
              <w:rPr>
                <w:rFonts w:ascii="Arial" w:cs="Arial" w:eastAsia="Arial" w:hAnsi="Arial"/>
                <w:sz w:val="18"/>
                <w:szCs w:val="18"/>
                <w:color w:val="auto"/>
              </w:rPr>
              <w:t>Available seats miles (ASMs) - thousands</w:t>
            </w:r>
          </w:p>
        </w:tc>
        <w:tc>
          <w:tcPr>
            <w:tcW w:w="1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292,832</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257,250</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13.8</w:t>
            </w: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Fuel gallons - thousands</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2,990</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(0.7)</w:t>
            </w:r>
          </w:p>
        </w:tc>
      </w:tr>
      <w:tr>
        <w:trPr>
          <w:trHeight w:val="270"/>
        </w:trPr>
        <w:tc>
          <w:tcPr>
            <w:tcW w:w="46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Cargo Statistics:</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4620" w:type="dxa"/>
            <w:vAlign w:val="bottom"/>
          </w:tcPr>
          <w:p>
            <w:pPr>
              <w:ind w:left="80"/>
              <w:spacing w:after="0"/>
              <w:rPr>
                <w:sz w:val="20"/>
                <w:szCs w:val="20"/>
                <w:color w:val="auto"/>
              </w:rPr>
            </w:pPr>
            <w:r>
              <w:rPr>
                <w:rFonts w:ascii="Arial" w:cs="Arial" w:eastAsia="Arial" w:hAnsi="Arial"/>
                <w:sz w:val="18"/>
                <w:szCs w:val="18"/>
                <w:color w:val="auto"/>
              </w:rPr>
              <w:t>Departures</w:t>
            </w:r>
          </w:p>
        </w:tc>
        <w:tc>
          <w:tcPr>
            <w:tcW w:w="1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3,309</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3,066</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7.9</w:t>
            </w: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Block hours</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8,962</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(1.8)</w:t>
            </w:r>
          </w:p>
        </w:tc>
      </w:tr>
      <w:tr>
        <w:trPr>
          <w:trHeight w:val="270"/>
        </w:trPr>
        <w:tc>
          <w:tcPr>
            <w:tcW w:w="46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29"/>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Total System Statistics:</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4620" w:type="dxa"/>
            <w:vAlign w:val="bottom"/>
          </w:tcPr>
          <w:p>
            <w:pPr>
              <w:ind w:left="80"/>
              <w:spacing w:after="0"/>
              <w:rPr>
                <w:sz w:val="20"/>
                <w:szCs w:val="20"/>
                <w:color w:val="auto"/>
              </w:rPr>
            </w:pPr>
            <w:r>
              <w:rPr>
                <w:rFonts w:ascii="Arial" w:cs="Arial" w:eastAsia="Arial" w:hAnsi="Arial"/>
                <w:sz w:val="18"/>
                <w:szCs w:val="18"/>
                <w:color w:val="auto"/>
              </w:rPr>
              <w:t>Average passenger aircraft</w:t>
            </w:r>
          </w:p>
        </w:tc>
        <w:tc>
          <w:tcPr>
            <w:tcW w:w="1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38.1</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34.0</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12.1</w:t>
            </w: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Passenger aircraft – end of period</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36</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16.7</w:t>
            </w:r>
          </w:p>
        </w:tc>
      </w:tr>
      <w:tr>
        <w:trPr>
          <w:trHeight w:val="230"/>
        </w:trPr>
        <w:tc>
          <w:tcPr>
            <w:tcW w:w="4620" w:type="dxa"/>
            <w:vAlign w:val="bottom"/>
          </w:tcPr>
          <w:p>
            <w:pPr>
              <w:ind w:left="80"/>
              <w:spacing w:after="0"/>
              <w:rPr>
                <w:sz w:val="20"/>
                <w:szCs w:val="20"/>
                <w:color w:val="auto"/>
              </w:rPr>
            </w:pPr>
            <w:r>
              <w:rPr>
                <w:rFonts w:ascii="Arial" w:cs="Arial" w:eastAsia="Arial" w:hAnsi="Arial"/>
                <w:sz w:val="18"/>
                <w:szCs w:val="18"/>
                <w:color w:val="auto"/>
              </w:rPr>
              <w:t>Cargo aircraft – end of period</w:t>
            </w:r>
          </w:p>
        </w:tc>
        <w:tc>
          <w:tcPr>
            <w:tcW w:w="1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12</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Available seat miles (ASMs) – thousands</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1,657,207</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1,457,855</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13.7</w:t>
            </w:r>
          </w:p>
        </w:tc>
      </w:tr>
      <w:tr>
        <w:trPr>
          <w:trHeight w:val="229"/>
        </w:trPr>
        <w:tc>
          <w:tcPr>
            <w:tcW w:w="4620" w:type="dxa"/>
            <w:vAlign w:val="bottom"/>
          </w:tcPr>
          <w:p>
            <w:pPr>
              <w:ind w:left="80"/>
              <w:spacing w:after="0"/>
              <w:rPr>
                <w:sz w:val="20"/>
                <w:szCs w:val="20"/>
                <w:color w:val="auto"/>
              </w:rPr>
            </w:pPr>
            <w:r>
              <w:rPr>
                <w:rFonts w:ascii="Arial" w:cs="Arial" w:eastAsia="Arial" w:hAnsi="Arial"/>
                <w:sz w:val="18"/>
                <w:szCs w:val="18"/>
                <w:color w:val="auto"/>
              </w:rPr>
              <w:t>Departures</w:t>
            </w:r>
          </w:p>
        </w:tc>
        <w:tc>
          <w:tcPr>
            <w:tcW w:w="1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11,440</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10,121</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13.0</w:t>
            </w: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Block hours</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32,309</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29,458</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9.7</w:t>
            </w:r>
          </w:p>
        </w:tc>
      </w:tr>
      <w:tr>
        <w:trPr>
          <w:trHeight w:val="230"/>
        </w:trPr>
        <w:tc>
          <w:tcPr>
            <w:tcW w:w="4620" w:type="dxa"/>
            <w:vAlign w:val="bottom"/>
          </w:tcPr>
          <w:p>
            <w:pPr>
              <w:ind w:left="80"/>
              <w:spacing w:after="0"/>
              <w:rPr>
                <w:sz w:val="20"/>
                <w:szCs w:val="20"/>
                <w:color w:val="auto"/>
              </w:rPr>
            </w:pPr>
            <w:r>
              <w:rPr>
                <w:rFonts w:ascii="Arial" w:cs="Arial" w:eastAsia="Arial" w:hAnsi="Arial"/>
                <w:sz w:val="18"/>
                <w:szCs w:val="18"/>
                <w:color w:val="auto"/>
              </w:rPr>
              <w:t>Daily utilization – hours</w:t>
            </w:r>
          </w:p>
        </w:tc>
        <w:tc>
          <w:tcPr>
            <w:tcW w:w="1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6.6</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1.5</w:t>
            </w: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Average stage length – miles</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1,138</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(2.2)</w:t>
            </w:r>
          </w:p>
        </w:tc>
      </w:tr>
      <w:tr>
        <w:trPr>
          <w:trHeight w:val="229"/>
        </w:trPr>
        <w:tc>
          <w:tcPr>
            <w:tcW w:w="4620" w:type="dxa"/>
            <w:vAlign w:val="bottom"/>
          </w:tcPr>
          <w:p>
            <w:pPr>
              <w:ind w:left="80"/>
              <w:spacing w:after="0" w:line="230" w:lineRule="exact"/>
              <w:rPr>
                <w:sz w:val="20"/>
                <w:szCs w:val="20"/>
                <w:color w:val="auto"/>
              </w:rPr>
            </w:pPr>
            <w:r>
              <w:rPr>
                <w:rFonts w:ascii="Arial" w:cs="Arial" w:eastAsia="Arial" w:hAnsi="Arial"/>
                <w:sz w:val="18"/>
                <w:szCs w:val="18"/>
                <w:color w:val="auto"/>
              </w:rPr>
              <w:t>Total revenue per ASM (TRASM)</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 cents</w:t>
            </w:r>
          </w:p>
        </w:tc>
        <w:tc>
          <w:tcPr>
            <w:tcW w:w="1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12.23</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10.23</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19.6</w:t>
            </w: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Cost per ASM (CASM) - cents</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11.13</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14.9</w:t>
            </w:r>
          </w:p>
        </w:tc>
      </w:tr>
      <w:tr>
        <w:trPr>
          <w:trHeight w:val="230"/>
        </w:trPr>
        <w:tc>
          <w:tcPr>
            <w:tcW w:w="4620" w:type="dxa"/>
            <w:vAlign w:val="bottom"/>
          </w:tcPr>
          <w:p>
            <w:pPr>
              <w:ind w:left="80"/>
              <w:spacing w:after="0"/>
              <w:rPr>
                <w:sz w:val="20"/>
                <w:szCs w:val="20"/>
                <w:color w:val="auto"/>
              </w:rPr>
            </w:pPr>
            <w:r>
              <w:rPr>
                <w:rFonts w:ascii="Arial" w:cs="Arial" w:eastAsia="Arial" w:hAnsi="Arial"/>
                <w:sz w:val="18"/>
                <w:szCs w:val="18"/>
                <w:color w:val="auto"/>
              </w:rPr>
              <w:t>Adjusted CASM - cents</w:t>
            </w:r>
          </w:p>
        </w:tc>
        <w:tc>
          <w:tcPr>
            <w:tcW w:w="1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7.44</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6.95</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7.1</w:t>
            </w: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Fuel gallons - thousands</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17,369</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15,470</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12.3</w:t>
            </w:r>
          </w:p>
        </w:tc>
      </w:tr>
      <w:tr>
        <w:trPr>
          <w:trHeight w:val="229"/>
        </w:trPr>
        <w:tc>
          <w:tcPr>
            <w:tcW w:w="4620" w:type="dxa"/>
            <w:vAlign w:val="bottom"/>
          </w:tcPr>
          <w:p>
            <w:pPr>
              <w:ind w:left="80"/>
              <w:spacing w:after="0"/>
              <w:rPr>
                <w:sz w:val="20"/>
                <w:szCs w:val="20"/>
                <w:color w:val="auto"/>
              </w:rPr>
            </w:pPr>
            <w:r>
              <w:rPr>
                <w:rFonts w:ascii="Arial" w:cs="Arial" w:eastAsia="Arial" w:hAnsi="Arial"/>
                <w:sz w:val="18"/>
                <w:szCs w:val="18"/>
                <w:color w:val="auto"/>
              </w:rPr>
              <w:t>Fuel cost per gallon, excluding derivatives</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3.58</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2.49</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43.8</w:t>
            </w: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Employees at end of period</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2,181</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15.1</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1 – Scheduled service TRASM = scheduled service revenue + ancillary revenue + other revenue / scheduled service ASMs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2 – Total system TRASM = total revenue – cargo revenue / system ASMs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Page 8</w:t>
      </w:r>
    </w:p>
    <w:p>
      <w:pPr>
        <w:sectPr>
          <w:pgSz w:w="11900" w:h="16838" w:orient="portrait"/>
          <w:cols w:equalWidth="0" w:num="1">
            <w:col w:w="11100"/>
          </w:cols>
          <w:pgMar w:left="320" w:top="1102" w:right="479" w:bottom="1440" w:gutter="0" w:footer="0" w:header="0"/>
        </w:sectPr>
      </w:pPr>
    </w:p>
    <w:bookmarkStart w:id="11" w:name="page12"/>
    <w:bookmarkEnd w:id="11"/>
    <w:p>
      <w:pPr>
        <w:ind w:left="20"/>
        <w:spacing w:after="0"/>
        <w:rPr>
          <w:sz w:val="20"/>
          <w:szCs w:val="20"/>
          <w:color w:val="auto"/>
        </w:rPr>
      </w:pPr>
      <w:r>
        <w:rPr>
          <w:rFonts w:ascii="Arial" w:cs="Arial" w:eastAsia="Arial" w:hAnsi="Arial"/>
          <w:sz w:val="18"/>
          <w:szCs w:val="18"/>
          <w:b w:val="1"/>
          <w:bCs w:val="1"/>
          <w:color w:val="auto"/>
        </w:rPr>
        <w:t>KEY OPERATING STATISTICS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0034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600" w:type="dxa"/>
            <w:vAlign w:val="bottom"/>
            <w:gridSpan w:val="3"/>
          </w:tcPr>
          <w:p>
            <w:pPr>
              <w:jc w:val="right"/>
              <w:ind w:right="1171"/>
              <w:spacing w:after="0"/>
              <w:rPr>
                <w:sz w:val="20"/>
                <w:szCs w:val="20"/>
                <w:color w:val="auto"/>
              </w:rPr>
            </w:pPr>
            <w:r>
              <w:rPr>
                <w:rFonts w:ascii="Arial" w:cs="Arial" w:eastAsia="Arial" w:hAnsi="Arial"/>
                <w:sz w:val="14"/>
                <w:szCs w:val="14"/>
                <w:b w:val="1"/>
                <w:bCs w:val="1"/>
                <w:color w:val="0A0A0A"/>
              </w:rPr>
              <w:t>Year Ended December 31,</w:t>
            </w:r>
          </w:p>
        </w:tc>
        <w:tc>
          <w:tcPr>
            <w:tcW w:w="1660" w:type="dxa"/>
            <w:vAlign w:val="bottom"/>
          </w:tcPr>
          <w:p>
            <w:pPr>
              <w:spacing w:after="0"/>
              <w:rPr>
                <w:sz w:val="16"/>
                <w:szCs w:val="16"/>
                <w:color w:val="auto"/>
              </w:rPr>
            </w:pPr>
          </w:p>
        </w:tc>
      </w:tr>
      <w:tr>
        <w:trPr>
          <w:trHeight w:val="215"/>
        </w:trPr>
        <w:tc>
          <w:tcPr>
            <w:tcW w:w="46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891"/>
              <w:spacing w:after="0"/>
              <w:rPr>
                <w:sz w:val="20"/>
                <w:szCs w:val="20"/>
                <w:color w:val="auto"/>
              </w:rPr>
            </w:pPr>
            <w:r>
              <w:rPr>
                <w:rFonts w:ascii="Arial" w:cs="Arial" w:eastAsia="Arial" w:hAnsi="Arial"/>
                <w:sz w:val="14"/>
                <w:szCs w:val="14"/>
                <w:b w:val="1"/>
                <w:bCs w:val="1"/>
                <w:color w:val="auto"/>
              </w:rPr>
              <w:t>2021</w:t>
            </w:r>
            <w:r>
              <w:rPr>
                <w:rFonts w:ascii="Arial" w:cs="Arial" w:eastAsia="Arial" w:hAnsi="Arial"/>
                <w:sz w:val="18"/>
                <w:szCs w:val="18"/>
                <w:b w:val="1"/>
                <w:bCs w:val="1"/>
                <w:color w:val="auto"/>
                <w:vertAlign w:val="superscript"/>
              </w:rPr>
              <w:t>(7)</w:t>
            </w:r>
          </w:p>
        </w:tc>
        <w:tc>
          <w:tcPr>
            <w:tcW w:w="16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 Change</w:t>
            </w:r>
          </w:p>
        </w:tc>
      </w:tr>
      <w:tr>
        <w:trPr>
          <w:trHeight w:val="223"/>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Scheduled Service Statistics:</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4660" w:type="dxa"/>
            <w:vAlign w:val="bottom"/>
          </w:tcPr>
          <w:p>
            <w:pPr>
              <w:ind w:left="140"/>
              <w:spacing w:after="0"/>
              <w:rPr>
                <w:sz w:val="20"/>
                <w:szCs w:val="20"/>
                <w:color w:val="auto"/>
              </w:rPr>
            </w:pPr>
            <w:r>
              <w:rPr>
                <w:rFonts w:ascii="Arial" w:cs="Arial" w:eastAsia="Arial" w:hAnsi="Arial"/>
                <w:sz w:val="18"/>
                <w:szCs w:val="18"/>
                <w:color w:val="auto"/>
              </w:rPr>
              <w:t>Revenue passenger miles (RPMs) – thousands</w:t>
            </w:r>
          </w:p>
        </w:tc>
        <w:tc>
          <w:tcPr>
            <w:tcW w:w="1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4,706,996</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3,618,208</w:t>
            </w:r>
          </w:p>
        </w:tc>
        <w:tc>
          <w:tcPr>
            <w:tcW w:w="1660" w:type="dxa"/>
            <w:vAlign w:val="bottom"/>
          </w:tcPr>
          <w:p>
            <w:pPr>
              <w:jc w:val="right"/>
              <w:spacing w:after="0"/>
              <w:rPr>
                <w:sz w:val="20"/>
                <w:szCs w:val="20"/>
                <w:color w:val="auto"/>
              </w:rPr>
            </w:pPr>
            <w:r>
              <w:rPr>
                <w:rFonts w:ascii="Arial" w:cs="Arial" w:eastAsia="Arial" w:hAnsi="Arial"/>
                <w:sz w:val="18"/>
                <w:szCs w:val="18"/>
                <w:color w:val="auto"/>
              </w:rPr>
              <w:t>30.1</w:t>
            </w:r>
          </w:p>
        </w:tc>
      </w:tr>
      <w:tr>
        <w:trPr>
          <w:trHeight w:val="229"/>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Available seat miles (ASMs) – thousands</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5,637,233</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4,844,203</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Load factor</w:t>
            </w:r>
          </w:p>
        </w:tc>
        <w:tc>
          <w:tcPr>
            <w:tcW w:w="1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83.5%</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74.7%</w:t>
            </w:r>
          </w:p>
        </w:tc>
        <w:tc>
          <w:tcPr>
            <w:tcW w:w="16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29"/>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 passengers carried</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3,598,584</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2,733,364</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Departures</w:t>
            </w:r>
          </w:p>
        </w:tc>
        <w:tc>
          <w:tcPr>
            <w:tcW w:w="1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23,166</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19,706</w:t>
            </w:r>
          </w:p>
        </w:tc>
        <w:tc>
          <w:tcPr>
            <w:tcW w:w="166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29"/>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Block hours</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76,081</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64,584</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29"/>
        </w:trPr>
        <w:tc>
          <w:tcPr>
            <w:tcW w:w="4660" w:type="dxa"/>
            <w:vAlign w:val="bottom"/>
          </w:tcPr>
          <w:p>
            <w:pPr>
              <w:ind w:left="140"/>
              <w:spacing w:after="0" w:line="230" w:lineRule="exact"/>
              <w:rPr>
                <w:sz w:val="20"/>
                <w:szCs w:val="20"/>
                <w:color w:val="auto"/>
              </w:rPr>
            </w:pPr>
            <w:r>
              <w:rPr>
                <w:rFonts w:ascii="Arial" w:cs="Arial" w:eastAsia="Arial" w:hAnsi="Arial"/>
                <w:sz w:val="18"/>
                <w:szCs w:val="18"/>
                <w:color w:val="auto"/>
              </w:rPr>
              <w:t>Scheduled service TRASM</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 cents</w:t>
            </w:r>
          </w:p>
        </w:tc>
        <w:tc>
          <w:tcPr>
            <w:tcW w:w="1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11.40</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8.35</w:t>
            </w:r>
          </w:p>
        </w:tc>
        <w:tc>
          <w:tcPr>
            <w:tcW w:w="1660" w:type="dxa"/>
            <w:vAlign w:val="bottom"/>
          </w:tcPr>
          <w:p>
            <w:pPr>
              <w:jc w:val="right"/>
              <w:spacing w:after="0"/>
              <w:rPr>
                <w:sz w:val="20"/>
                <w:szCs w:val="20"/>
                <w:color w:val="auto"/>
              </w:rPr>
            </w:pPr>
            <w:r>
              <w:rPr>
                <w:rFonts w:ascii="Arial" w:cs="Arial" w:eastAsia="Arial" w:hAnsi="Arial"/>
                <w:sz w:val="18"/>
                <w:szCs w:val="18"/>
                <w:color w:val="auto"/>
              </w:rPr>
              <w:t>36.5</w:t>
            </w:r>
          </w:p>
        </w:tc>
      </w:tr>
      <w:tr>
        <w:trPr>
          <w:trHeight w:val="230"/>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Average base fare per passenger</w:t>
            </w:r>
          </w:p>
        </w:tc>
        <w:tc>
          <w:tcPr>
            <w:tcW w:w="11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121.80</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102.21</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29"/>
        </w:trPr>
        <w:tc>
          <w:tcPr>
            <w:tcW w:w="4660" w:type="dxa"/>
            <w:vAlign w:val="bottom"/>
          </w:tcPr>
          <w:p>
            <w:pPr>
              <w:ind w:left="140"/>
              <w:spacing w:after="0"/>
              <w:rPr>
                <w:sz w:val="20"/>
                <w:szCs w:val="20"/>
                <w:color w:val="auto"/>
              </w:rPr>
            </w:pPr>
            <w:r>
              <w:rPr>
                <w:rFonts w:ascii="Arial" w:cs="Arial" w:eastAsia="Arial" w:hAnsi="Arial"/>
                <w:sz w:val="18"/>
                <w:szCs w:val="18"/>
                <w:color w:val="auto"/>
              </w:rPr>
              <w:t>Ancillary revenue per passenger</w:t>
            </w: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53.49</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42.89</w:t>
            </w:r>
          </w:p>
        </w:tc>
        <w:tc>
          <w:tcPr>
            <w:tcW w:w="1660" w:type="dxa"/>
            <w:vAlign w:val="bottom"/>
          </w:tcPr>
          <w:p>
            <w:pPr>
              <w:jc w:val="right"/>
              <w:spacing w:after="0"/>
              <w:rPr>
                <w:sz w:val="20"/>
                <w:szCs w:val="20"/>
                <w:color w:val="auto"/>
              </w:rPr>
            </w:pPr>
            <w:r>
              <w:rPr>
                <w:rFonts w:ascii="Arial" w:cs="Arial" w:eastAsia="Arial" w:hAnsi="Arial"/>
                <w:sz w:val="18"/>
                <w:szCs w:val="18"/>
                <w:color w:val="auto"/>
              </w:rPr>
              <w:t>24.7</w:t>
            </w:r>
          </w:p>
        </w:tc>
      </w:tr>
      <w:tr>
        <w:trPr>
          <w:trHeight w:val="229"/>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Fuel gallons - thousands</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59,222</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49,685</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70"/>
        </w:trPr>
        <w:tc>
          <w:tcPr>
            <w:tcW w:w="46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30"/>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Charter Statistics:</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4660" w:type="dxa"/>
            <w:vAlign w:val="bottom"/>
          </w:tcPr>
          <w:p>
            <w:pPr>
              <w:ind w:left="80"/>
              <w:spacing w:after="0"/>
              <w:rPr>
                <w:sz w:val="20"/>
                <w:szCs w:val="20"/>
                <w:color w:val="auto"/>
              </w:rPr>
            </w:pPr>
            <w:r>
              <w:rPr>
                <w:rFonts w:ascii="Arial" w:cs="Arial" w:eastAsia="Arial" w:hAnsi="Arial"/>
                <w:sz w:val="18"/>
                <w:szCs w:val="18"/>
                <w:color w:val="auto"/>
              </w:rPr>
              <w:t>Departures</w:t>
            </w:r>
          </w:p>
        </w:tc>
        <w:tc>
          <w:tcPr>
            <w:tcW w:w="1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8,616</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7,093</w:t>
            </w:r>
          </w:p>
        </w:tc>
        <w:tc>
          <w:tcPr>
            <w:tcW w:w="166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30"/>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Block hours</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17,788</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14,967</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29"/>
        </w:trPr>
        <w:tc>
          <w:tcPr>
            <w:tcW w:w="4660" w:type="dxa"/>
            <w:vAlign w:val="bottom"/>
          </w:tcPr>
          <w:p>
            <w:pPr>
              <w:ind w:left="80"/>
              <w:spacing w:after="0"/>
              <w:rPr>
                <w:sz w:val="20"/>
                <w:szCs w:val="20"/>
                <w:color w:val="auto"/>
              </w:rPr>
            </w:pPr>
            <w:r>
              <w:rPr>
                <w:rFonts w:ascii="Arial" w:cs="Arial" w:eastAsia="Arial" w:hAnsi="Arial"/>
                <w:sz w:val="18"/>
                <w:szCs w:val="18"/>
                <w:color w:val="auto"/>
              </w:rPr>
              <w:t>Available seats miles (ASMs) - thousands</w:t>
            </w:r>
          </w:p>
        </w:tc>
        <w:tc>
          <w:tcPr>
            <w:tcW w:w="1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1,093,530</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951,086</w:t>
            </w:r>
          </w:p>
        </w:tc>
        <w:tc>
          <w:tcPr>
            <w:tcW w:w="166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Fuel gallons - thousands</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12,055</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10,729</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70"/>
        </w:trPr>
        <w:tc>
          <w:tcPr>
            <w:tcW w:w="46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30"/>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Cargo Statistics:</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4660" w:type="dxa"/>
            <w:vAlign w:val="bottom"/>
          </w:tcPr>
          <w:p>
            <w:pPr>
              <w:ind w:left="80"/>
              <w:spacing w:after="0"/>
              <w:rPr>
                <w:sz w:val="20"/>
                <w:szCs w:val="20"/>
                <w:color w:val="auto"/>
              </w:rPr>
            </w:pPr>
            <w:r>
              <w:rPr>
                <w:rFonts w:ascii="Arial" w:cs="Arial" w:eastAsia="Arial" w:hAnsi="Arial"/>
                <w:sz w:val="18"/>
                <w:szCs w:val="18"/>
                <w:color w:val="auto"/>
              </w:rPr>
              <w:t>Departures</w:t>
            </w:r>
          </w:p>
        </w:tc>
        <w:tc>
          <w:tcPr>
            <w:tcW w:w="1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11,619</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11,295</w:t>
            </w:r>
          </w:p>
        </w:tc>
        <w:tc>
          <w:tcPr>
            <w:tcW w:w="16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Block hours</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32,691</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33,934</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46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29"/>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Total System Statistics:</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4660" w:type="dxa"/>
            <w:vAlign w:val="bottom"/>
          </w:tcPr>
          <w:p>
            <w:pPr>
              <w:ind w:left="80"/>
              <w:spacing w:after="0"/>
              <w:rPr>
                <w:sz w:val="20"/>
                <w:szCs w:val="20"/>
                <w:color w:val="auto"/>
              </w:rPr>
            </w:pPr>
            <w:r>
              <w:rPr>
                <w:rFonts w:ascii="Arial" w:cs="Arial" w:eastAsia="Arial" w:hAnsi="Arial"/>
                <w:sz w:val="18"/>
                <w:szCs w:val="18"/>
                <w:color w:val="auto"/>
              </w:rPr>
              <w:t>Average passenger aircraft</w:t>
            </w:r>
          </w:p>
        </w:tc>
        <w:tc>
          <w:tcPr>
            <w:tcW w:w="1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35.9</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32.2</w:t>
            </w:r>
          </w:p>
        </w:tc>
        <w:tc>
          <w:tcPr>
            <w:tcW w:w="16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Passenger aircraft – end of period</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36</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30"/>
        </w:trPr>
        <w:tc>
          <w:tcPr>
            <w:tcW w:w="4660" w:type="dxa"/>
            <w:vAlign w:val="bottom"/>
          </w:tcPr>
          <w:p>
            <w:pPr>
              <w:ind w:left="80"/>
              <w:spacing w:after="0"/>
              <w:rPr>
                <w:sz w:val="20"/>
                <w:szCs w:val="20"/>
                <w:color w:val="auto"/>
              </w:rPr>
            </w:pPr>
            <w:r>
              <w:rPr>
                <w:rFonts w:ascii="Arial" w:cs="Arial" w:eastAsia="Arial" w:hAnsi="Arial"/>
                <w:sz w:val="18"/>
                <w:szCs w:val="18"/>
                <w:color w:val="auto"/>
              </w:rPr>
              <w:t>Cargo aircraft – end of period</w:t>
            </w:r>
          </w:p>
        </w:tc>
        <w:tc>
          <w:tcPr>
            <w:tcW w:w="1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12</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Available seat miles (ASMs) – thousands</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6,771,340</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5,826,827</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30"/>
        </w:trPr>
        <w:tc>
          <w:tcPr>
            <w:tcW w:w="4660" w:type="dxa"/>
            <w:vAlign w:val="bottom"/>
          </w:tcPr>
          <w:p>
            <w:pPr>
              <w:ind w:left="80"/>
              <w:spacing w:after="0"/>
              <w:rPr>
                <w:sz w:val="20"/>
                <w:szCs w:val="20"/>
                <w:color w:val="auto"/>
              </w:rPr>
            </w:pPr>
            <w:r>
              <w:rPr>
                <w:rFonts w:ascii="Arial" w:cs="Arial" w:eastAsia="Arial" w:hAnsi="Arial"/>
                <w:sz w:val="18"/>
                <w:szCs w:val="18"/>
                <w:color w:val="auto"/>
              </w:rPr>
              <w:t>Departures</w:t>
            </w:r>
          </w:p>
        </w:tc>
        <w:tc>
          <w:tcPr>
            <w:tcW w:w="1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43,686</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38,317</w:t>
            </w:r>
          </w:p>
        </w:tc>
        <w:tc>
          <w:tcPr>
            <w:tcW w:w="166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30"/>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Block hours</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127,361</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114,106</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4660" w:type="dxa"/>
            <w:vAlign w:val="bottom"/>
          </w:tcPr>
          <w:p>
            <w:pPr>
              <w:ind w:left="80"/>
              <w:spacing w:after="0"/>
              <w:rPr>
                <w:sz w:val="20"/>
                <w:szCs w:val="20"/>
                <w:color w:val="auto"/>
              </w:rPr>
            </w:pPr>
            <w:r>
              <w:rPr>
                <w:rFonts w:ascii="Arial" w:cs="Arial" w:eastAsia="Arial" w:hAnsi="Arial"/>
                <w:sz w:val="18"/>
                <w:szCs w:val="18"/>
                <w:color w:val="auto"/>
              </w:rPr>
              <w:t>Daily utilization – hours</w:t>
            </w:r>
          </w:p>
        </w:tc>
        <w:tc>
          <w:tcPr>
            <w:tcW w:w="1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7.2</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6.8</w:t>
            </w:r>
          </w:p>
        </w:tc>
        <w:tc>
          <w:tcPr>
            <w:tcW w:w="16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Average stage length – miles</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1,183</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4660" w:type="dxa"/>
            <w:vAlign w:val="bottom"/>
          </w:tcPr>
          <w:p>
            <w:pPr>
              <w:ind w:left="80"/>
              <w:spacing w:after="0" w:line="230" w:lineRule="exact"/>
              <w:rPr>
                <w:sz w:val="20"/>
                <w:szCs w:val="20"/>
                <w:color w:val="auto"/>
              </w:rPr>
            </w:pPr>
            <w:r>
              <w:rPr>
                <w:rFonts w:ascii="Arial" w:cs="Arial" w:eastAsia="Arial" w:hAnsi="Arial"/>
                <w:sz w:val="18"/>
                <w:szCs w:val="18"/>
                <w:color w:val="auto"/>
              </w:rPr>
              <w:t>Total revenue per ASM (TRASM)</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 cents</w:t>
            </w:r>
          </w:p>
        </w:tc>
        <w:tc>
          <w:tcPr>
            <w:tcW w:w="1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11.87</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9.12</w:t>
            </w:r>
          </w:p>
        </w:tc>
        <w:tc>
          <w:tcPr>
            <w:tcW w:w="1660" w:type="dxa"/>
            <w:vAlign w:val="bottom"/>
          </w:tcPr>
          <w:p>
            <w:pPr>
              <w:jc w:val="right"/>
              <w:spacing w:after="0"/>
              <w:rPr>
                <w:sz w:val="20"/>
                <w:szCs w:val="20"/>
                <w:color w:val="auto"/>
              </w:rPr>
            </w:pPr>
            <w:r>
              <w:rPr>
                <w:rFonts w:ascii="Arial" w:cs="Arial" w:eastAsia="Arial" w:hAnsi="Arial"/>
                <w:sz w:val="18"/>
                <w:szCs w:val="18"/>
                <w:color w:val="auto"/>
              </w:rPr>
              <w:t>30.2</w:t>
            </w:r>
          </w:p>
        </w:tc>
      </w:tr>
      <w:tr>
        <w:trPr>
          <w:trHeight w:val="230"/>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Cost per ASM (CASM) - cents</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8.77</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r>
      <w:tr>
        <w:trPr>
          <w:trHeight w:val="230"/>
        </w:trPr>
        <w:tc>
          <w:tcPr>
            <w:tcW w:w="4660" w:type="dxa"/>
            <w:vAlign w:val="bottom"/>
          </w:tcPr>
          <w:p>
            <w:pPr>
              <w:ind w:left="80"/>
              <w:spacing w:after="0"/>
              <w:rPr>
                <w:sz w:val="20"/>
                <w:szCs w:val="20"/>
                <w:color w:val="auto"/>
              </w:rPr>
            </w:pPr>
            <w:r>
              <w:rPr>
                <w:rFonts w:ascii="Arial" w:cs="Arial" w:eastAsia="Arial" w:hAnsi="Arial"/>
                <w:sz w:val="18"/>
                <w:szCs w:val="18"/>
                <w:color w:val="auto"/>
              </w:rPr>
              <w:t>Adjusted CASM - cents</w:t>
            </w:r>
          </w:p>
        </w:tc>
        <w:tc>
          <w:tcPr>
            <w:tcW w:w="1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7.04</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6.48</w:t>
            </w:r>
          </w:p>
        </w:tc>
        <w:tc>
          <w:tcPr>
            <w:tcW w:w="16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Fuel gallons - thousands</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71,690</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60,739</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29"/>
        </w:trPr>
        <w:tc>
          <w:tcPr>
            <w:tcW w:w="4660" w:type="dxa"/>
            <w:vAlign w:val="bottom"/>
          </w:tcPr>
          <w:p>
            <w:pPr>
              <w:ind w:left="80"/>
              <w:spacing w:after="0"/>
              <w:rPr>
                <w:sz w:val="20"/>
                <w:szCs w:val="20"/>
                <w:color w:val="auto"/>
              </w:rPr>
            </w:pPr>
            <w:r>
              <w:rPr>
                <w:rFonts w:ascii="Arial" w:cs="Arial" w:eastAsia="Arial" w:hAnsi="Arial"/>
                <w:sz w:val="18"/>
                <w:szCs w:val="18"/>
                <w:color w:val="auto"/>
              </w:rPr>
              <w:t>Fuel cost per gallon, excluding derivatives</w:t>
            </w: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3.75</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2.19</w:t>
            </w:r>
          </w:p>
        </w:tc>
        <w:tc>
          <w:tcPr>
            <w:tcW w:w="1660" w:type="dxa"/>
            <w:vAlign w:val="bottom"/>
          </w:tcPr>
          <w:p>
            <w:pPr>
              <w:jc w:val="right"/>
              <w:spacing w:after="0"/>
              <w:rPr>
                <w:sz w:val="20"/>
                <w:szCs w:val="20"/>
                <w:color w:val="auto"/>
              </w:rPr>
            </w:pPr>
            <w:r>
              <w:rPr>
                <w:rFonts w:ascii="Arial" w:cs="Arial" w:eastAsia="Arial" w:hAnsi="Arial"/>
                <w:sz w:val="18"/>
                <w:szCs w:val="18"/>
                <w:color w:val="auto"/>
              </w:rPr>
              <w:t>71.2</w:t>
            </w:r>
          </w:p>
        </w:tc>
      </w:tr>
      <w:tr>
        <w:trPr>
          <w:trHeight w:val="230"/>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Employees at end of period</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2,181</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1 – Scheduled service TRASM = scheduled service revenue + ancillary revenue + other revenue / scheduled service ASMs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2 – Total system TRASM = total revenue – cargo revenue / system ASMs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Page 9</w:t>
      </w:r>
    </w:p>
    <w:p>
      <w:pPr>
        <w:sectPr>
          <w:pgSz w:w="11900" w:h="16838" w:orient="portrait"/>
          <w:cols w:equalWidth="0" w:num="1">
            <w:col w:w="11100"/>
          </w:cols>
          <w:pgMar w:left="320" w:top="1102" w:right="479" w:bottom="1440" w:gutter="0" w:footer="0" w:header="0"/>
        </w:sectPr>
      </w:pPr>
    </w:p>
    <w:bookmarkStart w:id="12" w:name="page13"/>
    <w:bookmarkEnd w:id="12"/>
    <w:p>
      <w:pPr>
        <w:ind w:left="80"/>
        <w:spacing w:after="0"/>
        <w:rPr>
          <w:sz w:val="20"/>
          <w:szCs w:val="20"/>
          <w:color w:val="auto"/>
        </w:rPr>
      </w:pPr>
      <w:r>
        <w:rPr>
          <w:rFonts w:ascii="Arial" w:cs="Arial" w:eastAsia="Arial" w:hAnsi="Arial"/>
          <w:sz w:val="18"/>
          <w:szCs w:val="18"/>
          <w:b w:val="1"/>
          <w:bCs w:val="1"/>
          <w:color w:val="auto"/>
        </w:rPr>
        <w:t>SUMMARY BALANCE SHEET</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(Dollars in millions)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234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 2021</w:t>
            </w:r>
            <w:r>
              <w:rPr>
                <w:rFonts w:ascii="Arial" w:cs="Arial" w:eastAsia="Arial" w:hAnsi="Arial"/>
                <w:sz w:val="18"/>
                <w:szCs w:val="18"/>
                <w:b w:val="1"/>
                <w:bCs w:val="1"/>
                <w:color w:val="auto"/>
                <w:vertAlign w:val="superscript"/>
              </w:rPr>
              <w:t>(7)</w:t>
            </w:r>
          </w:p>
        </w:tc>
        <w:tc>
          <w:tcPr>
            <w:tcW w:w="18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 Change</w:t>
            </w:r>
          </w:p>
        </w:tc>
      </w:tr>
      <w:tr>
        <w:trPr>
          <w:trHeight w:val="198"/>
        </w:trPr>
        <w:tc>
          <w:tcPr>
            <w:tcW w:w="5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6"/>
        </w:trPr>
        <w:tc>
          <w:tcPr>
            <w:tcW w:w="5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29"/>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Cash &amp;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r>
      <w:tr>
        <w:trPr>
          <w:trHeight w:val="230"/>
        </w:trPr>
        <w:tc>
          <w:tcPr>
            <w:tcW w:w="51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0A0A0A"/>
              </w:rPr>
              <w:t>Other Current Assets</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253.4</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283.3</w:t>
            </w:r>
          </w:p>
        </w:tc>
      </w:tr>
      <w:tr>
        <w:trPr>
          <w:trHeight w:val="223"/>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Total Current Assets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5180" w:type="dxa"/>
            <w:vAlign w:val="bottom"/>
          </w:tcPr>
          <w:p>
            <w:pPr>
              <w:ind w:left="80"/>
              <w:spacing w:after="0"/>
              <w:rPr>
                <w:sz w:val="20"/>
                <w:szCs w:val="20"/>
                <w:color w:val="auto"/>
              </w:rPr>
            </w:pPr>
            <w:r>
              <w:rPr>
                <w:rFonts w:ascii="Arial" w:cs="Arial" w:eastAsia="Arial" w:hAnsi="Arial"/>
                <w:sz w:val="18"/>
                <w:szCs w:val="18"/>
                <w:color w:val="0A0A0A"/>
              </w:rPr>
              <w:t>Total Property &amp; Equipment, net</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785.7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578.5</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35.8</w:t>
            </w:r>
          </w:p>
        </w:tc>
      </w:tr>
      <w:tr>
        <w:trPr>
          <w:trHeight w:val="230"/>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426.5</w:t>
            </w:r>
          </w:p>
        </w:tc>
        <w:tc>
          <w:tcPr>
            <w:tcW w:w="10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23"/>
        </w:trPr>
        <w:tc>
          <w:tcPr>
            <w:tcW w:w="5180" w:type="dxa"/>
            <w:vAlign w:val="bottom"/>
          </w:tcPr>
          <w:p>
            <w:pPr>
              <w:ind w:left="160"/>
              <w:spacing w:after="0"/>
              <w:rPr>
                <w:sz w:val="20"/>
                <w:szCs w:val="20"/>
                <w:color w:val="auto"/>
              </w:rPr>
            </w:pPr>
            <w:r>
              <w:rPr>
                <w:rFonts w:ascii="Arial" w:cs="Arial" w:eastAsia="Arial" w:hAnsi="Arial"/>
                <w:sz w:val="18"/>
                <w:szCs w:val="18"/>
                <w:b w:val="1"/>
                <w:bCs w:val="1"/>
                <w:color w:val="0A0A0A"/>
              </w:rPr>
              <w:t>Total Assets</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1,524.4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1,380.4</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0"/>
        </w:trPr>
        <w:tc>
          <w:tcPr>
            <w:tcW w:w="5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r>
      <w:tr>
        <w:trPr>
          <w:trHeight w:val="230"/>
        </w:trPr>
        <w:tc>
          <w:tcPr>
            <w:tcW w:w="5180" w:type="dxa"/>
            <w:vAlign w:val="bottom"/>
          </w:tcPr>
          <w:p>
            <w:pPr>
              <w:ind w:left="80"/>
              <w:spacing w:after="0"/>
              <w:rPr>
                <w:sz w:val="20"/>
                <w:szCs w:val="20"/>
                <w:color w:val="auto"/>
              </w:rPr>
            </w:pPr>
            <w:r>
              <w:rPr>
                <w:rFonts w:ascii="Arial" w:cs="Arial" w:eastAsia="Arial" w:hAnsi="Arial"/>
                <w:sz w:val="18"/>
                <w:szCs w:val="18"/>
                <w:color w:val="0A0A0A"/>
              </w:rPr>
              <w:t>Air Traffic Liabilities</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29"/>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Current Finance Lease Obligations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r>
      <w:tr>
        <w:trPr>
          <w:trHeight w:val="230"/>
        </w:trPr>
        <w:tc>
          <w:tcPr>
            <w:tcW w:w="5180" w:type="dxa"/>
            <w:vAlign w:val="bottom"/>
          </w:tcPr>
          <w:p>
            <w:pPr>
              <w:ind w:left="80"/>
              <w:spacing w:after="0"/>
              <w:rPr>
                <w:sz w:val="20"/>
                <w:szCs w:val="20"/>
                <w:color w:val="auto"/>
              </w:rPr>
            </w:pPr>
            <w:r>
              <w:rPr>
                <w:rFonts w:ascii="Arial" w:cs="Arial" w:eastAsia="Arial" w:hAnsi="Arial"/>
                <w:sz w:val="18"/>
                <w:szCs w:val="18"/>
                <w:color w:val="0A0A0A"/>
              </w:rPr>
              <w:t>Current Operating Lease Obligations</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(63.4)</w:t>
            </w:r>
          </w:p>
        </w:tc>
      </w:tr>
      <w:tr>
        <w:trPr>
          <w:trHeight w:val="229"/>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Current Maturities of Long-Term Debt</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r>
      <w:tr>
        <w:trPr>
          <w:trHeight w:val="229"/>
        </w:trPr>
        <w:tc>
          <w:tcPr>
            <w:tcW w:w="5180" w:type="dxa"/>
            <w:vAlign w:val="bottom"/>
          </w:tcPr>
          <w:p>
            <w:pPr>
              <w:ind w:left="80"/>
              <w:spacing w:after="0"/>
              <w:rPr>
                <w:sz w:val="20"/>
                <w:szCs w:val="20"/>
                <w:color w:val="auto"/>
              </w:rPr>
            </w:pPr>
            <w:r>
              <w:rPr>
                <w:rFonts w:ascii="Arial" w:cs="Arial" w:eastAsia="Arial" w:hAnsi="Arial"/>
                <w:sz w:val="18"/>
                <w:szCs w:val="18"/>
                <w:color w:val="0A0A0A"/>
              </w:rPr>
              <w:t>Income Tax Receivable Agreement Liability</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10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23"/>
        </w:trPr>
        <w:tc>
          <w:tcPr>
            <w:tcW w:w="5180" w:type="dxa"/>
            <w:vAlign w:val="bottom"/>
          </w:tcPr>
          <w:p>
            <w:pPr>
              <w:ind w:left="160"/>
              <w:spacing w:after="0"/>
              <w:rPr>
                <w:sz w:val="20"/>
                <w:szCs w:val="20"/>
                <w:color w:val="auto"/>
              </w:rPr>
            </w:pPr>
            <w:r>
              <w:rPr>
                <w:rFonts w:ascii="Arial" w:cs="Arial" w:eastAsia="Arial" w:hAnsi="Arial"/>
                <w:sz w:val="18"/>
                <w:szCs w:val="18"/>
                <w:color w:val="0A0A0A"/>
              </w:rPr>
              <w:t>Total Current Liabilities</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377.1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281.7</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230"/>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Finance Lease Obligations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r>
      <w:tr>
        <w:trPr>
          <w:trHeight w:val="229"/>
        </w:trPr>
        <w:tc>
          <w:tcPr>
            <w:tcW w:w="5180" w:type="dxa"/>
            <w:vAlign w:val="bottom"/>
          </w:tcPr>
          <w:p>
            <w:pPr>
              <w:ind w:left="80"/>
              <w:spacing w:after="0"/>
              <w:rPr>
                <w:sz w:val="20"/>
                <w:szCs w:val="20"/>
                <w:color w:val="auto"/>
              </w:rPr>
            </w:pPr>
            <w:r>
              <w:rPr>
                <w:rFonts w:ascii="Arial" w:cs="Arial" w:eastAsia="Arial" w:hAnsi="Arial"/>
                <w:sz w:val="18"/>
                <w:szCs w:val="18"/>
                <w:color w:val="0A0A0A"/>
              </w:rPr>
              <w:t>Operating Lease Obligations</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(66.3)</w:t>
            </w:r>
          </w:p>
        </w:tc>
      </w:tr>
      <w:tr>
        <w:trPr>
          <w:trHeight w:val="230"/>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Long-Term Debt</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30"/>
        </w:trPr>
        <w:tc>
          <w:tcPr>
            <w:tcW w:w="5180" w:type="dxa"/>
            <w:vAlign w:val="bottom"/>
          </w:tcPr>
          <w:p>
            <w:pPr>
              <w:ind w:left="80"/>
              <w:spacing w:after="0"/>
              <w:rPr>
                <w:sz w:val="20"/>
                <w:szCs w:val="20"/>
                <w:color w:val="auto"/>
              </w:rPr>
            </w:pPr>
            <w:r>
              <w:rPr>
                <w:rFonts w:ascii="Arial" w:cs="Arial" w:eastAsia="Arial" w:hAnsi="Arial"/>
                <w:sz w:val="18"/>
                <w:szCs w:val="18"/>
                <w:color w:val="0A0A0A"/>
              </w:rPr>
              <w:t>Income Tax Receivable Agreement Liability</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r>
      <w:tr>
        <w:trPr>
          <w:trHeight w:val="223"/>
        </w:trPr>
        <w:tc>
          <w:tcPr>
            <w:tcW w:w="5180" w:type="dxa"/>
            <w:vAlign w:val="bottom"/>
          </w:tcPr>
          <w:p>
            <w:pPr>
              <w:ind w:left="160"/>
              <w:spacing w:after="0"/>
              <w:rPr>
                <w:sz w:val="20"/>
                <w:szCs w:val="20"/>
                <w:color w:val="auto"/>
              </w:rPr>
            </w:pPr>
            <w:r>
              <w:rPr>
                <w:rFonts w:ascii="Arial" w:cs="Arial" w:eastAsia="Arial" w:hAnsi="Arial"/>
                <w:sz w:val="18"/>
                <w:szCs w:val="18"/>
                <w:b w:val="1"/>
                <w:bCs w:val="1"/>
                <w:color w:val="0A0A0A"/>
              </w:rPr>
              <w:t>Total Liabilities</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1,031.7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889.8</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70"/>
        </w:trPr>
        <w:tc>
          <w:tcPr>
            <w:tcW w:w="5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r>
      <w:tr>
        <w:trPr>
          <w:trHeight w:val="239"/>
        </w:trPr>
        <w:tc>
          <w:tcPr>
            <w:tcW w:w="5180" w:type="dxa"/>
            <w:vAlign w:val="bottom"/>
          </w:tcPr>
          <w:p>
            <w:pPr>
              <w:ind w:left="80"/>
              <w:spacing w:after="0"/>
              <w:rPr>
                <w:sz w:val="20"/>
                <w:szCs w:val="20"/>
                <w:color w:val="auto"/>
              </w:rPr>
            </w:pPr>
            <w:r>
              <w:rPr>
                <w:rFonts w:ascii="Arial" w:cs="Arial" w:eastAsia="Arial" w:hAnsi="Arial"/>
                <w:sz w:val="18"/>
                <w:szCs w:val="18"/>
                <w:b w:val="1"/>
                <w:bCs w:val="1"/>
                <w:color w:val="0A0A0A"/>
              </w:rPr>
              <w:t>Total Stockholders’ Equity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492.7</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490.6</w:t>
            </w:r>
          </w:p>
        </w:tc>
        <w:tc>
          <w:tcPr>
            <w:tcW w:w="1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Page 10</w:t>
      </w:r>
    </w:p>
    <w:p>
      <w:pPr>
        <w:sectPr>
          <w:pgSz w:w="11900" w:h="16838" w:orient="portrait"/>
          <w:cols w:equalWidth="0" w:num="1">
            <w:col w:w="11160"/>
          </w:cols>
          <w:pgMar w:left="320" w:top="1332" w:right="419" w:bottom="1440" w:gutter="0" w:footer="0" w:header="0"/>
        </w:sectPr>
      </w:pPr>
    </w:p>
    <w:bookmarkStart w:id="13" w:name="page14"/>
    <w:bookmarkEnd w:id="13"/>
    <w:p>
      <w:pPr>
        <w:ind w:left="20"/>
        <w:spacing w:after="0"/>
        <w:rPr>
          <w:sz w:val="20"/>
          <w:szCs w:val="20"/>
          <w:color w:val="auto"/>
        </w:rPr>
      </w:pPr>
      <w:r>
        <w:rPr>
          <w:rFonts w:ascii="Arial" w:cs="Arial" w:eastAsia="Arial" w:hAnsi="Arial"/>
          <w:sz w:val="18"/>
          <w:szCs w:val="18"/>
          <w:b w:val="1"/>
          <w:bCs w:val="1"/>
          <w:color w:val="auto"/>
        </w:rPr>
        <w:t>SUMMARY CASH FLOW</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(Dollars in millions)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234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90"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Year Ended December 31,</w:t>
      </w:r>
    </w:p>
    <w:p>
      <w:pPr>
        <w:spacing w:after="0" w:line="41" w:lineRule="exact"/>
        <w:rPr>
          <w:sz w:val="20"/>
          <w:szCs w:val="20"/>
          <w:color w:val="auto"/>
        </w:rPr>
      </w:pPr>
    </w:p>
    <w:p>
      <w:pPr>
        <w:jc w:val="both"/>
        <w:ind w:left="6140"/>
        <w:spacing w:after="0"/>
        <w:tabs>
          <w:tab w:leader="none" w:pos="8040" w:val="left"/>
          <w:tab w:leader="none" w:pos="992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r>
        <w:rPr>
          <w:rFonts w:ascii="Arial" w:cs="Arial" w:eastAsia="Arial" w:hAnsi="Arial"/>
          <w:sz w:val="18"/>
          <w:szCs w:val="18"/>
          <w:b w:val="1"/>
          <w:bCs w:val="1"/>
          <w:color w:val="auto"/>
          <w:vertAlign w:val="superscript"/>
        </w:rPr>
        <w:t>(7)</w:t>
      </w:r>
      <w:r>
        <w:rPr>
          <w:sz w:val="20"/>
          <w:szCs w:val="20"/>
          <w:color w:val="auto"/>
        </w:rPr>
        <w:tab/>
      </w:r>
      <w:r>
        <w:rPr>
          <w:rFonts w:ascii="Arial" w:cs="Arial" w:eastAsia="Arial" w:hAnsi="Arial"/>
          <w:sz w:val="14"/>
          <w:szCs w:val="14"/>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15175"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ectPr>
          <w:pgSz w:w="11900" w:h="16838" w:orient="portrait"/>
          <w:cols w:equalWidth="0" w:num="1">
            <w:col w:w="11220"/>
          </w:cols>
          <w:pgMar w:left="320" w:top="1386" w:right="359" w:bottom="1440" w:gutter="0" w:footer="0" w:header="0"/>
        </w:sectPr>
      </w:pP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300" w:type="dxa"/>
            <w:vAlign w:val="bottom"/>
          </w:tcPr>
          <w:p>
            <w:pPr>
              <w:ind w:left="80"/>
              <w:spacing w:after="0"/>
              <w:rPr>
                <w:sz w:val="20"/>
                <w:szCs w:val="20"/>
                <w:color w:val="auto"/>
              </w:rPr>
            </w:pPr>
            <w:r>
              <w:rPr>
                <w:rFonts w:ascii="Arial" w:cs="Arial" w:eastAsia="Arial" w:hAnsi="Arial"/>
                <w:sz w:val="18"/>
                <w:szCs w:val="18"/>
                <w:b w:val="1"/>
                <w:bCs w:val="1"/>
                <w:color w:val="0A0A0A"/>
              </w:rPr>
              <w:t>Net Cash Provided by Operating Activities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78"/>
        </w:trPr>
        <w:tc>
          <w:tcPr>
            <w:tcW w:w="5300" w:type="dxa"/>
            <w:vAlign w:val="bottom"/>
          </w:tcPr>
          <w:p>
            <w:pPr>
              <w:ind w:left="80"/>
              <w:spacing w:after="0"/>
              <w:rPr>
                <w:sz w:val="20"/>
                <w:szCs w:val="20"/>
                <w:color w:val="auto"/>
              </w:rPr>
            </w:pPr>
            <w:r>
              <w:rPr>
                <w:rFonts w:ascii="Arial" w:cs="Arial" w:eastAsia="Arial" w:hAnsi="Arial"/>
                <w:sz w:val="18"/>
                <w:szCs w:val="18"/>
                <w:color w:val="0A0A0A"/>
              </w:rPr>
              <w:t>Purchases of Property &amp; Equipment</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300" w:type="dxa"/>
            <w:vAlign w:val="bottom"/>
          </w:tcPr>
          <w:p>
            <w:pPr>
              <w:ind w:left="80"/>
              <w:spacing w:after="0"/>
              <w:rPr>
                <w:sz w:val="20"/>
                <w:szCs w:val="20"/>
                <w:color w:val="auto"/>
              </w:rPr>
            </w:pPr>
            <w:r>
              <w:rPr>
                <w:rFonts w:ascii="Arial" w:cs="Arial" w:eastAsia="Arial" w:hAnsi="Arial"/>
                <w:sz w:val="18"/>
                <w:szCs w:val="18"/>
                <w:color w:val="0A0A0A"/>
              </w:rPr>
              <w:t>Other</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300" w:type="dxa"/>
            <w:vAlign w:val="bottom"/>
          </w:tcPr>
          <w:p>
            <w:pPr>
              <w:ind w:left="80"/>
              <w:spacing w:after="0"/>
              <w:rPr>
                <w:sz w:val="20"/>
                <w:szCs w:val="20"/>
                <w:color w:val="auto"/>
              </w:rPr>
            </w:pPr>
            <w:r>
              <w:rPr>
                <w:rFonts w:ascii="Arial" w:cs="Arial" w:eastAsia="Arial" w:hAnsi="Arial"/>
                <w:sz w:val="18"/>
                <w:szCs w:val="18"/>
                <w:b w:val="1"/>
                <w:bCs w:val="1"/>
                <w:color w:val="0A0A0A"/>
              </w:rPr>
              <w:t>Net Cash Used in Investing Activities</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5300" w:type="dxa"/>
            <w:vAlign w:val="bottom"/>
          </w:tcPr>
          <w:p>
            <w:pPr>
              <w:ind w:left="80"/>
              <w:spacing w:after="0"/>
              <w:rPr>
                <w:sz w:val="20"/>
                <w:szCs w:val="20"/>
                <w:color w:val="auto"/>
              </w:rPr>
            </w:pPr>
            <w:r>
              <w:rPr>
                <w:rFonts w:ascii="Arial" w:cs="Arial" w:eastAsia="Arial" w:hAnsi="Arial"/>
                <w:sz w:val="18"/>
                <w:szCs w:val="18"/>
                <w:color w:val="0A0A0A"/>
              </w:rPr>
              <w:t>Cash Received from Stock Offering</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80"/>
              <w:spacing w:after="0"/>
              <w:rPr>
                <w:sz w:val="20"/>
                <w:szCs w:val="20"/>
                <w:color w:val="auto"/>
              </w:rPr>
            </w:pPr>
            <w:r>
              <w:rPr>
                <w:rFonts w:ascii="Arial" w:cs="Arial" w:eastAsia="Arial" w:hAnsi="Arial"/>
                <w:sz w:val="18"/>
                <w:szCs w:val="18"/>
                <w:color w:val="0A0A0A"/>
              </w:rPr>
              <w:t>Proceeds from Borrowing</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80"/>
              <w:spacing w:after="0"/>
              <w:rPr>
                <w:sz w:val="20"/>
                <w:szCs w:val="20"/>
                <w:color w:val="auto"/>
              </w:rPr>
            </w:pPr>
            <w:r>
              <w:rPr>
                <w:rFonts w:ascii="Arial" w:cs="Arial" w:eastAsia="Arial" w:hAnsi="Arial"/>
                <w:sz w:val="18"/>
                <w:szCs w:val="18"/>
                <w:color w:val="0A0A0A"/>
              </w:rPr>
              <w:t>Repayment of Finance Lease Obligations</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80"/>
              <w:spacing w:after="0"/>
              <w:rPr>
                <w:sz w:val="20"/>
                <w:szCs w:val="20"/>
                <w:color w:val="auto"/>
              </w:rPr>
            </w:pPr>
            <w:r>
              <w:rPr>
                <w:rFonts w:ascii="Arial" w:cs="Arial" w:eastAsia="Arial" w:hAnsi="Arial"/>
                <w:sz w:val="18"/>
                <w:szCs w:val="18"/>
                <w:color w:val="0A0A0A"/>
              </w:rPr>
              <w:t>Repayment of Borrowings</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00" w:type="dxa"/>
            <w:vAlign w:val="bottom"/>
          </w:tcPr>
          <w:p>
            <w:pPr>
              <w:ind w:left="80"/>
              <w:spacing w:after="0"/>
              <w:rPr>
                <w:sz w:val="20"/>
                <w:szCs w:val="20"/>
                <w:color w:val="auto"/>
              </w:rPr>
            </w:pPr>
            <w:r>
              <w:rPr>
                <w:rFonts w:ascii="Arial" w:cs="Arial" w:eastAsia="Arial" w:hAnsi="Arial"/>
                <w:sz w:val="18"/>
                <w:szCs w:val="18"/>
                <w:color w:val="0A0A0A"/>
              </w:rPr>
              <w:t>Other</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300" w:type="dxa"/>
            <w:vAlign w:val="bottom"/>
          </w:tcPr>
          <w:p>
            <w:pPr>
              <w:ind w:left="80"/>
              <w:spacing w:after="0"/>
              <w:rPr>
                <w:sz w:val="20"/>
                <w:szCs w:val="20"/>
                <w:color w:val="auto"/>
              </w:rPr>
            </w:pPr>
            <w:r>
              <w:rPr>
                <w:rFonts w:ascii="Arial" w:cs="Arial" w:eastAsia="Arial" w:hAnsi="Arial"/>
                <w:sz w:val="18"/>
                <w:szCs w:val="18"/>
                <w:b w:val="1"/>
                <w:bCs w:val="1"/>
                <w:color w:val="0A0A0A"/>
              </w:rPr>
              <w:t>Net Cash Provided by Financing Activities</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5300" w:type="dxa"/>
            <w:vAlign w:val="bottom"/>
          </w:tcPr>
          <w:p>
            <w:pPr>
              <w:ind w:left="80"/>
              <w:spacing w:after="0"/>
              <w:rPr>
                <w:sz w:val="20"/>
                <w:szCs w:val="20"/>
                <w:color w:val="auto"/>
              </w:rPr>
            </w:pPr>
            <w:r>
              <w:rPr>
                <w:rFonts w:ascii="Arial" w:cs="Arial" w:eastAsia="Arial" w:hAnsi="Arial"/>
                <w:sz w:val="18"/>
                <w:szCs w:val="18"/>
                <w:color w:val="0A0A0A"/>
              </w:rPr>
              <w:t>Net Increase (Decrease) in Cash</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300" w:type="dxa"/>
            <w:vAlign w:val="bottom"/>
          </w:tcPr>
          <w:p>
            <w:pPr>
              <w:ind w:left="100"/>
              <w:spacing w:after="0" w:line="189" w:lineRule="exact"/>
              <w:rPr>
                <w:sz w:val="20"/>
                <w:szCs w:val="20"/>
                <w:color w:val="auto"/>
              </w:rPr>
            </w:pPr>
            <w:r>
              <w:rPr>
                <w:rFonts w:ascii="Arial" w:cs="Arial" w:eastAsia="Arial" w:hAnsi="Arial"/>
                <w:sz w:val="18"/>
                <w:szCs w:val="18"/>
                <w:color w:val="0A0A0A"/>
              </w:rPr>
              <w:t>Cash, Cash Equivalents and Restricted Cash – Beginning of the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300" w:type="dxa"/>
            <w:vAlign w:val="bottom"/>
          </w:tcPr>
          <w:p>
            <w:pPr>
              <w:ind w:left="180"/>
              <w:spacing w:after="0"/>
              <w:rPr>
                <w:sz w:val="20"/>
                <w:szCs w:val="20"/>
                <w:color w:val="auto"/>
              </w:rPr>
            </w:pPr>
            <w:r>
              <w:rPr>
                <w:rFonts w:ascii="Arial" w:cs="Arial" w:eastAsia="Arial" w:hAnsi="Arial"/>
                <w:sz w:val="18"/>
                <w:szCs w:val="18"/>
                <w:color w:val="0A0A0A"/>
              </w:rPr>
              <w:t>Period</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300" w:type="dxa"/>
            <w:vAlign w:val="bottom"/>
          </w:tcPr>
          <w:p>
            <w:pPr>
              <w:ind w:left="100"/>
              <w:spacing w:after="0" w:line="201" w:lineRule="exact"/>
              <w:rPr>
                <w:sz w:val="20"/>
                <w:szCs w:val="20"/>
                <w:color w:val="auto"/>
              </w:rPr>
            </w:pPr>
            <w:r>
              <w:rPr>
                <w:rFonts w:ascii="Arial" w:cs="Arial" w:eastAsia="Arial" w:hAnsi="Arial"/>
                <w:sz w:val="18"/>
                <w:szCs w:val="18"/>
                <w:color w:val="0A0A0A"/>
              </w:rPr>
              <w:t>Cash, Cash Equivalents and Restricted Cash –</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5300" w:type="dxa"/>
            <w:vAlign w:val="bottom"/>
            <w:vMerge w:val="restart"/>
          </w:tcPr>
          <w:p>
            <w:pPr>
              <w:ind w:left="180"/>
              <w:spacing w:after="0"/>
              <w:rPr>
                <w:sz w:val="20"/>
                <w:szCs w:val="20"/>
                <w:color w:val="auto"/>
              </w:rPr>
            </w:pPr>
            <w:r>
              <w:rPr>
                <w:rFonts w:ascii="Arial" w:cs="Arial" w:eastAsia="Arial" w:hAnsi="Arial"/>
                <w:sz w:val="18"/>
                <w:szCs w:val="18"/>
                <w:color w:val="0A0A0A"/>
              </w:rPr>
              <w:t>End of the Period</w:t>
            </w:r>
          </w:p>
        </w:tc>
        <w:tc>
          <w:tcPr>
            <w:tcW w:w="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53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6"/>
        </w:trPr>
        <w:tc>
          <w:tcPr>
            <w:tcW w:w="5300" w:type="dxa"/>
            <w:vAlign w:val="bottom"/>
          </w:tcPr>
          <w:p>
            <w:pPr>
              <w:spacing w:after="0"/>
              <w:rPr>
                <w:sz w:val="20"/>
                <w:szCs w:val="20"/>
                <w:color w:val="auto"/>
              </w:rPr>
            </w:pPr>
            <w:r>
              <w:rPr>
                <w:rFonts w:ascii="Arial" w:cs="Arial" w:eastAsia="Arial" w:hAnsi="Arial"/>
                <w:sz w:val="14"/>
                <w:szCs w:val="14"/>
                <w:color w:val="0A0A0A"/>
              </w:rPr>
              <w:t>“NM” stands for not meaningful</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-2571750</wp:posOffset>
            </wp:positionV>
            <wp:extent cx="7115175"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-1954530</wp:posOffset>
            </wp:positionV>
            <wp:extent cx="7115175"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-1663065</wp:posOffset>
            </wp:positionV>
            <wp:extent cx="7115175"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-1372235</wp:posOffset>
            </wp:positionV>
            <wp:extent cx="711517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-754380</wp:posOffset>
            </wp:positionV>
            <wp:extent cx="7115175"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-1071880</wp:posOffset>
            </wp:positionV>
            <wp:extent cx="711517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-2280920</wp:posOffset>
            </wp:positionV>
            <wp:extent cx="711517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127.4</w:t>
            </w:r>
          </w:p>
        </w:tc>
        <w:tc>
          <w:tcPr>
            <w:tcW w:w="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w:t>
            </w:r>
          </w:p>
        </w:tc>
        <w:tc>
          <w:tcPr>
            <w:tcW w:w="14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r>
      <w:tr>
        <w:trPr>
          <w:trHeight w:val="479"/>
        </w:trPr>
        <w:tc>
          <w:tcPr>
            <w:tcW w:w="760" w:type="dxa"/>
            <w:vAlign w:val="bottom"/>
          </w:tcPr>
          <w:p>
            <w:pPr>
              <w:jc w:val="right"/>
              <w:ind w:right="110"/>
              <w:spacing w:after="0"/>
              <w:rPr>
                <w:sz w:val="20"/>
                <w:szCs w:val="20"/>
                <w:color w:val="auto"/>
              </w:rPr>
            </w:pPr>
            <w:r>
              <w:rPr>
                <w:rFonts w:ascii="Arial" w:cs="Arial" w:eastAsia="Arial" w:hAnsi="Arial"/>
                <w:sz w:val="18"/>
                <w:szCs w:val="18"/>
                <w:color w:val="auto"/>
                <w:w w:val="94"/>
              </w:rPr>
              <w:t>(187.9)</w:t>
            </w:r>
          </w:p>
        </w:tc>
        <w:tc>
          <w:tcPr>
            <w:tcW w:w="6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(123.3)</w:t>
            </w:r>
          </w:p>
        </w:tc>
        <w:tc>
          <w:tcPr>
            <w:tcW w:w="1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52.4</w:t>
            </w:r>
          </w:p>
        </w:tc>
      </w:tr>
      <w:tr>
        <w:trPr>
          <w:trHeight w:val="229"/>
        </w:trPr>
        <w:tc>
          <w:tcPr>
            <w:tcW w:w="760" w:type="dxa"/>
            <w:vAlign w:val="bottom"/>
          </w:tcPr>
          <w:p>
            <w:pPr>
              <w:jc w:val="right"/>
              <w:ind w:right="110"/>
              <w:spacing w:after="0"/>
              <w:rPr>
                <w:sz w:val="20"/>
                <w:szCs w:val="20"/>
                <w:color w:val="auto"/>
              </w:rPr>
            </w:pPr>
            <w:r>
              <w:rPr>
                <w:rFonts w:ascii="Arial" w:cs="Arial" w:eastAsia="Arial" w:hAnsi="Arial"/>
                <w:sz w:val="18"/>
                <w:szCs w:val="18"/>
                <w:color w:val="auto"/>
                <w:w w:val="94"/>
              </w:rPr>
              <w:t>(161.4)</w:t>
            </w:r>
          </w:p>
        </w:tc>
        <w:tc>
          <w:tcPr>
            <w:tcW w:w="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760" w:type="dxa"/>
            <w:vAlign w:val="bottom"/>
          </w:tcPr>
          <w:p>
            <w:pPr>
              <w:jc w:val="right"/>
              <w:ind w:right="110"/>
              <w:spacing w:after="0"/>
              <w:rPr>
                <w:sz w:val="20"/>
                <w:szCs w:val="20"/>
                <w:color w:val="auto"/>
              </w:rPr>
            </w:pPr>
            <w:r>
              <w:rPr>
                <w:rFonts w:ascii="Arial" w:cs="Arial" w:eastAsia="Arial" w:hAnsi="Arial"/>
                <w:sz w:val="18"/>
                <w:szCs w:val="18"/>
                <w:color w:val="auto"/>
                <w:w w:val="94"/>
              </w:rPr>
              <w:t>(349.3)</w:t>
            </w:r>
          </w:p>
        </w:tc>
        <w:tc>
          <w:tcPr>
            <w:tcW w:w="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w:t>
            </w:r>
          </w:p>
        </w:tc>
        <w:tc>
          <w:tcPr>
            <w:tcW w:w="14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w:t>
            </w:r>
          </w:p>
        </w:tc>
      </w:tr>
      <w:tr>
        <w:trPr>
          <w:trHeight w:val="479"/>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235.9</w:t>
            </w:r>
          </w:p>
        </w:tc>
        <w:tc>
          <w:tcPr>
            <w:tcW w:w="1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188.3</w:t>
            </w:r>
          </w:p>
        </w:tc>
        <w:tc>
          <w:tcPr>
            <w:tcW w:w="6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80.5</w:t>
            </w:r>
          </w:p>
        </w:tc>
        <w:tc>
          <w:tcPr>
            <w:tcW w:w="1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133.9</w:t>
            </w:r>
          </w:p>
        </w:tc>
      </w:tr>
      <w:tr>
        <w:trPr>
          <w:trHeight w:val="229"/>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(42.1)</w:t>
            </w:r>
          </w:p>
        </w:tc>
        <w:tc>
          <w:tcPr>
            <w:tcW w:w="6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253.8</w:t>
            </w:r>
          </w:p>
        </w:tc>
      </w:tr>
      <w:tr>
        <w:trPr>
          <w:trHeight w:val="230"/>
        </w:trPr>
        <w:tc>
          <w:tcPr>
            <w:tcW w:w="760" w:type="dxa"/>
            <w:vAlign w:val="bottom"/>
          </w:tcPr>
          <w:p>
            <w:pPr>
              <w:jc w:val="right"/>
              <w:ind w:right="110"/>
              <w:spacing w:after="0"/>
              <w:rPr>
                <w:sz w:val="20"/>
                <w:szCs w:val="20"/>
                <w:color w:val="auto"/>
              </w:rPr>
            </w:pPr>
            <w:r>
              <w:rPr>
                <w:rFonts w:ascii="Arial" w:cs="Arial" w:eastAsia="Arial" w:hAnsi="Arial"/>
                <w:sz w:val="18"/>
                <w:szCs w:val="18"/>
                <w:color w:val="auto"/>
                <w:w w:val="94"/>
              </w:rPr>
              <w:t>(113.5)</w:t>
            </w:r>
          </w:p>
        </w:tc>
        <w:tc>
          <w:tcPr>
            <w:tcW w:w="6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(85.4)</w:t>
            </w:r>
          </w:p>
        </w:tc>
        <w:tc>
          <w:tcPr>
            <w:tcW w:w="1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32.9</w:t>
            </w:r>
          </w:p>
        </w:tc>
      </w:tr>
      <w:tr>
        <w:trPr>
          <w:trHeight w:val="229"/>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(25.7)</w:t>
            </w:r>
          </w:p>
        </w:tc>
        <w:tc>
          <w:tcPr>
            <w:tcW w:w="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283.6</w:t>
            </w:r>
          </w:p>
        </w:tc>
      </w:tr>
      <w:tr>
        <w:trPr>
          <w:trHeight w:val="223"/>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7.0</w:t>
            </w:r>
          </w:p>
        </w:tc>
        <w:tc>
          <w:tcPr>
            <w:tcW w:w="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w:t>
            </w:r>
          </w:p>
        </w:tc>
        <w:tc>
          <w:tcPr>
            <w:tcW w:w="14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w:t>
            </w:r>
          </w:p>
        </w:tc>
      </w:tr>
      <w:tr>
        <w:trPr>
          <w:trHeight w:val="480"/>
        </w:trPr>
        <w:tc>
          <w:tcPr>
            <w:tcW w:w="760" w:type="dxa"/>
            <w:vAlign w:val="bottom"/>
          </w:tcPr>
          <w:p>
            <w:pPr>
              <w:jc w:val="right"/>
              <w:ind w:right="110"/>
              <w:spacing w:after="0"/>
              <w:rPr>
                <w:sz w:val="20"/>
                <w:szCs w:val="20"/>
                <w:color w:val="auto"/>
              </w:rPr>
            </w:pPr>
            <w:r>
              <w:rPr>
                <w:rFonts w:ascii="Arial" w:cs="Arial" w:eastAsia="Arial" w:hAnsi="Arial"/>
                <w:sz w:val="18"/>
                <w:szCs w:val="18"/>
                <w:color w:val="auto"/>
                <w:w w:val="94"/>
              </w:rPr>
              <w:t>(214.9)</w:t>
            </w:r>
          </w:p>
        </w:tc>
        <w:tc>
          <w:tcPr>
            <w:tcW w:w="6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247.4</w:t>
            </w:r>
          </w:p>
        </w:tc>
        <w:tc>
          <w:tcPr>
            <w:tcW w:w="1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(186.9)</w:t>
            </w:r>
          </w:p>
        </w:tc>
      </w:tr>
      <w:tr>
        <w:trPr>
          <w:trHeight w:val="324"/>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317.8</w:t>
            </w:r>
          </w:p>
        </w:tc>
        <w:tc>
          <w:tcPr>
            <w:tcW w:w="6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70.4</w:t>
            </w:r>
          </w:p>
        </w:tc>
        <w:tc>
          <w:tcPr>
            <w:tcW w:w="1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351.4</w:t>
            </w:r>
          </w:p>
        </w:tc>
      </w:tr>
      <w:tr>
        <w:trPr>
          <w:trHeight w:val="94"/>
        </w:trPr>
        <w:tc>
          <w:tcPr>
            <w:tcW w:w="7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860" w:type="dxa"/>
            <w:vAlign w:val="bottom"/>
            <w:tcBorders>
              <w:bottom w:val="single" w:sz="8" w:color="auto"/>
            </w:tcBorders>
          </w:tcPr>
          <w:p>
            <w:pPr>
              <w:spacing w:after="0"/>
              <w:rPr>
                <w:sz w:val="8"/>
                <w:szCs w:val="8"/>
                <w:color w:val="auto"/>
              </w:rPr>
            </w:pPr>
          </w:p>
        </w:tc>
      </w:tr>
      <w:tr>
        <w:trPr>
          <w:trHeight w:val="290"/>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102.9</w:t>
            </w: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317.8</w:t>
            </w:r>
          </w:p>
        </w:tc>
        <w:tc>
          <w:tcPr>
            <w:tcW w:w="1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(67.6)</w:t>
            </w:r>
          </w:p>
        </w:tc>
      </w:tr>
      <w:tr>
        <w:trPr>
          <w:trHeight w:val="81"/>
        </w:trPr>
        <w:tc>
          <w:tcPr>
            <w:tcW w:w="76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r>
      <w:tr>
        <w:trPr>
          <w:trHeight w:val="20"/>
        </w:trPr>
        <w:tc>
          <w:tcPr>
            <w:tcW w:w="7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-33655</wp:posOffset>
            </wp:positionV>
            <wp:extent cx="11830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83005" cy="8890"/>
                    </a:xfrm>
                    <a:prstGeom prst="rect">
                      <a:avLst/>
                    </a:prstGeom>
                    <a:noFill/>
                  </pic:spPr>
                </pic:pic>
              </a:graphicData>
            </a:graphic>
          </wp:anchor>
        </w:drawing>
        <w:drawing>
          <wp:anchor simplePos="0" relativeHeight="251657728" behindDoc="1" locked="0" layoutInCell="0" allowOverlap="1">
            <wp:simplePos x="0" y="0"/>
            <wp:positionH relativeFrom="column">
              <wp:posOffset>-782320</wp:posOffset>
            </wp:positionH>
            <wp:positionV relativeFrom="paragraph">
              <wp:posOffset>-8255</wp:posOffset>
            </wp:positionV>
            <wp:extent cx="11830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83005" cy="8890"/>
                    </a:xfrm>
                    <a:prstGeom prst="rect">
                      <a:avLst/>
                    </a:prstGeom>
                    <a:noFill/>
                  </pic:spPr>
                </pic:pic>
              </a:graphicData>
            </a:graphic>
          </wp:anchor>
        </w:drawing>
        <w:drawing>
          <wp:anchor simplePos="0" relativeHeight="251657728" behindDoc="1" locked="0" layoutInCell="0" allowOverlap="1">
            <wp:simplePos x="0" y="0"/>
            <wp:positionH relativeFrom="column">
              <wp:posOffset>-782320</wp:posOffset>
            </wp:positionH>
            <wp:positionV relativeFrom="paragraph">
              <wp:posOffset>-281940</wp:posOffset>
            </wp:positionV>
            <wp:extent cx="11830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-782320</wp:posOffset>
            </wp:positionH>
            <wp:positionV relativeFrom="paragraph">
              <wp:posOffset>-1019175</wp:posOffset>
            </wp:positionV>
            <wp:extent cx="11830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-782320</wp:posOffset>
            </wp:positionH>
            <wp:positionV relativeFrom="paragraph">
              <wp:posOffset>-1919605</wp:posOffset>
            </wp:positionV>
            <wp:extent cx="11830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-782320</wp:posOffset>
            </wp:positionH>
            <wp:positionV relativeFrom="paragraph">
              <wp:posOffset>-2536825</wp:posOffset>
            </wp:positionV>
            <wp:extent cx="11830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525" w:lineRule="exact"/>
        <w:rPr>
          <w:sz w:val="20"/>
          <w:szCs w:val="20"/>
          <w:color w:val="auto"/>
        </w:rPr>
      </w:pPr>
    </w:p>
    <w:p>
      <w:pPr>
        <w:sectPr>
          <w:pgSz w:w="11900" w:h="16838" w:orient="portrait"/>
          <w:cols w:equalWidth="0" w:num="2">
            <w:col w:w="5880" w:space="720"/>
            <w:col w:w="4620"/>
          </w:cols>
          <w:pgMar w:left="320" w:top="138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11</w:t>
      </w:r>
    </w:p>
    <w:p>
      <w:pPr>
        <w:sectPr>
          <w:pgSz w:w="11900" w:h="16838" w:orient="portrait"/>
          <w:cols w:equalWidth="0" w:num="1">
            <w:col w:w="11220"/>
          </w:cols>
          <w:pgMar w:left="320" w:top="1386" w:right="359" w:bottom="1440" w:gutter="0" w:footer="0" w:header="0"/>
          <w:type w:val="continuous"/>
        </w:sectPr>
      </w:pPr>
    </w:p>
    <w:bookmarkStart w:id="14" w:name="page15"/>
    <w:bookmarkEnd w:id="14"/>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Calculation of Special Items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151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the items that are included as Special Items, net.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6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1380" w:type="dxa"/>
            <w:vAlign w:val="bottom"/>
          </w:tcPr>
          <w:p>
            <w:pPr>
              <w:spacing w:after="0"/>
              <w:rPr>
                <w:sz w:val="16"/>
                <w:szCs w:val="16"/>
                <w:color w:val="auto"/>
              </w:rPr>
            </w:pPr>
          </w:p>
        </w:tc>
      </w:tr>
      <w:tr>
        <w:trPr>
          <w:trHeight w:val="214"/>
        </w:trPr>
        <w:tc>
          <w:tcPr>
            <w:tcW w:w="66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815"/>
              <w:spacing w:after="0"/>
              <w:rPr>
                <w:sz w:val="20"/>
                <w:szCs w:val="20"/>
                <w:color w:val="auto"/>
              </w:rPr>
            </w:pPr>
            <w:r>
              <w:rPr>
                <w:rFonts w:ascii="Arial" w:cs="Arial" w:eastAsia="Arial" w:hAnsi="Arial"/>
                <w:sz w:val="14"/>
                <w:szCs w:val="14"/>
                <w:b w:val="1"/>
                <w:bCs w:val="1"/>
                <w:color w:val="auto"/>
              </w:rPr>
              <w:t>2021</w:t>
            </w:r>
            <w:r>
              <w:rPr>
                <w:rFonts w:ascii="Arial" w:cs="Arial" w:eastAsia="Arial" w:hAnsi="Arial"/>
                <w:sz w:val="18"/>
                <w:szCs w:val="18"/>
                <w:b w:val="1"/>
                <w:bCs w:val="1"/>
                <w:color w:val="auto"/>
                <w:vertAlign w:val="superscript"/>
              </w:rPr>
              <w:t>(7)</w:t>
            </w:r>
          </w:p>
        </w:tc>
      </w:tr>
      <w:tr>
        <w:trPr>
          <w:trHeight w:val="264"/>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CARES Act employee grant recognition </w:t>
            </w:r>
            <w:r>
              <w:rPr>
                <w:rFonts w:ascii="Arial" w:cs="Arial" w:eastAsia="Arial" w:hAnsi="Arial"/>
                <w:sz w:val="23"/>
                <w:szCs w:val="23"/>
                <w:color w:val="auto"/>
                <w:vertAlign w:val="superscript"/>
              </w:rPr>
              <w:t>(1)</w:t>
            </w:r>
          </w:p>
        </w:tc>
        <w:tc>
          <w:tcPr>
            <w:tcW w:w="1340" w:type="dxa"/>
            <w:vAlign w:val="bottom"/>
            <w:shd w:val="clear" w:color="auto" w:fill="CCEEFF"/>
          </w:tcPr>
          <w:p>
            <w:pPr>
              <w:jc w:val="right"/>
              <w:ind w:right="1136"/>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r>
      <w:tr>
        <w:trPr>
          <w:trHeight w:val="270"/>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CARES Act employee retention credit </w:t>
            </w:r>
            <w:r>
              <w:rPr>
                <w:rFonts w:ascii="Arial" w:cs="Arial" w:eastAsia="Arial" w:hAnsi="Arial"/>
                <w:sz w:val="23"/>
                <w:szCs w:val="23"/>
                <w:color w:val="auto"/>
                <w:vertAlign w:val="superscript"/>
              </w:rPr>
              <w:t>(2)</w:t>
            </w:r>
          </w:p>
        </w:tc>
        <w:tc>
          <w:tcPr>
            <w:tcW w:w="13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Special Items, net</w:t>
            </w:r>
          </w:p>
        </w:tc>
        <w:tc>
          <w:tcPr>
            <w:tcW w:w="1340" w:type="dxa"/>
            <w:vAlign w:val="bottom"/>
            <w:shd w:val="clear" w:color="auto" w:fill="CCEEFF"/>
          </w:tcPr>
          <w:p>
            <w:pPr>
              <w:jc w:val="right"/>
              <w:ind w:right="1136"/>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440" w:right="80" w:hanging="414"/>
        <w:spacing w:after="0" w:line="258" w:lineRule="auto"/>
        <w:tabs>
          <w:tab w:leader="none" w:pos="4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 the first half of 2021, the United States Department of the Treasury awarded the Company a grant of $71.6 under the Payroll Support Program (“PSP2”) under the Consolidated Appropriations Act, 2021</w:t>
      </w:r>
    </w:p>
    <w:p>
      <w:pPr>
        <w:ind w:left="440" w:hanging="414"/>
        <w:spacing w:after="0" w:line="194" w:lineRule="auto"/>
        <w:tabs>
          <w:tab w:leader="none" w:pos="440" w:val="left"/>
        </w:tabs>
        <w:numPr>
          <w:ilvl w:val="0"/>
          <w:numId w:val="6"/>
        </w:numPr>
        <w:rPr>
          <w:rFonts w:ascii="Arial" w:cs="Arial" w:eastAsia="Arial" w:hAnsi="Arial"/>
          <w:sz w:val="29"/>
          <w:szCs w:val="29"/>
          <w:color w:val="auto"/>
          <w:vertAlign w:val="superscript"/>
        </w:rPr>
      </w:pPr>
      <w:r>
        <w:rPr>
          <w:rFonts w:ascii="Arial" w:cs="Arial" w:eastAsia="Arial" w:hAnsi="Arial"/>
          <w:sz w:val="14"/>
          <w:szCs w:val="14"/>
          <w:color w:val="auto"/>
        </w:rPr>
        <w:t>Primarily relates to a credit recognized under the CARES Act Employee Retention credit which is a refundable tax credit against certain employee taxes</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items included in Special Items, net for the three months ended 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12</w:t>
      </w:r>
    </w:p>
    <w:p>
      <w:pPr>
        <w:sectPr>
          <w:pgSz w:w="11900" w:h="16838" w:orient="portrait"/>
          <w:cols w:equalWidth="0" w:num="1">
            <w:col w:w="11200"/>
          </w:cols>
          <w:pgMar w:left="320" w:top="1440" w:right="3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NON-GAAP FINANCIAL MEASURES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Adjusted Operating Income, Adjusted Operating Income Margin, Adjusted Income Before Income Tax, Adjusted Pre-tax Margin, Adjusted Net Income , Adjusted EBITDA and Adjusted EBITDA Margin</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Adjusted Operating Income, Adjusted Operating Income Margin, Adjusted Income Before Income Tax, Adjusted Pre-tax Margin, Adjusted Net Income, Adjusted Net Income per share, Adjusted EBITDA and Adjusted EBITDA Margin are non-GAAP measures included as supplemental disclosure because we believe they are useful indicators of our operating performance. Derivations of Operating Income and Net Income are well recognized performance measurements in the airline industry that are frequently used by our management, as well as by investors, securities analysts and other interested parties in comparing the operating performance of companies in our industry.</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measures described above have limitations as analytical tools. Some of the limitations applicable to these measures include: they do not reflect the impact of certain cash and non-cash charges resulting from matters we consider not to be indicative of our ongoing operations; and other companies in our industry may calculate these non-GAAP measures differently than we do, limiting each measure’s usefulness as a comparative measure. Because of these limitations, the following non-GAAP measures should not be considered in isolation or as a substitute for performance measures calculated in accordance with GAAP and may not be the same as or comparable to similarly titled measures presented by other companies due to the possible differences in the method of calculation and in the items being adjusted.</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aforementioned reasons, Adjusted Operating Income, Adjusted Operating Income Margin, Adjusted Income Before Income Tax, Adjusted Pre-tax Margin, Adjusted Net Income, Adjusted EBITDA and Adjusted EBITDA Margin have significant limitations which affect their</w:t>
      </w:r>
    </w:p>
    <w:p>
      <w:pPr>
        <w:spacing w:after="0"/>
        <w:rPr>
          <w:sz w:val="20"/>
          <w:szCs w:val="20"/>
          <w:color w:val="auto"/>
        </w:rPr>
      </w:pPr>
      <w:r>
        <w:rPr>
          <w:rFonts w:ascii="Arial" w:cs="Arial" w:eastAsia="Arial" w:hAnsi="Arial"/>
          <w:sz w:val="18"/>
          <w:szCs w:val="18"/>
          <w:color w:val="auto"/>
        </w:rPr>
        <w:t>use as indicators of our profitability. Accordingly, readers are cautioned not to place undue reliance on this information</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13</w:t>
      </w:r>
    </w:p>
    <w:p>
      <w:pPr>
        <w:sectPr>
          <w:pgSz w:w="11900" w:h="16838" w:orient="portrait"/>
          <w:cols w:equalWidth="0" w:num="1">
            <w:col w:w="11240"/>
          </w:cols>
          <w:pgMar w:left="320" w:top="1278" w:right="339" w:bottom="1440" w:gutter="0" w:footer="0" w:header="0"/>
        </w:sectPr>
      </w:pPr>
    </w:p>
    <w:bookmarkStart w:id="16" w:name="page17"/>
    <w:bookmarkEnd w:id="16"/>
    <w:p>
      <w:pPr>
        <w:ind w:left="20" w:right="4520"/>
        <w:spacing w:after="0" w:line="334" w:lineRule="auto"/>
        <w:rPr>
          <w:sz w:val="20"/>
          <w:szCs w:val="20"/>
          <w:color w:val="auto"/>
        </w:rPr>
      </w:pPr>
      <w:r>
        <w:rPr>
          <w:rFonts w:ascii="Arial" w:cs="Arial" w:eastAsia="Arial" w:hAnsi="Arial"/>
          <w:sz w:val="18"/>
          <w:szCs w:val="18"/>
          <w:b w:val="1"/>
          <w:bCs w:val="1"/>
          <w:color w:val="auto"/>
        </w:rPr>
        <w:t>Reconciliation of GAAP Operating Income to Adjusted Operating Income 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1234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presents the reconciliation of GAAP operating income to adjusted operating income.</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40" w:type="dxa"/>
            <w:vAlign w:val="bottom"/>
            <w:gridSpan w:val="4"/>
          </w:tcPr>
          <w:p>
            <w:pPr>
              <w:jc w:val="right"/>
              <w:ind w:right="276"/>
              <w:spacing w:after="0"/>
              <w:rPr>
                <w:sz w:val="20"/>
                <w:szCs w:val="20"/>
                <w:color w:val="auto"/>
              </w:rPr>
            </w:pPr>
            <w:r>
              <w:rPr>
                <w:rFonts w:ascii="Arial" w:cs="Arial" w:eastAsia="Arial" w:hAnsi="Arial"/>
                <w:sz w:val="14"/>
                <w:szCs w:val="14"/>
                <w:b w:val="1"/>
                <w:bCs w:val="1"/>
                <w:color w:val="auto"/>
              </w:rPr>
              <w:t>Three Months Ended December 31,</w:t>
            </w:r>
          </w:p>
        </w:tc>
        <w:tc>
          <w:tcPr>
            <w:tcW w:w="820" w:type="dxa"/>
            <w:vAlign w:val="bottom"/>
          </w:tcPr>
          <w:p>
            <w:pPr>
              <w:spacing w:after="0"/>
              <w:rPr>
                <w:sz w:val="16"/>
                <w:szCs w:val="16"/>
                <w:color w:val="auto"/>
              </w:rPr>
            </w:pPr>
          </w:p>
        </w:tc>
      </w:tr>
      <w:tr>
        <w:trPr>
          <w:trHeight w:val="215"/>
        </w:trPr>
        <w:tc>
          <w:tcPr>
            <w:tcW w:w="64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2021</w:t>
            </w:r>
            <w:r>
              <w:rPr>
                <w:rFonts w:ascii="Arial" w:cs="Arial" w:eastAsia="Arial" w:hAnsi="Arial"/>
                <w:sz w:val="18"/>
                <w:szCs w:val="18"/>
                <w:b w:val="1"/>
                <w:bCs w:val="1"/>
                <w:color w:val="auto"/>
                <w:vertAlign w:val="superscript"/>
              </w:rPr>
              <w:t>(7)</w:t>
            </w:r>
          </w:p>
        </w:tc>
        <w:tc>
          <w:tcPr>
            <w:tcW w:w="820" w:type="dxa"/>
            <w:vAlign w:val="bottom"/>
            <w:tcBorders>
              <w:bottom w:val="single" w:sz="8" w:color="auto"/>
            </w:tcBorders>
          </w:tcPr>
          <w:p>
            <w:pPr>
              <w:spacing w:after="0"/>
              <w:rPr>
                <w:sz w:val="18"/>
                <w:szCs w:val="18"/>
                <w:color w:val="auto"/>
              </w:rPr>
            </w:pPr>
          </w:p>
        </w:tc>
      </w:tr>
      <w:tr>
        <w:trPr>
          <w:trHeight w:val="223"/>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400" w:type="dxa"/>
            <w:vAlign w:val="bottom"/>
            <w:shd w:val="clear" w:color="auto" w:fill="CCEEFF"/>
          </w:tcPr>
          <w:p>
            <w:pPr>
              <w:jc w:val="right"/>
              <w:ind w:right="1198"/>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227.2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6"/>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172.6</w:t>
            </w:r>
          </w:p>
        </w:tc>
      </w:tr>
      <w:tr>
        <w:trPr>
          <w:trHeight w:val="230"/>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140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10.2</w:t>
            </w:r>
          </w:p>
        </w:tc>
      </w:tr>
      <w:tr>
        <w:trPr>
          <w:trHeight w:val="229"/>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compensation expense</w:t>
            </w:r>
          </w:p>
        </w:tc>
        <w:tc>
          <w:tcPr>
            <w:tcW w:w="14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w:t>
            </w:r>
          </w:p>
        </w:tc>
      </w:tr>
      <w:tr>
        <w:trPr>
          <w:trHeight w:val="230"/>
        </w:trPr>
        <w:tc>
          <w:tcPr>
            <w:tcW w:w="64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Other Adjustments </w:t>
            </w:r>
            <w:r>
              <w:rPr>
                <w:rFonts w:ascii="Arial" w:cs="Arial" w:eastAsia="Arial" w:hAnsi="Arial"/>
                <w:sz w:val="23"/>
                <w:szCs w:val="23"/>
                <w:color w:val="auto"/>
                <w:vertAlign w:val="superscript"/>
              </w:rPr>
              <w:t>(1)</w:t>
            </w:r>
          </w:p>
        </w:tc>
        <w:tc>
          <w:tcPr>
            <w:tcW w:w="14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3.0</w:t>
            </w:r>
          </w:p>
        </w:tc>
      </w:tr>
      <w:tr>
        <w:trPr>
          <w:trHeight w:val="248"/>
        </w:trPr>
        <w:tc>
          <w:tcPr>
            <w:tcW w:w="64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Operating Income</w:t>
            </w:r>
          </w:p>
        </w:tc>
        <w:tc>
          <w:tcPr>
            <w:tcW w:w="1400" w:type="dxa"/>
            <w:vAlign w:val="bottom"/>
            <w:tcBorders>
              <w:top w:val="single" w:sz="8" w:color="auto"/>
              <w:bottom w:val="single" w:sz="8" w:color="auto"/>
            </w:tcBorders>
            <w:shd w:val="clear" w:color="auto" w:fill="CCEEFF"/>
          </w:tcPr>
          <w:p>
            <w:pPr>
              <w:jc w:val="right"/>
              <w:ind w:right="1198"/>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ind w:right="131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14.2</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9"/>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Margin</w:t>
            </w:r>
          </w:p>
        </w:tc>
        <w:tc>
          <w:tcPr>
            <w:tcW w:w="1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r>
      <w:tr>
        <w:trPr>
          <w:trHeight w:val="230"/>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Adjusted Operating Income Margin</w:t>
            </w:r>
          </w:p>
        </w:tc>
        <w:tc>
          <w:tcPr>
            <w:tcW w:w="1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7.0 %</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8.2 %</w:t>
            </w:r>
          </w:p>
        </w:tc>
      </w:tr>
      <w:tr>
        <w:trPr>
          <w:trHeight w:val="609"/>
        </w:trPr>
        <w:tc>
          <w:tcPr>
            <w:tcW w:w="6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540" w:type="dxa"/>
            <w:vAlign w:val="bottom"/>
            <w:gridSpan w:val="3"/>
          </w:tcPr>
          <w:p>
            <w:pPr>
              <w:jc w:val="right"/>
              <w:ind w:right="616"/>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Pr>
          <w:p>
            <w:pPr>
              <w:spacing w:after="0"/>
              <w:rPr>
                <w:sz w:val="24"/>
                <w:szCs w:val="24"/>
                <w:color w:val="auto"/>
              </w:rPr>
            </w:pPr>
          </w:p>
        </w:tc>
      </w:tr>
      <w:tr>
        <w:trPr>
          <w:trHeight w:val="214"/>
        </w:trPr>
        <w:tc>
          <w:tcPr>
            <w:tcW w:w="64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2022</w:t>
            </w: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2021</w:t>
            </w:r>
            <w:r>
              <w:rPr>
                <w:rFonts w:ascii="Arial" w:cs="Arial" w:eastAsia="Arial" w:hAnsi="Arial"/>
                <w:sz w:val="18"/>
                <w:szCs w:val="18"/>
                <w:b w:val="1"/>
                <w:bCs w:val="1"/>
                <w:color w:val="auto"/>
                <w:vertAlign w:val="superscript"/>
              </w:rPr>
              <w:t>(7)</w:t>
            </w:r>
          </w:p>
        </w:tc>
        <w:tc>
          <w:tcPr>
            <w:tcW w:w="820" w:type="dxa"/>
            <w:vAlign w:val="bottom"/>
            <w:tcBorders>
              <w:bottom w:val="single" w:sz="8" w:color="auto"/>
            </w:tcBorders>
          </w:tcPr>
          <w:p>
            <w:pPr>
              <w:spacing w:after="0"/>
              <w:rPr>
                <w:sz w:val="18"/>
                <w:szCs w:val="18"/>
                <w:color w:val="auto"/>
              </w:rPr>
            </w:pPr>
          </w:p>
        </w:tc>
      </w:tr>
      <w:tr>
        <w:trPr>
          <w:trHeight w:val="223"/>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400" w:type="dxa"/>
            <w:vAlign w:val="bottom"/>
            <w:shd w:val="clear" w:color="auto" w:fill="CCEEFF"/>
          </w:tcPr>
          <w:p>
            <w:pPr>
              <w:jc w:val="right"/>
              <w:ind w:right="1218"/>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894.4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6"/>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623.0</w:t>
            </w:r>
          </w:p>
        </w:tc>
      </w:tr>
      <w:tr>
        <w:trPr>
          <w:trHeight w:val="229"/>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1400" w:type="dxa"/>
            <w:vAlign w:val="bottom"/>
          </w:tcPr>
          <w:p>
            <w:pPr>
              <w:spacing w:after="0"/>
              <w:rPr>
                <w:sz w:val="19"/>
                <w:szCs w:val="19"/>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111.9</w:t>
            </w:r>
          </w:p>
        </w:tc>
      </w:tr>
      <w:tr>
        <w:trPr>
          <w:trHeight w:val="270"/>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(2)</w:t>
            </w:r>
          </w:p>
        </w:tc>
        <w:tc>
          <w:tcPr>
            <w:tcW w:w="14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(72.4)</w:t>
            </w:r>
          </w:p>
        </w:tc>
      </w:tr>
      <w:tr>
        <w:trPr>
          <w:trHeight w:val="229"/>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Stock compensation expense</w:t>
            </w:r>
          </w:p>
        </w:tc>
        <w:tc>
          <w:tcPr>
            <w:tcW w:w="1400" w:type="dxa"/>
            <w:vAlign w:val="bottom"/>
          </w:tcPr>
          <w:p>
            <w:pPr>
              <w:spacing w:after="0"/>
              <w:rPr>
                <w:sz w:val="19"/>
                <w:szCs w:val="19"/>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5.6</w:t>
            </w:r>
          </w:p>
        </w:tc>
      </w:tr>
      <w:tr>
        <w:trPr>
          <w:trHeight w:val="270"/>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Other Adjustments </w:t>
            </w:r>
            <w:r>
              <w:rPr>
                <w:rFonts w:ascii="Arial" w:cs="Arial" w:eastAsia="Arial" w:hAnsi="Arial"/>
                <w:sz w:val="23"/>
                <w:szCs w:val="23"/>
                <w:color w:val="auto"/>
                <w:vertAlign w:val="superscript"/>
              </w:rPr>
              <w:t>(1)</w:t>
            </w:r>
          </w:p>
        </w:tc>
        <w:tc>
          <w:tcPr>
            <w:tcW w:w="14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3.0</w:t>
            </w:r>
          </w:p>
        </w:tc>
      </w:tr>
      <w:tr>
        <w:trPr>
          <w:trHeight w:val="270"/>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 xml:space="preserve">Tax Receivable Agreement expense </w:t>
            </w:r>
            <w:r>
              <w:rPr>
                <w:rFonts w:ascii="Arial" w:cs="Arial" w:eastAsia="Arial" w:hAnsi="Arial"/>
                <w:sz w:val="23"/>
                <w:szCs w:val="23"/>
                <w:color w:val="auto"/>
                <w:vertAlign w:val="superscript"/>
              </w:rPr>
              <w:t>(3)</w:t>
            </w:r>
          </w:p>
        </w:tc>
        <w:tc>
          <w:tcPr>
            <w:tcW w:w="1400" w:type="dxa"/>
            <w:vAlign w:val="bottom"/>
          </w:tcPr>
          <w:p>
            <w:pPr>
              <w:spacing w:after="0"/>
              <w:rPr>
                <w:sz w:val="23"/>
                <w:szCs w:val="23"/>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23"/>
                <w:szCs w:val="23"/>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0.3</w:t>
            </w:r>
          </w:p>
        </w:tc>
      </w:tr>
      <w:tr>
        <w:trPr>
          <w:trHeight w:val="248"/>
        </w:trPr>
        <w:tc>
          <w:tcPr>
            <w:tcW w:w="6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Operating Income</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ind w:right="1218"/>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58.5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ind w:right="131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48.4</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Margin</w:t>
            </w:r>
          </w:p>
        </w:tc>
        <w:tc>
          <w:tcPr>
            <w:tcW w:w="1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18.0 %</w:t>
            </w:r>
          </w:p>
        </w:tc>
      </w:tr>
      <w:tr>
        <w:trPr>
          <w:trHeight w:val="230"/>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Adjusted Operating Income Margin</w:t>
            </w:r>
          </w:p>
        </w:tc>
        <w:tc>
          <w:tcPr>
            <w:tcW w:w="1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6.5 %</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7.8 %</w:t>
            </w:r>
          </w:p>
        </w:tc>
      </w:tr>
    </w:tbl>
    <w:p>
      <w:pPr>
        <w:spacing w:after="0" w:line="180" w:lineRule="exact"/>
        <w:rPr>
          <w:sz w:val="20"/>
          <w:szCs w:val="20"/>
          <w:color w:val="auto"/>
        </w:rPr>
      </w:pPr>
    </w:p>
    <w:p>
      <w:pPr>
        <w:ind w:left="440" w:hanging="414"/>
        <w:spacing w:after="0"/>
        <w:tabs>
          <w:tab w:leader="none" w:pos="440" w:val="left"/>
        </w:tabs>
        <w:numPr>
          <w:ilvl w:val="0"/>
          <w:numId w:val="7"/>
        </w:numPr>
        <w:rPr>
          <w:rFonts w:ascii="Arial" w:cs="Arial" w:eastAsia="Arial" w:hAnsi="Arial"/>
          <w:sz w:val="14"/>
          <w:szCs w:val="14"/>
          <w:color w:val="auto"/>
        </w:rPr>
      </w:pPr>
      <w:r>
        <w:rPr>
          <w:rFonts w:ascii="Arial" w:cs="Arial" w:eastAsia="Arial" w:hAnsi="Arial"/>
          <w:sz w:val="14"/>
          <w:szCs w:val="14"/>
          <w:color w:val="auto"/>
        </w:rPr>
        <w:t>Other adjustments include an adjustment to record the impact on pilot vacation pay resulting from the new pilot labor contract</w:t>
      </w:r>
    </w:p>
    <w:p>
      <w:pPr>
        <w:spacing w:after="0" w:line="55" w:lineRule="exact"/>
        <w:rPr>
          <w:rFonts w:ascii="Arial" w:cs="Arial" w:eastAsia="Arial" w:hAnsi="Arial"/>
          <w:sz w:val="14"/>
          <w:szCs w:val="14"/>
          <w:color w:val="auto"/>
        </w:rPr>
      </w:pPr>
    </w:p>
    <w:p>
      <w:pPr>
        <w:ind w:left="440" w:hanging="414"/>
        <w:spacing w:after="0"/>
        <w:tabs>
          <w:tab w:leader="none" w:pos="440" w:val="left"/>
        </w:tabs>
        <w:numPr>
          <w:ilvl w:val="0"/>
          <w:numId w:val="7"/>
        </w:numPr>
        <w:rPr>
          <w:rFonts w:ascii="Arial" w:cs="Arial" w:eastAsia="Arial" w:hAnsi="Arial"/>
          <w:sz w:val="14"/>
          <w:szCs w:val="14"/>
          <w:color w:val="auto"/>
        </w:rPr>
      </w:pPr>
      <w:r>
        <w:rPr>
          <w:rFonts w:ascii="Arial" w:cs="Arial" w:eastAsia="Arial" w:hAnsi="Arial"/>
          <w:sz w:val="14"/>
          <w:szCs w:val="14"/>
          <w:color w:val="auto"/>
        </w:rPr>
        <w:t>See special items table above for more details</w:t>
      </w:r>
    </w:p>
    <w:p>
      <w:pPr>
        <w:spacing w:after="0" w:line="24" w:lineRule="exact"/>
        <w:rPr>
          <w:rFonts w:ascii="Arial" w:cs="Arial" w:eastAsia="Arial" w:hAnsi="Arial"/>
          <w:sz w:val="14"/>
          <w:szCs w:val="14"/>
          <w:color w:val="auto"/>
        </w:rPr>
      </w:pPr>
    </w:p>
    <w:p>
      <w:pPr>
        <w:ind w:left="440" w:hanging="414"/>
        <w:spacing w:after="0" w:line="184" w:lineRule="auto"/>
        <w:tabs>
          <w:tab w:leader="none" w:pos="440" w:val="left"/>
        </w:tabs>
        <w:numPr>
          <w:ilvl w:val="0"/>
          <w:numId w:val="7"/>
        </w:numPr>
        <w:rPr>
          <w:rFonts w:ascii="Arial" w:cs="Arial" w:eastAsia="Arial" w:hAnsi="Arial"/>
          <w:sz w:val="29"/>
          <w:szCs w:val="29"/>
          <w:color w:val="auto"/>
          <w:vertAlign w:val="superscript"/>
        </w:rPr>
      </w:pPr>
      <w:r>
        <w:rPr>
          <w:rFonts w:ascii="Arial" w:cs="Arial" w:eastAsia="Arial" w:hAnsi="Arial"/>
          <w:sz w:val="14"/>
          <w:szCs w:val="14"/>
          <w:color w:val="auto"/>
        </w:rPr>
        <w:t>This represents the one-time costs to establish the Tax Receivable Agreement (“TRA”) liability with our pre-IPO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14</w:t>
      </w:r>
    </w:p>
    <w:p>
      <w:pPr>
        <w:sectPr>
          <w:pgSz w:w="11900" w:h="16838" w:orient="portrait"/>
          <w:cols w:equalWidth="0" w:num="1">
            <w:col w:w="11200"/>
          </w:cols>
          <w:pgMar w:left="320" w:top="1413" w:right="379" w:bottom="1440" w:gutter="0" w:footer="0" w:header="0"/>
        </w:sectPr>
      </w:pPr>
    </w:p>
    <w:bookmarkStart w:id="17" w:name="page18"/>
    <w:bookmarkEnd w:id="17"/>
    <w:p>
      <w:pPr>
        <w:ind w:left="20" w:right="2880"/>
        <w:spacing w:after="0" w:line="334" w:lineRule="auto"/>
        <w:rPr>
          <w:sz w:val="20"/>
          <w:szCs w:val="20"/>
          <w:color w:val="auto"/>
        </w:rPr>
      </w:pPr>
      <w:r>
        <w:rPr>
          <w:rFonts w:ascii="Arial" w:cs="Arial" w:eastAsia="Arial" w:hAnsi="Arial"/>
          <w:sz w:val="18"/>
          <w:szCs w:val="18"/>
          <w:b w:val="1"/>
          <w:bCs w:val="1"/>
          <w:color w:val="auto"/>
        </w:rPr>
        <w:t>Reconciliation of GAAP Income (Loss) Before Income Tax to Adjusted Income Before Income Tax 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1234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presents the reconciliation of GAAP income (loss) before income tax to adjusted income before income tax.</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20" w:type="dxa"/>
            <w:vAlign w:val="bottom"/>
          </w:tcPr>
          <w:p>
            <w:pPr>
              <w:spacing w:after="0"/>
              <w:rPr>
                <w:sz w:val="16"/>
                <w:szCs w:val="16"/>
                <w:color w:val="auto"/>
              </w:rPr>
            </w:pPr>
          </w:p>
        </w:tc>
        <w:tc>
          <w:tcPr>
            <w:tcW w:w="3960" w:type="dxa"/>
            <w:vAlign w:val="bottom"/>
            <w:gridSpan w:val="4"/>
          </w:tcPr>
          <w:p>
            <w:pPr>
              <w:jc w:val="right"/>
              <w:ind w:right="296"/>
              <w:spacing w:after="0"/>
              <w:rPr>
                <w:sz w:val="20"/>
                <w:szCs w:val="20"/>
                <w:color w:val="auto"/>
              </w:rPr>
            </w:pPr>
            <w:r>
              <w:rPr>
                <w:rFonts w:ascii="Arial" w:cs="Arial" w:eastAsia="Arial" w:hAnsi="Arial"/>
                <w:sz w:val="14"/>
                <w:szCs w:val="14"/>
                <w:b w:val="1"/>
                <w:bCs w:val="1"/>
                <w:color w:val="auto"/>
              </w:rPr>
              <w:t>Three Months Ended December 31,</w:t>
            </w:r>
          </w:p>
        </w:tc>
        <w:tc>
          <w:tcPr>
            <w:tcW w:w="820" w:type="dxa"/>
            <w:vAlign w:val="bottom"/>
          </w:tcPr>
          <w:p>
            <w:pPr>
              <w:spacing w:after="0"/>
              <w:rPr>
                <w:sz w:val="16"/>
                <w:szCs w:val="16"/>
                <w:color w:val="auto"/>
              </w:rPr>
            </w:pPr>
          </w:p>
        </w:tc>
      </w:tr>
      <w:tr>
        <w:trPr>
          <w:trHeight w:val="215"/>
        </w:trPr>
        <w:tc>
          <w:tcPr>
            <w:tcW w:w="6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2022</w:t>
            </w: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2021</w:t>
            </w:r>
            <w:r>
              <w:rPr>
                <w:rFonts w:ascii="Arial" w:cs="Arial" w:eastAsia="Arial" w:hAnsi="Arial"/>
                <w:sz w:val="18"/>
                <w:szCs w:val="18"/>
                <w:b w:val="1"/>
                <w:bCs w:val="1"/>
                <w:color w:val="auto"/>
                <w:vertAlign w:val="superscript"/>
              </w:rPr>
              <w:t>(7)</w:t>
            </w:r>
          </w:p>
        </w:tc>
        <w:tc>
          <w:tcPr>
            <w:tcW w:w="820" w:type="dxa"/>
            <w:vAlign w:val="bottom"/>
            <w:tcBorders>
              <w:bottom w:val="single" w:sz="8" w:color="auto"/>
            </w:tcBorders>
          </w:tcPr>
          <w:p>
            <w:pPr>
              <w:spacing w:after="0"/>
              <w:rPr>
                <w:sz w:val="18"/>
                <w:szCs w:val="18"/>
                <w:color w:val="auto"/>
              </w:rPr>
            </w:pPr>
          </w:p>
        </w:tc>
      </w:tr>
      <w:tr>
        <w:trPr>
          <w:trHeight w:val="243"/>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420" w:type="dxa"/>
            <w:vAlign w:val="bottom"/>
            <w:tcBorders>
              <w:bottom w:val="single" w:sz="8" w:color="CCEEFF"/>
            </w:tcBorders>
            <w:shd w:val="clear" w:color="auto" w:fill="CCEEFF"/>
          </w:tcPr>
          <w:p>
            <w:pPr>
              <w:jc w:val="right"/>
              <w:ind w:right="1218"/>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r>
      <w:tr>
        <w:trPr>
          <w:trHeight w:val="229"/>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 Provision for Income Tax Expense</w:t>
            </w:r>
          </w:p>
        </w:tc>
        <w:tc>
          <w:tcPr>
            <w:tcW w:w="1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0.6</w:t>
            </w:r>
          </w:p>
        </w:tc>
      </w:tr>
      <w:tr>
        <w:trPr>
          <w:trHeight w:val="223"/>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 as reported</w:t>
            </w:r>
          </w:p>
        </w:tc>
        <w:tc>
          <w:tcPr>
            <w:tcW w:w="14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Pre-tax margin</w:t>
            </w:r>
          </w:p>
        </w:tc>
        <w:tc>
          <w:tcPr>
            <w:tcW w:w="1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0"/>
        </w:trPr>
        <w:tc>
          <w:tcPr>
            <w:tcW w:w="64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Stock compensation expense</w:t>
            </w:r>
          </w:p>
        </w:tc>
        <w:tc>
          <w:tcPr>
            <w:tcW w:w="1420" w:type="dxa"/>
            <w:vAlign w:val="bottom"/>
          </w:tcPr>
          <w:p>
            <w:pPr>
              <w:spacing w:after="0"/>
              <w:rPr>
                <w:sz w:val="19"/>
                <w:szCs w:val="19"/>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1.0</w:t>
            </w:r>
          </w:p>
        </w:tc>
      </w:tr>
      <w:tr>
        <w:trPr>
          <w:trHeight w:val="22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Secondary offering expense</w:t>
            </w:r>
          </w:p>
        </w:tc>
        <w:tc>
          <w:tcPr>
            <w:tcW w:w="1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0.5</w:t>
            </w:r>
          </w:p>
        </w:tc>
      </w:tr>
      <w:tr>
        <w:trPr>
          <w:trHeight w:val="270"/>
        </w:trPr>
        <w:tc>
          <w:tcPr>
            <w:tcW w:w="6420" w:type="dxa"/>
            <w:vAlign w:val="bottom"/>
          </w:tcPr>
          <w:p>
            <w:pPr>
              <w:ind w:left="20"/>
              <w:spacing w:after="0"/>
              <w:rPr>
                <w:sz w:val="20"/>
                <w:szCs w:val="20"/>
                <w:color w:val="auto"/>
              </w:rPr>
            </w:pPr>
            <w:r>
              <w:rPr>
                <w:rFonts w:ascii="Arial" w:cs="Arial" w:eastAsia="Arial" w:hAnsi="Arial"/>
                <w:sz w:val="18"/>
                <w:szCs w:val="18"/>
                <w:color w:val="auto"/>
              </w:rPr>
              <w:t xml:space="preserve">Tax Receivable Agreement adjustment </w:t>
            </w:r>
            <w:r>
              <w:rPr>
                <w:rFonts w:ascii="Arial" w:cs="Arial" w:eastAsia="Arial" w:hAnsi="Arial"/>
                <w:sz w:val="23"/>
                <w:szCs w:val="23"/>
                <w:color w:val="auto"/>
                <w:vertAlign w:val="superscript"/>
              </w:rPr>
              <w:t>(1)</w:t>
            </w:r>
          </w:p>
        </w:tc>
        <w:tc>
          <w:tcPr>
            <w:tcW w:w="1420" w:type="dxa"/>
            <w:vAlign w:val="bottom"/>
          </w:tcPr>
          <w:p>
            <w:pPr>
              <w:spacing w:after="0"/>
              <w:rPr>
                <w:sz w:val="23"/>
                <w:szCs w:val="23"/>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23"/>
                <w:szCs w:val="23"/>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3.4</w:t>
            </w:r>
          </w:p>
        </w:tc>
      </w:tr>
      <w:tr>
        <w:trPr>
          <w:trHeight w:val="230"/>
        </w:trPr>
        <w:tc>
          <w:tcPr>
            <w:tcW w:w="64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Adjustments </w:t>
            </w:r>
            <w:r>
              <w:rPr>
                <w:rFonts w:ascii="Arial" w:cs="Arial" w:eastAsia="Arial" w:hAnsi="Arial"/>
                <w:sz w:val="23"/>
                <w:szCs w:val="23"/>
                <w:color w:val="auto"/>
                <w:vertAlign w:val="superscript"/>
              </w:rPr>
              <w:t>(2)</w:t>
            </w:r>
          </w:p>
        </w:tc>
        <w:tc>
          <w:tcPr>
            <w:tcW w:w="1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3.0</w:t>
            </w:r>
          </w:p>
        </w:tc>
      </w:tr>
      <w:tr>
        <w:trPr>
          <w:trHeight w:val="223"/>
        </w:trPr>
        <w:tc>
          <w:tcPr>
            <w:tcW w:w="6420" w:type="dxa"/>
            <w:vAlign w:val="bottom"/>
          </w:tcPr>
          <w:p>
            <w:pPr>
              <w:ind w:left="20"/>
              <w:spacing w:after="0"/>
              <w:rPr>
                <w:sz w:val="20"/>
                <w:szCs w:val="20"/>
                <w:color w:val="auto"/>
              </w:rPr>
            </w:pPr>
            <w:r>
              <w:rPr>
                <w:rFonts w:ascii="Arial" w:cs="Arial" w:eastAsia="Arial" w:hAnsi="Arial"/>
                <w:sz w:val="18"/>
                <w:szCs w:val="18"/>
                <w:color w:val="auto"/>
              </w:rPr>
              <w:t>Adjusted Income Before Income Tax</w:t>
            </w:r>
          </w:p>
        </w:tc>
        <w:tc>
          <w:tcPr>
            <w:tcW w:w="1420" w:type="dxa"/>
            <w:vAlign w:val="bottom"/>
            <w:tcBorders>
              <w:top w:val="single" w:sz="8" w:color="auto"/>
              <w:bottom w:val="single" w:sz="8" w:color="auto"/>
            </w:tcBorders>
          </w:tcPr>
          <w:p>
            <w:pPr>
              <w:jc w:val="right"/>
              <w:ind w:right="1218"/>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ind w:right="131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7.4</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7"/>
        </w:trPr>
        <w:tc>
          <w:tcPr>
            <w:tcW w:w="64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Adjusted Pre-tax margin</w:t>
            </w:r>
          </w:p>
        </w:tc>
        <w:tc>
          <w:tcPr>
            <w:tcW w:w="1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4.3 %</w:t>
            </w:r>
          </w:p>
        </w:tc>
      </w:tr>
      <w:tr>
        <w:trPr>
          <w:trHeight w:val="528"/>
        </w:trPr>
        <w:tc>
          <w:tcPr>
            <w:tcW w:w="6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540" w:type="dxa"/>
            <w:vAlign w:val="bottom"/>
            <w:gridSpan w:val="3"/>
          </w:tcPr>
          <w:p>
            <w:pPr>
              <w:jc w:val="right"/>
              <w:ind w:right="616"/>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Pr>
          <w:p>
            <w:pPr>
              <w:spacing w:after="0"/>
              <w:rPr>
                <w:sz w:val="24"/>
                <w:szCs w:val="24"/>
                <w:color w:val="auto"/>
              </w:rPr>
            </w:pPr>
          </w:p>
        </w:tc>
      </w:tr>
      <w:tr>
        <w:trPr>
          <w:trHeight w:val="215"/>
        </w:trPr>
        <w:tc>
          <w:tcPr>
            <w:tcW w:w="6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2022</w:t>
            </w: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2021</w:t>
            </w:r>
            <w:r>
              <w:rPr>
                <w:rFonts w:ascii="Arial" w:cs="Arial" w:eastAsia="Arial" w:hAnsi="Arial"/>
                <w:sz w:val="18"/>
                <w:szCs w:val="18"/>
                <w:b w:val="1"/>
                <w:bCs w:val="1"/>
                <w:color w:val="auto"/>
                <w:vertAlign w:val="superscript"/>
              </w:rPr>
              <w:t>(7)</w:t>
            </w:r>
          </w:p>
        </w:tc>
        <w:tc>
          <w:tcPr>
            <w:tcW w:w="820" w:type="dxa"/>
            <w:vAlign w:val="bottom"/>
            <w:tcBorders>
              <w:bottom w:val="single" w:sz="8" w:color="auto"/>
            </w:tcBorders>
          </w:tcPr>
          <w:p>
            <w:pPr>
              <w:spacing w:after="0"/>
              <w:rPr>
                <w:sz w:val="18"/>
                <w:szCs w:val="18"/>
                <w:color w:val="auto"/>
              </w:rPr>
            </w:pPr>
          </w:p>
        </w:tc>
      </w:tr>
      <w:tr>
        <w:trPr>
          <w:trHeight w:val="243"/>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20" w:type="dxa"/>
            <w:vAlign w:val="bottom"/>
            <w:tcBorders>
              <w:bottom w:val="single" w:sz="8" w:color="CCEEFF"/>
            </w:tcBorders>
            <w:shd w:val="clear" w:color="auto" w:fill="CCEEFF"/>
          </w:tcPr>
          <w:p>
            <w:pPr>
              <w:jc w:val="right"/>
              <w:ind w:right="1218"/>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81.2</w:t>
            </w:r>
          </w:p>
        </w:tc>
      </w:tr>
      <w:tr>
        <w:trPr>
          <w:trHeight w:val="230"/>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 Provision for Income Tax Expense</w:t>
            </w:r>
          </w:p>
        </w:tc>
        <w:tc>
          <w:tcPr>
            <w:tcW w:w="1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19.1</w:t>
            </w:r>
          </w:p>
        </w:tc>
      </w:tr>
      <w:tr>
        <w:trPr>
          <w:trHeight w:val="223"/>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 as reported</w:t>
            </w:r>
          </w:p>
        </w:tc>
        <w:tc>
          <w:tcPr>
            <w:tcW w:w="14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100.3</w:t>
            </w: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Pre-tax margin</w:t>
            </w:r>
          </w:p>
        </w:tc>
        <w:tc>
          <w:tcPr>
            <w:tcW w:w="1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16.1 %</w:t>
            </w:r>
          </w:p>
        </w:tc>
      </w:tr>
      <w:tr>
        <w:trPr>
          <w:trHeight w:val="270"/>
        </w:trPr>
        <w:tc>
          <w:tcPr>
            <w:tcW w:w="64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70"/>
        </w:trPr>
        <w:tc>
          <w:tcPr>
            <w:tcW w:w="6420" w:type="dxa"/>
            <w:vAlign w:val="bottom"/>
          </w:tcPr>
          <w:p>
            <w:pPr>
              <w:ind w:left="2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(3)</w:t>
            </w:r>
          </w:p>
        </w:tc>
        <w:tc>
          <w:tcPr>
            <w:tcW w:w="1420" w:type="dxa"/>
            <w:vAlign w:val="bottom"/>
          </w:tcPr>
          <w:p>
            <w:pPr>
              <w:spacing w:after="0"/>
              <w:rPr>
                <w:sz w:val="23"/>
                <w:szCs w:val="23"/>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23"/>
                <w:szCs w:val="23"/>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(72.4)</w:t>
            </w:r>
          </w:p>
        </w:tc>
      </w:tr>
      <w:tr>
        <w:trPr>
          <w:trHeight w:val="23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 expense</w:t>
            </w:r>
          </w:p>
        </w:tc>
        <w:tc>
          <w:tcPr>
            <w:tcW w:w="14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5.6</w:t>
            </w: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Secondary offering expense</w:t>
            </w:r>
          </w:p>
        </w:tc>
        <w:tc>
          <w:tcPr>
            <w:tcW w:w="142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1.8</w:t>
            </w:r>
          </w:p>
        </w:tc>
      </w:tr>
      <w:tr>
        <w:trPr>
          <w:trHeight w:val="230"/>
        </w:trPr>
        <w:tc>
          <w:tcPr>
            <w:tcW w:w="64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Gain on asset transactions, net </w:t>
            </w:r>
            <w:r>
              <w:rPr>
                <w:rFonts w:ascii="Arial" w:cs="Arial" w:eastAsia="Arial" w:hAnsi="Arial"/>
                <w:sz w:val="23"/>
                <w:szCs w:val="23"/>
                <w:color w:val="auto"/>
                <w:vertAlign w:val="superscript"/>
              </w:rPr>
              <w:t>(4)</w:t>
            </w:r>
          </w:p>
        </w:tc>
        <w:tc>
          <w:tcPr>
            <w:tcW w:w="14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Early pay-off of US Treasury loan</w:t>
            </w:r>
          </w:p>
        </w:tc>
        <w:tc>
          <w:tcPr>
            <w:tcW w:w="142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0.8</w:t>
            </w:r>
          </w:p>
        </w:tc>
      </w:tr>
      <w:tr>
        <w:trPr>
          <w:trHeight w:val="27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Tax Receivable Agreement expense </w:t>
            </w:r>
            <w:r>
              <w:rPr>
                <w:rFonts w:ascii="Arial" w:cs="Arial" w:eastAsia="Arial" w:hAnsi="Arial"/>
                <w:sz w:val="23"/>
                <w:szCs w:val="23"/>
                <w:color w:val="auto"/>
                <w:vertAlign w:val="superscript"/>
              </w:rPr>
              <w:t>(5)</w:t>
            </w:r>
          </w:p>
        </w:tc>
        <w:tc>
          <w:tcPr>
            <w:tcW w:w="14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0.3</w:t>
            </w:r>
          </w:p>
        </w:tc>
      </w:tr>
      <w:tr>
        <w:trPr>
          <w:trHeight w:val="270"/>
        </w:trPr>
        <w:tc>
          <w:tcPr>
            <w:tcW w:w="6420" w:type="dxa"/>
            <w:vAlign w:val="bottom"/>
          </w:tcPr>
          <w:p>
            <w:pPr>
              <w:ind w:left="20"/>
              <w:spacing w:after="0"/>
              <w:rPr>
                <w:sz w:val="20"/>
                <w:szCs w:val="20"/>
                <w:color w:val="auto"/>
              </w:rPr>
            </w:pPr>
            <w:r>
              <w:rPr>
                <w:rFonts w:ascii="Arial" w:cs="Arial" w:eastAsia="Arial" w:hAnsi="Arial"/>
                <w:sz w:val="18"/>
                <w:szCs w:val="18"/>
                <w:color w:val="auto"/>
              </w:rPr>
              <w:t xml:space="preserve">Tax Receivable Agreement adjustment </w:t>
            </w:r>
            <w:r>
              <w:rPr>
                <w:rFonts w:ascii="Arial" w:cs="Arial" w:eastAsia="Arial" w:hAnsi="Arial"/>
                <w:sz w:val="23"/>
                <w:szCs w:val="23"/>
                <w:color w:val="auto"/>
                <w:vertAlign w:val="superscript"/>
              </w:rPr>
              <w:t>(1)</w:t>
            </w:r>
          </w:p>
        </w:tc>
        <w:tc>
          <w:tcPr>
            <w:tcW w:w="1420" w:type="dxa"/>
            <w:vAlign w:val="bottom"/>
          </w:tcPr>
          <w:p>
            <w:pPr>
              <w:spacing w:after="0"/>
              <w:rPr>
                <w:sz w:val="23"/>
                <w:szCs w:val="23"/>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(16.4)</w:t>
            </w:r>
          </w:p>
        </w:tc>
      </w:tr>
      <w:tr>
        <w:trPr>
          <w:trHeight w:val="23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refinancing credit facility</w:t>
            </w:r>
          </w:p>
        </w:tc>
        <w:tc>
          <w:tcPr>
            <w:tcW w:w="14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0.4</w:t>
            </w:r>
          </w:p>
        </w:tc>
      </w:tr>
      <w:tr>
        <w:trPr>
          <w:trHeight w:val="230"/>
        </w:trPr>
        <w:tc>
          <w:tcPr>
            <w:tcW w:w="64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Other Adjustments </w:t>
            </w:r>
            <w:r>
              <w:rPr>
                <w:rFonts w:ascii="Arial" w:cs="Arial" w:eastAsia="Arial" w:hAnsi="Arial"/>
                <w:sz w:val="23"/>
                <w:szCs w:val="23"/>
                <w:color w:val="auto"/>
                <w:vertAlign w:val="superscript"/>
              </w:rPr>
              <w:t>(2)</w:t>
            </w:r>
          </w:p>
        </w:tc>
        <w:tc>
          <w:tcPr>
            <w:tcW w:w="142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3.0</w:t>
            </w:r>
          </w:p>
        </w:tc>
      </w:tr>
      <w:tr>
        <w:trPr>
          <w:trHeight w:val="248"/>
        </w:trPr>
        <w:tc>
          <w:tcPr>
            <w:tcW w:w="6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Income Before Income Tax</w:t>
            </w:r>
          </w:p>
        </w:tc>
        <w:tc>
          <w:tcPr>
            <w:tcW w:w="1420" w:type="dxa"/>
            <w:vAlign w:val="bottom"/>
            <w:tcBorders>
              <w:top w:val="single" w:sz="8" w:color="auto"/>
              <w:bottom w:val="single" w:sz="8" w:color="auto"/>
            </w:tcBorders>
            <w:shd w:val="clear" w:color="auto" w:fill="CCEEFF"/>
          </w:tcPr>
          <w:p>
            <w:pPr>
              <w:jc w:val="right"/>
              <w:ind w:right="1218"/>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ind w:right="131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23.4</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Pre-tax margin</w:t>
            </w:r>
          </w:p>
        </w:tc>
        <w:tc>
          <w:tcPr>
            <w:tcW w:w="1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r>
    </w:tbl>
    <w:p>
      <w:pPr>
        <w:spacing w:after="0" w:line="168" w:lineRule="exact"/>
        <w:rPr>
          <w:sz w:val="20"/>
          <w:szCs w:val="20"/>
          <w:color w:val="auto"/>
        </w:rPr>
      </w:pPr>
    </w:p>
    <w:p>
      <w:pPr>
        <w:ind w:left="440" w:hanging="414"/>
        <w:spacing w:after="0"/>
        <w:tabs>
          <w:tab w:leader="none" w:pos="440" w:val="left"/>
        </w:tabs>
        <w:numPr>
          <w:ilvl w:val="0"/>
          <w:numId w:val="8"/>
        </w:numPr>
        <w:rPr>
          <w:rFonts w:ascii="Arial" w:cs="Arial" w:eastAsia="Arial" w:hAnsi="Arial"/>
          <w:sz w:val="29"/>
          <w:szCs w:val="29"/>
          <w:color w:val="auto"/>
          <w:vertAlign w:val="superscript"/>
        </w:rPr>
      </w:pPr>
      <w:r>
        <w:rPr>
          <w:rFonts w:ascii="Arial" w:cs="Arial" w:eastAsia="Arial" w:hAnsi="Arial"/>
          <w:sz w:val="14"/>
          <w:szCs w:val="14"/>
          <w:color w:val="auto"/>
        </w:rPr>
        <w:t>This represents the adjustment to the TRA for the period, which is recorded in Non-Operating Income (Expense)</w:t>
      </w:r>
    </w:p>
    <w:p>
      <w:pPr>
        <w:spacing w:after="0" w:line="43" w:lineRule="exact"/>
        <w:rPr>
          <w:rFonts w:ascii="Arial" w:cs="Arial" w:eastAsia="Arial" w:hAnsi="Arial"/>
          <w:sz w:val="29"/>
          <w:szCs w:val="29"/>
          <w:color w:val="auto"/>
          <w:vertAlign w:val="superscript"/>
        </w:rPr>
      </w:pPr>
    </w:p>
    <w:p>
      <w:pPr>
        <w:ind w:left="440" w:hanging="414"/>
        <w:spacing w:after="0"/>
        <w:tabs>
          <w:tab w:leader="none" w:pos="440" w:val="left"/>
        </w:tabs>
        <w:numPr>
          <w:ilvl w:val="0"/>
          <w:numId w:val="8"/>
        </w:numPr>
        <w:rPr>
          <w:rFonts w:ascii="Arial" w:cs="Arial" w:eastAsia="Arial" w:hAnsi="Arial"/>
          <w:sz w:val="14"/>
          <w:szCs w:val="14"/>
          <w:color w:val="auto"/>
        </w:rPr>
      </w:pPr>
      <w:r>
        <w:rPr>
          <w:rFonts w:ascii="Arial" w:cs="Arial" w:eastAsia="Arial" w:hAnsi="Arial"/>
          <w:sz w:val="14"/>
          <w:szCs w:val="14"/>
          <w:color w:val="auto"/>
        </w:rPr>
        <w:t>Other adjustments include an adjustment to record the impact on pilot vacation pay resulting from the new pilot labor contract</w:t>
      </w:r>
    </w:p>
    <w:p>
      <w:pPr>
        <w:spacing w:after="0" w:line="55" w:lineRule="exact"/>
        <w:rPr>
          <w:rFonts w:ascii="Arial" w:cs="Arial" w:eastAsia="Arial" w:hAnsi="Arial"/>
          <w:sz w:val="14"/>
          <w:szCs w:val="14"/>
          <w:color w:val="auto"/>
        </w:rPr>
      </w:pPr>
    </w:p>
    <w:p>
      <w:pPr>
        <w:ind w:left="440" w:hanging="414"/>
        <w:spacing w:after="0"/>
        <w:tabs>
          <w:tab w:leader="none" w:pos="440" w:val="left"/>
        </w:tabs>
        <w:numPr>
          <w:ilvl w:val="0"/>
          <w:numId w:val="8"/>
        </w:numPr>
        <w:rPr>
          <w:rFonts w:ascii="Arial" w:cs="Arial" w:eastAsia="Arial" w:hAnsi="Arial"/>
          <w:sz w:val="14"/>
          <w:szCs w:val="14"/>
          <w:color w:val="auto"/>
        </w:rPr>
      </w:pPr>
      <w:r>
        <w:rPr>
          <w:rFonts w:ascii="Arial" w:cs="Arial" w:eastAsia="Arial" w:hAnsi="Arial"/>
          <w:sz w:val="14"/>
          <w:szCs w:val="14"/>
          <w:color w:val="auto"/>
        </w:rPr>
        <w:t>See special items table above for more details</w:t>
      </w:r>
    </w:p>
    <w:p>
      <w:pPr>
        <w:spacing w:after="0" w:line="55" w:lineRule="exact"/>
        <w:rPr>
          <w:rFonts w:ascii="Arial" w:cs="Arial" w:eastAsia="Arial" w:hAnsi="Arial"/>
          <w:sz w:val="14"/>
          <w:szCs w:val="14"/>
          <w:color w:val="auto"/>
        </w:rPr>
      </w:pPr>
    </w:p>
    <w:p>
      <w:pPr>
        <w:ind w:left="440" w:right="140" w:hanging="414"/>
        <w:spacing w:after="0" w:line="226" w:lineRule="auto"/>
        <w:tabs>
          <w:tab w:leader="none" w:pos="440" w:val="left"/>
        </w:tabs>
        <w:numPr>
          <w:ilvl w:val="0"/>
          <w:numId w:val="8"/>
        </w:numPr>
        <w:rPr>
          <w:rFonts w:ascii="Arial" w:cs="Arial" w:eastAsia="Arial" w:hAnsi="Arial"/>
          <w:sz w:val="14"/>
          <w:szCs w:val="14"/>
          <w:color w:val="auto"/>
        </w:rPr>
      </w:pPr>
      <w:r>
        <w:rPr>
          <w:rFonts w:ascii="Arial" w:cs="Arial" w:eastAsia="Arial" w:hAnsi="Arial"/>
          <w:sz w:val="14"/>
          <w:szCs w:val="14"/>
          <w:color w:val="auto"/>
        </w:rPr>
        <w:t>Due to changes in the Company’s operations, Management determined that, beginning in the fourth quarter 2022, certain asset transactions will no longer be included as adjustments to Adjusted Income Before Income Tax because these transactions are part of our recurring operations. This change was made prospectively beginning in the fourth quarter of 2022, and no prior period amounts have been adjusted.</w:t>
      </w:r>
    </w:p>
    <w:p>
      <w:pPr>
        <w:ind w:left="440" w:hanging="414"/>
        <w:spacing w:after="0" w:line="184" w:lineRule="auto"/>
        <w:tabs>
          <w:tab w:leader="none" w:pos="440" w:val="left"/>
        </w:tabs>
        <w:numPr>
          <w:ilvl w:val="0"/>
          <w:numId w:val="8"/>
        </w:numPr>
        <w:rPr>
          <w:rFonts w:ascii="Arial" w:cs="Arial" w:eastAsia="Arial" w:hAnsi="Arial"/>
          <w:sz w:val="29"/>
          <w:szCs w:val="29"/>
          <w:color w:val="auto"/>
          <w:vertAlign w:val="superscript"/>
        </w:rPr>
      </w:pPr>
      <w:r>
        <w:rPr>
          <w:rFonts w:ascii="Arial" w:cs="Arial" w:eastAsia="Arial" w:hAnsi="Arial"/>
          <w:sz w:val="14"/>
          <w:szCs w:val="14"/>
          <w:color w:val="auto"/>
        </w:rPr>
        <w:t>This represents the one-time costs to establish the TRA liability with our pre-IPO stockholders</w:t>
      </w:r>
    </w:p>
    <w:p>
      <w:pPr>
        <w:sectPr>
          <w:pgSz w:w="11900" w:h="16838" w:orient="portrait"/>
          <w:cols w:equalWidth="0" w:num="1">
            <w:col w:w="11200"/>
          </w:cols>
          <w:pgMar w:left="320" w:top="141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Page 15</w:t>
      </w:r>
    </w:p>
    <w:p>
      <w:pPr>
        <w:sectPr>
          <w:pgSz w:w="11900" w:h="16838" w:orient="portrait"/>
          <w:cols w:equalWidth="0" w:num="1">
            <w:col w:w="11200"/>
          </w:cols>
          <w:pgMar w:left="320" w:top="1413" w:right="379" w:bottom="1440" w:gutter="0" w:footer="0" w:header="0"/>
          <w:type w:val="continuous"/>
        </w:sectPr>
      </w:pPr>
    </w:p>
    <w:bookmarkStart w:id="18" w:name="page19"/>
    <w:bookmarkEnd w:id="18"/>
    <w:p>
      <w:pPr>
        <w:spacing w:after="0" w:line="200" w:lineRule="exact"/>
        <w:rPr>
          <w:sz w:val="20"/>
          <w:szCs w:val="20"/>
          <w:color w:val="auto"/>
        </w:rPr>
      </w:pPr>
    </w:p>
    <w:p>
      <w:pPr>
        <w:spacing w:after="0" w:line="259" w:lineRule="exact"/>
        <w:rPr>
          <w:sz w:val="20"/>
          <w:szCs w:val="20"/>
          <w:color w:val="auto"/>
        </w:rPr>
      </w:pPr>
    </w:p>
    <w:p>
      <w:pPr>
        <w:ind w:left="20" w:right="540"/>
        <w:spacing w:after="0" w:line="334" w:lineRule="auto"/>
        <w:rPr>
          <w:sz w:val="20"/>
          <w:szCs w:val="20"/>
          <w:color w:val="auto"/>
        </w:rPr>
      </w:pPr>
      <w:r>
        <w:rPr>
          <w:rFonts w:ascii="Arial" w:cs="Arial" w:eastAsia="Arial" w:hAnsi="Arial"/>
          <w:sz w:val="18"/>
          <w:szCs w:val="18"/>
          <w:b w:val="1"/>
          <w:bCs w:val="1"/>
          <w:color w:val="auto"/>
        </w:rPr>
        <w:t>Reconciliation of GAAP Net Income (Loss) and Earnings per Share to Adjusted Net Income and Adjusted Earnings per Share Dollars and shares in millions, except for per share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1234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55" w:lineRule="exact"/>
        <w:rPr>
          <w:sz w:val="20"/>
          <w:szCs w:val="20"/>
          <w:color w:val="auto"/>
        </w:rPr>
      </w:pPr>
    </w:p>
    <w:p>
      <w:pPr>
        <w:ind w:left="20" w:right="20"/>
        <w:spacing w:after="0" w:line="261" w:lineRule="auto"/>
        <w:rPr>
          <w:sz w:val="20"/>
          <w:szCs w:val="20"/>
          <w:color w:val="auto"/>
        </w:rPr>
      </w:pPr>
      <w:r>
        <w:rPr>
          <w:rFonts w:ascii="Arial" w:cs="Arial" w:eastAsia="Arial" w:hAnsi="Arial"/>
          <w:sz w:val="18"/>
          <w:szCs w:val="18"/>
          <w:color w:val="auto"/>
        </w:rPr>
        <w:t>The following table presents the reconciliation of GAAP net income (loss) and earnings per share to adjusted net income and adjusted earnings per share.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60" w:type="dxa"/>
            <w:vAlign w:val="bottom"/>
            <w:gridSpan w:val="4"/>
          </w:tcPr>
          <w:p>
            <w:pPr>
              <w:jc w:val="right"/>
              <w:ind w:right="273"/>
              <w:spacing w:after="0"/>
              <w:rPr>
                <w:sz w:val="20"/>
                <w:szCs w:val="20"/>
                <w:color w:val="auto"/>
              </w:rPr>
            </w:pPr>
            <w:r>
              <w:rPr>
                <w:rFonts w:ascii="Arial" w:cs="Arial" w:eastAsia="Arial" w:hAnsi="Arial"/>
                <w:sz w:val="14"/>
                <w:szCs w:val="14"/>
                <w:b w:val="1"/>
                <w:bCs w:val="1"/>
                <w:color w:val="auto"/>
              </w:rPr>
              <w:t>Three Months Ended December 31,</w:t>
            </w:r>
          </w:p>
        </w:tc>
        <w:tc>
          <w:tcPr>
            <w:tcW w:w="6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4"/>
        </w:trPr>
        <w:tc>
          <w:tcPr>
            <w:tcW w:w="51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11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right"/>
              <w:ind w:right="296"/>
              <w:spacing w:after="0"/>
              <w:rPr>
                <w:sz w:val="20"/>
                <w:szCs w:val="20"/>
                <w:color w:val="auto"/>
              </w:rPr>
            </w:pPr>
            <w:r>
              <w:rPr>
                <w:rFonts w:ascii="Arial" w:cs="Arial" w:eastAsia="Arial" w:hAnsi="Arial"/>
                <w:sz w:val="14"/>
                <w:szCs w:val="14"/>
                <w:b w:val="1"/>
                <w:bCs w:val="1"/>
                <w:color w:val="auto"/>
              </w:rPr>
              <w:t>2021</w:t>
            </w:r>
            <w:r>
              <w:rPr>
                <w:rFonts w:ascii="Arial" w:cs="Arial" w:eastAsia="Arial" w:hAnsi="Arial"/>
                <w:sz w:val="18"/>
                <w:szCs w:val="18"/>
                <w:b w:val="1"/>
                <w:bCs w:val="1"/>
                <w:color w:val="auto"/>
                <w:vertAlign w:val="superscript"/>
              </w:rPr>
              <w:t>(7)</w:t>
            </w:r>
          </w:p>
        </w:tc>
        <w:tc>
          <w:tcPr>
            <w:tcW w:w="860" w:type="dxa"/>
            <w:vAlign w:val="bottom"/>
            <w:tcBorders>
              <w:bottom w:val="single" w:sz="8" w:color="auto"/>
            </w:tcBorders>
          </w:tcPr>
          <w:p>
            <w:pPr>
              <w:spacing w:after="0"/>
              <w:rPr>
                <w:sz w:val="18"/>
                <w:szCs w:val="18"/>
                <w:color w:val="auto"/>
              </w:rPr>
            </w:pPr>
          </w:p>
        </w:tc>
      </w:tr>
      <w:tr>
        <w:trPr>
          <w:trHeight w:val="190"/>
        </w:trPr>
        <w:tc>
          <w:tcPr>
            <w:tcW w:w="5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Dollars</w:t>
            </w:r>
          </w:p>
        </w:tc>
        <w:tc>
          <w:tcPr>
            <w:tcW w:w="5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Per Share - diluted</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Dollars</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Per Share - diluted</w:t>
            </w: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7.3</w:t>
            </w:r>
          </w:p>
        </w:tc>
        <w:tc>
          <w:tcPr>
            <w:tcW w:w="2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Stock Compensation Expense</w:t>
            </w:r>
          </w:p>
        </w:tc>
        <w:tc>
          <w:tcPr>
            <w:tcW w:w="940" w:type="dxa"/>
            <w:vAlign w:val="bottom"/>
          </w:tcPr>
          <w:p>
            <w:pPr>
              <w:spacing w:after="0"/>
              <w:rPr>
                <w:sz w:val="19"/>
                <w:szCs w:val="19"/>
                <w:color w:val="auto"/>
              </w:rPr>
            </w:pPr>
          </w:p>
        </w:tc>
        <w:tc>
          <w:tcPr>
            <w:tcW w:w="500" w:type="dxa"/>
            <w:vAlign w:val="bottom"/>
          </w:tcPr>
          <w:p>
            <w:pPr>
              <w:jc w:val="right"/>
              <w:ind w:right="32"/>
              <w:spacing w:after="0"/>
              <w:rPr>
                <w:sz w:val="20"/>
                <w:szCs w:val="20"/>
                <w:color w:val="auto"/>
              </w:rPr>
            </w:pPr>
            <w:r>
              <w:rPr>
                <w:rFonts w:ascii="Arial" w:cs="Arial" w:eastAsia="Arial" w:hAnsi="Arial"/>
                <w:sz w:val="18"/>
                <w:szCs w:val="18"/>
                <w:color w:val="auto"/>
              </w:rPr>
              <w:t>0.8</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Secondary offering expense</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0.5</w:t>
            </w:r>
          </w:p>
        </w:tc>
        <w:tc>
          <w:tcPr>
            <w:tcW w:w="6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70"/>
        </w:trPr>
        <w:tc>
          <w:tcPr>
            <w:tcW w:w="5180" w:type="dxa"/>
            <w:vAlign w:val="bottom"/>
          </w:tcPr>
          <w:p>
            <w:pPr>
              <w:ind w:left="20"/>
              <w:spacing w:after="0"/>
              <w:rPr>
                <w:sz w:val="20"/>
                <w:szCs w:val="20"/>
                <w:color w:val="auto"/>
              </w:rPr>
            </w:pPr>
            <w:r>
              <w:rPr>
                <w:rFonts w:ascii="Arial" w:cs="Arial" w:eastAsia="Arial" w:hAnsi="Arial"/>
                <w:sz w:val="18"/>
                <w:szCs w:val="18"/>
                <w:color w:val="auto"/>
              </w:rPr>
              <w:t xml:space="preserve">Tax Receivable Agreement adjustment </w:t>
            </w:r>
            <w:r>
              <w:rPr>
                <w:rFonts w:ascii="Arial" w:cs="Arial" w:eastAsia="Arial" w:hAnsi="Arial"/>
                <w:sz w:val="23"/>
                <w:szCs w:val="23"/>
                <w:color w:val="auto"/>
                <w:vertAlign w:val="superscript"/>
              </w:rPr>
              <w:t>(1)</w:t>
            </w:r>
          </w:p>
        </w:tc>
        <w:tc>
          <w:tcPr>
            <w:tcW w:w="940" w:type="dxa"/>
            <w:vAlign w:val="bottom"/>
          </w:tcPr>
          <w:p>
            <w:pPr>
              <w:spacing w:after="0"/>
              <w:rPr>
                <w:sz w:val="23"/>
                <w:szCs w:val="23"/>
                <w:color w:val="auto"/>
              </w:rPr>
            </w:pPr>
          </w:p>
        </w:tc>
        <w:tc>
          <w:tcPr>
            <w:tcW w:w="5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3.4</w:t>
            </w:r>
          </w:p>
        </w:tc>
        <w:tc>
          <w:tcPr>
            <w:tcW w:w="6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0.05</w:t>
            </w:r>
          </w:p>
        </w:tc>
      </w:tr>
      <w:tr>
        <w:trPr>
          <w:trHeight w:val="27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Other Adjustment </w:t>
            </w:r>
            <w:r>
              <w:rPr>
                <w:rFonts w:ascii="Arial" w:cs="Arial" w:eastAsia="Arial" w:hAnsi="Arial"/>
                <w:sz w:val="23"/>
                <w:szCs w:val="23"/>
                <w:color w:val="auto"/>
                <w:vertAlign w:val="superscript"/>
              </w:rPr>
              <w:t>(2)</w:t>
            </w:r>
          </w:p>
        </w:tc>
        <w:tc>
          <w:tcPr>
            <w:tcW w:w="94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3.0</w:t>
            </w:r>
          </w:p>
        </w:tc>
        <w:tc>
          <w:tcPr>
            <w:tcW w:w="6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70"/>
        </w:trPr>
        <w:tc>
          <w:tcPr>
            <w:tcW w:w="5180" w:type="dxa"/>
            <w:vAlign w:val="bottom"/>
          </w:tcPr>
          <w:p>
            <w:pPr>
              <w:ind w:left="20"/>
              <w:spacing w:after="0"/>
              <w:rPr>
                <w:sz w:val="20"/>
                <w:szCs w:val="20"/>
                <w:color w:val="auto"/>
              </w:rPr>
            </w:pPr>
            <w:r>
              <w:rPr>
                <w:rFonts w:ascii="Arial" w:cs="Arial" w:eastAsia="Arial" w:hAnsi="Arial"/>
                <w:sz w:val="18"/>
                <w:szCs w:val="18"/>
                <w:color w:val="auto"/>
              </w:rPr>
              <w:t xml:space="preserve">Income tax effect of adjusting items, net </w:t>
            </w:r>
            <w:r>
              <w:rPr>
                <w:rFonts w:ascii="Arial" w:cs="Arial" w:eastAsia="Arial" w:hAnsi="Arial"/>
                <w:sz w:val="23"/>
                <w:szCs w:val="23"/>
                <w:color w:val="auto"/>
                <w:vertAlign w:val="superscript"/>
              </w:rPr>
              <w:t>(3)</w:t>
            </w:r>
          </w:p>
        </w:tc>
        <w:tc>
          <w:tcPr>
            <w:tcW w:w="9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23"/>
                <w:szCs w:val="23"/>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6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48"/>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w:t>
            </w:r>
          </w:p>
        </w:tc>
        <w:tc>
          <w:tcPr>
            <w:tcW w:w="94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7.9</w:t>
            </w:r>
          </w:p>
        </w:tc>
        <w:tc>
          <w:tcPr>
            <w:tcW w:w="2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5.8</w:t>
            </w:r>
          </w:p>
        </w:tc>
        <w:tc>
          <w:tcPr>
            <w:tcW w:w="600" w:type="dxa"/>
            <w:vAlign w:val="bottom"/>
            <w:tcBorders>
              <w:top w:val="single" w:sz="8" w:color="auto"/>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share count</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0A0A0A"/>
              </w:rPr>
              <w:t>60.1</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0A0A0A"/>
              </w:rPr>
              <w:t>61.9</w:t>
            </w:r>
          </w:p>
        </w:tc>
        <w:tc>
          <w:tcPr>
            <w:tcW w:w="6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353"/>
        </w:trPr>
        <w:tc>
          <w:tcPr>
            <w:tcW w:w="5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6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5"/>
        </w:trPr>
        <w:tc>
          <w:tcPr>
            <w:tcW w:w="51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11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right"/>
              <w:ind w:right="296"/>
              <w:spacing w:after="0"/>
              <w:rPr>
                <w:sz w:val="20"/>
                <w:szCs w:val="20"/>
                <w:color w:val="auto"/>
              </w:rPr>
            </w:pPr>
            <w:r>
              <w:rPr>
                <w:rFonts w:ascii="Arial" w:cs="Arial" w:eastAsia="Arial" w:hAnsi="Arial"/>
                <w:sz w:val="14"/>
                <w:szCs w:val="14"/>
                <w:b w:val="1"/>
                <w:bCs w:val="1"/>
                <w:color w:val="auto"/>
              </w:rPr>
              <w:t>2021</w:t>
            </w:r>
            <w:r>
              <w:rPr>
                <w:rFonts w:ascii="Arial" w:cs="Arial" w:eastAsia="Arial" w:hAnsi="Arial"/>
                <w:sz w:val="18"/>
                <w:szCs w:val="18"/>
                <w:b w:val="1"/>
                <w:bCs w:val="1"/>
                <w:color w:val="auto"/>
                <w:vertAlign w:val="superscript"/>
              </w:rPr>
              <w:t>(7)</w:t>
            </w:r>
          </w:p>
        </w:tc>
        <w:tc>
          <w:tcPr>
            <w:tcW w:w="860" w:type="dxa"/>
            <w:vAlign w:val="bottom"/>
            <w:tcBorders>
              <w:bottom w:val="single" w:sz="8" w:color="auto"/>
            </w:tcBorders>
          </w:tcPr>
          <w:p>
            <w:pPr>
              <w:spacing w:after="0"/>
              <w:rPr>
                <w:sz w:val="18"/>
                <w:szCs w:val="18"/>
                <w:color w:val="auto"/>
              </w:rPr>
            </w:pPr>
          </w:p>
        </w:tc>
      </w:tr>
      <w:tr>
        <w:trPr>
          <w:trHeight w:val="190"/>
        </w:trPr>
        <w:tc>
          <w:tcPr>
            <w:tcW w:w="5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Dollars</w:t>
            </w:r>
          </w:p>
        </w:tc>
        <w:tc>
          <w:tcPr>
            <w:tcW w:w="5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Per Share - diluted</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Dollars</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Per Share - diluted</w:t>
            </w:r>
          </w:p>
        </w:tc>
      </w:tr>
      <w:tr>
        <w:trPr>
          <w:trHeight w:val="249"/>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w:t>
            </w:r>
          </w:p>
        </w:tc>
        <w:tc>
          <w:tcPr>
            <w:tcW w:w="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81.2</w:t>
            </w:r>
          </w:p>
        </w:tc>
        <w:tc>
          <w:tcPr>
            <w:tcW w:w="60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70"/>
        </w:trPr>
        <w:tc>
          <w:tcPr>
            <w:tcW w:w="5180" w:type="dxa"/>
            <w:vAlign w:val="bottom"/>
          </w:tcPr>
          <w:p>
            <w:pPr>
              <w:ind w:left="2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(4)</w:t>
            </w:r>
          </w:p>
        </w:tc>
        <w:tc>
          <w:tcPr>
            <w:tcW w:w="940" w:type="dxa"/>
            <w:vAlign w:val="bottom"/>
          </w:tcPr>
          <w:p>
            <w:pPr>
              <w:spacing w:after="0"/>
              <w:rPr>
                <w:sz w:val="23"/>
                <w:szCs w:val="23"/>
                <w:color w:val="auto"/>
              </w:rPr>
            </w:pPr>
          </w:p>
        </w:tc>
        <w:tc>
          <w:tcPr>
            <w:tcW w:w="5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(72.4)</w:t>
            </w:r>
          </w:p>
        </w:tc>
        <w:tc>
          <w:tcPr>
            <w:tcW w:w="6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 Expense</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5.6</w:t>
            </w:r>
          </w:p>
        </w:tc>
        <w:tc>
          <w:tcPr>
            <w:tcW w:w="6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Secondary offering expense</w:t>
            </w:r>
          </w:p>
        </w:tc>
        <w:tc>
          <w:tcPr>
            <w:tcW w:w="940" w:type="dxa"/>
            <w:vAlign w:val="bottom"/>
          </w:tcPr>
          <w:p>
            <w:pPr>
              <w:spacing w:after="0"/>
              <w:rPr>
                <w:sz w:val="19"/>
                <w:szCs w:val="19"/>
                <w:color w:val="auto"/>
              </w:rPr>
            </w:pPr>
          </w:p>
        </w:tc>
        <w:tc>
          <w:tcPr>
            <w:tcW w:w="5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1.8</w:t>
            </w:r>
          </w:p>
        </w:tc>
        <w:tc>
          <w:tcPr>
            <w:tcW w:w="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230"/>
        </w:trPr>
        <w:tc>
          <w:tcPr>
            <w:tcW w:w="51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Gain on asset transactions, net </w:t>
            </w:r>
            <w:r>
              <w:rPr>
                <w:rFonts w:ascii="Arial" w:cs="Arial" w:eastAsia="Arial" w:hAnsi="Arial"/>
                <w:sz w:val="23"/>
                <w:szCs w:val="23"/>
                <w:color w:val="auto"/>
                <w:vertAlign w:val="superscript"/>
              </w:rPr>
              <w:t>(5)</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Early pay-off of US Treasury loan</w:t>
            </w:r>
          </w:p>
        </w:tc>
        <w:tc>
          <w:tcPr>
            <w:tcW w:w="940" w:type="dxa"/>
            <w:vAlign w:val="bottom"/>
          </w:tcPr>
          <w:p>
            <w:pPr>
              <w:spacing w:after="0"/>
              <w:rPr>
                <w:sz w:val="19"/>
                <w:szCs w:val="19"/>
                <w:color w:val="auto"/>
              </w:rPr>
            </w:pPr>
          </w:p>
        </w:tc>
        <w:tc>
          <w:tcPr>
            <w:tcW w:w="5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0.8</w:t>
            </w:r>
          </w:p>
        </w:tc>
        <w:tc>
          <w:tcPr>
            <w:tcW w:w="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7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Tax Receivable Agreement expense </w:t>
            </w:r>
            <w:r>
              <w:rPr>
                <w:rFonts w:ascii="Arial" w:cs="Arial" w:eastAsia="Arial" w:hAnsi="Arial"/>
                <w:sz w:val="23"/>
                <w:szCs w:val="23"/>
                <w:color w:val="auto"/>
                <w:vertAlign w:val="superscript"/>
              </w:rPr>
              <w:t>(6)</w:t>
            </w:r>
          </w:p>
        </w:tc>
        <w:tc>
          <w:tcPr>
            <w:tcW w:w="94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0.3</w:t>
            </w:r>
          </w:p>
        </w:tc>
        <w:tc>
          <w:tcPr>
            <w:tcW w:w="6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70"/>
        </w:trPr>
        <w:tc>
          <w:tcPr>
            <w:tcW w:w="5180" w:type="dxa"/>
            <w:vAlign w:val="bottom"/>
          </w:tcPr>
          <w:p>
            <w:pPr>
              <w:ind w:left="20"/>
              <w:spacing w:after="0"/>
              <w:rPr>
                <w:sz w:val="20"/>
                <w:szCs w:val="20"/>
                <w:color w:val="auto"/>
              </w:rPr>
            </w:pPr>
            <w:r>
              <w:rPr>
                <w:rFonts w:ascii="Arial" w:cs="Arial" w:eastAsia="Arial" w:hAnsi="Arial"/>
                <w:sz w:val="18"/>
                <w:szCs w:val="18"/>
                <w:color w:val="auto"/>
              </w:rPr>
              <w:t xml:space="preserve">Tax Receivable Agreement adjustment </w:t>
            </w:r>
            <w:r>
              <w:rPr>
                <w:rFonts w:ascii="Arial" w:cs="Arial" w:eastAsia="Arial" w:hAnsi="Arial"/>
                <w:sz w:val="23"/>
                <w:szCs w:val="23"/>
                <w:color w:val="auto"/>
                <w:vertAlign w:val="superscript"/>
              </w:rPr>
              <w:t>(1)</w:t>
            </w:r>
          </w:p>
        </w:tc>
        <w:tc>
          <w:tcPr>
            <w:tcW w:w="940" w:type="dxa"/>
            <w:vAlign w:val="bottom"/>
          </w:tcPr>
          <w:p>
            <w:pPr>
              <w:spacing w:after="0"/>
              <w:rPr>
                <w:sz w:val="23"/>
                <w:szCs w:val="23"/>
                <w:color w:val="auto"/>
              </w:rPr>
            </w:pPr>
          </w:p>
        </w:tc>
        <w:tc>
          <w:tcPr>
            <w:tcW w:w="500" w:type="dxa"/>
            <w:vAlign w:val="bottom"/>
          </w:tcPr>
          <w:p>
            <w:pPr>
              <w:jc w:val="right"/>
              <w:ind w:right="32"/>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0.08</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(16.4)</w:t>
            </w:r>
          </w:p>
        </w:tc>
        <w:tc>
          <w:tcPr>
            <w:tcW w:w="6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(0.28)</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refinancing credit facility</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0.4</w:t>
            </w:r>
          </w:p>
        </w:tc>
        <w:tc>
          <w:tcPr>
            <w:tcW w:w="6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70"/>
        </w:trPr>
        <w:tc>
          <w:tcPr>
            <w:tcW w:w="5180" w:type="dxa"/>
            <w:vAlign w:val="bottom"/>
          </w:tcPr>
          <w:p>
            <w:pPr>
              <w:ind w:left="20"/>
              <w:spacing w:after="0"/>
              <w:rPr>
                <w:sz w:val="20"/>
                <w:szCs w:val="20"/>
                <w:color w:val="auto"/>
              </w:rPr>
            </w:pPr>
            <w:r>
              <w:rPr>
                <w:rFonts w:ascii="Arial" w:cs="Arial" w:eastAsia="Arial" w:hAnsi="Arial"/>
                <w:sz w:val="18"/>
                <w:szCs w:val="18"/>
                <w:color w:val="auto"/>
              </w:rPr>
              <w:t xml:space="preserve">Other Adjustments </w:t>
            </w:r>
            <w:r>
              <w:rPr>
                <w:rFonts w:ascii="Arial" w:cs="Arial" w:eastAsia="Arial" w:hAnsi="Arial"/>
                <w:sz w:val="23"/>
                <w:szCs w:val="23"/>
                <w:color w:val="auto"/>
                <w:vertAlign w:val="superscript"/>
              </w:rPr>
              <w:t>(2)</w:t>
            </w:r>
          </w:p>
        </w:tc>
        <w:tc>
          <w:tcPr>
            <w:tcW w:w="940" w:type="dxa"/>
            <w:vAlign w:val="bottom"/>
          </w:tcPr>
          <w:p>
            <w:pPr>
              <w:spacing w:after="0"/>
              <w:rPr>
                <w:sz w:val="23"/>
                <w:szCs w:val="23"/>
                <w:color w:val="auto"/>
              </w:rPr>
            </w:pPr>
          </w:p>
        </w:tc>
        <w:tc>
          <w:tcPr>
            <w:tcW w:w="5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3.0</w:t>
            </w:r>
          </w:p>
        </w:tc>
        <w:tc>
          <w:tcPr>
            <w:tcW w:w="6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0.05</w:t>
            </w:r>
          </w:p>
        </w:tc>
      </w:tr>
      <w:tr>
        <w:trPr>
          <w:trHeight w:val="27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Income tax effect of adjusting items, net </w:t>
            </w:r>
            <w:r>
              <w:rPr>
                <w:rFonts w:ascii="Arial" w:cs="Arial" w:eastAsia="Arial" w:hAnsi="Arial"/>
                <w:sz w:val="23"/>
                <w:szCs w:val="23"/>
                <w:color w:val="auto"/>
                <w:vertAlign w:val="superscript"/>
              </w:rPr>
              <w:t>(3)</w:t>
            </w:r>
          </w:p>
        </w:tc>
        <w:tc>
          <w:tcPr>
            <w:tcW w:w="94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13.9</w:t>
            </w:r>
          </w:p>
        </w:tc>
        <w:tc>
          <w:tcPr>
            <w:tcW w:w="6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94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25.8</w:t>
            </w:r>
          </w:p>
        </w:tc>
        <w:tc>
          <w:tcPr>
            <w:tcW w:w="2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18.2</w:t>
            </w:r>
          </w:p>
        </w:tc>
        <w:tc>
          <w:tcPr>
            <w:tcW w:w="60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15"/>
        </w:trPr>
        <w:tc>
          <w:tcPr>
            <w:tcW w:w="51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Diluted share count</w:t>
            </w:r>
          </w:p>
        </w:tc>
        <w:tc>
          <w:tcPr>
            <w:tcW w:w="940" w:type="dxa"/>
            <w:vAlign w:val="bottom"/>
          </w:tcPr>
          <w:p>
            <w:pPr>
              <w:spacing w:after="0"/>
              <w:rPr>
                <w:sz w:val="19"/>
                <w:szCs w:val="19"/>
                <w:color w:val="auto"/>
              </w:rPr>
            </w:pPr>
          </w:p>
        </w:tc>
        <w:tc>
          <w:tcPr>
            <w:tcW w:w="500" w:type="dxa"/>
            <w:vAlign w:val="bottom"/>
          </w:tcPr>
          <w:p>
            <w:pPr>
              <w:jc w:val="right"/>
              <w:ind w:right="32"/>
              <w:spacing w:after="0"/>
              <w:rPr>
                <w:sz w:val="20"/>
                <w:szCs w:val="20"/>
                <w:color w:val="auto"/>
              </w:rPr>
            </w:pPr>
            <w:r>
              <w:rPr>
                <w:rFonts w:ascii="Arial" w:cs="Arial" w:eastAsia="Arial" w:hAnsi="Arial"/>
                <w:sz w:val="18"/>
                <w:szCs w:val="18"/>
                <w:color w:val="0A0A0A"/>
              </w:rPr>
              <w:t>61.0</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0A0A0A"/>
              </w:rPr>
              <w:t>59.3</w:t>
            </w: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r>
    </w:tbl>
    <w:p>
      <w:pPr>
        <w:spacing w:after="0" w:line="235" w:lineRule="exact"/>
        <w:rPr>
          <w:sz w:val="20"/>
          <w:szCs w:val="20"/>
          <w:color w:val="auto"/>
        </w:rPr>
      </w:pPr>
    </w:p>
    <w:p>
      <w:pPr>
        <w:ind w:left="440" w:hanging="414"/>
        <w:spacing w:after="0"/>
        <w:tabs>
          <w:tab w:leader="none" w:pos="440" w:val="left"/>
        </w:tabs>
        <w:numPr>
          <w:ilvl w:val="0"/>
          <w:numId w:val="9"/>
        </w:numPr>
        <w:rPr>
          <w:rFonts w:ascii="Arial" w:cs="Arial" w:eastAsia="Arial" w:hAnsi="Arial"/>
          <w:sz w:val="29"/>
          <w:szCs w:val="29"/>
          <w:color w:val="auto"/>
          <w:vertAlign w:val="superscript"/>
        </w:rPr>
      </w:pPr>
      <w:r>
        <w:rPr>
          <w:rFonts w:ascii="Arial" w:cs="Arial" w:eastAsia="Arial" w:hAnsi="Arial"/>
          <w:sz w:val="14"/>
          <w:szCs w:val="14"/>
          <w:color w:val="auto"/>
        </w:rPr>
        <w:t>This represents the adjustment to the TRA for the period, which is recorded in Non-Operating Income (Expense)</w:t>
      </w:r>
    </w:p>
    <w:p>
      <w:pPr>
        <w:spacing w:after="0" w:line="43" w:lineRule="exact"/>
        <w:rPr>
          <w:rFonts w:ascii="Arial" w:cs="Arial" w:eastAsia="Arial" w:hAnsi="Arial"/>
          <w:sz w:val="29"/>
          <w:szCs w:val="29"/>
          <w:color w:val="auto"/>
          <w:vertAlign w:val="superscript"/>
        </w:rPr>
      </w:pPr>
    </w:p>
    <w:p>
      <w:pPr>
        <w:ind w:left="440" w:hanging="414"/>
        <w:spacing w:after="0"/>
        <w:tabs>
          <w:tab w:leader="none" w:pos="440" w:val="left"/>
        </w:tabs>
        <w:numPr>
          <w:ilvl w:val="0"/>
          <w:numId w:val="9"/>
        </w:numPr>
        <w:rPr>
          <w:rFonts w:ascii="Arial" w:cs="Arial" w:eastAsia="Arial" w:hAnsi="Arial"/>
          <w:sz w:val="14"/>
          <w:szCs w:val="14"/>
          <w:color w:val="auto"/>
        </w:rPr>
      </w:pPr>
      <w:r>
        <w:rPr>
          <w:rFonts w:ascii="Arial" w:cs="Arial" w:eastAsia="Arial" w:hAnsi="Arial"/>
          <w:sz w:val="14"/>
          <w:szCs w:val="14"/>
          <w:color w:val="auto"/>
        </w:rPr>
        <w:t>Other adjustments include an adjustment to record the impact on pilot vacation pay resulting from the new pilot labor contract</w:t>
      </w:r>
    </w:p>
    <w:p>
      <w:pPr>
        <w:spacing w:after="0" w:line="24" w:lineRule="exact"/>
        <w:rPr>
          <w:rFonts w:ascii="Arial" w:cs="Arial" w:eastAsia="Arial" w:hAnsi="Arial"/>
          <w:sz w:val="14"/>
          <w:szCs w:val="14"/>
          <w:color w:val="auto"/>
        </w:rPr>
      </w:pPr>
    </w:p>
    <w:p>
      <w:pPr>
        <w:ind w:left="440" w:hanging="414"/>
        <w:spacing w:after="0" w:line="184" w:lineRule="auto"/>
        <w:tabs>
          <w:tab w:leader="none" w:pos="440" w:val="left"/>
        </w:tabs>
        <w:numPr>
          <w:ilvl w:val="0"/>
          <w:numId w:val="9"/>
        </w:numPr>
        <w:rPr>
          <w:rFonts w:ascii="Arial" w:cs="Arial" w:eastAsia="Arial" w:hAnsi="Arial"/>
          <w:sz w:val="29"/>
          <w:szCs w:val="29"/>
          <w:color w:val="auto"/>
          <w:vertAlign w:val="superscript"/>
        </w:rPr>
      </w:pPr>
      <w:r>
        <w:rPr>
          <w:rFonts w:ascii="Arial" w:cs="Arial" w:eastAsia="Arial" w:hAnsi="Arial"/>
          <w:sz w:val="14"/>
          <w:szCs w:val="14"/>
          <w:color w:val="auto"/>
        </w:rPr>
        <w:t>The tax effect of adjusting items, net is calculated at the Company’s statutory rate for the application period</w:t>
      </w:r>
    </w:p>
    <w:p>
      <w:pPr>
        <w:spacing w:after="0" w:line="44" w:lineRule="exact"/>
        <w:rPr>
          <w:rFonts w:ascii="Arial" w:cs="Arial" w:eastAsia="Arial" w:hAnsi="Arial"/>
          <w:sz w:val="29"/>
          <w:szCs w:val="29"/>
          <w:color w:val="auto"/>
          <w:vertAlign w:val="superscript"/>
        </w:rPr>
      </w:pPr>
    </w:p>
    <w:p>
      <w:pPr>
        <w:ind w:left="440" w:hanging="414"/>
        <w:spacing w:after="0"/>
        <w:tabs>
          <w:tab w:leader="none" w:pos="440" w:val="left"/>
        </w:tabs>
        <w:numPr>
          <w:ilvl w:val="0"/>
          <w:numId w:val="9"/>
        </w:numPr>
        <w:rPr>
          <w:rFonts w:ascii="Arial" w:cs="Arial" w:eastAsia="Arial" w:hAnsi="Arial"/>
          <w:sz w:val="14"/>
          <w:szCs w:val="14"/>
          <w:color w:val="auto"/>
        </w:rPr>
      </w:pPr>
      <w:r>
        <w:rPr>
          <w:rFonts w:ascii="Arial" w:cs="Arial" w:eastAsia="Arial" w:hAnsi="Arial"/>
          <w:sz w:val="14"/>
          <w:szCs w:val="14"/>
          <w:color w:val="auto"/>
        </w:rPr>
        <w:t>See special items table above for more details</w:t>
      </w:r>
    </w:p>
    <w:p>
      <w:pPr>
        <w:spacing w:after="0" w:line="55" w:lineRule="exact"/>
        <w:rPr>
          <w:rFonts w:ascii="Arial" w:cs="Arial" w:eastAsia="Arial" w:hAnsi="Arial"/>
          <w:sz w:val="14"/>
          <w:szCs w:val="14"/>
          <w:color w:val="auto"/>
        </w:rPr>
      </w:pPr>
    </w:p>
    <w:p>
      <w:pPr>
        <w:ind w:left="440" w:right="240" w:hanging="414"/>
        <w:spacing w:after="0" w:line="233" w:lineRule="auto"/>
        <w:tabs>
          <w:tab w:leader="none" w:pos="440" w:val="left"/>
        </w:tabs>
        <w:numPr>
          <w:ilvl w:val="0"/>
          <w:numId w:val="9"/>
        </w:numPr>
        <w:rPr>
          <w:rFonts w:ascii="Arial" w:cs="Arial" w:eastAsia="Arial" w:hAnsi="Arial"/>
          <w:sz w:val="14"/>
          <w:szCs w:val="14"/>
          <w:color w:val="auto"/>
        </w:rPr>
      </w:pPr>
      <w:r>
        <w:rPr>
          <w:rFonts w:ascii="Arial" w:cs="Arial" w:eastAsia="Arial" w:hAnsi="Arial"/>
          <w:sz w:val="14"/>
          <w:szCs w:val="14"/>
          <w:color w:val="auto"/>
        </w:rPr>
        <w:t>Due to changes in the Company’s operations, Management determined that, beginning in the fourth quarter 2022, certain asset transactions will no longer be included as adjustments to Adjusted Net Income because these transactions are part of our recurring operations. This change was made prospectively beginning in the fourth quarter of 2022, and no prior period amounts have been adjusted.</w:t>
      </w:r>
    </w:p>
    <w:p>
      <w:pPr>
        <w:ind w:left="440" w:hanging="414"/>
        <w:spacing w:after="0" w:line="181" w:lineRule="auto"/>
        <w:tabs>
          <w:tab w:leader="none" w:pos="440" w:val="left"/>
        </w:tabs>
        <w:numPr>
          <w:ilvl w:val="0"/>
          <w:numId w:val="9"/>
        </w:numPr>
        <w:rPr>
          <w:rFonts w:ascii="Arial" w:cs="Arial" w:eastAsia="Arial" w:hAnsi="Arial"/>
          <w:sz w:val="28"/>
          <w:szCs w:val="28"/>
          <w:color w:val="auto"/>
          <w:vertAlign w:val="superscript"/>
        </w:rPr>
      </w:pPr>
      <w:r>
        <w:rPr>
          <w:rFonts w:ascii="Arial" w:cs="Arial" w:eastAsia="Arial" w:hAnsi="Arial"/>
          <w:sz w:val="14"/>
          <w:szCs w:val="14"/>
          <w:color w:val="auto"/>
        </w:rPr>
        <w:t>This represents the one-time costs to establish the TRA liability with our pre-IPO stockholders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16</w:t>
      </w:r>
    </w:p>
    <w:p>
      <w:pPr>
        <w:sectPr>
          <w:pgSz w:w="11900" w:h="16838" w:orient="portrait"/>
          <w:cols w:equalWidth="0" w:num="1">
            <w:col w:w="11220"/>
          </w:cols>
          <w:pgMar w:left="320" w:top="1440" w:right="359" w:bottom="1440" w:gutter="0" w:footer="0" w:header="0"/>
        </w:sectPr>
      </w:pPr>
    </w:p>
    <w:bookmarkStart w:id="19" w:name="page20"/>
    <w:bookmarkEnd w:id="19"/>
    <w:p>
      <w:pPr>
        <w:ind w:left="20"/>
        <w:spacing w:after="0"/>
        <w:rPr>
          <w:sz w:val="20"/>
          <w:szCs w:val="20"/>
          <w:color w:val="auto"/>
        </w:rPr>
      </w:pPr>
      <w:r>
        <w:rPr>
          <w:rFonts w:ascii="Arial" w:cs="Arial" w:eastAsia="Arial" w:hAnsi="Arial"/>
          <w:sz w:val="18"/>
          <w:szCs w:val="18"/>
          <w:b w:val="1"/>
          <w:bCs w:val="1"/>
          <w:color w:val="auto"/>
        </w:rPr>
        <w:t>Reconciliation of GAAP Net Income (Loss) to Adjusted EBITDA</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234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tables present the reconciliation of net income (loss) to adjusted EBITDA for the periods presented below.</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80" w:type="dxa"/>
            <w:vAlign w:val="bottom"/>
            <w:gridSpan w:val="5"/>
          </w:tcPr>
          <w:p>
            <w:pPr>
              <w:jc w:val="right"/>
              <w:ind w:right="336"/>
              <w:spacing w:after="0"/>
              <w:rPr>
                <w:sz w:val="20"/>
                <w:szCs w:val="20"/>
                <w:color w:val="auto"/>
              </w:rPr>
            </w:pPr>
            <w:r>
              <w:rPr>
                <w:rFonts w:ascii="Arial" w:cs="Arial" w:eastAsia="Arial" w:hAnsi="Arial"/>
                <w:sz w:val="14"/>
                <w:szCs w:val="14"/>
                <w:b w:val="1"/>
                <w:bCs w:val="1"/>
                <w:color w:val="auto"/>
              </w:rPr>
              <w:t>Three Months Ended December 31,</w:t>
            </w:r>
          </w:p>
        </w:tc>
        <w:tc>
          <w:tcPr>
            <w:tcW w:w="840" w:type="dxa"/>
            <w:vAlign w:val="bottom"/>
          </w:tcPr>
          <w:p>
            <w:pPr>
              <w:spacing w:after="0"/>
              <w:rPr>
                <w:sz w:val="16"/>
                <w:szCs w:val="16"/>
                <w:color w:val="auto"/>
              </w:rPr>
            </w:pPr>
          </w:p>
        </w:tc>
      </w:tr>
      <w:tr>
        <w:trPr>
          <w:trHeight w:val="215"/>
        </w:trPr>
        <w:tc>
          <w:tcPr>
            <w:tcW w:w="6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2022</w:t>
            </w:r>
          </w:p>
        </w:tc>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2021</w:t>
            </w:r>
            <w:r>
              <w:rPr>
                <w:rFonts w:ascii="Arial" w:cs="Arial" w:eastAsia="Arial" w:hAnsi="Arial"/>
                <w:sz w:val="18"/>
                <w:szCs w:val="18"/>
                <w:b w:val="1"/>
                <w:bCs w:val="1"/>
                <w:color w:val="auto"/>
                <w:vertAlign w:val="superscript"/>
              </w:rPr>
              <w:t>(7)</w:t>
            </w:r>
          </w:p>
        </w:tc>
        <w:tc>
          <w:tcPr>
            <w:tcW w:w="840" w:type="dxa"/>
            <w:vAlign w:val="bottom"/>
            <w:tcBorders>
              <w:bottom w:val="single" w:sz="8" w:color="auto"/>
            </w:tcBorders>
          </w:tcPr>
          <w:p>
            <w:pPr>
              <w:spacing w:after="0"/>
              <w:rPr>
                <w:sz w:val="18"/>
                <w:szCs w:val="18"/>
                <w:color w:val="auto"/>
              </w:rPr>
            </w:pPr>
          </w:p>
        </w:tc>
      </w:tr>
      <w:tr>
        <w:trPr>
          <w:trHeight w:val="223"/>
        </w:trPr>
        <w:tc>
          <w:tcPr>
            <w:tcW w:w="6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Net Income (Loss)</w:t>
            </w:r>
          </w:p>
        </w:tc>
        <w:tc>
          <w:tcPr>
            <w:tcW w:w="1460" w:type="dxa"/>
            <w:vAlign w:val="bottom"/>
            <w:shd w:val="clear" w:color="auto" w:fill="CCEEFF"/>
          </w:tcPr>
          <w:p>
            <w:pPr>
              <w:jc w:val="right"/>
              <w:ind w:right="1258"/>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76"/>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w:t>
            </w:r>
          </w:p>
        </w:tc>
      </w:tr>
      <w:tr>
        <w:trPr>
          <w:trHeight w:val="229"/>
        </w:trPr>
        <w:tc>
          <w:tcPr>
            <w:tcW w:w="6220" w:type="dxa"/>
            <w:vAlign w:val="bottom"/>
            <w:gridSpan w:val="2"/>
          </w:tcPr>
          <w:p>
            <w:pPr>
              <w:ind w:left="80"/>
              <w:spacing w:after="0"/>
              <w:rPr>
                <w:sz w:val="20"/>
                <w:szCs w:val="20"/>
                <w:color w:val="auto"/>
              </w:rPr>
            </w:pPr>
            <w:r>
              <w:rPr>
                <w:rFonts w:ascii="Arial" w:cs="Arial" w:eastAsia="Arial" w:hAnsi="Arial"/>
                <w:sz w:val="18"/>
                <w:szCs w:val="18"/>
                <w:color w:val="auto"/>
              </w:rPr>
              <w:t>Interest Income</w:t>
            </w:r>
          </w:p>
        </w:tc>
        <w:tc>
          <w:tcPr>
            <w:tcW w:w="1460" w:type="dxa"/>
            <w:vAlign w:val="bottom"/>
          </w:tcPr>
          <w:p>
            <w:pPr>
              <w:spacing w:after="0"/>
              <w:rPr>
                <w:sz w:val="19"/>
                <w:szCs w:val="19"/>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29"/>
        </w:trPr>
        <w:tc>
          <w:tcPr>
            <w:tcW w:w="6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Interest Expense</w:t>
            </w:r>
          </w:p>
        </w:tc>
        <w:tc>
          <w:tcPr>
            <w:tcW w:w="14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6.8</w:t>
            </w:r>
          </w:p>
        </w:tc>
      </w:tr>
      <w:tr>
        <w:trPr>
          <w:trHeight w:val="230"/>
        </w:trPr>
        <w:tc>
          <w:tcPr>
            <w:tcW w:w="6220" w:type="dxa"/>
            <w:vAlign w:val="bottom"/>
            <w:gridSpan w:val="2"/>
          </w:tcPr>
          <w:p>
            <w:pPr>
              <w:ind w:left="80"/>
              <w:spacing w:after="0"/>
              <w:rPr>
                <w:sz w:val="20"/>
                <w:szCs w:val="20"/>
                <w:color w:val="auto"/>
              </w:rPr>
            </w:pPr>
            <w:r>
              <w:rPr>
                <w:rFonts w:ascii="Arial" w:cs="Arial" w:eastAsia="Arial" w:hAnsi="Arial"/>
                <w:sz w:val="18"/>
                <w:szCs w:val="18"/>
                <w:color w:val="auto"/>
              </w:rPr>
              <w:t>Stock Compensation Expense</w:t>
            </w:r>
          </w:p>
        </w:tc>
        <w:tc>
          <w:tcPr>
            <w:tcW w:w="146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1.0</w:t>
            </w:r>
          </w:p>
        </w:tc>
      </w:tr>
      <w:tr>
        <w:trPr>
          <w:trHeight w:val="229"/>
        </w:trPr>
        <w:tc>
          <w:tcPr>
            <w:tcW w:w="6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Secondary offering expense</w:t>
            </w:r>
          </w:p>
        </w:tc>
        <w:tc>
          <w:tcPr>
            <w:tcW w:w="146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0.5</w:t>
            </w:r>
          </w:p>
        </w:tc>
      </w:tr>
      <w:tr>
        <w:trPr>
          <w:trHeight w:val="270"/>
        </w:trPr>
        <w:tc>
          <w:tcPr>
            <w:tcW w:w="6220" w:type="dxa"/>
            <w:vAlign w:val="bottom"/>
            <w:gridSpan w:val="2"/>
          </w:tcPr>
          <w:p>
            <w:pPr>
              <w:ind w:left="80"/>
              <w:spacing w:after="0"/>
              <w:rPr>
                <w:sz w:val="20"/>
                <w:szCs w:val="20"/>
                <w:color w:val="auto"/>
              </w:rPr>
            </w:pPr>
            <w:r>
              <w:rPr>
                <w:rFonts w:ascii="Arial" w:cs="Arial" w:eastAsia="Arial" w:hAnsi="Arial"/>
                <w:sz w:val="18"/>
                <w:szCs w:val="18"/>
                <w:color w:val="auto"/>
              </w:rPr>
              <w:t xml:space="preserve">Tax Receivable Agreement adjustment </w:t>
            </w:r>
            <w:r>
              <w:rPr>
                <w:rFonts w:ascii="Arial" w:cs="Arial" w:eastAsia="Arial" w:hAnsi="Arial"/>
                <w:sz w:val="23"/>
                <w:szCs w:val="23"/>
                <w:color w:val="auto"/>
                <w:vertAlign w:val="superscript"/>
              </w:rPr>
              <w:t>(1)</w:t>
            </w:r>
          </w:p>
        </w:tc>
        <w:tc>
          <w:tcPr>
            <w:tcW w:w="1460" w:type="dxa"/>
            <w:vAlign w:val="bottom"/>
          </w:tcPr>
          <w:p>
            <w:pPr>
              <w:spacing w:after="0"/>
              <w:rPr>
                <w:sz w:val="23"/>
                <w:szCs w:val="23"/>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23"/>
                <w:szCs w:val="23"/>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3.4</w:t>
            </w:r>
          </w:p>
        </w:tc>
      </w:tr>
      <w:tr>
        <w:trPr>
          <w:trHeight w:val="229"/>
        </w:trPr>
        <w:tc>
          <w:tcPr>
            <w:tcW w:w="6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Provision for Income Taxes</w:t>
            </w:r>
          </w:p>
        </w:tc>
        <w:tc>
          <w:tcPr>
            <w:tcW w:w="14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0.6</w:t>
            </w:r>
          </w:p>
        </w:tc>
      </w:tr>
      <w:tr>
        <w:trPr>
          <w:trHeight w:val="230"/>
        </w:trPr>
        <w:tc>
          <w:tcPr>
            <w:tcW w:w="6220" w:type="dxa"/>
            <w:vAlign w:val="bottom"/>
            <w:gridSpan w:val="2"/>
          </w:tcPr>
          <w:p>
            <w:pPr>
              <w:ind w:left="80"/>
              <w:spacing w:after="0"/>
              <w:rPr>
                <w:sz w:val="20"/>
                <w:szCs w:val="20"/>
                <w:color w:val="auto"/>
              </w:rPr>
            </w:pPr>
            <w:r>
              <w:rPr>
                <w:rFonts w:ascii="Arial" w:cs="Arial" w:eastAsia="Arial" w:hAnsi="Arial"/>
                <w:sz w:val="18"/>
                <w:szCs w:val="18"/>
                <w:color w:val="auto"/>
              </w:rPr>
              <w:t>Depreciation and Amortization</w:t>
            </w:r>
          </w:p>
        </w:tc>
        <w:tc>
          <w:tcPr>
            <w:tcW w:w="146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18.3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15.5</w:t>
            </w:r>
          </w:p>
        </w:tc>
      </w:tr>
      <w:tr>
        <w:trPr>
          <w:trHeight w:val="229"/>
        </w:trPr>
        <w:tc>
          <w:tcPr>
            <w:tcW w:w="6220" w:type="dxa"/>
            <w:vAlign w:val="bottom"/>
            <w:gridSpan w:val="2"/>
            <w:shd w:val="clear" w:color="auto" w:fill="CCEEFF"/>
          </w:tcPr>
          <w:p>
            <w:pPr>
              <w:ind w:left="80"/>
              <w:spacing w:after="0" w:line="230" w:lineRule="exact"/>
              <w:rPr>
                <w:sz w:val="20"/>
                <w:szCs w:val="20"/>
                <w:color w:val="auto"/>
              </w:rPr>
            </w:pPr>
            <w:r>
              <w:rPr>
                <w:rFonts w:ascii="Arial" w:cs="Arial" w:eastAsia="Arial" w:hAnsi="Arial"/>
                <w:sz w:val="18"/>
                <w:szCs w:val="18"/>
                <w:color w:val="auto"/>
              </w:rPr>
              <w:t xml:space="preserve">Other Adjustments </w:t>
            </w:r>
            <w:r>
              <w:rPr>
                <w:rFonts w:ascii="Arial" w:cs="Arial" w:eastAsia="Arial" w:hAnsi="Arial"/>
                <w:sz w:val="23"/>
                <w:szCs w:val="23"/>
                <w:color w:val="auto"/>
                <w:vertAlign w:val="superscript"/>
              </w:rPr>
              <w:t>(2)</w:t>
            </w:r>
          </w:p>
        </w:tc>
        <w:tc>
          <w:tcPr>
            <w:tcW w:w="146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3.0</w:t>
            </w:r>
          </w:p>
        </w:tc>
      </w:tr>
      <w:tr>
        <w:trPr>
          <w:trHeight w:val="223"/>
        </w:trPr>
        <w:tc>
          <w:tcPr>
            <w:tcW w:w="6220" w:type="dxa"/>
            <w:vAlign w:val="bottom"/>
            <w:gridSpan w:val="2"/>
          </w:tcPr>
          <w:p>
            <w:pPr>
              <w:ind w:left="80"/>
              <w:spacing w:after="0"/>
              <w:rPr>
                <w:sz w:val="20"/>
                <w:szCs w:val="20"/>
                <w:color w:val="auto"/>
              </w:rPr>
            </w:pPr>
            <w:r>
              <w:rPr>
                <w:rFonts w:ascii="Arial" w:cs="Arial" w:eastAsia="Arial" w:hAnsi="Arial"/>
                <w:sz w:val="18"/>
                <w:szCs w:val="18"/>
                <w:color w:val="auto"/>
              </w:rPr>
              <w:t>Adjusted EBITDA</w:t>
            </w:r>
          </w:p>
        </w:tc>
        <w:tc>
          <w:tcPr>
            <w:tcW w:w="1460" w:type="dxa"/>
            <w:vAlign w:val="bottom"/>
            <w:tcBorders>
              <w:top w:val="single" w:sz="8" w:color="auto"/>
              <w:bottom w:val="single" w:sz="8" w:color="auto"/>
            </w:tcBorders>
          </w:tcPr>
          <w:p>
            <w:pPr>
              <w:jc w:val="right"/>
              <w:ind w:right="1258"/>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34.1</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ind w:right="1376"/>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29.8</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7"/>
        </w:trPr>
        <w:tc>
          <w:tcPr>
            <w:tcW w:w="6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30"/>
        </w:trPr>
        <w:tc>
          <w:tcPr>
            <w:tcW w:w="6220" w:type="dxa"/>
            <w:vAlign w:val="bottom"/>
            <w:gridSpan w:val="2"/>
          </w:tcPr>
          <w:p>
            <w:pPr>
              <w:ind w:left="80"/>
              <w:spacing w:after="0"/>
              <w:rPr>
                <w:sz w:val="20"/>
                <w:szCs w:val="20"/>
                <w:color w:val="auto"/>
              </w:rPr>
            </w:pPr>
            <w:r>
              <w:rPr>
                <w:rFonts w:ascii="Arial" w:cs="Arial" w:eastAsia="Arial" w:hAnsi="Arial"/>
                <w:sz w:val="18"/>
                <w:szCs w:val="18"/>
                <w:color w:val="auto"/>
              </w:rPr>
              <w:t>Adjusted EBITDA margin</w:t>
            </w:r>
          </w:p>
        </w:tc>
        <w:tc>
          <w:tcPr>
            <w:tcW w:w="1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17.3 %</w:t>
            </w:r>
          </w:p>
        </w:tc>
      </w:tr>
      <w:tr>
        <w:trPr>
          <w:trHeight w:val="609"/>
        </w:trPr>
        <w:tc>
          <w:tcPr>
            <w:tcW w:w="6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20" w:type="dxa"/>
            <w:vAlign w:val="bottom"/>
            <w:gridSpan w:val="4"/>
          </w:tcPr>
          <w:p>
            <w:pPr>
              <w:jc w:val="right"/>
              <w:ind w:right="676"/>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Pr>
          <w:p>
            <w:pPr>
              <w:spacing w:after="0"/>
              <w:rPr>
                <w:sz w:val="24"/>
                <w:szCs w:val="24"/>
                <w:color w:val="auto"/>
              </w:rPr>
            </w:pPr>
          </w:p>
        </w:tc>
      </w:tr>
      <w:tr>
        <w:trPr>
          <w:trHeight w:val="215"/>
        </w:trPr>
        <w:tc>
          <w:tcPr>
            <w:tcW w:w="6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2022</w:t>
            </w:r>
          </w:p>
        </w:tc>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2021</w:t>
            </w:r>
            <w:r>
              <w:rPr>
                <w:rFonts w:ascii="Arial" w:cs="Arial" w:eastAsia="Arial" w:hAnsi="Arial"/>
                <w:sz w:val="18"/>
                <w:szCs w:val="18"/>
                <w:b w:val="1"/>
                <w:bCs w:val="1"/>
                <w:color w:val="auto"/>
                <w:vertAlign w:val="superscript"/>
              </w:rPr>
              <w:t>(7)</w:t>
            </w:r>
          </w:p>
        </w:tc>
        <w:tc>
          <w:tcPr>
            <w:tcW w:w="840" w:type="dxa"/>
            <w:vAlign w:val="bottom"/>
            <w:tcBorders>
              <w:bottom w:val="single" w:sz="8" w:color="auto"/>
            </w:tcBorders>
          </w:tcPr>
          <w:p>
            <w:pPr>
              <w:spacing w:after="0"/>
              <w:rPr>
                <w:sz w:val="18"/>
                <w:szCs w:val="18"/>
                <w:color w:val="auto"/>
              </w:rPr>
            </w:pPr>
          </w:p>
        </w:tc>
      </w:tr>
      <w:tr>
        <w:trPr>
          <w:trHeight w:val="223"/>
        </w:trPr>
        <w:tc>
          <w:tcPr>
            <w:tcW w:w="6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Net Income</w:t>
            </w:r>
          </w:p>
        </w:tc>
        <w:tc>
          <w:tcPr>
            <w:tcW w:w="1460" w:type="dxa"/>
            <w:vAlign w:val="bottom"/>
            <w:shd w:val="clear" w:color="auto" w:fill="CCEEFF"/>
          </w:tcPr>
          <w:p>
            <w:pPr>
              <w:jc w:val="right"/>
              <w:ind w:right="1278"/>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17.7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76"/>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81.2</w:t>
            </w:r>
          </w:p>
        </w:tc>
      </w:tr>
      <w:tr>
        <w:trPr>
          <w:trHeight w:val="270"/>
        </w:trPr>
        <w:tc>
          <w:tcPr>
            <w:tcW w:w="6220" w:type="dxa"/>
            <w:vAlign w:val="bottom"/>
            <w:gridSpan w:val="2"/>
          </w:tcPr>
          <w:p>
            <w:pPr>
              <w:ind w:left="8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(3)</w:t>
            </w:r>
          </w:p>
        </w:tc>
        <w:tc>
          <w:tcPr>
            <w:tcW w:w="1460" w:type="dxa"/>
            <w:vAlign w:val="bottom"/>
          </w:tcPr>
          <w:p>
            <w:pPr>
              <w:spacing w:after="0"/>
              <w:rPr>
                <w:sz w:val="23"/>
                <w:szCs w:val="23"/>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23"/>
                <w:szCs w:val="23"/>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(72.4)</w:t>
            </w:r>
          </w:p>
        </w:tc>
      </w:tr>
      <w:tr>
        <w:trPr>
          <w:trHeight w:val="230"/>
        </w:trPr>
        <w:tc>
          <w:tcPr>
            <w:tcW w:w="6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Interest Income</w:t>
            </w:r>
          </w:p>
        </w:tc>
        <w:tc>
          <w:tcPr>
            <w:tcW w:w="14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(0.1)</w:t>
            </w:r>
          </w:p>
        </w:tc>
      </w:tr>
      <w:tr>
        <w:trPr>
          <w:trHeight w:val="230"/>
        </w:trPr>
        <w:tc>
          <w:tcPr>
            <w:tcW w:w="6220" w:type="dxa"/>
            <w:vAlign w:val="bottom"/>
            <w:gridSpan w:val="2"/>
          </w:tcPr>
          <w:p>
            <w:pPr>
              <w:ind w:left="80"/>
              <w:spacing w:after="0"/>
              <w:rPr>
                <w:sz w:val="20"/>
                <w:szCs w:val="20"/>
                <w:color w:val="auto"/>
              </w:rPr>
            </w:pPr>
            <w:r>
              <w:rPr>
                <w:rFonts w:ascii="Arial" w:cs="Arial" w:eastAsia="Arial" w:hAnsi="Arial"/>
                <w:sz w:val="18"/>
                <w:szCs w:val="18"/>
                <w:color w:val="auto"/>
              </w:rPr>
              <w:t>Interest Expense</w:t>
            </w:r>
          </w:p>
        </w:tc>
        <w:tc>
          <w:tcPr>
            <w:tcW w:w="1460" w:type="dxa"/>
            <w:vAlign w:val="bottom"/>
          </w:tcPr>
          <w:p>
            <w:pPr>
              <w:spacing w:after="0"/>
              <w:rPr>
                <w:sz w:val="19"/>
                <w:szCs w:val="19"/>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31.0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26.3</w:t>
            </w:r>
          </w:p>
        </w:tc>
      </w:tr>
      <w:tr>
        <w:trPr>
          <w:trHeight w:val="230"/>
        </w:trPr>
        <w:tc>
          <w:tcPr>
            <w:tcW w:w="6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Stock Compensation Expense</w:t>
            </w:r>
          </w:p>
        </w:tc>
        <w:tc>
          <w:tcPr>
            <w:tcW w:w="14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5.6</w:t>
            </w:r>
          </w:p>
        </w:tc>
      </w:tr>
      <w:tr>
        <w:trPr>
          <w:trHeight w:val="229"/>
        </w:trPr>
        <w:tc>
          <w:tcPr>
            <w:tcW w:w="6220" w:type="dxa"/>
            <w:vAlign w:val="bottom"/>
            <w:gridSpan w:val="2"/>
          </w:tcPr>
          <w:p>
            <w:pPr>
              <w:ind w:left="80"/>
              <w:spacing w:after="0" w:line="230" w:lineRule="exact"/>
              <w:rPr>
                <w:sz w:val="20"/>
                <w:szCs w:val="20"/>
                <w:color w:val="auto"/>
              </w:rPr>
            </w:pPr>
            <w:r>
              <w:rPr>
                <w:rFonts w:ascii="Arial" w:cs="Arial" w:eastAsia="Arial" w:hAnsi="Arial"/>
                <w:sz w:val="18"/>
                <w:szCs w:val="18"/>
                <w:color w:val="auto"/>
              </w:rPr>
              <w:t xml:space="preserve">Gain on asset transactions, net </w:t>
            </w:r>
            <w:r>
              <w:rPr>
                <w:rFonts w:ascii="Arial" w:cs="Arial" w:eastAsia="Arial" w:hAnsi="Arial"/>
                <w:sz w:val="23"/>
                <w:szCs w:val="23"/>
                <w:color w:val="auto"/>
                <w:vertAlign w:val="superscript"/>
              </w:rPr>
              <w:t>(4)</w:t>
            </w:r>
          </w:p>
        </w:tc>
        <w:tc>
          <w:tcPr>
            <w:tcW w:w="1460" w:type="dxa"/>
            <w:vAlign w:val="bottom"/>
          </w:tcPr>
          <w:p>
            <w:pPr>
              <w:spacing w:after="0"/>
              <w:rPr>
                <w:sz w:val="19"/>
                <w:szCs w:val="19"/>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30"/>
        </w:trPr>
        <w:tc>
          <w:tcPr>
            <w:tcW w:w="6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Secondary offering expense</w:t>
            </w:r>
          </w:p>
        </w:tc>
        <w:tc>
          <w:tcPr>
            <w:tcW w:w="146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w:t>
            </w:r>
          </w:p>
        </w:tc>
      </w:tr>
      <w:tr>
        <w:trPr>
          <w:trHeight w:val="270"/>
        </w:trPr>
        <w:tc>
          <w:tcPr>
            <w:tcW w:w="6220" w:type="dxa"/>
            <w:vAlign w:val="bottom"/>
            <w:gridSpan w:val="2"/>
          </w:tcPr>
          <w:p>
            <w:pPr>
              <w:ind w:left="80"/>
              <w:spacing w:after="0"/>
              <w:rPr>
                <w:sz w:val="20"/>
                <w:szCs w:val="20"/>
                <w:color w:val="auto"/>
              </w:rPr>
            </w:pPr>
            <w:r>
              <w:rPr>
                <w:rFonts w:ascii="Arial" w:cs="Arial" w:eastAsia="Arial" w:hAnsi="Arial"/>
                <w:sz w:val="18"/>
                <w:szCs w:val="18"/>
                <w:color w:val="auto"/>
              </w:rPr>
              <w:t xml:space="preserve">Tax Receivable Agreement expense </w:t>
            </w:r>
            <w:r>
              <w:rPr>
                <w:rFonts w:ascii="Arial" w:cs="Arial" w:eastAsia="Arial" w:hAnsi="Arial"/>
                <w:sz w:val="23"/>
                <w:szCs w:val="23"/>
                <w:color w:val="auto"/>
                <w:vertAlign w:val="superscript"/>
              </w:rPr>
              <w:t>(5)</w:t>
            </w:r>
          </w:p>
        </w:tc>
        <w:tc>
          <w:tcPr>
            <w:tcW w:w="1460" w:type="dxa"/>
            <w:vAlign w:val="bottom"/>
          </w:tcPr>
          <w:p>
            <w:pPr>
              <w:spacing w:after="0"/>
              <w:rPr>
                <w:sz w:val="23"/>
                <w:szCs w:val="23"/>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23"/>
                <w:szCs w:val="23"/>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0.3</w:t>
            </w:r>
          </w:p>
        </w:tc>
      </w:tr>
      <w:tr>
        <w:trPr>
          <w:trHeight w:val="270"/>
        </w:trPr>
        <w:tc>
          <w:tcPr>
            <w:tcW w:w="6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xml:space="preserve">Tax Receivable Agreement adjustment </w:t>
            </w:r>
            <w:r>
              <w:rPr>
                <w:rFonts w:ascii="Arial" w:cs="Arial" w:eastAsia="Arial" w:hAnsi="Arial"/>
                <w:sz w:val="23"/>
                <w:szCs w:val="23"/>
                <w:color w:val="auto"/>
                <w:vertAlign w:val="superscript"/>
              </w:rPr>
              <w:t>(1)</w:t>
            </w:r>
          </w:p>
        </w:tc>
        <w:tc>
          <w:tcPr>
            <w:tcW w:w="14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(16.4)</w:t>
            </w:r>
          </w:p>
        </w:tc>
      </w:tr>
      <w:tr>
        <w:trPr>
          <w:trHeight w:val="230"/>
        </w:trPr>
        <w:tc>
          <w:tcPr>
            <w:tcW w:w="6220" w:type="dxa"/>
            <w:vAlign w:val="bottom"/>
            <w:gridSpan w:val="2"/>
          </w:tcPr>
          <w:p>
            <w:pPr>
              <w:ind w:left="80"/>
              <w:spacing w:after="0"/>
              <w:rPr>
                <w:sz w:val="20"/>
                <w:szCs w:val="20"/>
                <w:color w:val="auto"/>
              </w:rPr>
            </w:pPr>
            <w:r>
              <w:rPr>
                <w:rFonts w:ascii="Arial" w:cs="Arial" w:eastAsia="Arial" w:hAnsi="Arial"/>
                <w:sz w:val="18"/>
                <w:szCs w:val="18"/>
                <w:color w:val="auto"/>
              </w:rPr>
              <w:t>Provision for Income Taxes</w:t>
            </w:r>
          </w:p>
        </w:tc>
        <w:tc>
          <w:tcPr>
            <w:tcW w:w="1460" w:type="dxa"/>
            <w:vAlign w:val="bottom"/>
          </w:tcPr>
          <w:p>
            <w:pPr>
              <w:spacing w:after="0"/>
              <w:rPr>
                <w:sz w:val="19"/>
                <w:szCs w:val="19"/>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19.1</w:t>
            </w:r>
          </w:p>
        </w:tc>
      </w:tr>
      <w:tr>
        <w:trPr>
          <w:trHeight w:val="230"/>
        </w:trPr>
        <w:tc>
          <w:tcPr>
            <w:tcW w:w="6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Depreciation and Amortization</w:t>
            </w:r>
          </w:p>
        </w:tc>
        <w:tc>
          <w:tcPr>
            <w:tcW w:w="14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67.6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57.1</w:t>
            </w:r>
          </w:p>
        </w:tc>
      </w:tr>
      <w:tr>
        <w:trPr>
          <w:trHeight w:val="229"/>
        </w:trPr>
        <w:tc>
          <w:tcPr>
            <w:tcW w:w="6220" w:type="dxa"/>
            <w:vAlign w:val="bottom"/>
            <w:gridSpan w:val="2"/>
          </w:tcPr>
          <w:p>
            <w:pPr>
              <w:ind w:left="80"/>
              <w:spacing w:after="0" w:line="230" w:lineRule="exact"/>
              <w:rPr>
                <w:sz w:val="20"/>
                <w:szCs w:val="20"/>
                <w:color w:val="auto"/>
              </w:rPr>
            </w:pPr>
            <w:r>
              <w:rPr>
                <w:rFonts w:ascii="Arial" w:cs="Arial" w:eastAsia="Arial" w:hAnsi="Arial"/>
                <w:sz w:val="18"/>
                <w:szCs w:val="18"/>
                <w:color w:val="auto"/>
              </w:rPr>
              <w:t xml:space="preserve">Other Adjustments </w:t>
            </w:r>
            <w:r>
              <w:rPr>
                <w:rFonts w:ascii="Arial" w:cs="Arial" w:eastAsia="Arial" w:hAnsi="Arial"/>
                <w:sz w:val="23"/>
                <w:szCs w:val="23"/>
                <w:color w:val="auto"/>
                <w:vertAlign w:val="superscript"/>
              </w:rPr>
              <w:t>(2)</w:t>
            </w:r>
          </w:p>
        </w:tc>
        <w:tc>
          <w:tcPr>
            <w:tcW w:w="1460" w:type="dxa"/>
            <w:vAlign w:val="bottom"/>
          </w:tcPr>
          <w:p>
            <w:pPr>
              <w:spacing w:after="0"/>
              <w:rPr>
                <w:sz w:val="19"/>
                <w:szCs w:val="19"/>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19"/>
                <w:szCs w:val="19"/>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3.0</w:t>
            </w:r>
          </w:p>
        </w:tc>
      </w:tr>
      <w:tr>
        <w:trPr>
          <w:trHeight w:val="248"/>
        </w:trPr>
        <w:tc>
          <w:tcPr>
            <w:tcW w:w="620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Adjusted EBITDA</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ind w:right="1278"/>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125.6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auto"/>
            </w:tcBorders>
            <w:shd w:val="clear" w:color="auto" w:fill="CCEEFF"/>
          </w:tcPr>
          <w:p>
            <w:pPr>
              <w:jc w:val="right"/>
              <w:ind w:right="1376"/>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105.5</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6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Adjusted EBITDA margin</w:t>
            </w:r>
          </w:p>
        </w:tc>
        <w:tc>
          <w:tcPr>
            <w:tcW w:w="1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16.9 %</w:t>
            </w:r>
          </w:p>
        </w:tc>
      </w:tr>
    </w:tbl>
    <w:p>
      <w:pPr>
        <w:spacing w:after="0" w:line="73" w:lineRule="exact"/>
        <w:rPr>
          <w:sz w:val="20"/>
          <w:szCs w:val="20"/>
          <w:color w:val="auto"/>
        </w:rPr>
      </w:pPr>
    </w:p>
    <w:p>
      <w:pPr>
        <w:ind w:left="440" w:hanging="414"/>
        <w:spacing w:after="0"/>
        <w:tabs>
          <w:tab w:leader="none" w:pos="440" w:val="left"/>
        </w:tabs>
        <w:numPr>
          <w:ilvl w:val="0"/>
          <w:numId w:val="10"/>
        </w:numPr>
        <w:rPr>
          <w:rFonts w:ascii="Arial" w:cs="Arial" w:eastAsia="Arial" w:hAnsi="Arial"/>
          <w:sz w:val="29"/>
          <w:szCs w:val="29"/>
          <w:color w:val="auto"/>
          <w:vertAlign w:val="superscript"/>
        </w:rPr>
      </w:pPr>
      <w:r>
        <w:rPr>
          <w:rFonts w:ascii="Arial" w:cs="Arial" w:eastAsia="Arial" w:hAnsi="Arial"/>
          <w:sz w:val="14"/>
          <w:szCs w:val="14"/>
          <w:color w:val="auto"/>
        </w:rPr>
        <w:t>This represents the adjustment to the TRA for the period, which is recorded in Non-Operating Income (Expense)</w:t>
      </w:r>
    </w:p>
    <w:p>
      <w:pPr>
        <w:spacing w:after="0" w:line="43" w:lineRule="exact"/>
        <w:rPr>
          <w:rFonts w:ascii="Arial" w:cs="Arial" w:eastAsia="Arial" w:hAnsi="Arial"/>
          <w:sz w:val="29"/>
          <w:szCs w:val="29"/>
          <w:color w:val="auto"/>
          <w:vertAlign w:val="superscript"/>
        </w:rPr>
      </w:pPr>
    </w:p>
    <w:p>
      <w:pPr>
        <w:ind w:left="440" w:hanging="414"/>
        <w:spacing w:after="0"/>
        <w:tabs>
          <w:tab w:leader="none" w:pos="4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Other adjustments include an adjustment to record the impact on pilot vacation pay resulting from the new pilot labor contract</w:t>
      </w:r>
    </w:p>
    <w:p>
      <w:pPr>
        <w:spacing w:after="0" w:line="55" w:lineRule="exact"/>
        <w:rPr>
          <w:rFonts w:ascii="Arial" w:cs="Arial" w:eastAsia="Arial" w:hAnsi="Arial"/>
          <w:sz w:val="14"/>
          <w:szCs w:val="14"/>
          <w:color w:val="auto"/>
        </w:rPr>
      </w:pPr>
    </w:p>
    <w:p>
      <w:pPr>
        <w:ind w:left="440" w:hanging="414"/>
        <w:spacing w:after="0"/>
        <w:tabs>
          <w:tab w:leader="none" w:pos="4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See special items table above for more details</w:t>
      </w:r>
    </w:p>
    <w:p>
      <w:pPr>
        <w:spacing w:after="0" w:line="55" w:lineRule="exact"/>
        <w:rPr>
          <w:rFonts w:ascii="Arial" w:cs="Arial" w:eastAsia="Arial" w:hAnsi="Arial"/>
          <w:sz w:val="14"/>
          <w:szCs w:val="14"/>
          <w:color w:val="auto"/>
        </w:rPr>
      </w:pPr>
    </w:p>
    <w:p>
      <w:pPr>
        <w:ind w:left="440" w:right="160" w:hanging="414"/>
        <w:spacing w:after="0" w:line="233" w:lineRule="auto"/>
        <w:tabs>
          <w:tab w:leader="none" w:pos="4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Due to changes in the Company’s operations, Management determined that, beginning in the fourth quarter 2022, certain asset transactions will no longer be included as adjustments to Adjusted EBITDA because these transactions are part of our recurring operations. This change was made prospectively beginning in the fourth quarter of 2022, and no prior period amounts have been adjusted.</w:t>
      </w:r>
    </w:p>
    <w:p>
      <w:pPr>
        <w:ind w:left="440" w:hanging="414"/>
        <w:spacing w:after="0" w:line="181" w:lineRule="auto"/>
        <w:tabs>
          <w:tab w:leader="none" w:pos="440" w:val="left"/>
        </w:tabs>
        <w:numPr>
          <w:ilvl w:val="0"/>
          <w:numId w:val="10"/>
        </w:numPr>
        <w:rPr>
          <w:rFonts w:ascii="Arial" w:cs="Arial" w:eastAsia="Arial" w:hAnsi="Arial"/>
          <w:sz w:val="28"/>
          <w:szCs w:val="28"/>
          <w:color w:val="auto"/>
          <w:vertAlign w:val="superscript"/>
        </w:rPr>
      </w:pPr>
      <w:r>
        <w:rPr>
          <w:rFonts w:ascii="Arial" w:cs="Arial" w:eastAsia="Arial" w:hAnsi="Arial"/>
          <w:sz w:val="14"/>
          <w:szCs w:val="14"/>
          <w:color w:val="auto"/>
        </w:rPr>
        <w:t>This represents the one-time costs to establish the TRA liability with our pre-IPO stockholders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Page 17</w:t>
      </w:r>
    </w:p>
    <w:p>
      <w:pPr>
        <w:sectPr>
          <w:pgSz w:w="11900" w:h="16838" w:orient="portrait"/>
          <w:cols w:equalWidth="0" w:num="1">
            <w:col w:w="11140"/>
          </w:cols>
          <w:pgMar w:left="320" w:top="1170" w:right="439" w:bottom="1440" w:gutter="0" w:footer="0" w:header="0"/>
        </w:sectPr>
      </w:pPr>
    </w:p>
    <w:bookmarkStart w:id="20" w:name="page21"/>
    <w:bookmarkEnd w:id="20"/>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CASM</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Adjusted CASM is a non-GAAP measure derived from CASM by excluding fuel costs, costs related to our cargo operations (began in 2020 when we launched our cargo operations), stock based compensation, certain commissions and other costs of selling our vacations product from this measure as these costs are unrelated to our airline operations and improve comparability to our peers. Adjusted CASM is an important measure used by management and by our board of directors in assessing quarterly and annual cost performance. Adjusted CASM is also a measure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w:t>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Adjusted CASM excludes fuel costs. By excluding volatile fuel expenses that are outside of our control from our unit metrics, we believe that we have better visibility into the results of operations and our non-fuel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costs and maintenance costs, and productivity, which are more controllable by management.</w:t>
      </w:r>
    </w:p>
    <w:p>
      <w:pPr>
        <w:spacing w:after="0" w:line="20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excluded costs related to the cargo operations as these operations do not create ASMs. Adjusted CASM further excludes special items and other adjustments, as defined in the relevant reporting period, that are not representative of the ongoing costs necessary to our airline operations and may improve comparability between periods. We also exclude stock compensation expense when computing Adjusted CASM. The Company’s compensation strategy includes the use of stock-based compensation to attract and retain employees and executives and is principally aimed at aligning their interests with those of our stockholders and at long-term employee retention, rather than to motivate or reward operational performance for any particular period. Thus, stock-based compensation expense varies for reasons that are generally unrelated to operational decisions and performance in any period.</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aforementioned reasons, Adjusted CASM has significant limitations which affect its use as an indicator of our profitability. Accordingly, readers are cautioned not to place undue reliance on this information.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18</w:t>
      </w:r>
    </w:p>
    <w:p>
      <w:pPr>
        <w:sectPr>
          <w:pgSz w:w="11900" w:h="16838" w:orient="portrait"/>
          <w:cols w:equalWidth="0" w:num="1">
            <w:col w:w="11240"/>
          </w:cols>
          <w:pgMar w:left="320" w:top="1440" w:right="339" w:bottom="1440" w:gutter="0" w:footer="0" w:header="0"/>
        </w:sectPr>
      </w:pPr>
    </w:p>
    <w:bookmarkStart w:id="21" w:name="page22"/>
    <w:bookmarkEnd w:id="21"/>
    <w:p>
      <w:pPr>
        <w:ind w:left="20"/>
        <w:spacing w:after="0"/>
        <w:rPr>
          <w:sz w:val="20"/>
          <w:szCs w:val="20"/>
          <w:color w:val="auto"/>
        </w:rPr>
      </w:pPr>
      <w:r>
        <w:rPr>
          <w:rFonts w:ascii="Arial" w:cs="Arial" w:eastAsia="Arial" w:hAnsi="Arial"/>
          <w:sz w:val="18"/>
          <w:szCs w:val="18"/>
          <w:b w:val="1"/>
          <w:bCs w:val="1"/>
          <w:color w:val="auto"/>
        </w:rPr>
        <w:t>Reconciliation of CASM to Adjusted CASM</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Amounts may not recalculate due to rounding, dollar amounts in millions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71234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presents the reconciliation of CASM to Adjusted CASM.</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32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Three Months Ended December 31,</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7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r>
              <w:rPr>
                <w:rFonts w:ascii="Arial" w:cs="Arial" w:eastAsia="Arial" w:hAnsi="Arial"/>
                <w:sz w:val="18"/>
                <w:szCs w:val="18"/>
                <w:b w:val="1"/>
                <w:bCs w:val="1"/>
                <w:color w:val="auto"/>
                <w:vertAlign w:val="superscript"/>
              </w:rPr>
              <w:t>(7)</w:t>
            </w: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1800" w:type="dxa"/>
            <w:vAlign w:val="bottom"/>
            <w:gridSpan w:val="2"/>
          </w:tcPr>
          <w:p>
            <w:pPr>
              <w:jc w:val="center"/>
              <w:ind w:right="153"/>
              <w:spacing w:after="0" w:line="143" w:lineRule="exact"/>
              <w:rPr>
                <w:sz w:val="20"/>
                <w:szCs w:val="20"/>
                <w:color w:val="auto"/>
              </w:rPr>
            </w:pPr>
            <w:r>
              <w:rPr>
                <w:rFonts w:ascii="Arial" w:cs="Arial" w:eastAsia="Arial" w:hAnsi="Arial"/>
                <w:sz w:val="14"/>
                <w:szCs w:val="14"/>
                <w:b w:val="1"/>
                <w:bCs w:val="1"/>
                <w:color w:val="auto"/>
              </w:rPr>
              <w:t>Operating Expenses</w:t>
            </w: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Per ASM (cents)</w:t>
            </w:r>
          </w:p>
        </w:tc>
        <w:tc>
          <w:tcPr>
            <w:tcW w:w="1840" w:type="dxa"/>
            <w:vAlign w:val="bottom"/>
            <w:gridSpan w:val="2"/>
          </w:tcPr>
          <w:p>
            <w:pPr>
              <w:jc w:val="center"/>
              <w:ind w:right="193"/>
              <w:spacing w:after="0" w:line="143" w:lineRule="exact"/>
              <w:rPr>
                <w:sz w:val="20"/>
                <w:szCs w:val="20"/>
                <w:color w:val="auto"/>
              </w:rPr>
            </w:pPr>
            <w:r>
              <w:rPr>
                <w:rFonts w:ascii="Arial" w:cs="Arial" w:eastAsia="Arial" w:hAnsi="Arial"/>
                <w:sz w:val="14"/>
                <w:szCs w:val="14"/>
                <w:b w:val="1"/>
                <w:bCs w:val="1"/>
                <w:color w:val="auto"/>
              </w:rPr>
              <w:t>Operating Expenses</w:t>
            </w:r>
          </w:p>
        </w:tc>
        <w:tc>
          <w:tcPr>
            <w:tcW w:w="13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Per ASM (cents)</w:t>
            </w:r>
          </w:p>
        </w:tc>
        <w:tc>
          <w:tcPr>
            <w:tcW w:w="0" w:type="dxa"/>
            <w:vAlign w:val="bottom"/>
          </w:tcPr>
          <w:p>
            <w:pPr>
              <w:spacing w:after="0"/>
              <w:rPr>
                <w:sz w:val="1"/>
                <w:szCs w:val="1"/>
                <w:color w:val="auto"/>
              </w:rPr>
            </w:pPr>
          </w:p>
        </w:tc>
      </w:tr>
      <w:tr>
        <w:trPr>
          <w:trHeight w:val="189"/>
        </w:trPr>
        <w:tc>
          <w:tcPr>
            <w:tcW w:w="47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533"/>
              <w:spacing w:after="0"/>
              <w:rPr>
                <w:sz w:val="20"/>
                <w:szCs w:val="20"/>
                <w:color w:val="auto"/>
              </w:rPr>
            </w:pPr>
            <w:r>
              <w:rPr>
                <w:rFonts w:ascii="Arial" w:cs="Arial" w:eastAsia="Arial" w:hAnsi="Arial"/>
                <w:sz w:val="14"/>
                <w:szCs w:val="14"/>
                <w:b w:val="1"/>
                <w:bCs w:val="1"/>
                <w:color w:val="auto"/>
              </w:rPr>
              <w:t>- mm</w:t>
            </w:r>
          </w:p>
        </w:tc>
        <w:tc>
          <w:tcPr>
            <w:tcW w:w="1480" w:type="dxa"/>
            <w:vAlign w:val="bottom"/>
            <w:tcBorders>
              <w:bottom w:val="single" w:sz="8" w:color="auto"/>
            </w:tcBorders>
            <w:gridSpan w:val="2"/>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573"/>
              <w:spacing w:after="0"/>
              <w:rPr>
                <w:sz w:val="20"/>
                <w:szCs w:val="20"/>
                <w:color w:val="auto"/>
              </w:rPr>
            </w:pPr>
            <w:r>
              <w:rPr>
                <w:rFonts w:ascii="Arial" w:cs="Arial" w:eastAsia="Arial" w:hAnsi="Arial"/>
                <w:sz w:val="14"/>
                <w:szCs w:val="14"/>
                <w:b w:val="1"/>
                <w:bCs w:val="1"/>
                <w:color w:val="auto"/>
              </w:rPr>
              <w:t>- mm</w:t>
            </w: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CASM</w:t>
            </w: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212.0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162.3</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29"/>
        </w:trPr>
        <w:tc>
          <w:tcPr>
            <w:tcW w:w="4760" w:type="dxa"/>
            <w:vAlign w:val="bottom"/>
          </w:tcPr>
          <w:p>
            <w:pPr>
              <w:ind w:left="80"/>
              <w:spacing w:after="0"/>
              <w:rPr>
                <w:sz w:val="20"/>
                <w:szCs w:val="20"/>
                <w:color w:val="auto"/>
              </w:rPr>
            </w:pPr>
            <w:r>
              <w:rPr>
                <w:rFonts w:ascii="Arial" w:cs="Arial" w:eastAsia="Arial" w:hAnsi="Arial"/>
                <w:sz w:val="18"/>
                <w:szCs w:val="18"/>
                <w:color w:val="auto"/>
              </w:rPr>
              <w:t>Less:</w:t>
            </w: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Aircraft Fuel</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62.0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38.5</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29"/>
        </w:trPr>
        <w:tc>
          <w:tcPr>
            <w:tcW w:w="4760" w:type="dxa"/>
            <w:vAlign w:val="bottom"/>
          </w:tcPr>
          <w:p>
            <w:pPr>
              <w:ind w:left="80"/>
              <w:spacing w:after="0"/>
              <w:rPr>
                <w:sz w:val="20"/>
                <w:szCs w:val="20"/>
                <w:color w:val="auto"/>
              </w:rPr>
            </w:pPr>
            <w:r>
              <w:rPr>
                <w:rFonts w:ascii="Arial" w:cs="Arial" w:eastAsia="Arial" w:hAnsi="Arial"/>
                <w:sz w:val="18"/>
                <w:szCs w:val="18"/>
                <w:color w:val="auto"/>
              </w:rPr>
              <w:t>Stock Compensation Expense</w:t>
            </w:r>
          </w:p>
        </w:tc>
        <w:tc>
          <w:tcPr>
            <w:tcW w:w="360" w:type="dxa"/>
            <w:vAlign w:val="bottom"/>
          </w:tcPr>
          <w:p>
            <w:pPr>
              <w:spacing w:after="0"/>
              <w:rPr>
                <w:sz w:val="19"/>
                <w:szCs w:val="19"/>
                <w:color w:val="auto"/>
              </w:rPr>
            </w:pPr>
          </w:p>
        </w:tc>
        <w:tc>
          <w:tcPr>
            <w:tcW w:w="1440" w:type="dxa"/>
            <w:vAlign w:val="bottom"/>
          </w:tcPr>
          <w:p>
            <w:pPr>
              <w:jc w:val="right"/>
              <w:ind w:right="233"/>
              <w:spacing w:after="0"/>
              <w:rPr>
                <w:sz w:val="20"/>
                <w:szCs w:val="20"/>
                <w:color w:val="auto"/>
              </w:rPr>
            </w:pPr>
            <w:r>
              <w:rPr>
                <w:rFonts w:ascii="Arial" w:cs="Arial" w:eastAsia="Arial" w:hAnsi="Arial"/>
                <w:sz w:val="18"/>
                <w:szCs w:val="18"/>
                <w:color w:val="auto"/>
              </w:rPr>
              <w:t>0.8</w:t>
            </w:r>
          </w:p>
        </w:tc>
        <w:tc>
          <w:tcPr>
            <w:tcW w:w="138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ind w:right="273"/>
              <w:spacing w:after="0"/>
              <w:rPr>
                <w:sz w:val="20"/>
                <w:szCs w:val="20"/>
                <w:color w:val="auto"/>
              </w:rPr>
            </w:pPr>
            <w:r>
              <w:rPr>
                <w:rFonts w:ascii="Arial" w:cs="Arial" w:eastAsia="Arial" w:hAnsi="Arial"/>
                <w:sz w:val="18"/>
                <w:szCs w:val="18"/>
                <w:color w:val="auto"/>
              </w:rPr>
              <w:t>1.0</w:t>
            </w:r>
          </w:p>
        </w:tc>
        <w:tc>
          <w:tcPr>
            <w:tcW w:w="1340" w:type="dxa"/>
            <w:vAlign w:val="bottom"/>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80"/>
              <w:spacing w:after="0" w:line="230" w:lineRule="exact"/>
              <w:rPr>
                <w:sz w:val="20"/>
                <w:szCs w:val="20"/>
                <w:color w:val="auto"/>
              </w:rPr>
            </w:pPr>
            <w:r>
              <w:rPr>
                <w:rFonts w:ascii="Arial" w:cs="Arial" w:eastAsia="Arial" w:hAnsi="Arial"/>
                <w:sz w:val="18"/>
                <w:szCs w:val="18"/>
                <w:color w:val="auto"/>
              </w:rPr>
              <w:t xml:space="preserve">Other Adjustments </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3.0</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29"/>
        </w:trPr>
        <w:tc>
          <w:tcPr>
            <w:tcW w:w="4760" w:type="dxa"/>
            <w:vAlign w:val="bottom"/>
          </w:tcPr>
          <w:p>
            <w:pPr>
              <w:ind w:left="80"/>
              <w:spacing w:after="0"/>
              <w:rPr>
                <w:sz w:val="20"/>
                <w:szCs w:val="20"/>
                <w:color w:val="auto"/>
              </w:rPr>
            </w:pPr>
            <w:r>
              <w:rPr>
                <w:rFonts w:ascii="Arial" w:cs="Arial" w:eastAsia="Arial" w:hAnsi="Arial"/>
                <w:sz w:val="18"/>
                <w:szCs w:val="18"/>
                <w:color w:val="auto"/>
              </w:rPr>
              <w:t>Cargo expenses, not already adjusted above</w:t>
            </w:r>
          </w:p>
        </w:tc>
        <w:tc>
          <w:tcPr>
            <w:tcW w:w="360" w:type="dxa"/>
            <w:vAlign w:val="bottom"/>
          </w:tcPr>
          <w:p>
            <w:pPr>
              <w:spacing w:after="0"/>
              <w:rPr>
                <w:sz w:val="19"/>
                <w:szCs w:val="19"/>
                <w:color w:val="auto"/>
              </w:rPr>
            </w:pPr>
          </w:p>
        </w:tc>
        <w:tc>
          <w:tcPr>
            <w:tcW w:w="1440" w:type="dxa"/>
            <w:vAlign w:val="bottom"/>
          </w:tcPr>
          <w:p>
            <w:pPr>
              <w:jc w:val="right"/>
              <w:ind w:right="233"/>
              <w:spacing w:after="0"/>
              <w:rPr>
                <w:sz w:val="20"/>
                <w:szCs w:val="20"/>
                <w:color w:val="auto"/>
              </w:rPr>
            </w:pPr>
            <w:r>
              <w:rPr>
                <w:rFonts w:ascii="Arial" w:cs="Arial" w:eastAsia="Arial" w:hAnsi="Arial"/>
                <w:sz w:val="18"/>
                <w:szCs w:val="18"/>
                <w:color w:val="auto"/>
              </w:rPr>
              <w:t>25.8</w:t>
            </w:r>
          </w:p>
        </w:tc>
        <w:tc>
          <w:tcPr>
            <w:tcW w:w="138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ind w:right="273"/>
              <w:spacing w:after="0"/>
              <w:rPr>
                <w:sz w:val="20"/>
                <w:szCs w:val="20"/>
                <w:color w:val="auto"/>
              </w:rPr>
            </w:pPr>
            <w:r>
              <w:rPr>
                <w:rFonts w:ascii="Arial" w:cs="Arial" w:eastAsia="Arial" w:hAnsi="Arial"/>
                <w:sz w:val="18"/>
                <w:szCs w:val="18"/>
                <w:color w:val="auto"/>
              </w:rPr>
              <w:t>18.3</w:t>
            </w:r>
          </w:p>
        </w:tc>
        <w:tc>
          <w:tcPr>
            <w:tcW w:w="134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Sun Country Vacations</w:t>
            </w:r>
          </w:p>
        </w:tc>
        <w:tc>
          <w:tcPr>
            <w:tcW w:w="3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0.2</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0.2</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3"/>
        </w:trPr>
        <w:tc>
          <w:tcPr>
            <w:tcW w:w="4760" w:type="dxa"/>
            <w:vAlign w:val="bottom"/>
          </w:tcPr>
          <w:p>
            <w:pPr>
              <w:ind w:left="80"/>
              <w:spacing w:after="0"/>
              <w:rPr>
                <w:sz w:val="20"/>
                <w:szCs w:val="20"/>
                <w:color w:val="auto"/>
              </w:rPr>
            </w:pPr>
            <w:r>
              <w:rPr>
                <w:rFonts w:ascii="Arial" w:cs="Arial" w:eastAsia="Arial" w:hAnsi="Arial"/>
                <w:sz w:val="18"/>
                <w:szCs w:val="18"/>
                <w:color w:val="auto"/>
              </w:rPr>
              <w:t>Adjusted CASM</w:t>
            </w:r>
          </w:p>
        </w:tc>
        <w:tc>
          <w:tcPr>
            <w:tcW w:w="36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123.2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101.4</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80"/>
              <w:spacing w:after="0"/>
              <w:rPr>
                <w:sz w:val="20"/>
                <w:szCs w:val="20"/>
                <w:color w:val="auto"/>
              </w:rPr>
            </w:pPr>
            <w:r>
              <w:rPr>
                <w:rFonts w:ascii="Arial" w:cs="Arial" w:eastAsia="Arial" w:hAnsi="Arial"/>
                <w:sz w:val="18"/>
                <w:szCs w:val="18"/>
                <w:color w:val="auto"/>
              </w:rPr>
              <w:t>Available seat miles (ASMs) - mm</w:t>
            </w:r>
          </w:p>
        </w:tc>
        <w:tc>
          <w:tcPr>
            <w:tcW w:w="360" w:type="dxa"/>
            <w:vAlign w:val="bottom"/>
          </w:tcPr>
          <w:p>
            <w:pPr>
              <w:spacing w:after="0"/>
              <w:rPr>
                <w:sz w:val="19"/>
                <w:szCs w:val="19"/>
                <w:color w:val="auto"/>
              </w:rPr>
            </w:pPr>
          </w:p>
        </w:tc>
        <w:tc>
          <w:tcPr>
            <w:tcW w:w="1440" w:type="dxa"/>
            <w:vAlign w:val="bottom"/>
          </w:tcPr>
          <w:p>
            <w:pPr>
              <w:jc w:val="right"/>
              <w:ind w:right="233"/>
              <w:spacing w:after="0"/>
              <w:rPr>
                <w:sz w:val="20"/>
                <w:szCs w:val="20"/>
                <w:color w:val="auto"/>
              </w:rPr>
            </w:pPr>
            <w:r>
              <w:rPr>
                <w:rFonts w:ascii="Arial" w:cs="Arial" w:eastAsia="Arial" w:hAnsi="Arial"/>
                <w:sz w:val="18"/>
                <w:szCs w:val="18"/>
                <w:color w:val="auto"/>
              </w:rPr>
              <w:t>1,657.2</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ind w:right="273"/>
              <w:spacing w:after="0"/>
              <w:rPr>
                <w:sz w:val="20"/>
                <w:szCs w:val="20"/>
                <w:color w:val="auto"/>
              </w:rPr>
            </w:pPr>
            <w:r>
              <w:rPr>
                <w:rFonts w:ascii="Arial" w:cs="Arial" w:eastAsia="Arial" w:hAnsi="Arial"/>
                <w:sz w:val="18"/>
                <w:szCs w:val="18"/>
                <w:color w:val="auto"/>
              </w:rPr>
              <w:t>1,457.9</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9"/>
        </w:trPr>
        <w:tc>
          <w:tcPr>
            <w:tcW w:w="4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320" w:type="dxa"/>
            <w:vAlign w:val="bottom"/>
            <w:gridSpan w:val="4"/>
          </w:tcPr>
          <w:p>
            <w:pPr>
              <w:jc w:val="right"/>
              <w:ind w:right="913"/>
              <w:spacing w:after="0"/>
              <w:rPr>
                <w:sz w:val="20"/>
                <w:szCs w:val="20"/>
                <w:color w:val="auto"/>
              </w:rPr>
            </w:pPr>
            <w:r>
              <w:rPr>
                <w:rFonts w:ascii="Arial" w:cs="Arial" w:eastAsia="Arial" w:hAnsi="Arial"/>
                <w:sz w:val="14"/>
                <w:szCs w:val="14"/>
                <w:b w:val="1"/>
                <w:bCs w:val="1"/>
                <w:color w:val="auto"/>
              </w:rPr>
              <w:t>Year Ended December 31,</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7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r>
              <w:rPr>
                <w:rFonts w:ascii="Arial" w:cs="Arial" w:eastAsia="Arial" w:hAnsi="Arial"/>
                <w:sz w:val="18"/>
                <w:szCs w:val="18"/>
                <w:b w:val="1"/>
                <w:bCs w:val="1"/>
                <w:color w:val="auto"/>
                <w:vertAlign w:val="superscript"/>
              </w:rPr>
              <w:t>(7)</w:t>
            </w: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1800" w:type="dxa"/>
            <w:vAlign w:val="bottom"/>
            <w:gridSpan w:val="2"/>
          </w:tcPr>
          <w:p>
            <w:pPr>
              <w:jc w:val="center"/>
              <w:ind w:right="153"/>
              <w:spacing w:after="0" w:line="142" w:lineRule="exact"/>
              <w:rPr>
                <w:sz w:val="20"/>
                <w:szCs w:val="20"/>
                <w:color w:val="auto"/>
              </w:rPr>
            </w:pPr>
            <w:r>
              <w:rPr>
                <w:rFonts w:ascii="Arial" w:cs="Arial" w:eastAsia="Arial" w:hAnsi="Arial"/>
                <w:sz w:val="14"/>
                <w:szCs w:val="14"/>
                <w:b w:val="1"/>
                <w:bCs w:val="1"/>
                <w:color w:val="auto"/>
              </w:rPr>
              <w:t>Operating Expenses</w:t>
            </w: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Per ASM (cents)</w:t>
            </w:r>
          </w:p>
        </w:tc>
        <w:tc>
          <w:tcPr>
            <w:tcW w:w="1840" w:type="dxa"/>
            <w:vAlign w:val="bottom"/>
            <w:gridSpan w:val="2"/>
          </w:tcPr>
          <w:p>
            <w:pPr>
              <w:jc w:val="center"/>
              <w:ind w:right="193"/>
              <w:spacing w:after="0" w:line="142" w:lineRule="exact"/>
              <w:rPr>
                <w:sz w:val="20"/>
                <w:szCs w:val="20"/>
                <w:color w:val="auto"/>
              </w:rPr>
            </w:pPr>
            <w:r>
              <w:rPr>
                <w:rFonts w:ascii="Arial" w:cs="Arial" w:eastAsia="Arial" w:hAnsi="Arial"/>
                <w:sz w:val="14"/>
                <w:szCs w:val="14"/>
                <w:b w:val="1"/>
                <w:bCs w:val="1"/>
                <w:color w:val="auto"/>
              </w:rPr>
              <w:t>Operating Expenses</w:t>
            </w:r>
          </w:p>
        </w:tc>
        <w:tc>
          <w:tcPr>
            <w:tcW w:w="13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Per ASM (cents)</w:t>
            </w:r>
          </w:p>
        </w:tc>
        <w:tc>
          <w:tcPr>
            <w:tcW w:w="0" w:type="dxa"/>
            <w:vAlign w:val="bottom"/>
          </w:tcPr>
          <w:p>
            <w:pPr>
              <w:spacing w:after="0"/>
              <w:rPr>
                <w:sz w:val="1"/>
                <w:szCs w:val="1"/>
                <w:color w:val="auto"/>
              </w:rPr>
            </w:pPr>
          </w:p>
        </w:tc>
      </w:tr>
      <w:tr>
        <w:trPr>
          <w:trHeight w:val="189"/>
        </w:trPr>
        <w:tc>
          <w:tcPr>
            <w:tcW w:w="47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533"/>
              <w:spacing w:after="0"/>
              <w:rPr>
                <w:sz w:val="20"/>
                <w:szCs w:val="20"/>
                <w:color w:val="auto"/>
              </w:rPr>
            </w:pPr>
            <w:r>
              <w:rPr>
                <w:rFonts w:ascii="Arial" w:cs="Arial" w:eastAsia="Arial" w:hAnsi="Arial"/>
                <w:sz w:val="14"/>
                <w:szCs w:val="14"/>
                <w:b w:val="1"/>
                <w:bCs w:val="1"/>
                <w:color w:val="auto"/>
              </w:rPr>
              <w:t>- mm</w:t>
            </w:r>
          </w:p>
        </w:tc>
        <w:tc>
          <w:tcPr>
            <w:tcW w:w="1480" w:type="dxa"/>
            <w:vAlign w:val="bottom"/>
            <w:tcBorders>
              <w:bottom w:val="single" w:sz="8" w:color="auto"/>
            </w:tcBorders>
            <w:gridSpan w:val="2"/>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573"/>
              <w:spacing w:after="0"/>
              <w:rPr>
                <w:sz w:val="20"/>
                <w:szCs w:val="20"/>
                <w:color w:val="auto"/>
              </w:rPr>
            </w:pPr>
            <w:r>
              <w:rPr>
                <w:rFonts w:ascii="Arial" w:cs="Arial" w:eastAsia="Arial" w:hAnsi="Arial"/>
                <w:sz w:val="14"/>
                <w:szCs w:val="14"/>
                <w:b w:val="1"/>
                <w:bCs w:val="1"/>
                <w:color w:val="auto"/>
              </w:rPr>
              <w:t>- mm</w:t>
            </w: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CASM</w:t>
            </w: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838.7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511.1</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30"/>
        </w:trPr>
        <w:tc>
          <w:tcPr>
            <w:tcW w:w="4760" w:type="dxa"/>
            <w:vAlign w:val="bottom"/>
          </w:tcPr>
          <w:p>
            <w:pPr>
              <w:ind w:left="80"/>
              <w:spacing w:after="0"/>
              <w:rPr>
                <w:sz w:val="20"/>
                <w:szCs w:val="20"/>
                <w:color w:val="auto"/>
              </w:rPr>
            </w:pPr>
            <w:r>
              <w:rPr>
                <w:rFonts w:ascii="Arial" w:cs="Arial" w:eastAsia="Arial" w:hAnsi="Arial"/>
                <w:sz w:val="18"/>
                <w:szCs w:val="18"/>
                <w:color w:val="auto"/>
              </w:rPr>
              <w:t>Less:</w:t>
            </w: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Aircraft Fuel</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268.4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129.1</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0"/>
        </w:trPr>
        <w:tc>
          <w:tcPr>
            <w:tcW w:w="4760" w:type="dxa"/>
            <w:vAlign w:val="bottom"/>
          </w:tcPr>
          <w:p>
            <w:pPr>
              <w:ind w:left="80"/>
              <w:spacing w:after="0"/>
              <w:rPr>
                <w:sz w:val="20"/>
                <w:szCs w:val="20"/>
                <w:color w:val="auto"/>
              </w:rPr>
            </w:pPr>
            <w:r>
              <w:rPr>
                <w:rFonts w:ascii="Arial" w:cs="Arial" w:eastAsia="Arial" w:hAnsi="Arial"/>
                <w:sz w:val="18"/>
                <w:szCs w:val="18"/>
                <w:color w:val="auto"/>
              </w:rPr>
              <w:t>Stock Compensation Expense</w:t>
            </w:r>
          </w:p>
        </w:tc>
        <w:tc>
          <w:tcPr>
            <w:tcW w:w="360" w:type="dxa"/>
            <w:vAlign w:val="bottom"/>
          </w:tcPr>
          <w:p>
            <w:pPr>
              <w:spacing w:after="0"/>
              <w:rPr>
                <w:sz w:val="19"/>
                <w:szCs w:val="19"/>
                <w:color w:val="auto"/>
              </w:rPr>
            </w:pPr>
          </w:p>
        </w:tc>
        <w:tc>
          <w:tcPr>
            <w:tcW w:w="1440" w:type="dxa"/>
            <w:vAlign w:val="bottom"/>
          </w:tcPr>
          <w:p>
            <w:pPr>
              <w:jc w:val="right"/>
              <w:ind w:right="233"/>
              <w:spacing w:after="0"/>
              <w:rPr>
                <w:sz w:val="20"/>
                <w:szCs w:val="20"/>
                <w:color w:val="auto"/>
              </w:rPr>
            </w:pPr>
            <w:r>
              <w:rPr>
                <w:rFonts w:ascii="Arial" w:cs="Arial" w:eastAsia="Arial" w:hAnsi="Arial"/>
                <w:sz w:val="18"/>
                <w:szCs w:val="18"/>
                <w:color w:val="auto"/>
              </w:rPr>
              <w:t>2.8</w:t>
            </w:r>
          </w:p>
        </w:tc>
        <w:tc>
          <w:tcPr>
            <w:tcW w:w="138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ind w:right="273"/>
              <w:spacing w:after="0"/>
              <w:rPr>
                <w:sz w:val="20"/>
                <w:szCs w:val="20"/>
                <w:color w:val="auto"/>
              </w:rPr>
            </w:pPr>
            <w:r>
              <w:rPr>
                <w:rFonts w:ascii="Arial" w:cs="Arial" w:eastAsia="Arial" w:hAnsi="Arial"/>
                <w:sz w:val="18"/>
                <w:szCs w:val="18"/>
                <w:color w:val="auto"/>
              </w:rPr>
              <w:t>5.6</w:t>
            </w:r>
          </w:p>
        </w:tc>
        <w:tc>
          <w:tcPr>
            <w:tcW w:w="134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70"/>
        </w:trPr>
        <w:tc>
          <w:tcPr>
            <w:tcW w:w="4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(2)</w:t>
            </w:r>
          </w:p>
        </w:tc>
        <w:tc>
          <w:tcPr>
            <w:tcW w:w="3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(72.4)</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0"/>
        </w:trPr>
        <w:tc>
          <w:tcPr>
            <w:tcW w:w="4760" w:type="dxa"/>
            <w:vAlign w:val="bottom"/>
          </w:tcPr>
          <w:p>
            <w:pPr>
              <w:ind w:left="80"/>
              <w:spacing w:after="0"/>
              <w:rPr>
                <w:sz w:val="20"/>
                <w:szCs w:val="20"/>
                <w:color w:val="auto"/>
              </w:rPr>
            </w:pPr>
            <w:r>
              <w:rPr>
                <w:rFonts w:ascii="Arial" w:cs="Arial" w:eastAsia="Arial" w:hAnsi="Arial"/>
                <w:sz w:val="18"/>
                <w:szCs w:val="18"/>
                <w:color w:val="auto"/>
              </w:rPr>
              <w:t xml:space="preserve">Tax Receivable Agreement expense </w:t>
            </w:r>
            <w:r>
              <w:rPr>
                <w:rFonts w:ascii="Arial" w:cs="Arial" w:eastAsia="Arial" w:hAnsi="Arial"/>
                <w:sz w:val="23"/>
                <w:szCs w:val="23"/>
                <w:color w:val="auto"/>
                <w:vertAlign w:val="superscript"/>
              </w:rPr>
              <w:t>(3)</w:t>
            </w:r>
          </w:p>
        </w:tc>
        <w:tc>
          <w:tcPr>
            <w:tcW w:w="360" w:type="dxa"/>
            <w:vAlign w:val="bottom"/>
          </w:tcPr>
          <w:p>
            <w:pPr>
              <w:spacing w:after="0"/>
              <w:rPr>
                <w:sz w:val="23"/>
                <w:szCs w:val="23"/>
                <w:color w:val="auto"/>
              </w:rPr>
            </w:pPr>
          </w:p>
        </w:tc>
        <w:tc>
          <w:tcPr>
            <w:tcW w:w="144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480" w:type="dxa"/>
            <w:vAlign w:val="bottom"/>
          </w:tcPr>
          <w:p>
            <w:pPr>
              <w:jc w:val="right"/>
              <w:ind w:right="273"/>
              <w:spacing w:after="0"/>
              <w:rPr>
                <w:sz w:val="20"/>
                <w:szCs w:val="20"/>
                <w:color w:val="auto"/>
              </w:rPr>
            </w:pPr>
            <w:r>
              <w:rPr>
                <w:rFonts w:ascii="Arial" w:cs="Arial" w:eastAsia="Arial" w:hAnsi="Arial"/>
                <w:sz w:val="18"/>
                <w:szCs w:val="18"/>
                <w:color w:val="auto"/>
              </w:rPr>
              <w:t>0.3</w:t>
            </w:r>
          </w:p>
        </w:tc>
        <w:tc>
          <w:tcPr>
            <w:tcW w:w="134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80"/>
              <w:spacing w:after="0" w:line="230" w:lineRule="exact"/>
              <w:rPr>
                <w:sz w:val="20"/>
                <w:szCs w:val="20"/>
                <w:color w:val="auto"/>
              </w:rPr>
            </w:pPr>
            <w:r>
              <w:rPr>
                <w:rFonts w:ascii="Arial" w:cs="Arial" w:eastAsia="Arial" w:hAnsi="Arial"/>
                <w:sz w:val="18"/>
                <w:szCs w:val="18"/>
                <w:color w:val="auto"/>
              </w:rPr>
              <w:t xml:space="preserve">Other Adjustments </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3.0</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30"/>
        </w:trPr>
        <w:tc>
          <w:tcPr>
            <w:tcW w:w="4760" w:type="dxa"/>
            <w:vAlign w:val="bottom"/>
          </w:tcPr>
          <w:p>
            <w:pPr>
              <w:ind w:left="80"/>
              <w:spacing w:after="0"/>
              <w:rPr>
                <w:sz w:val="20"/>
                <w:szCs w:val="20"/>
                <w:color w:val="auto"/>
              </w:rPr>
            </w:pPr>
            <w:r>
              <w:rPr>
                <w:rFonts w:ascii="Arial" w:cs="Arial" w:eastAsia="Arial" w:hAnsi="Arial"/>
                <w:sz w:val="18"/>
                <w:szCs w:val="18"/>
                <w:color w:val="auto"/>
              </w:rPr>
              <w:t>Cargo expenses, not already adjusted above</w:t>
            </w:r>
          </w:p>
        </w:tc>
        <w:tc>
          <w:tcPr>
            <w:tcW w:w="360" w:type="dxa"/>
            <w:vAlign w:val="bottom"/>
          </w:tcPr>
          <w:p>
            <w:pPr>
              <w:spacing w:after="0"/>
              <w:rPr>
                <w:sz w:val="19"/>
                <w:szCs w:val="19"/>
                <w:color w:val="auto"/>
              </w:rPr>
            </w:pPr>
          </w:p>
        </w:tc>
        <w:tc>
          <w:tcPr>
            <w:tcW w:w="1440" w:type="dxa"/>
            <w:vAlign w:val="bottom"/>
          </w:tcPr>
          <w:p>
            <w:pPr>
              <w:jc w:val="right"/>
              <w:ind w:right="233"/>
              <w:spacing w:after="0"/>
              <w:rPr>
                <w:sz w:val="20"/>
                <w:szCs w:val="20"/>
                <w:color w:val="auto"/>
              </w:rPr>
            </w:pPr>
            <w:r>
              <w:rPr>
                <w:rFonts w:ascii="Arial" w:cs="Arial" w:eastAsia="Arial" w:hAnsi="Arial"/>
                <w:sz w:val="18"/>
                <w:szCs w:val="18"/>
                <w:color w:val="auto"/>
              </w:rPr>
              <w:t>89.8</w:t>
            </w:r>
          </w:p>
        </w:tc>
        <w:tc>
          <w:tcPr>
            <w:tcW w:w="138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ind w:right="273"/>
              <w:spacing w:after="0"/>
              <w:rPr>
                <w:sz w:val="20"/>
                <w:szCs w:val="20"/>
                <w:color w:val="auto"/>
              </w:rPr>
            </w:pPr>
            <w:r>
              <w:rPr>
                <w:rFonts w:ascii="Arial" w:cs="Arial" w:eastAsia="Arial" w:hAnsi="Arial"/>
                <w:sz w:val="18"/>
                <w:szCs w:val="18"/>
                <w:color w:val="auto"/>
              </w:rPr>
              <w:t>67.2</w:t>
            </w:r>
          </w:p>
        </w:tc>
        <w:tc>
          <w:tcPr>
            <w:tcW w:w="134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Sun Country Vacations</w:t>
            </w:r>
          </w:p>
        </w:tc>
        <w:tc>
          <w:tcPr>
            <w:tcW w:w="3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1.0</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0.8</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3"/>
        </w:trPr>
        <w:tc>
          <w:tcPr>
            <w:tcW w:w="4760" w:type="dxa"/>
            <w:vAlign w:val="bottom"/>
          </w:tcPr>
          <w:p>
            <w:pPr>
              <w:ind w:left="80"/>
              <w:spacing w:after="0"/>
              <w:rPr>
                <w:sz w:val="20"/>
                <w:szCs w:val="20"/>
                <w:color w:val="auto"/>
              </w:rPr>
            </w:pPr>
            <w:r>
              <w:rPr>
                <w:rFonts w:ascii="Arial" w:cs="Arial" w:eastAsia="Arial" w:hAnsi="Arial"/>
                <w:sz w:val="18"/>
                <w:szCs w:val="18"/>
                <w:color w:val="auto"/>
              </w:rPr>
              <w:t>Adjusted CASM</w:t>
            </w:r>
          </w:p>
        </w:tc>
        <w:tc>
          <w:tcPr>
            <w:tcW w:w="36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476.8</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377.5</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80"/>
              <w:spacing w:after="0"/>
              <w:rPr>
                <w:sz w:val="20"/>
                <w:szCs w:val="20"/>
                <w:color w:val="auto"/>
              </w:rPr>
            </w:pPr>
            <w:r>
              <w:rPr>
                <w:rFonts w:ascii="Arial" w:cs="Arial" w:eastAsia="Arial" w:hAnsi="Arial"/>
                <w:sz w:val="18"/>
                <w:szCs w:val="18"/>
                <w:color w:val="auto"/>
              </w:rPr>
              <w:t>Available seat miles (ASMs) - mm</w:t>
            </w:r>
          </w:p>
        </w:tc>
        <w:tc>
          <w:tcPr>
            <w:tcW w:w="360" w:type="dxa"/>
            <w:vAlign w:val="bottom"/>
          </w:tcPr>
          <w:p>
            <w:pPr>
              <w:spacing w:after="0"/>
              <w:rPr>
                <w:sz w:val="19"/>
                <w:szCs w:val="19"/>
                <w:color w:val="auto"/>
              </w:rPr>
            </w:pPr>
          </w:p>
        </w:tc>
        <w:tc>
          <w:tcPr>
            <w:tcW w:w="1440" w:type="dxa"/>
            <w:vAlign w:val="bottom"/>
          </w:tcPr>
          <w:p>
            <w:pPr>
              <w:jc w:val="right"/>
              <w:ind w:right="233"/>
              <w:spacing w:after="0"/>
              <w:rPr>
                <w:sz w:val="20"/>
                <w:szCs w:val="20"/>
                <w:color w:val="auto"/>
              </w:rPr>
            </w:pPr>
            <w:r>
              <w:rPr>
                <w:rFonts w:ascii="Arial" w:cs="Arial" w:eastAsia="Arial" w:hAnsi="Arial"/>
                <w:sz w:val="18"/>
                <w:szCs w:val="18"/>
                <w:color w:val="auto"/>
              </w:rPr>
              <w:t>6,771.3</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ind w:right="273"/>
              <w:spacing w:after="0"/>
              <w:rPr>
                <w:sz w:val="20"/>
                <w:szCs w:val="20"/>
                <w:color w:val="auto"/>
              </w:rPr>
            </w:pPr>
            <w:r>
              <w:rPr>
                <w:rFonts w:ascii="Arial" w:cs="Arial" w:eastAsia="Arial" w:hAnsi="Arial"/>
                <w:sz w:val="18"/>
                <w:szCs w:val="18"/>
                <w:color w:val="auto"/>
              </w:rPr>
              <w:t>5,826.8</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440" w:hanging="414"/>
        <w:spacing w:after="0"/>
        <w:tabs>
          <w:tab w:leader="none" w:pos="4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Other adjustments include an adjustment to record the impact on pilot vacation pay resulting from the new pilot labor contract</w:t>
      </w:r>
    </w:p>
    <w:p>
      <w:pPr>
        <w:spacing w:after="0" w:line="55" w:lineRule="exact"/>
        <w:rPr>
          <w:rFonts w:ascii="Arial" w:cs="Arial" w:eastAsia="Arial" w:hAnsi="Arial"/>
          <w:sz w:val="14"/>
          <w:szCs w:val="14"/>
          <w:color w:val="auto"/>
        </w:rPr>
      </w:pPr>
    </w:p>
    <w:p>
      <w:pPr>
        <w:ind w:left="440" w:hanging="414"/>
        <w:spacing w:after="0"/>
        <w:tabs>
          <w:tab w:leader="none" w:pos="4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See special items table above for more details</w:t>
      </w:r>
    </w:p>
    <w:p>
      <w:pPr>
        <w:spacing w:after="0" w:line="24" w:lineRule="exact"/>
        <w:rPr>
          <w:rFonts w:ascii="Arial" w:cs="Arial" w:eastAsia="Arial" w:hAnsi="Arial"/>
          <w:sz w:val="14"/>
          <w:szCs w:val="14"/>
          <w:color w:val="auto"/>
        </w:rPr>
      </w:pPr>
    </w:p>
    <w:p>
      <w:pPr>
        <w:ind w:left="440" w:hanging="414"/>
        <w:spacing w:after="0" w:line="184" w:lineRule="auto"/>
        <w:tabs>
          <w:tab w:leader="none" w:pos="440" w:val="left"/>
        </w:tabs>
        <w:numPr>
          <w:ilvl w:val="0"/>
          <w:numId w:val="11"/>
        </w:numPr>
        <w:rPr>
          <w:rFonts w:ascii="Arial" w:cs="Arial" w:eastAsia="Arial" w:hAnsi="Arial"/>
          <w:sz w:val="29"/>
          <w:szCs w:val="29"/>
          <w:color w:val="auto"/>
          <w:vertAlign w:val="superscript"/>
        </w:rPr>
      </w:pPr>
      <w:r>
        <w:rPr>
          <w:rFonts w:ascii="Arial" w:cs="Arial" w:eastAsia="Arial" w:hAnsi="Arial"/>
          <w:sz w:val="14"/>
          <w:szCs w:val="14"/>
          <w:color w:val="auto"/>
        </w:rPr>
        <w:t>This represents the one-time costs to establish the TRA liability with our pre-IPO stockholders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19</w:t>
      </w:r>
    </w:p>
    <w:sectPr>
      <w:pgSz w:w="11900" w:h="16838" w:orient="portrait"/>
      <w:cols w:equalWidth="0" w:num="1">
        <w:col w:w="11220"/>
      </w:cols>
      <w:pgMar w:left="320" w:top="138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6"/>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2023-02-02T15:25:04Z</dcterms:created>
  <dcterms:modified xsi:type="dcterms:W3CDTF">2023-02-02T15:25:04Z</dcterms:modified>
</cp:coreProperties>
</file>