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30, 2024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2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October 30, 2024, Sun Country Airlines Holdings, Inc. issued a press release announcing its financial results for the fiscal quarter ended September 30, 2024. A copy of the press release is attached hereto as Exhibit 99.1 and incorporated by reference herein.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October 30, 2024</w:t>
            </w:r>
          </w:p>
        </w:tc>
      </w:tr>
      <w:tr>
        <w:trPr>
          <w:trHeight w:val="20"/>
        </w:trPr>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788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340" w:type="dxa"/>
            <w:vAlign w:val="bottom"/>
          </w:tcPr>
          <w:p>
            <w:pPr>
              <w:spacing w:after="0"/>
              <w:rPr>
                <w:sz w:val="24"/>
                <w:szCs w:val="24"/>
                <w:color w:val="auto"/>
              </w:rPr>
            </w:pPr>
          </w:p>
        </w:tc>
        <w:tc>
          <w:tcPr>
            <w:tcW w:w="78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 Country Airlines Reports Third Quarter 2024 Results</w:t>
      </w:r>
    </w:p>
    <w:p>
      <w:pPr>
        <w:jc w:val="center"/>
        <w:spacing w:after="0" w:line="205" w:lineRule="auto"/>
        <w:rPr>
          <w:sz w:val="20"/>
          <w:szCs w:val="20"/>
          <w:color w:val="auto"/>
        </w:rPr>
      </w:pPr>
      <w:r>
        <w:rPr>
          <w:rFonts w:ascii="Arial" w:cs="Arial" w:eastAsia="Arial" w:hAnsi="Arial"/>
          <w:sz w:val="18"/>
          <w:szCs w:val="18"/>
          <w:color w:val="auto"/>
        </w:rPr>
        <w:t>Revenue of $249 million, highest third quarter on record</w:t>
      </w:r>
      <w:r>
        <w:rPr>
          <w:rFonts w:ascii="Arial" w:cs="Arial" w:eastAsia="Arial" w:hAnsi="Arial"/>
          <w:sz w:val="23"/>
          <w:szCs w:val="23"/>
          <w:color w:val="auto"/>
          <w:vertAlign w:val="superscript"/>
        </w:rPr>
        <w:t>(1)</w:t>
      </w:r>
    </w:p>
    <w:p>
      <w:pPr>
        <w:jc w:val="center"/>
        <w:spacing w:after="0"/>
        <w:rPr>
          <w:sz w:val="20"/>
          <w:szCs w:val="20"/>
          <w:color w:val="auto"/>
        </w:rPr>
      </w:pPr>
      <w:r>
        <w:rPr>
          <w:rFonts w:ascii="Arial" w:cs="Arial" w:eastAsia="Arial" w:hAnsi="Arial"/>
          <w:sz w:val="18"/>
          <w:szCs w:val="18"/>
          <w:color w:val="auto"/>
        </w:rPr>
        <w:t>GAAP diluted EPS of $0.04, operating income of $12 million and margin of 5.0%</w:t>
      </w:r>
    </w:p>
    <w:p>
      <w:pPr>
        <w:jc w:val="center"/>
        <w:spacing w:after="0"/>
        <w:rPr>
          <w:sz w:val="20"/>
          <w:szCs w:val="20"/>
          <w:color w:val="auto"/>
        </w:rPr>
      </w:pPr>
      <w:r>
        <w:rPr>
          <w:rFonts w:ascii="Arial" w:cs="Arial" w:eastAsia="Arial" w:hAnsi="Arial"/>
          <w:sz w:val="18"/>
          <w:szCs w:val="18"/>
          <w:color w:val="auto"/>
        </w:rPr>
        <w:t>Adj. diluted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$0.06, adjusted operating income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$14 million and margin of 5.6%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MINNEAPOLIS. October 30, 2024. Sun Country Airlines Holdings, Inc. (“Sun Country Airlines,” “Sun Country,” the “Company”) (</w:t>
      </w:r>
      <w:r>
        <w:rPr>
          <w:rFonts w:ascii="Arial" w:cs="Arial" w:eastAsia="Arial" w:hAnsi="Arial"/>
          <w:sz w:val="18"/>
          <w:szCs w:val="18"/>
          <w:color w:val="0563C1"/>
        </w:rPr>
        <w:t>NASDAQ: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third quarter ended September 30, 2024.</w:t>
      </w:r>
    </w:p>
    <w:p>
      <w:pPr>
        <w:spacing w:after="0" w:line="218"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0A0A0A"/>
        </w:rPr>
        <w:t xml:space="preserve">“Sun Country is pleased to report our ninth consecutive profitable quarter with GAAP EPS of </w:t>
      </w:r>
      <w:r>
        <w:rPr>
          <w:rFonts w:ascii="Arial" w:cs="Arial" w:eastAsia="Arial" w:hAnsi="Arial"/>
          <w:sz w:val="18"/>
          <w:szCs w:val="18"/>
          <w:color w:val="000000"/>
        </w:rPr>
        <w:t>$ 0.04</w:t>
      </w:r>
      <w:r>
        <w:rPr>
          <w:rFonts w:ascii="Arial" w:cs="Arial" w:eastAsia="Arial" w:hAnsi="Arial"/>
          <w:sz w:val="18"/>
          <w:szCs w:val="18"/>
          <w:color w:val="0A0A0A"/>
        </w:rPr>
        <w:t xml:space="preserve"> and adjusted EPS of </w:t>
      </w:r>
      <w:r>
        <w:rPr>
          <w:rFonts w:ascii="Arial" w:cs="Arial" w:eastAsia="Arial" w:hAnsi="Arial"/>
          <w:sz w:val="18"/>
          <w:szCs w:val="18"/>
          <w:color w:val="000000"/>
        </w:rPr>
        <w:t>$0.06</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said Jude Bricker, Chief Executive Officer of Sun Country. “Despite the impact of the Crowdstrike outage and the hurricanes during the quarter, we delivered </w:t>
      </w:r>
      <w:r>
        <w:rPr>
          <w:rFonts w:ascii="Arial" w:cs="Arial" w:eastAsia="Arial" w:hAnsi="Arial"/>
          <w:sz w:val="18"/>
          <w:szCs w:val="18"/>
          <w:color w:val="000000"/>
        </w:rPr>
        <w:t>$249</w:t>
      </w:r>
      <w:r>
        <w:rPr>
          <w:rFonts w:ascii="Arial" w:cs="Arial" w:eastAsia="Arial" w:hAnsi="Arial"/>
          <w:sz w:val="18"/>
          <w:szCs w:val="18"/>
          <w:color w:val="0A0A0A"/>
        </w:rPr>
        <w:t xml:space="preserve"> million of total revenue, the highest third quarter on record for Sun Country. Robust growth in our charter and cargo businesses helped offset lower scheduled service revenue, demonstrating the effectiveness of our diversified business model. Additionally,</w:t>
      </w:r>
    </w:p>
    <w:p>
      <w:pPr>
        <w:spacing w:after="0" w:line="1" w:lineRule="exact"/>
        <w:rPr>
          <w:sz w:val="20"/>
          <w:szCs w:val="20"/>
          <w:color w:val="auto"/>
        </w:rPr>
      </w:pPr>
    </w:p>
    <w:p>
      <w:pPr>
        <w:ind w:right="40"/>
        <w:spacing w:after="0" w:line="215" w:lineRule="auto"/>
        <w:rPr>
          <w:sz w:val="20"/>
          <w:szCs w:val="20"/>
          <w:color w:val="auto"/>
        </w:rPr>
      </w:pPr>
      <w:r>
        <w:rPr>
          <w:rFonts w:ascii="Arial" w:cs="Arial" w:eastAsia="Arial" w:hAnsi="Arial"/>
          <w:sz w:val="17"/>
          <w:szCs w:val="17"/>
          <w:color w:val="0A0A0A"/>
        </w:rPr>
        <w:t xml:space="preserve">our GAAP operating margin of </w:t>
      </w:r>
      <w:r>
        <w:rPr>
          <w:rFonts w:ascii="Arial" w:cs="Arial" w:eastAsia="Arial" w:hAnsi="Arial"/>
          <w:sz w:val="17"/>
          <w:szCs w:val="17"/>
          <w:color w:val="000000"/>
        </w:rPr>
        <w:t>5.0%</w:t>
      </w:r>
      <w:r>
        <w:rPr>
          <w:rFonts w:ascii="Arial" w:cs="Arial" w:eastAsia="Arial" w:hAnsi="Arial"/>
          <w:sz w:val="17"/>
          <w:szCs w:val="17"/>
          <w:color w:val="0A0A0A"/>
        </w:rPr>
        <w:t xml:space="preserve"> and adjusted operating margin of </w:t>
      </w:r>
      <w:r>
        <w:rPr>
          <w:rFonts w:ascii="Arial" w:cs="Arial" w:eastAsia="Arial" w:hAnsi="Arial"/>
          <w:sz w:val="17"/>
          <w:szCs w:val="17"/>
          <w:color w:val="000000"/>
        </w:rPr>
        <w:t>5.6%</w:t>
      </w:r>
      <w:r>
        <w:rPr>
          <w:rFonts w:ascii="Arial" w:cs="Arial" w:eastAsia="Arial" w:hAnsi="Arial"/>
          <w:sz w:val="22"/>
          <w:szCs w:val="22"/>
          <w:color w:val="0A0A0A"/>
          <w:vertAlign w:val="superscript"/>
        </w:rPr>
        <w:t>(2)</w:t>
      </w:r>
      <w:r>
        <w:rPr>
          <w:rFonts w:ascii="Arial" w:cs="Arial" w:eastAsia="Arial" w:hAnsi="Arial"/>
          <w:sz w:val="17"/>
          <w:szCs w:val="17"/>
          <w:color w:val="0A0A0A"/>
        </w:rPr>
        <w:t xml:space="preserve"> exceeded the top end of our guidance range. While third quarter unit revenue was lower than last year, we began to see year-over-year favorability in fares booked in September, which has persisted</w:t>
      </w:r>
    </w:p>
    <w:p>
      <w:pPr>
        <w:spacing w:after="0"/>
        <w:rPr>
          <w:sz w:val="20"/>
          <w:szCs w:val="20"/>
          <w:color w:val="auto"/>
        </w:rPr>
      </w:pPr>
      <w:r>
        <w:rPr>
          <w:rFonts w:ascii="Arial" w:cs="Arial" w:eastAsia="Arial" w:hAnsi="Arial"/>
          <w:sz w:val="18"/>
          <w:szCs w:val="18"/>
          <w:color w:val="0A0A0A"/>
        </w:rPr>
        <w:t>into the fourth quarter. As always, we want to thank our employees for their hard work and dedication during a challenging operating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Third Quarter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38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Three Months Ended September 30,</w:t>
            </w:r>
          </w:p>
        </w:tc>
        <w:tc>
          <w:tcPr>
            <w:tcW w:w="1500" w:type="dxa"/>
            <w:vAlign w:val="bottom"/>
          </w:tcPr>
          <w:p>
            <w:pPr>
              <w:spacing w:after="0"/>
              <w:rPr>
                <w:sz w:val="17"/>
                <w:szCs w:val="17"/>
                <w:color w:val="auto"/>
              </w:rPr>
            </w:pPr>
          </w:p>
        </w:tc>
      </w:tr>
      <w:tr>
        <w:trPr>
          <w:trHeight w:val="204"/>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0A0A0A"/>
              </w:rPr>
              <w:t>2024</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249.5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248.9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0.2</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12.4</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19.0</w:t>
            </w:r>
          </w:p>
        </w:tc>
        <w:tc>
          <w:tcPr>
            <w:tcW w:w="1500" w:type="dxa"/>
            <w:vAlign w:val="bottom"/>
          </w:tcPr>
          <w:p>
            <w:pPr>
              <w:jc w:val="right"/>
              <w:spacing w:after="0"/>
              <w:rPr>
                <w:sz w:val="20"/>
                <w:szCs w:val="20"/>
                <w:color w:val="auto"/>
              </w:rPr>
            </w:pPr>
            <w:r>
              <w:rPr>
                <w:rFonts w:ascii="Arial" w:cs="Arial" w:eastAsia="Arial" w:hAnsi="Arial"/>
                <w:sz w:val="18"/>
                <w:szCs w:val="18"/>
                <w:color w:val="0A0A0A"/>
              </w:rPr>
              <w:t>(34.9)</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3.0</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10.1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(70.2)</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5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A0A0A"/>
              </w:rPr>
              <w:t>2.3</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7.6</w:t>
            </w:r>
          </w:p>
        </w:tc>
        <w:tc>
          <w:tcPr>
            <w:tcW w:w="1500" w:type="dxa"/>
            <w:vAlign w:val="bottom"/>
          </w:tcPr>
          <w:p>
            <w:pPr>
              <w:jc w:val="right"/>
              <w:spacing w:after="0"/>
              <w:rPr>
                <w:sz w:val="20"/>
                <w:szCs w:val="20"/>
                <w:color w:val="auto"/>
              </w:rPr>
            </w:pPr>
            <w:r>
              <w:rPr>
                <w:rFonts w:ascii="Arial" w:cs="Arial" w:eastAsia="Arial" w:hAnsi="Arial"/>
                <w:sz w:val="18"/>
                <w:szCs w:val="18"/>
                <w:color w:val="0A0A0A"/>
              </w:rPr>
              <w:t>(69.1)</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A0A0A"/>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0.04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0.13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(69.2)</w:t>
            </w:r>
          </w:p>
        </w:tc>
      </w:tr>
      <w:tr>
        <w:trPr>
          <w:trHeight w:val="430"/>
        </w:trPr>
        <w:tc>
          <w:tcPr>
            <w:tcW w:w="4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gridSpan w:val="3"/>
          </w:tcPr>
          <w:p>
            <w:pPr>
              <w:jc w:val="right"/>
              <w:ind w:right="655"/>
              <w:spacing w:after="0"/>
              <w:rPr>
                <w:sz w:val="20"/>
                <w:szCs w:val="20"/>
                <w:color w:val="auto"/>
              </w:rPr>
            </w:pPr>
            <w:r>
              <w:rPr>
                <w:rFonts w:ascii="Arial" w:cs="Arial" w:eastAsia="Arial" w:hAnsi="Arial"/>
                <w:sz w:val="14"/>
                <w:szCs w:val="14"/>
                <w:b w:val="1"/>
                <w:bCs w:val="1"/>
                <w:color w:val="auto"/>
              </w:rPr>
              <w:t>Three Months Ended September 30,</w:t>
            </w:r>
          </w:p>
        </w:tc>
        <w:tc>
          <w:tcPr>
            <w:tcW w:w="1500" w:type="dxa"/>
            <w:vAlign w:val="bottom"/>
          </w:tcPr>
          <w:p>
            <w:pPr>
              <w:spacing w:after="0"/>
              <w:rPr>
                <w:sz w:val="24"/>
                <w:szCs w:val="24"/>
                <w:color w:val="auto"/>
              </w:rPr>
            </w:pPr>
          </w:p>
        </w:tc>
      </w:tr>
      <w:tr>
        <w:trPr>
          <w:trHeight w:val="203"/>
        </w:trPr>
        <w:tc>
          <w:tcPr>
            <w:tcW w:w="4800" w:type="dxa"/>
            <w:vAlign w:val="bottom"/>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40" w:type="dxa"/>
            <w:vAlign w:val="bottom"/>
          </w:tcPr>
          <w:p>
            <w:pPr>
              <w:spacing w:after="0"/>
              <w:rPr>
                <w:sz w:val="17"/>
                <w:szCs w:val="17"/>
                <w:color w:val="auto"/>
              </w:rPr>
            </w:pPr>
          </w:p>
        </w:tc>
        <w:tc>
          <w:tcPr>
            <w:tcW w:w="1400" w:type="dxa"/>
            <w:vAlign w:val="bottom"/>
          </w:tcPr>
          <w:p>
            <w:pPr>
              <w:jc w:val="right"/>
              <w:ind w:right="618"/>
              <w:spacing w:after="0"/>
              <w:rPr>
                <w:sz w:val="20"/>
                <w:szCs w:val="20"/>
                <w:color w:val="auto"/>
              </w:rPr>
            </w:pPr>
            <w:r>
              <w:rPr>
                <w:rFonts w:ascii="Arial" w:cs="Arial" w:eastAsia="Arial" w:hAnsi="Arial"/>
                <w:sz w:val="14"/>
                <w:szCs w:val="14"/>
                <w:b w:val="1"/>
                <w:bCs w:val="1"/>
                <w:color w:val="0A0A0A"/>
              </w:rPr>
              <w:t>2024</w:t>
            </w:r>
          </w:p>
        </w:tc>
        <w:tc>
          <w:tcPr>
            <w:tcW w:w="440" w:type="dxa"/>
            <w:vAlign w:val="bottom"/>
          </w:tcPr>
          <w:p>
            <w:pPr>
              <w:spacing w:after="0"/>
              <w:rPr>
                <w:sz w:val="17"/>
                <w:szCs w:val="17"/>
                <w:color w:val="auto"/>
              </w:rPr>
            </w:pPr>
          </w:p>
        </w:tc>
        <w:tc>
          <w:tcPr>
            <w:tcW w:w="1540" w:type="dxa"/>
            <w:vAlign w:val="bottom"/>
          </w:tcPr>
          <w:p>
            <w:pPr>
              <w:jc w:val="right"/>
              <w:ind w:right="855"/>
              <w:spacing w:after="0"/>
              <w:rPr>
                <w:sz w:val="20"/>
                <w:szCs w:val="20"/>
                <w:color w:val="auto"/>
              </w:rPr>
            </w:pPr>
            <w:r>
              <w:rPr>
                <w:rFonts w:ascii="Arial" w:cs="Arial" w:eastAsia="Arial" w:hAnsi="Arial"/>
                <w:sz w:val="14"/>
                <w:szCs w:val="14"/>
                <w:b w:val="1"/>
                <w:bCs w:val="1"/>
                <w:color w:val="0A0A0A"/>
              </w:rPr>
              <w:t>2023</w:t>
            </w:r>
          </w:p>
        </w:tc>
        <w:tc>
          <w:tcPr>
            <w:tcW w:w="1500" w:type="dxa"/>
            <w:vAlign w:val="bottom"/>
          </w:tcPr>
          <w:p>
            <w:pPr>
              <w:jc w:val="right"/>
              <w:ind w:right="415"/>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20" w:type="dxa"/>
            <w:vAlign w:val="bottom"/>
          </w:tcPr>
          <w:p>
            <w:pPr>
              <w:jc w:val="right"/>
              <w:ind w:right="130"/>
              <w:spacing w:after="0"/>
              <w:rPr>
                <w:sz w:val="20"/>
                <w:szCs w:val="20"/>
                <w:color w:val="auto"/>
              </w:rPr>
            </w:pPr>
            <w:r>
              <w:rPr>
                <w:rFonts w:ascii="Arial" w:cs="Arial" w:eastAsia="Arial" w:hAnsi="Arial"/>
                <w:sz w:val="18"/>
                <w:szCs w:val="18"/>
                <w:color w:val="0A0A0A"/>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0A0A0A"/>
              </w:rPr>
              <w:t>13.9</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20.0</w:t>
            </w:r>
          </w:p>
        </w:tc>
        <w:tc>
          <w:tcPr>
            <w:tcW w:w="1440" w:type="dxa"/>
            <w:vAlign w:val="bottom"/>
          </w:tcPr>
          <w:p>
            <w:pPr>
              <w:jc w:val="right"/>
              <w:spacing w:after="0"/>
              <w:rPr>
                <w:sz w:val="20"/>
                <w:szCs w:val="20"/>
                <w:color w:val="auto"/>
              </w:rPr>
            </w:pPr>
            <w:r>
              <w:rPr>
                <w:rFonts w:ascii="Arial" w:cs="Arial" w:eastAsia="Arial" w:hAnsi="Arial"/>
                <w:sz w:val="18"/>
                <w:szCs w:val="18"/>
                <w:color w:val="0A0A0A"/>
              </w:rPr>
              <w:t>(30.8)</w:t>
            </w:r>
          </w:p>
        </w:tc>
      </w:tr>
      <w:tr>
        <w:trPr>
          <w:trHeight w:val="270"/>
        </w:trPr>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A0A0A"/>
              </w:rPr>
              <w:t>4.5</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11.1</w:t>
            </w:r>
          </w:p>
        </w:tc>
        <w:tc>
          <w:tcPr>
            <w:tcW w:w="1440" w:type="dxa"/>
            <w:vAlign w:val="bottom"/>
          </w:tcPr>
          <w:p>
            <w:pPr>
              <w:jc w:val="right"/>
              <w:spacing w:after="0"/>
              <w:rPr>
                <w:sz w:val="20"/>
                <w:szCs w:val="20"/>
                <w:color w:val="auto"/>
              </w:rPr>
            </w:pPr>
            <w:r>
              <w:rPr>
                <w:rFonts w:ascii="Arial" w:cs="Arial" w:eastAsia="Arial" w:hAnsi="Arial"/>
                <w:sz w:val="18"/>
                <w:szCs w:val="18"/>
                <w:color w:val="0A0A0A"/>
              </w:rPr>
              <w:t>(59.5)</w:t>
            </w:r>
          </w:p>
        </w:tc>
      </w:tr>
      <w:tr>
        <w:trPr>
          <w:trHeight w:val="270"/>
        </w:trPr>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A0A0A"/>
              </w:rPr>
              <w:t>3.5</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8.4</w:t>
            </w:r>
          </w:p>
        </w:tc>
        <w:tc>
          <w:tcPr>
            <w:tcW w:w="1440" w:type="dxa"/>
            <w:vAlign w:val="bottom"/>
          </w:tcPr>
          <w:p>
            <w:pPr>
              <w:jc w:val="right"/>
              <w:spacing w:after="0"/>
              <w:rPr>
                <w:sz w:val="20"/>
                <w:szCs w:val="20"/>
                <w:color w:val="auto"/>
              </w:rPr>
            </w:pPr>
            <w:r>
              <w:rPr>
                <w:rFonts w:ascii="Arial" w:cs="Arial" w:eastAsia="Arial" w:hAnsi="Arial"/>
                <w:sz w:val="18"/>
                <w:szCs w:val="18"/>
                <w:color w:val="0A0A0A"/>
              </w:rPr>
              <w:t>(58.4)</w:t>
            </w:r>
          </w:p>
        </w:tc>
      </w:tr>
      <w:tr>
        <w:trPr>
          <w:trHeight w:val="27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0.14</w:t>
            </w:r>
          </w:p>
        </w:tc>
        <w:tc>
          <w:tcPr>
            <w:tcW w:w="1440" w:type="dxa"/>
            <w:vAlign w:val="bottom"/>
          </w:tcPr>
          <w:p>
            <w:pPr>
              <w:jc w:val="right"/>
              <w:spacing w:after="0"/>
              <w:rPr>
                <w:sz w:val="20"/>
                <w:szCs w:val="20"/>
                <w:color w:val="auto"/>
              </w:rPr>
            </w:pPr>
            <w:r>
              <w:rPr>
                <w:rFonts w:ascii="Arial" w:cs="Arial" w:eastAsia="Arial" w:hAnsi="Arial"/>
                <w:sz w:val="18"/>
                <w:szCs w:val="18"/>
                <w:color w:val="0A0A0A"/>
              </w:rPr>
              <w:t>(57.1)</w:t>
            </w:r>
          </w:p>
        </w:tc>
      </w:tr>
      <w:tr>
        <w:trPr>
          <w:trHeight w:val="453"/>
        </w:trPr>
        <w:tc>
          <w:tcPr>
            <w:tcW w:w="320" w:type="dxa"/>
            <w:vAlign w:val="bottom"/>
          </w:tcPr>
          <w:p>
            <w:pPr>
              <w:spacing w:after="0"/>
              <w:rPr>
                <w:sz w:val="24"/>
                <w:szCs w:val="24"/>
                <w:color w:val="auto"/>
              </w:rPr>
            </w:pPr>
          </w:p>
        </w:tc>
        <w:tc>
          <w:tcPr>
            <w:tcW w:w="336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Nine Months Ended September 30,</w:t>
            </w:r>
          </w:p>
        </w:tc>
        <w:tc>
          <w:tcPr>
            <w:tcW w:w="144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1380" w:type="dxa"/>
            <w:vAlign w:val="bottom"/>
          </w:tcPr>
          <w:p>
            <w:pPr>
              <w:jc w:val="right"/>
              <w:ind w:right="616"/>
              <w:spacing w:after="0"/>
              <w:rPr>
                <w:sz w:val="20"/>
                <w:szCs w:val="20"/>
                <w:color w:val="auto"/>
              </w:rPr>
            </w:pPr>
            <w:r>
              <w:rPr>
                <w:rFonts w:ascii="Arial" w:cs="Arial" w:eastAsia="Arial" w:hAnsi="Arial"/>
                <w:sz w:val="14"/>
                <w:szCs w:val="14"/>
                <w:b w:val="1"/>
                <w:bCs w:val="1"/>
                <w:color w:val="0A0A0A"/>
              </w:rPr>
              <w:t>2024</w:t>
            </w:r>
          </w:p>
        </w:tc>
        <w:tc>
          <w:tcPr>
            <w:tcW w:w="440" w:type="dxa"/>
            <w:vAlign w:val="bottom"/>
          </w:tcPr>
          <w:p>
            <w:pPr>
              <w:spacing w:after="0"/>
              <w:rPr>
                <w:sz w:val="17"/>
                <w:szCs w:val="17"/>
                <w:color w:val="auto"/>
              </w:rPr>
            </w:pPr>
          </w:p>
        </w:tc>
        <w:tc>
          <w:tcPr>
            <w:tcW w:w="1540" w:type="dxa"/>
            <w:vAlign w:val="bottom"/>
          </w:tcPr>
          <w:p>
            <w:pPr>
              <w:jc w:val="right"/>
              <w:ind w:right="854"/>
              <w:spacing w:after="0"/>
              <w:rPr>
                <w:sz w:val="20"/>
                <w:szCs w:val="20"/>
                <w:color w:val="auto"/>
              </w:rPr>
            </w:pPr>
            <w:r>
              <w:rPr>
                <w:rFonts w:ascii="Arial" w:cs="Arial" w:eastAsia="Arial" w:hAnsi="Arial"/>
                <w:sz w:val="14"/>
                <w:szCs w:val="14"/>
                <w:b w:val="1"/>
                <w:bCs w:val="1"/>
                <w:color w:val="0A0A0A"/>
              </w:rPr>
              <w:t>2023</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-735330</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7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0A0A0A"/>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815.3</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0A0A0A"/>
              </w:rPr>
              <w:t>804.1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1.4</w:t>
            </w:r>
          </w:p>
        </w:tc>
      </w:tr>
      <w:tr>
        <w:trPr>
          <w:trHeight w:val="230"/>
        </w:trPr>
        <w:tc>
          <w:tcPr>
            <w:tcW w:w="478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A0A0A"/>
              </w:rPr>
              <w:t>79.9</w:t>
            </w:r>
          </w:p>
        </w:tc>
        <w:tc>
          <w:tcPr>
            <w:tcW w:w="44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110.4</w:t>
            </w:r>
          </w:p>
        </w:tc>
        <w:tc>
          <w:tcPr>
            <w:tcW w:w="1500" w:type="dxa"/>
            <w:vAlign w:val="bottom"/>
          </w:tcPr>
          <w:p>
            <w:pPr>
              <w:jc w:val="right"/>
              <w:spacing w:after="0"/>
              <w:rPr>
                <w:sz w:val="20"/>
                <w:szCs w:val="20"/>
                <w:color w:val="auto"/>
              </w:rPr>
            </w:pPr>
            <w:r>
              <w:rPr>
                <w:rFonts w:ascii="Arial" w:cs="Arial" w:eastAsia="Arial" w:hAnsi="Arial"/>
                <w:sz w:val="18"/>
                <w:szCs w:val="18"/>
                <w:color w:val="0A0A0A"/>
              </w:rPr>
              <w:t>(27.6)</w:t>
            </w:r>
          </w:p>
        </w:tc>
      </w:tr>
      <w:tr>
        <w:trPr>
          <w:trHeight w:val="230"/>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52.6</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86.5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(39.1)</w:t>
            </w:r>
          </w:p>
        </w:tc>
      </w:tr>
      <w:tr>
        <w:trPr>
          <w:trHeight w:val="229"/>
        </w:trPr>
        <w:tc>
          <w:tcPr>
            <w:tcW w:w="478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A0A0A"/>
              </w:rPr>
              <w:t>39.5</w:t>
            </w:r>
          </w:p>
        </w:tc>
        <w:tc>
          <w:tcPr>
            <w:tcW w:w="44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66.5</w:t>
            </w:r>
          </w:p>
        </w:tc>
        <w:tc>
          <w:tcPr>
            <w:tcW w:w="1500" w:type="dxa"/>
            <w:vAlign w:val="bottom"/>
          </w:tcPr>
          <w:p>
            <w:pPr>
              <w:jc w:val="right"/>
              <w:spacing w:after="0"/>
              <w:rPr>
                <w:sz w:val="20"/>
                <w:szCs w:val="20"/>
                <w:color w:val="auto"/>
              </w:rPr>
            </w:pPr>
            <w:r>
              <w:rPr>
                <w:rFonts w:ascii="Arial" w:cs="Arial" w:eastAsia="Arial" w:hAnsi="Arial"/>
                <w:sz w:val="18"/>
                <w:szCs w:val="18"/>
                <w:color w:val="0A0A0A"/>
              </w:rPr>
              <w:t>(40.7)</w:t>
            </w:r>
          </w:p>
        </w:tc>
      </w:tr>
      <w:tr>
        <w:trPr>
          <w:trHeight w:val="230"/>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A0A0A"/>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0.72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1.12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(35.7)</w:t>
            </w:r>
          </w:p>
        </w:tc>
      </w:tr>
      <w:tr>
        <w:trPr>
          <w:trHeight w:val="430"/>
        </w:trPr>
        <w:tc>
          <w:tcPr>
            <w:tcW w:w="4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60" w:type="dxa"/>
            <w:vAlign w:val="bottom"/>
            <w:gridSpan w:val="3"/>
          </w:tcPr>
          <w:p>
            <w:pPr>
              <w:jc w:val="right"/>
              <w:ind w:right="692"/>
              <w:spacing w:after="0"/>
              <w:rPr>
                <w:sz w:val="20"/>
                <w:szCs w:val="20"/>
                <w:color w:val="auto"/>
              </w:rPr>
            </w:pPr>
            <w:r>
              <w:rPr>
                <w:rFonts w:ascii="Arial" w:cs="Arial" w:eastAsia="Arial" w:hAnsi="Arial"/>
                <w:sz w:val="14"/>
                <w:szCs w:val="14"/>
                <w:b w:val="1"/>
                <w:bCs w:val="1"/>
                <w:color w:val="auto"/>
              </w:rPr>
              <w:t>Nine Months Ended September 30,</w:t>
            </w:r>
          </w:p>
        </w:tc>
        <w:tc>
          <w:tcPr>
            <w:tcW w:w="1500" w:type="dxa"/>
            <w:vAlign w:val="bottom"/>
          </w:tcPr>
          <w:p>
            <w:pPr>
              <w:spacing w:after="0"/>
              <w:rPr>
                <w:sz w:val="24"/>
                <w:szCs w:val="24"/>
                <w:color w:val="auto"/>
              </w:rPr>
            </w:pPr>
          </w:p>
        </w:tc>
      </w:tr>
      <w:tr>
        <w:trPr>
          <w:trHeight w:val="20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5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0A0A0A"/>
              </w:rPr>
              <w:t>2024</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0A0A0A"/>
              </w:rPr>
              <w:t>% Change</w:t>
            </w:r>
          </w:p>
        </w:tc>
      </w:tr>
      <w:tr>
        <w:trPr>
          <w:trHeight w:val="264"/>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(2)</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A0A0A"/>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84.5</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118.5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(28.7)</w:t>
            </w:r>
          </w:p>
        </w:tc>
      </w:tr>
      <w:tr>
        <w:trPr>
          <w:trHeight w:val="270"/>
        </w:trPr>
        <w:tc>
          <w:tcPr>
            <w:tcW w:w="478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(2)</w:t>
            </w:r>
          </w:p>
        </w:tc>
        <w:tc>
          <w:tcPr>
            <w:tcW w:w="15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A0A0A"/>
              </w:rPr>
              <w:t>57.2</w:t>
            </w:r>
          </w:p>
        </w:tc>
        <w:tc>
          <w:tcPr>
            <w:tcW w:w="440" w:type="dxa"/>
            <w:vAlign w:val="bottom"/>
          </w:tcPr>
          <w:p>
            <w:pPr>
              <w:spacing w:after="0"/>
              <w:rPr>
                <w:sz w:val="23"/>
                <w:szCs w:val="23"/>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94.9</w:t>
            </w:r>
          </w:p>
        </w:tc>
        <w:tc>
          <w:tcPr>
            <w:tcW w:w="1500" w:type="dxa"/>
            <w:vAlign w:val="bottom"/>
          </w:tcPr>
          <w:p>
            <w:pPr>
              <w:jc w:val="right"/>
              <w:spacing w:after="0"/>
              <w:rPr>
                <w:sz w:val="20"/>
                <w:szCs w:val="20"/>
                <w:color w:val="auto"/>
              </w:rPr>
            </w:pPr>
            <w:r>
              <w:rPr>
                <w:rFonts w:ascii="Arial" w:cs="Arial" w:eastAsia="Arial" w:hAnsi="Arial"/>
                <w:sz w:val="18"/>
                <w:szCs w:val="18"/>
                <w:color w:val="0A0A0A"/>
              </w:rPr>
              <w:t>(39.7)</w:t>
            </w:r>
          </w:p>
        </w:tc>
      </w:tr>
      <w:tr>
        <w:trPr>
          <w:trHeight w:val="270"/>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(2)</w:t>
            </w:r>
          </w:p>
        </w:tc>
        <w:tc>
          <w:tcPr>
            <w:tcW w:w="15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43.0</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72.9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(41.1)</w:t>
            </w:r>
          </w:p>
        </w:tc>
      </w:tr>
      <w:tr>
        <w:trPr>
          <w:trHeight w:val="316"/>
        </w:trPr>
        <w:tc>
          <w:tcPr>
            <w:tcW w:w="478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(2)</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0.78</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1.23</w:t>
            </w:r>
          </w:p>
        </w:tc>
        <w:tc>
          <w:tcPr>
            <w:tcW w:w="1500" w:type="dxa"/>
            <w:vAlign w:val="bottom"/>
          </w:tcPr>
          <w:p>
            <w:pPr>
              <w:jc w:val="right"/>
              <w:spacing w:after="0"/>
              <w:rPr>
                <w:sz w:val="20"/>
                <w:szCs w:val="20"/>
                <w:color w:val="auto"/>
              </w:rPr>
            </w:pPr>
            <w:r>
              <w:rPr>
                <w:rFonts w:ascii="Arial" w:cs="Arial" w:eastAsia="Arial" w:hAnsi="Arial"/>
                <w:sz w:val="18"/>
                <w:szCs w:val="18"/>
                <w:color w:val="0A0A0A"/>
              </w:rPr>
              <w:t>(36.6)</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Amounts presented in the tables above may not recalculate due to rounding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ind w:right="220"/>
        <w:spacing w:after="0" w:line="232" w:lineRule="auto"/>
        <w:rPr>
          <w:sz w:val="20"/>
          <w:szCs w:val="20"/>
          <w:color w:val="auto"/>
        </w:rPr>
      </w:pPr>
      <w:r>
        <w:rPr>
          <w:rFonts w:ascii="Arial" w:cs="Arial" w:eastAsia="Arial" w:hAnsi="Arial"/>
          <w:sz w:val="18"/>
          <w:szCs w:val="18"/>
          <w:color w:val="0A0A0A"/>
        </w:rPr>
        <w:t>For the quarter ended September 30, 2024, Sun Country reported net income of approximately $2 million and income before income tax of $3 million, on $249 million of revenue. Adjusted income before income tax</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for the quarter was approximately $4 million. GAAP operating income during the quarter was $12 million, while adjusted operating income</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was $14 million, and GAAP operating margin was 5.0% and adjusted operating margin</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was 5.6%</w:t>
      </w:r>
      <w:r>
        <w:rPr>
          <w:rFonts w:ascii="Arial" w:cs="Arial" w:eastAsia="Arial" w:hAnsi="Arial"/>
          <w:sz w:val="23"/>
          <w:szCs w:val="23"/>
          <w:color w:val="0A0A0A"/>
          <w:vertAlign w:val="subscript"/>
        </w:rPr>
        <w:t>.</w:t>
      </w:r>
    </w:p>
    <w:p>
      <w:pPr>
        <w:spacing w:after="0" w:line="12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0A0A0A"/>
        </w:rPr>
        <w:t xml:space="preserve">“Our third quarter results reflect the continued earnings power of our diversified business model,” said Dave Davis, President and Chief Financial Officer. “Cargo revenue per block hour grew by 16.0% year-over-year while third quarter charter revenue easily exceeded charter block hour growth. This strength partially offset the weaker third quarter scheduled service demand environment that we experienced. We expect strength in these businesses to persist, while we also see improving trends in scheduled service unit revenue in the fourth quarter and into 2025. We continue to exhibit solid cost control as our GAAP operating expense grew </w:t>
      </w:r>
      <w:r>
        <w:rPr>
          <w:rFonts w:ascii="Arial" w:cs="Arial" w:eastAsia="Arial" w:hAnsi="Arial"/>
          <w:sz w:val="18"/>
          <w:szCs w:val="18"/>
          <w:color w:val="000000"/>
        </w:rPr>
        <w:t>3.1% while total block hours grew 3.8% in the third</w:t>
      </w:r>
      <w:r>
        <w:rPr>
          <w:rFonts w:ascii="Arial" w:cs="Arial" w:eastAsia="Arial" w:hAnsi="Arial"/>
          <w:sz w:val="18"/>
          <w:szCs w:val="18"/>
          <w:color w:val="0A0A0A"/>
        </w:rPr>
        <w:t xml:space="preserve"> </w:t>
      </w:r>
      <w:r>
        <w:rPr>
          <w:rFonts w:ascii="Arial" w:cs="Arial" w:eastAsia="Arial" w:hAnsi="Arial"/>
          <w:sz w:val="18"/>
          <w:szCs w:val="18"/>
          <w:color w:val="000000"/>
        </w:rPr>
        <w:t>quarter</w:t>
      </w:r>
      <w:r>
        <w:rPr>
          <w:rFonts w:ascii="Arial" w:cs="Arial" w:eastAsia="Arial" w:hAnsi="Arial"/>
          <w:sz w:val="18"/>
          <w:szCs w:val="18"/>
          <w:color w:val="0A0A0A"/>
        </w:rPr>
        <w:t>. Adjusted CASM</w:t>
      </w:r>
      <w:r>
        <w:rPr>
          <w:rFonts w:ascii="Arial" w:cs="Arial" w:eastAsia="Arial" w:hAnsi="Arial"/>
          <w:sz w:val="23"/>
          <w:szCs w:val="23"/>
          <w:color w:val="0A0A0A"/>
          <w:vertAlign w:val="superscript"/>
        </w:rPr>
        <w:t>(3)</w:t>
      </w:r>
      <w:r>
        <w:rPr>
          <w:rFonts w:ascii="Arial" w:cs="Arial" w:eastAsia="Arial" w:hAnsi="Arial"/>
          <w:sz w:val="18"/>
          <w:szCs w:val="18"/>
          <w:color w:val="000000"/>
        </w:rPr>
        <w:t xml:space="preserve"> </w:t>
      </w:r>
      <w:r>
        <w:rPr>
          <w:rFonts w:ascii="Arial" w:cs="Arial" w:eastAsia="Arial" w:hAnsi="Arial"/>
          <w:sz w:val="18"/>
          <w:szCs w:val="18"/>
          <w:color w:val="0A0A0A"/>
        </w:rPr>
        <w:t>grew by</w:t>
      </w:r>
      <w:r>
        <w:rPr>
          <w:rFonts w:ascii="Arial" w:cs="Arial" w:eastAsia="Arial" w:hAnsi="Arial"/>
          <w:sz w:val="18"/>
          <w:szCs w:val="18"/>
          <w:color w:val="000000"/>
        </w:rPr>
        <w:t xml:space="preserve"> 3.7% </w:t>
      </w:r>
      <w:r>
        <w:rPr>
          <w:rFonts w:ascii="Arial" w:cs="Arial" w:eastAsia="Arial" w:hAnsi="Arial"/>
          <w:sz w:val="18"/>
          <w:szCs w:val="18"/>
          <w:color w:val="0A0A0A"/>
        </w:rPr>
        <w:t>year-over-year, largely driven by near-in reductions in scheduled service capacity. We have right-sized our scheduled service capacity to match current demand and we expect fourth quarter scheduled service ASMs to grow by slightly over 3% versus last year. We are preparing to take on additional cargo aircraft in 2025, and still expect the first aircraft to enter service in late March or early April 2025, allowing us to take full advantage of seasonally strong first quarter passenger demand.”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19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Ninth consecutive profitable quarter and highest third quarter total revenue on record</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60" w:right="240" w:hanging="328"/>
        <w:spacing w:after="0" w:line="23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Further extended the existing lease on one 737-800 aircraft Sun Country has on lease to an unaffiliated airline. This aircraft is now expected to redeliver to Sun Country in November 2025.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Supported Major League Soccer by flying all 18 Liga MX teams home for 2024 Leagues Cup.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0A0A0A"/>
        </w:rPr>
        <w:t xml:space="preserve">System block hours flown during the third quarter of 2024 grew by 3.8% year-over-year. All of this growth was allocated to the passenger segment, resulting in a </w:t>
      </w:r>
      <w:r>
        <w:rPr>
          <w:rFonts w:ascii="Arial" w:cs="Arial" w:eastAsia="Arial" w:hAnsi="Arial"/>
          <w:sz w:val="18"/>
          <w:szCs w:val="18"/>
          <w:color w:val="000000"/>
        </w:rPr>
        <w:t>5.8%</w:t>
      </w:r>
      <w:r>
        <w:rPr>
          <w:rFonts w:ascii="Arial" w:cs="Arial" w:eastAsia="Arial" w:hAnsi="Arial"/>
          <w:sz w:val="18"/>
          <w:szCs w:val="18"/>
          <w:color w:val="0A0A0A"/>
        </w:rPr>
        <w:t xml:space="preserve"> increase in scheduled service ASMs and </w:t>
      </w:r>
      <w:r>
        <w:rPr>
          <w:rFonts w:ascii="Arial" w:cs="Arial" w:eastAsia="Arial" w:hAnsi="Arial"/>
          <w:sz w:val="18"/>
          <w:szCs w:val="18"/>
          <w:color w:val="000000"/>
        </w:rPr>
        <w:t>1.7% increase in charter block hours</w:t>
      </w:r>
      <w:r>
        <w:rPr>
          <w:rFonts w:ascii="Arial" w:cs="Arial" w:eastAsia="Arial" w:hAnsi="Arial"/>
          <w:sz w:val="18"/>
          <w:szCs w:val="18"/>
          <w:color w:val="0A0A0A"/>
        </w:rPr>
        <w:t>. Scheduled service ASMs are expected to grow in the fourth quarter 2024 by slightly more than 3% over fourth quarter 2023. Cargo block hours declined in the third quarter by 3.6% year-over-year due to scheduled heavy maintenance events and the impact of the hurricanes on cargo operations in the Southeast.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5" w:lineRule="exact"/>
        <w:rPr>
          <w:sz w:val="20"/>
          <w:szCs w:val="20"/>
          <w:color w:val="auto"/>
        </w:rPr>
      </w:pPr>
    </w:p>
    <w:p>
      <w:pPr>
        <w:ind w:right="340"/>
        <w:spacing w:after="0"/>
        <w:rPr>
          <w:sz w:val="20"/>
          <w:szCs w:val="20"/>
          <w:color w:val="auto"/>
        </w:rPr>
      </w:pPr>
      <w:r>
        <w:rPr>
          <w:rFonts w:ascii="Arial" w:cs="Arial" w:eastAsia="Arial" w:hAnsi="Arial"/>
          <w:sz w:val="17"/>
          <w:szCs w:val="17"/>
          <w:color w:val="0A0A0A"/>
        </w:rPr>
        <w:t xml:space="preserve">The domestic market continued to be impacted by overcapacity in the third quarter which pressured unit revenue. The Company reported total revenue of $249 million for the third quarter, which was 0.2% greater than the third quarter of 2023. </w:t>
      </w:r>
      <w:r>
        <w:rPr>
          <w:rFonts w:ascii="Arial" w:cs="Arial" w:eastAsia="Arial" w:hAnsi="Arial"/>
          <w:sz w:val="17"/>
          <w:szCs w:val="17"/>
          <w:color w:val="000000"/>
        </w:rPr>
        <w:t>Scheduled service TRASM</w:t>
      </w:r>
      <w:r>
        <w:rPr>
          <w:rFonts w:ascii="Arial" w:cs="Arial" w:eastAsia="Arial" w:hAnsi="Arial"/>
          <w:sz w:val="22"/>
          <w:szCs w:val="22"/>
          <w:color w:val="000000"/>
          <w:vertAlign w:val="superscript"/>
        </w:rPr>
        <w:t>(4)</w:t>
      </w:r>
      <w:r>
        <w:rPr>
          <w:rFonts w:ascii="Arial" w:cs="Arial" w:eastAsia="Arial" w:hAnsi="Arial"/>
          <w:sz w:val="17"/>
          <w:szCs w:val="17"/>
          <w:color w:val="0A0A0A"/>
        </w:rPr>
        <w:t xml:space="preserve"> </w:t>
      </w:r>
      <w:r>
        <w:rPr>
          <w:rFonts w:ascii="Arial" w:cs="Arial" w:eastAsia="Arial" w:hAnsi="Arial"/>
          <w:sz w:val="17"/>
          <w:szCs w:val="17"/>
          <w:color w:val="000000"/>
        </w:rPr>
        <w:t>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10.42 cents decreased 11.1% year-over-year, while scheduled service ASMs increased 5.8%. The third quarter 2024 total fare per scheduled passenger of $ 141 was lower than </w:t>
      </w:r>
      <w:r>
        <w:rPr>
          <w:rFonts w:ascii="Arial" w:cs="Arial" w:eastAsia="Arial" w:hAnsi="Arial"/>
          <w:sz w:val="18"/>
          <w:szCs w:val="18"/>
          <w:color w:val="0A0A0A"/>
        </w:rPr>
        <w:t>third</w:t>
      </w:r>
      <w:r>
        <w:rPr>
          <w:rFonts w:ascii="Arial" w:cs="Arial" w:eastAsia="Arial" w:hAnsi="Arial"/>
          <w:sz w:val="18"/>
          <w:szCs w:val="18"/>
          <w:color w:val="auto"/>
        </w:rPr>
        <w:t xml:space="preserve"> quarter 2023 by 7.8% as scheduled service passengers grew 2.0%. The Company’s </w:t>
      </w:r>
      <w:r>
        <w:rPr>
          <w:rFonts w:ascii="Arial" w:cs="Arial" w:eastAsia="Arial" w:hAnsi="Arial"/>
          <w:sz w:val="18"/>
          <w:szCs w:val="18"/>
          <w:color w:val="0A0A0A"/>
        </w:rPr>
        <w:t>third</w:t>
      </w:r>
      <w:r>
        <w:rPr>
          <w:rFonts w:ascii="Arial" w:cs="Arial" w:eastAsia="Arial" w:hAnsi="Arial"/>
          <w:sz w:val="18"/>
          <w:szCs w:val="18"/>
          <w:color w:val="auto"/>
        </w:rPr>
        <w:t xml:space="preserve"> quarter charter service revenue was $51 million, an increase of 7.0% year-over-year despite charter block hour growth of only 1.7% and the impact of lower fuel cost reimbursements from our customers.</w:t>
      </w:r>
    </w:p>
    <w:p>
      <w:pPr>
        <w:spacing w:after="0" w:line="18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the third quarter of 2024, cargo revenue was $29 million, an 11.9% increase versus the third quarter of 2023 on a 3.6% decline in cargo block hours. This improvement was primarily driven by the annual rate escalation which went into effect in mid-December 2023 and the beginning of the new Amazon contract rates which went into effect in June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5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Third </w:t>
      </w:r>
      <w:r>
        <w:rPr>
          <w:rFonts w:ascii="Arial" w:cs="Arial" w:eastAsia="Arial" w:hAnsi="Arial"/>
          <w:sz w:val="18"/>
          <w:szCs w:val="18"/>
          <w:color w:val="0A0A0A"/>
        </w:rPr>
        <w:t>quarter CASM fell</w:t>
      </w:r>
      <w:r>
        <w:rPr>
          <w:rFonts w:ascii="Arial" w:cs="Arial" w:eastAsia="Arial" w:hAnsi="Arial"/>
          <w:sz w:val="18"/>
          <w:szCs w:val="18"/>
          <w:color w:val="auto"/>
        </w:rPr>
        <w:t xml:space="preserve"> 1.9% </w:t>
      </w:r>
      <w:r>
        <w:rPr>
          <w:rFonts w:ascii="Arial" w:cs="Arial" w:eastAsia="Arial" w:hAnsi="Arial"/>
          <w:sz w:val="18"/>
          <w:szCs w:val="18"/>
          <w:color w:val="0A0A0A"/>
        </w:rPr>
        <w:t>while adjusted CASM</w:t>
      </w:r>
      <w:r>
        <w:rPr>
          <w:rFonts w:ascii="Arial" w:cs="Arial" w:eastAsia="Arial" w:hAnsi="Arial"/>
          <w:sz w:val="23"/>
          <w:szCs w:val="23"/>
          <w:color w:val="0A0A0A"/>
          <w:vertAlign w:val="superscript"/>
        </w:rPr>
        <w:t>(3)</w:t>
      </w:r>
      <w:r>
        <w:rPr>
          <w:rFonts w:ascii="Arial" w:cs="Arial" w:eastAsia="Arial" w:hAnsi="Arial"/>
          <w:sz w:val="18"/>
          <w:szCs w:val="18"/>
          <w:color w:val="auto"/>
        </w:rPr>
        <w:t xml:space="preserve"> </w:t>
      </w:r>
      <w:r>
        <w:rPr>
          <w:rFonts w:ascii="Arial" w:cs="Arial" w:eastAsia="Arial" w:hAnsi="Arial"/>
          <w:sz w:val="18"/>
          <w:szCs w:val="18"/>
          <w:color w:val="0A0A0A"/>
        </w:rPr>
        <w:t>was up</w:t>
      </w:r>
      <w:r>
        <w:rPr>
          <w:rFonts w:ascii="Arial" w:cs="Arial" w:eastAsia="Arial" w:hAnsi="Arial"/>
          <w:sz w:val="18"/>
          <w:szCs w:val="18"/>
          <w:color w:val="auto"/>
        </w:rPr>
        <w:t xml:space="preserve"> 3.7% year-over-year. T</w:t>
      </w:r>
      <w:r>
        <w:rPr>
          <w:rFonts w:ascii="Arial" w:cs="Arial" w:eastAsia="Arial" w:hAnsi="Arial"/>
          <w:sz w:val="18"/>
          <w:szCs w:val="18"/>
          <w:color w:val="0A0A0A"/>
        </w:rPr>
        <w:t xml:space="preserve">otal GAAP operating expenses increased 3.1% year-over-year, primarily due to a </w:t>
      </w:r>
      <w:r>
        <w:rPr>
          <w:rFonts w:ascii="Arial" w:cs="Arial" w:eastAsia="Arial" w:hAnsi="Arial"/>
          <w:sz w:val="18"/>
          <w:szCs w:val="18"/>
          <w:color w:val="000000"/>
        </w:rPr>
        <w:t>3.8%</w:t>
      </w:r>
      <w:r>
        <w:rPr>
          <w:rFonts w:ascii="Arial" w:cs="Arial" w:eastAsia="Arial" w:hAnsi="Arial"/>
          <w:sz w:val="18"/>
          <w:szCs w:val="18"/>
          <w:color w:val="0A0A0A"/>
        </w:rPr>
        <w:t xml:space="preserve"> increase in total block hours. The top non-fuel expenses that grew faster than the level of flying included ground handling costs, which increased 23.3%, driven by a 5% increase in Passenger segment departures and rate increases at our outsourced ground stations. Landing fees and airport rent increased 14.5% due to the expiration of COVID assistance that airports had used to limit rate increases.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17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6620" w:type="dxa"/>
            <w:vAlign w:val="bottom"/>
          </w:tcPr>
          <w:p>
            <w:pPr>
              <w:spacing w:after="0"/>
              <w:rPr>
                <w:sz w:val="20"/>
                <w:szCs w:val="20"/>
                <w:color w:val="auto"/>
              </w:rPr>
            </w:pPr>
            <w:r>
              <w:rPr>
                <w:rFonts w:ascii="Arial" w:cs="Arial" w:eastAsia="Arial" w:hAnsi="Arial"/>
                <w:sz w:val="18"/>
                <w:szCs w:val="18"/>
                <w:b w:val="1"/>
                <w:bCs w:val="1"/>
                <w:color w:val="0A0A0A"/>
              </w:rPr>
              <w:t>Balance Sheet and Liquidity</w:t>
            </w: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507"/>
        </w:trPr>
        <w:tc>
          <w:tcPr>
            <w:tcW w:w="7620" w:type="dxa"/>
            <w:vAlign w:val="bottom"/>
            <w:gridSpan w:val="2"/>
          </w:tcPr>
          <w:p>
            <w:pPr>
              <w:spacing w:after="0"/>
              <w:rPr>
                <w:sz w:val="20"/>
                <w:szCs w:val="20"/>
                <w:color w:val="auto"/>
              </w:rPr>
            </w:pPr>
            <w:r>
              <w:rPr>
                <w:rFonts w:ascii="Arial" w:cs="Arial" w:eastAsia="Arial" w:hAnsi="Arial"/>
                <w:sz w:val="18"/>
                <w:szCs w:val="18"/>
                <w:color w:val="0A0A0A"/>
                <w:w w:val="98"/>
              </w:rPr>
              <w:t>Total liquidity</w:t>
            </w:r>
            <w:r>
              <w:rPr>
                <w:rFonts w:ascii="Arial" w:cs="Arial" w:eastAsia="Arial" w:hAnsi="Arial"/>
                <w:sz w:val="23"/>
                <w:szCs w:val="23"/>
                <w:color w:val="0A0A0A"/>
                <w:w w:val="98"/>
                <w:vertAlign w:val="superscript"/>
              </w:rPr>
              <w:t>(5)</w:t>
            </w:r>
            <w:r>
              <w:rPr>
                <w:rFonts w:ascii="Arial" w:cs="Arial" w:eastAsia="Arial" w:hAnsi="Arial"/>
                <w:sz w:val="18"/>
                <w:szCs w:val="18"/>
                <w:color w:val="0A0A0A"/>
                <w:w w:val="98"/>
              </w:rPr>
              <w:t xml:space="preserve"> was $165 million on September 30, 2024, while the Company’s net debt</w:t>
            </w:r>
            <w:r>
              <w:rPr>
                <w:rFonts w:ascii="Arial" w:cs="Arial" w:eastAsia="Arial" w:hAnsi="Arial"/>
                <w:sz w:val="23"/>
                <w:szCs w:val="23"/>
                <w:color w:val="0A0A0A"/>
                <w:w w:val="98"/>
                <w:vertAlign w:val="superscript"/>
              </w:rPr>
              <w:t>(6)</w:t>
            </w:r>
            <w:r>
              <w:rPr>
                <w:rFonts w:ascii="Arial" w:cs="Arial" w:eastAsia="Arial" w:hAnsi="Arial"/>
                <w:sz w:val="18"/>
                <w:szCs w:val="18"/>
                <w:color w:val="0A0A0A"/>
                <w:w w:val="98"/>
              </w:rPr>
              <w:t xml:space="preserve"> was $</w:t>
            </w:r>
          </w:p>
        </w:tc>
        <w:tc>
          <w:tcPr>
            <w:tcW w:w="1340" w:type="dxa"/>
            <w:vAlign w:val="bottom"/>
            <w:gridSpan w:val="2"/>
          </w:tcPr>
          <w:p>
            <w:pPr>
              <w:spacing w:after="0"/>
              <w:rPr>
                <w:sz w:val="20"/>
                <w:szCs w:val="20"/>
                <w:color w:val="auto"/>
              </w:rPr>
            </w:pPr>
            <w:r>
              <w:rPr>
                <w:rFonts w:ascii="Arial" w:cs="Arial" w:eastAsia="Arial" w:hAnsi="Arial"/>
                <w:sz w:val="18"/>
                <w:szCs w:val="18"/>
                <w:color w:val="0A0A0A"/>
              </w:rPr>
              <w:t>532 million.</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06"/>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2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0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10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2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September 30, 2024</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0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3"/>
        </w:trPr>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0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1"/>
        </w:trPr>
        <w:tc>
          <w:tcPr>
            <w:tcW w:w="662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10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r>
      <w:tr>
        <w:trPr>
          <w:trHeight w:val="23"/>
        </w:trPr>
        <w:tc>
          <w:tcPr>
            <w:tcW w:w="6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0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September 30, 2024, the Company had 44 aircraft in its passenger service fleet, operated 12 freighter aircraft in its cargo operation and had seven aircraft that are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Fourth Quarter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Q4 2024</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Q4 2023</w:t>
            </w:r>
          </w:p>
        </w:tc>
      </w:tr>
      <w:tr>
        <w:trPr>
          <w:trHeight w:val="224"/>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$250 to $260</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 to 6%</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$2.47</w:t>
            </w:r>
          </w:p>
        </w:tc>
        <w:tc>
          <w:tcPr>
            <w:tcW w:w="2340" w:type="dxa"/>
            <w:vAlign w:val="bottom"/>
          </w:tcPr>
          <w:p>
            <w:pPr>
              <w:jc w:val="center"/>
              <w:spacing w:after="0"/>
              <w:rPr>
                <w:sz w:val="20"/>
                <w:szCs w:val="20"/>
                <w:color w:val="auto"/>
              </w:rPr>
            </w:pPr>
            <w:r>
              <w:rPr>
                <w:rFonts w:ascii="Arial" w:cs="Arial" w:eastAsia="Arial" w:hAnsi="Arial"/>
                <w:sz w:val="18"/>
                <w:szCs w:val="18"/>
                <w:color w:val="0A0A0A"/>
                <w:w w:val="99"/>
              </w:rPr>
              <w:t>(20)%</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7% to 9%</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0pp to 2pp</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30"/>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rPr>
              <w:t>36.5 to 37.5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 to 5%</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0A0A0A"/>
        </w:rPr>
        <w:t xml:space="preserve">Sun Country Airlines will host a conference call to discuss its third quarter 2024 results at 8:30 a.m. Eastern Time on Thursday, October 31, 2024.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rPr>
        <w:t>hour after the call.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w:t>
      </w:r>
      <w:r>
        <w:rPr>
          <w:rFonts w:ascii="Arial" w:cs="Arial" w:eastAsia="Arial" w:hAnsi="Arial"/>
          <w:sz w:val="18"/>
          <w:szCs w:val="18"/>
          <w:u w:val="single" w:color="auto"/>
          <w:color w:val="026DCE"/>
        </w:rPr>
        <w:t>https://www.stories.suncountry.com/multimedia</w:t>
      </w:r>
      <w:r>
        <w:rPr>
          <w:rFonts w:ascii="Arial" w:cs="Arial" w:eastAsia="Arial" w:hAnsi="Arial"/>
          <w:sz w:val="18"/>
          <w:szCs w:val="18"/>
          <w:color w:val="000000"/>
          <w:highlight w:val="white"/>
        </w:rPr>
        <w:t>.</w:t>
      </w:r>
    </w:p>
    <w:p>
      <w:pPr>
        <w:sectPr>
          <w:pgSz w:w="11900" w:h="16838" w:orient="portrait"/>
          <w:cols w:equalWidth="0" w:num="1">
            <w:col w:w="11220"/>
          </w:cols>
          <w:pgMar w:left="320" w:top="12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20"/>
          </w:cols>
          <w:pgMar w:left="320" w:top="1282"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0A0A0A"/>
        </w:rPr>
        <w:t>End Notes</w:t>
      </w:r>
    </w:p>
    <w:p>
      <w:pPr>
        <w:spacing w:after="0" w:line="5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1 -</w:t>
        <w:tab/>
        <w:t>Records begin in January 2017</w:t>
      </w:r>
    </w:p>
    <w:p>
      <w:pPr>
        <w:spacing w:after="0" w:line="50" w:lineRule="exact"/>
        <w:rPr>
          <w:sz w:val="20"/>
          <w:szCs w:val="20"/>
          <w:color w:val="auto"/>
        </w:rPr>
      </w:pPr>
    </w:p>
    <w:p>
      <w:pPr>
        <w:jc w:val="both"/>
        <w:ind w:left="480" w:hanging="458"/>
        <w:spacing w:after="0" w:line="266" w:lineRule="auto"/>
        <w:tabs>
          <w:tab w:leader="none" w:pos="460" w:val="left"/>
        </w:tabs>
        <w:rPr>
          <w:sz w:val="20"/>
          <w:szCs w:val="20"/>
          <w:color w:val="auto"/>
        </w:rPr>
      </w:pPr>
      <w:r>
        <w:rPr>
          <w:rFonts w:ascii="Arial" w:cs="Arial" w:eastAsia="Arial" w:hAnsi="Arial"/>
          <w:sz w:val="18"/>
          <w:szCs w:val="18"/>
          <w:color w:val="auto"/>
        </w:rPr>
        <w:t>2 -</w:t>
      </w:r>
      <w:r>
        <w:rPr>
          <w:rFonts w:ascii="Arial" w:cs="Arial" w:eastAsia="Arial" w:hAnsi="Arial"/>
          <w:sz w:val="18"/>
          <w:szCs w:val="18"/>
          <w:color w:val="0A0A0A"/>
        </w:rPr>
        <w:tab/>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jc w:val="both"/>
        <w:ind w:left="480" w:hanging="458"/>
        <w:spacing w:after="0" w:line="247" w:lineRule="auto"/>
        <w:tabs>
          <w:tab w:leader="none" w:pos="460" w:val="left"/>
        </w:tabs>
        <w:rPr>
          <w:sz w:val="20"/>
          <w:szCs w:val="20"/>
          <w:color w:val="auto"/>
        </w:rPr>
      </w:pPr>
      <w:r>
        <w:rPr>
          <w:rFonts w:ascii="Arial" w:cs="Arial" w:eastAsia="Arial" w:hAnsi="Arial"/>
          <w:sz w:val="18"/>
          <w:szCs w:val="18"/>
          <w:color w:val="auto"/>
        </w:rPr>
        <w:t>3 -</w:t>
        <w:tab/>
        <w:t>Adjusted CASM is a non-GAAP measure derived from CASM by excluding fuel costs, non-cash management stock compensation expense, costs arising from its cargo operations, depreciation and amortization recognized on certain assets that generate lease income, certain commissions, and other costs of selling its vacations product from this measure. See table titled “Reconciliation of CASM to Adjusted CASM”</w:t>
      </w:r>
    </w:p>
    <w:p>
      <w:pPr>
        <w:sectPr>
          <w:pgSz w:w="11900" w:h="16838" w:orient="portrait"/>
          <w:cols w:equalWidth="0" w:num="1">
            <w:col w:w="11120"/>
          </w:cols>
          <w:pgMar w:left="320" w:top="1066" w:right="45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Arial" w:cs="Arial" w:eastAsia="Arial" w:hAnsi="Arial"/>
          <w:sz w:val="18"/>
          <w:szCs w:val="18"/>
          <w:color w:val="auto"/>
        </w:rPr>
        <w:t>Scheduled Service TRASM includes Schedule Service revenue, Ancillary revenue, and ASM generating revenue classified within Other Revenue on the Condensed Consolidated Statement of Operations / Scheduled Service ASMs. Other Revenue includes rental revenue associated with certain assets that generate lease income of approximately $10.1 million and $5.9 million in the three months ended September 30, 2024 and 2023, respectively, and $29.2 million and $11.7 million in the nine months ended September 30, 2024 and 2023, respectively, which is not included.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200" w:lineRule="exact"/>
        <w:rPr>
          <w:sz w:val="20"/>
          <w:szCs w:val="20"/>
          <w:color w:val="auto"/>
        </w:rPr>
      </w:pPr>
    </w:p>
    <w:p>
      <w:pPr>
        <w:sectPr>
          <w:pgSz w:w="11900" w:h="16838" w:orient="portrait"/>
          <w:cols w:equalWidth="0" w:num="2">
            <w:col w:w="240" w:space="240"/>
            <w:col w:w="10640"/>
          </w:cols>
          <w:pgMar w:left="320" w:top="1066" w:right="4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120"/>
          </w:cols>
          <w:pgMar w:left="320" w:top="1066"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066"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gridSpan w:val="5"/>
          </w:tcPr>
          <w:p>
            <w:pPr>
              <w:ind w:left="300"/>
              <w:spacing w:after="0"/>
              <w:rPr>
                <w:sz w:val="20"/>
                <w:szCs w:val="20"/>
                <w:color w:val="auto"/>
              </w:rPr>
            </w:pPr>
            <w:r>
              <w:rPr>
                <w:rFonts w:ascii="Arial" w:cs="Arial" w:eastAsia="Arial" w:hAnsi="Arial"/>
                <w:sz w:val="14"/>
                <w:szCs w:val="14"/>
                <w:b w:val="1"/>
                <w:bCs w:val="1"/>
                <w:color w:val="0A0A0A"/>
              </w:rPr>
              <w:t>Three Months Ended September 30,</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83,784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96,483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(13.2)</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47,437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7.0</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70,435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3.9</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214,355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A0A0A"/>
              </w:rPr>
              <w:t>29,165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26,059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11.9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12,541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8,462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48.2</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248,876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0.2</w:t>
            </w:r>
          </w:p>
        </w:tc>
      </w:tr>
      <w:tr>
        <w:trPr>
          <w:trHeight w:val="250"/>
        </w:trPr>
        <w:tc>
          <w:tcPr>
            <w:tcW w:w="5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61,179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(10.5)</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80,919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72,541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15,330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7,569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22,762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4.4</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9,382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13,958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27,127</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237,088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229,870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3.1</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19,006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(34.9)</w:t>
            </w:r>
          </w:p>
        </w:tc>
      </w:tr>
      <w:tr>
        <w:trPr>
          <w:trHeight w:val="196"/>
        </w:trPr>
        <w:tc>
          <w:tcPr>
            <w:tcW w:w="5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2,480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(11,403)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(8,938)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3"/>
        </w:trPr>
        <w:tc>
          <w:tcPr>
            <w:tcW w:w="53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2,477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0.14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0.13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52,876,339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55,435,386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54,780,672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58,595,646</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0A0A0A"/>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20"/>
          </w:cols>
          <w:pgMar w:left="320" w:top="1336"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40" w:type="dxa"/>
            <w:vAlign w:val="bottom"/>
            <w:gridSpan w:val="5"/>
          </w:tcPr>
          <w:p>
            <w:pPr>
              <w:ind w:left="320"/>
              <w:spacing w:after="0"/>
              <w:rPr>
                <w:sz w:val="20"/>
                <w:szCs w:val="20"/>
                <w:color w:val="auto"/>
              </w:rPr>
            </w:pPr>
            <w:r>
              <w:rPr>
                <w:rFonts w:ascii="Arial" w:cs="Arial" w:eastAsia="Arial" w:hAnsi="Arial"/>
                <w:sz w:val="14"/>
                <w:szCs w:val="14"/>
                <w:b w:val="1"/>
                <w:bCs w:val="1"/>
                <w:color w:val="0A0A0A"/>
              </w:rPr>
              <w:t>Nine Months Ended September 30,</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313,056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360,607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(13.2)</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143,250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4.1</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205,633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15.1</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709,490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(1.5)</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78,560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74,437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5.5</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37,951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20,150</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88.3</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804,077</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1.4</w:t>
            </w:r>
          </w:p>
        </w:tc>
      </w:tr>
      <w:tr>
        <w:trPr>
          <w:trHeight w:val="250"/>
        </w:trPr>
        <w:tc>
          <w:tcPr>
            <w:tcW w:w="5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185,829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0.8</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242,516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223,890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2,281</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44,311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26,005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71,194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64,577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10.2</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28,299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44,431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36,847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81,663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693,702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6.0</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110,375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(27.6)</w:t>
            </w:r>
          </w:p>
        </w:tc>
      </w:tr>
      <w:tr>
        <w:trPr>
          <w:trHeight w:val="196"/>
        </w:trPr>
        <w:tc>
          <w:tcPr>
            <w:tcW w:w="5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7,766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(31,272)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(370)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(23,876)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3"/>
        </w:trPr>
        <w:tc>
          <w:tcPr>
            <w:tcW w:w="5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86,499</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19,963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66,536</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1.19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52,866,797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56,051,173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54,990,437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59,281,819</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0A0A0A"/>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32"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KEY OPERATING STATISTICS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key operating statistics and metrics for the three and nine months ended September 30,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6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0A0A0A"/>
              </w:rPr>
              <w:t>Three Months Ended September 30,</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4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7"/>
                <w:szCs w:val="17"/>
                <w:color w:val="auto"/>
              </w:rPr>
            </w:pPr>
          </w:p>
        </w:tc>
      </w:tr>
      <w:tr>
        <w:trPr>
          <w:trHeight w:val="224"/>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1,288,460</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1,252,583</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1,530,058</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1,446,462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84.2%</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86.6%</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28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1,112,455</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1,090,172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7,259</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6,878</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21,416</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19,935</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10.42</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11.72</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75.31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88.50</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65.81</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64.61</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141.13</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153.11</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16,565</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15,536</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2,809</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2,688</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5,366</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5,274</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328,142</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322,722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3,525</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3,513</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3,519</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3,432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8,957</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9,287</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43.6</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42.0</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Leased aircraft – end of period</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1,884,889</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1,791,485</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13,730</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13,128</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36,191</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34,874</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6.6</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1,001</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1,005</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9"/>
                <w:szCs w:val="19"/>
                <w:color w:val="auto"/>
              </w:rPr>
            </w:pPr>
          </w:p>
        </w:tc>
      </w:tr>
      <w:tr>
        <w:trPr>
          <w:trHeight w:val="247"/>
        </w:trPr>
        <w:tc>
          <w:tcPr>
            <w:tcW w:w="454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10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11.15</w:t>
            </w:r>
          </w:p>
        </w:tc>
        <w:tc>
          <w:tcPr>
            <w:tcW w:w="560" w:type="dxa"/>
            <w:vAlign w:val="bottom"/>
          </w:tcPr>
          <w:p>
            <w:pPr>
              <w:spacing w:after="0"/>
              <w:rPr>
                <w:sz w:val="21"/>
                <w:szCs w:val="21"/>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12.11</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1"/>
                <w:szCs w:val="21"/>
                <w:color w:val="auto"/>
              </w:rPr>
            </w:pPr>
          </w:p>
        </w:tc>
      </w:tr>
      <w:tr>
        <w:trPr>
          <w:trHeight w:val="23"/>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12.83</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8.04</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7.75</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20,344</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19,262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3.19</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2,965</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2,692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9"/>
                <w:szCs w:val="19"/>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1 – See note 3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 – See note 4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3- Percentage point difference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020"/>
          </w:cols>
          <w:pgMar w:left="320" w:top="1322" w:right="559" w:bottom="1440" w:gutter="0" w:footer="0" w:header="0"/>
        </w:sectPr>
      </w:pPr>
    </w:p>
    <w:bookmarkStart w:id="11" w:name="page12"/>
    <w:bookmarkEnd w:id="11"/>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80" w:type="dxa"/>
            <w:vAlign w:val="bottom"/>
            <w:gridSpan w:val="3"/>
          </w:tcPr>
          <w:p>
            <w:pPr>
              <w:jc w:val="right"/>
              <w:ind w:right="911"/>
              <w:spacing w:after="0"/>
              <w:rPr>
                <w:sz w:val="20"/>
                <w:szCs w:val="20"/>
                <w:color w:val="auto"/>
              </w:rPr>
            </w:pPr>
            <w:r>
              <w:rPr>
                <w:rFonts w:ascii="Arial" w:cs="Arial" w:eastAsia="Arial" w:hAnsi="Arial"/>
                <w:sz w:val="14"/>
                <w:szCs w:val="14"/>
                <w:b w:val="1"/>
                <w:bCs w:val="1"/>
                <w:color w:val="0A0A0A"/>
              </w:rPr>
              <w:t>Nine Months Ended September 30,</w:t>
            </w: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2023</w:t>
            </w:r>
          </w:p>
        </w:tc>
        <w:tc>
          <w:tcPr>
            <w:tcW w:w="16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CCEEFF"/>
            </w:tcBorders>
          </w:tcPr>
          <w:p>
            <w:pPr>
              <w:spacing w:after="0"/>
              <w:rPr>
                <w:sz w:val="17"/>
                <w:szCs w:val="17"/>
                <w:color w:val="auto"/>
              </w:rPr>
            </w:pPr>
          </w:p>
        </w:tc>
      </w:tr>
      <w:tr>
        <w:trPr>
          <w:trHeight w:val="224"/>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4,335,623</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3,900,975</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5,098,876</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4,489,968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85.0%</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86.9%</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3,437,005</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3,093,536</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22,109</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19,456</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70,312</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61,438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10.95</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12.80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91.08</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116.57</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68.86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66.47</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159.95</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183.04</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54,634</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48,046</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9"/>
                <w:szCs w:val="19"/>
                <w:color w:val="auto"/>
              </w:rPr>
            </w:pPr>
          </w:p>
        </w:tc>
      </w:tr>
      <w:tr>
        <w:trPr>
          <w:trHeight w:val="270"/>
        </w:trPr>
        <w:tc>
          <w:tcPr>
            <w:tcW w:w="4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7,638</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7,816</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15,355</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15,994</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937,057</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961,953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10,558</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11,063</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r>
      <w:tr>
        <w:trPr>
          <w:trHeight w:val="270"/>
        </w:trPr>
        <w:tc>
          <w:tcPr>
            <w:tcW w:w="4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9,726</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9,643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25,008</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25,633</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r>
      <w:tr>
        <w:trPr>
          <w:trHeight w:val="270"/>
        </w:trPr>
        <w:tc>
          <w:tcPr>
            <w:tcW w:w="4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42.6</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41.8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Leased aircraft – end of period</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5</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6,108,695</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5,516,826</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39,879</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37,295</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111,908</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104,188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6.9</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1,100</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1,088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9"/>
                <w:szCs w:val="19"/>
                <w:color w:val="auto"/>
              </w:rPr>
            </w:pPr>
          </w:p>
        </w:tc>
      </w:tr>
      <w:tr>
        <w:trPr>
          <w:trHeight w:val="247"/>
        </w:trPr>
        <w:tc>
          <w:tcPr>
            <w:tcW w:w="452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0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11.58</w:t>
            </w:r>
          </w:p>
        </w:tc>
        <w:tc>
          <w:tcPr>
            <w:tcW w:w="540" w:type="dxa"/>
            <w:vAlign w:val="bottom"/>
          </w:tcPr>
          <w:p>
            <w:pPr>
              <w:spacing w:after="0"/>
              <w:rPr>
                <w:sz w:val="21"/>
                <w:szCs w:val="21"/>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13.01</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1"/>
                <w:szCs w:val="21"/>
                <w:color w:val="auto"/>
              </w:rPr>
            </w:pPr>
          </w:p>
        </w:tc>
      </w:tr>
      <w:tr>
        <w:trPr>
          <w:trHeight w:val="23"/>
        </w:trPr>
        <w:tc>
          <w:tcPr>
            <w:tcW w:w="4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12.57</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06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7.51</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7.56</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65,884</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59,734</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3.12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0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2,965</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2,692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9"/>
                <w:szCs w:val="19"/>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1 – See note 3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 – See note 4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3- Percentage point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40"/>
          </w:cols>
          <w:pgMar w:left="320" w:top="1440"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2023</w:t>
            </w: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969.0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1,609.9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1,623.6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5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 net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418.6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 net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1,057.3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1,109.2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5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7"/>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552.5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514.4</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20"/>
          </w:cols>
          <w:pgMar w:left="320" w:top="112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SUMMARY CASH FLOW</w:t>
      </w: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23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46"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Nine Months Ended September 30,</w:t>
      </w:r>
    </w:p>
    <w:p>
      <w:pPr>
        <w:spacing w:after="0" w:line="42" w:lineRule="exact"/>
        <w:rPr>
          <w:sz w:val="20"/>
          <w:szCs w:val="20"/>
          <w:color w:val="auto"/>
        </w:rPr>
      </w:pPr>
    </w:p>
    <w:p>
      <w:pPr>
        <w:jc w:val="both"/>
        <w:ind w:left="6160"/>
        <w:spacing w:after="0"/>
        <w:tabs>
          <w:tab w:leader="none" w:pos="8140" w:val="left"/>
          <w:tab w:leader="none" w:pos="99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00" w:type="dxa"/>
            <w:vAlign w:val="bottom"/>
          </w:tcPr>
          <w:p>
            <w:pPr>
              <w:ind w:left="80"/>
              <w:spacing w:after="0"/>
              <w:rPr>
                <w:sz w:val="20"/>
                <w:szCs w:val="20"/>
                <w:color w:val="auto"/>
              </w:rPr>
            </w:pPr>
            <w:r>
              <w:rPr>
                <w:rFonts w:ascii="Arial" w:cs="Arial" w:eastAsia="Arial" w:hAnsi="Arial"/>
                <w:sz w:val="18"/>
                <w:szCs w:val="18"/>
                <w:b w:val="1"/>
                <w:bCs w:val="1"/>
                <w:color w:val="0A0A0A"/>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2"/>
        </w:trPr>
        <w:tc>
          <w:tcPr>
            <w:tcW w:w="5300" w:type="dxa"/>
            <w:vAlign w:val="bottom"/>
          </w:tcPr>
          <w:p>
            <w:pPr>
              <w:ind w:left="80"/>
              <w:spacing w:after="0"/>
              <w:rPr>
                <w:sz w:val="20"/>
                <w:szCs w:val="20"/>
                <w:color w:val="auto"/>
              </w:rPr>
            </w:pPr>
            <w:r>
              <w:rPr>
                <w:rFonts w:ascii="Arial" w:cs="Arial" w:eastAsia="Arial" w:hAnsi="Arial"/>
                <w:sz w:val="18"/>
                <w:szCs w:val="18"/>
                <w:color w:val="0A0A0A"/>
              </w:rPr>
              <w:t>Purchases of Property &amp; Equipment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Other, net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tcPr>
          <w:p>
            <w:pPr>
              <w:ind w:left="20"/>
              <w:spacing w:after="0"/>
              <w:rPr>
                <w:sz w:val="20"/>
                <w:szCs w:val="20"/>
                <w:color w:val="auto"/>
              </w:rPr>
            </w:pPr>
            <w:r>
              <w:rPr>
                <w:rFonts w:ascii="Arial" w:cs="Arial" w:eastAsia="Arial" w:hAnsi="Arial"/>
                <w:sz w:val="18"/>
                <w:szCs w:val="18"/>
                <w:b w:val="1"/>
                <w:bCs w:val="1"/>
                <w:color w:val="0A0A0A"/>
              </w:rPr>
              <w:t>Net Cash Provided by (Used in) Investing Activities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300" w:type="dxa"/>
            <w:vAlign w:val="bottom"/>
          </w:tcPr>
          <w:p>
            <w:pPr>
              <w:ind w:left="80"/>
              <w:spacing w:after="0"/>
              <w:rPr>
                <w:sz w:val="20"/>
                <w:szCs w:val="20"/>
                <w:color w:val="auto"/>
              </w:rPr>
            </w:pPr>
            <w:r>
              <w:rPr>
                <w:rFonts w:ascii="Arial" w:cs="Arial" w:eastAsia="Arial" w:hAnsi="Arial"/>
                <w:sz w:val="18"/>
                <w:szCs w:val="18"/>
                <w:color w:val="0A0A0A"/>
              </w:rPr>
              <w:t>Common Stock Repurchases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Proceeds from Borrowing</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Finance Lease Obligations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Borrowings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Other, net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tcPr>
          <w:p>
            <w:pPr>
              <w:ind w:left="20"/>
              <w:spacing w:after="0"/>
              <w:rPr>
                <w:sz w:val="20"/>
                <w:szCs w:val="20"/>
                <w:color w:val="auto"/>
              </w:rPr>
            </w:pPr>
            <w:r>
              <w:rPr>
                <w:rFonts w:ascii="Arial" w:cs="Arial" w:eastAsia="Arial" w:hAnsi="Arial"/>
                <w:sz w:val="18"/>
                <w:szCs w:val="18"/>
                <w:b w:val="1"/>
                <w:bCs w:val="1"/>
                <w:color w:val="0A0A0A"/>
              </w:rPr>
              <w:t>Net Cash Provided by (Used in) Financing Activities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5300" w:type="dxa"/>
            <w:vAlign w:val="bottom"/>
          </w:tcPr>
          <w:p>
            <w:pPr>
              <w:ind w:left="100"/>
              <w:spacing w:after="0"/>
              <w:rPr>
                <w:sz w:val="20"/>
                <w:szCs w:val="20"/>
                <w:color w:val="auto"/>
              </w:rPr>
            </w:pPr>
            <w:r>
              <w:rPr>
                <w:rFonts w:ascii="Arial" w:cs="Arial" w:eastAsia="Arial" w:hAnsi="Arial"/>
                <w:sz w:val="18"/>
                <w:szCs w:val="18"/>
                <w:color w:val="0A0A0A"/>
              </w:rPr>
              <w:t>Net Increase (Decrease) in Cash, Cash Equivalents and</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180"/>
              <w:spacing w:after="0"/>
              <w:rPr>
                <w:sz w:val="20"/>
                <w:szCs w:val="20"/>
                <w:color w:val="auto"/>
              </w:rPr>
            </w:pPr>
            <w:r>
              <w:rPr>
                <w:rFonts w:ascii="Arial" w:cs="Arial" w:eastAsia="Arial" w:hAnsi="Arial"/>
                <w:sz w:val="18"/>
                <w:szCs w:val="18"/>
                <w:color w:val="0A0A0A"/>
              </w:rPr>
              <w:t>Restricted Cash</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100"/>
              <w:spacing w:after="0" w:line="181" w:lineRule="exact"/>
              <w:rPr>
                <w:sz w:val="20"/>
                <w:szCs w:val="20"/>
                <w:color w:val="auto"/>
              </w:rPr>
            </w:pPr>
            <w:r>
              <w:rPr>
                <w:rFonts w:ascii="Arial" w:cs="Arial" w:eastAsia="Arial" w:hAnsi="Arial"/>
                <w:sz w:val="18"/>
                <w:szCs w:val="18"/>
                <w:color w:val="0A0A0A"/>
              </w:rPr>
              <w:t>Cash, Cash Equivalents and Restricted Cash – Beginning of the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180"/>
              <w:spacing w:after="0"/>
              <w:rPr>
                <w:sz w:val="20"/>
                <w:szCs w:val="20"/>
                <w:color w:val="auto"/>
              </w:rPr>
            </w:pPr>
            <w:r>
              <w:rPr>
                <w:rFonts w:ascii="Arial" w:cs="Arial" w:eastAsia="Arial" w:hAnsi="Arial"/>
                <w:sz w:val="18"/>
                <w:szCs w:val="18"/>
                <w:color w:val="0A0A0A"/>
              </w:rPr>
              <w:t>Period</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100"/>
              <w:spacing w:after="0" w:line="181" w:lineRule="exact"/>
              <w:rPr>
                <w:sz w:val="20"/>
                <w:szCs w:val="20"/>
                <w:color w:val="auto"/>
              </w:rPr>
            </w:pPr>
            <w:r>
              <w:rPr>
                <w:rFonts w:ascii="Arial" w:cs="Arial" w:eastAsia="Arial" w:hAnsi="Arial"/>
                <w:sz w:val="18"/>
                <w:szCs w:val="18"/>
                <w:color w:val="0A0A0A"/>
              </w:rPr>
              <w:t>Cash, Cash Equivalents and Restricted Cash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5300" w:type="dxa"/>
            <w:vAlign w:val="bottom"/>
            <w:vMerge w:val="restart"/>
          </w:tcPr>
          <w:p>
            <w:pPr>
              <w:ind w:left="180"/>
              <w:spacing w:after="0"/>
              <w:rPr>
                <w:sz w:val="20"/>
                <w:szCs w:val="20"/>
                <w:color w:val="auto"/>
              </w:rPr>
            </w:pPr>
            <w:r>
              <w:rPr>
                <w:rFonts w:ascii="Arial" w:cs="Arial" w:eastAsia="Arial" w:hAnsi="Arial"/>
                <w:sz w:val="18"/>
                <w:szCs w:val="18"/>
                <w:color w:val="0A0A0A"/>
              </w:rPr>
              <w:t>End of the Period</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3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1"/>
        </w:trPr>
        <w:tc>
          <w:tcPr>
            <w:tcW w:w="5300" w:type="dxa"/>
            <w:vAlign w:val="bottom"/>
          </w:tcPr>
          <w:p>
            <w:pPr>
              <w:spacing w:after="0"/>
              <w:rPr>
                <w:sz w:val="20"/>
                <w:szCs w:val="20"/>
                <w:color w:val="auto"/>
              </w:rPr>
            </w:pPr>
            <w:r>
              <w:rPr>
                <w:rFonts w:ascii="Arial" w:cs="Arial" w:eastAsia="Arial" w:hAnsi="Arial"/>
                <w:sz w:val="14"/>
                <w:szCs w:val="14"/>
                <w:color w:val="0A0A0A"/>
              </w:rPr>
              <w:t>NM - not meaningful</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-2694305</wp:posOffset>
            </wp:positionV>
            <wp:extent cx="71234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-2077720</wp:posOffset>
            </wp:positionV>
            <wp:extent cx="71234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-1785620</wp:posOffset>
            </wp:positionV>
            <wp:extent cx="712343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-1494155</wp:posOffset>
            </wp:positionV>
            <wp:extent cx="712343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12343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-1194435</wp:posOffset>
            </wp:positionV>
            <wp:extent cx="71234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-2402840</wp:posOffset>
            </wp:positionV>
            <wp:extent cx="71234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74.3</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47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(42.6)</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(210.6)</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23"/>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r>
      <w:tr>
        <w:trPr>
          <w:trHeight w:val="47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(11.5)</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(26.2)</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(60.8)</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23"/>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(91.5)</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483"/>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105.8</w:t>
            </w:r>
          </w:p>
        </w:tc>
      </w:tr>
      <w:tr>
        <w:trPr>
          <w:trHeight w:val="513"/>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63.7</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90"/>
        </w:trPr>
        <w:tc>
          <w:tcPr>
            <w:tcW w:w="6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r>
      <w:tr>
        <w:trPr>
          <w:trHeight w:val="29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67.4</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77"/>
        </w:trPr>
        <w:tc>
          <w:tcPr>
            <w:tcW w:w="6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r>
      <w:tr>
        <w:trPr>
          <w:trHeight w:val="20"/>
        </w:trPr>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-33655</wp:posOffset>
            </wp:positionV>
            <wp:extent cx="1200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-7620</wp:posOffset>
            </wp:positionV>
            <wp:extent cx="1200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-281940</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-1139190</wp:posOffset>
            </wp:positionV>
            <wp:extent cx="1200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-2039620</wp:posOffset>
            </wp:positionV>
            <wp:extent cx="1200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-2656840</wp:posOffset>
            </wp:positionV>
            <wp:extent cx="1200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6020" w:space="720"/>
            <w:col w:w="4480"/>
          </w:cols>
          <w:pgMar w:left="320" w:top="1376" w:right="35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11</w:t>
      </w:r>
    </w:p>
    <w:p>
      <w:pPr>
        <w:sectPr>
          <w:pgSz w:w="11900" w:h="16838" w:orient="portrait"/>
          <w:cols w:equalWidth="0" w:num="1">
            <w:col w:w="11220"/>
          </w:cols>
          <w:pgMar w:left="320" w:top="1376"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Net Income per Share, Adjusted EBITDA and Adjusted EBITDA Margin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357" w:lineRule="exact"/>
        <w:rPr>
          <w:sz w:val="20"/>
          <w:szCs w:val="20"/>
          <w:color w:val="auto"/>
        </w:rPr>
      </w:pPr>
    </w:p>
    <w:p>
      <w:pPr>
        <w:ind w:left="20" w:right="452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0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r>
      <w:tr>
        <w:trPr>
          <w:trHeight w:val="224"/>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815.3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804.1</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110.4</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118.5</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1282" w:right="339" w:bottom="1440" w:gutter="0" w:footer="0" w:header="0"/>
        </w:sectPr>
      </w:pPr>
    </w:p>
    <w:bookmarkStart w:id="15" w:name="page16"/>
    <w:bookmarkEnd w:id="15"/>
    <w:p>
      <w:pPr>
        <w:ind w:left="20" w:right="3480"/>
        <w:spacing w:after="0" w:line="343"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350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0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204"/>
        </w:trPr>
        <w:tc>
          <w:tcPr>
            <w:tcW w:w="4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66.5</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20.0</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86.5</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70"/>
        </w:trPr>
        <w:tc>
          <w:tcPr>
            <w:tcW w:w="4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8.1</w:t>
            </w: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0.6</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94.9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r>
    </w:tbl>
    <w:p>
      <w:pPr>
        <w:spacing w:after="0" w:line="91" w:lineRule="exact"/>
        <w:rPr>
          <w:sz w:val="20"/>
          <w:szCs w:val="20"/>
          <w:color w:val="auto"/>
        </w:rPr>
      </w:pPr>
    </w:p>
    <w:p>
      <w:pPr>
        <w:ind w:left="440" w:hanging="414"/>
        <w:spacing w:after="0"/>
        <w:tabs>
          <w:tab w:leader="none" w:pos="440" w:val="left"/>
        </w:tabs>
        <w:numPr>
          <w:ilvl w:val="0"/>
          <w:numId w:val="5"/>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38" w:lineRule="exact"/>
        <w:rPr>
          <w:rFonts w:ascii="Arial" w:cs="Arial" w:eastAsia="Arial" w:hAnsi="Arial"/>
          <w:sz w:val="29"/>
          <w:szCs w:val="29"/>
          <w:color w:val="auto"/>
          <w:vertAlign w:val="superscript"/>
        </w:rPr>
      </w:pPr>
    </w:p>
    <w:p>
      <w:pPr>
        <w:ind w:left="5360"/>
        <w:spacing w:after="0"/>
        <w:rPr>
          <w:rFonts w:ascii="Arial" w:cs="Arial" w:eastAsia="Arial" w:hAnsi="Arial"/>
          <w:sz w:val="29"/>
          <w:szCs w:val="29"/>
          <w:color w:val="auto"/>
          <w:vertAlign w:val="superscript"/>
        </w:rPr>
      </w:pPr>
      <w:r>
        <w:rPr>
          <w:rFonts w:ascii="Arial" w:cs="Arial" w:eastAsia="Arial" w:hAnsi="Arial"/>
          <w:sz w:val="14"/>
          <w:szCs w:val="14"/>
          <w:color w:val="auto"/>
        </w:rPr>
        <w:t>Page 13</w:t>
      </w:r>
    </w:p>
    <w:p>
      <w:pPr>
        <w:sectPr>
          <w:pgSz w:w="11900" w:h="16838" w:orient="portrait"/>
          <w:cols w:equalWidth="0" w:num="1">
            <w:col w:w="11220"/>
          </w:cols>
          <w:pgMar w:left="320" w:top="1417" w:right="359" w:bottom="1440" w:gutter="0" w:footer="0" w:header="0"/>
        </w:sectPr>
      </w:pPr>
    </w:p>
    <w:bookmarkStart w:id="16" w:name="page17"/>
    <w:bookmarkEnd w:id="16"/>
    <w:p>
      <w:pPr>
        <w:spacing w:after="0" w:line="200" w:lineRule="exact"/>
        <w:rPr>
          <w:sz w:val="20"/>
          <w:szCs w:val="20"/>
          <w:color w:val="auto"/>
        </w:rPr>
      </w:pPr>
    </w:p>
    <w:p>
      <w:pPr>
        <w:spacing w:after="0" w:line="263" w:lineRule="exact"/>
        <w:rPr>
          <w:sz w:val="20"/>
          <w:szCs w:val="20"/>
          <w:color w:val="auto"/>
        </w:rPr>
      </w:pPr>
    </w:p>
    <w:p>
      <w:pPr>
        <w:ind w:left="20" w:right="1140"/>
        <w:spacing w:after="0" w:line="378" w:lineRule="auto"/>
        <w:rPr>
          <w:sz w:val="20"/>
          <w:szCs w:val="20"/>
          <w:color w:val="auto"/>
        </w:rPr>
      </w:pPr>
      <w:r>
        <w:rPr>
          <w:rFonts w:ascii="Arial" w:cs="Arial" w:eastAsia="Arial" w:hAnsi="Arial"/>
          <w:sz w:val="17"/>
          <w:szCs w:val="17"/>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93"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Per Share - diluted</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835"/>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left="835"/>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center"/>
              <w:ind w:left="815"/>
              <w:spacing w:after="0"/>
              <w:rPr>
                <w:sz w:val="20"/>
                <w:szCs w:val="20"/>
                <w:color w:val="auto"/>
              </w:rPr>
            </w:pPr>
            <w:r>
              <w:rPr>
                <w:rFonts w:ascii="Arial" w:cs="Arial" w:eastAsia="Arial" w:hAnsi="Arial"/>
                <w:sz w:val="18"/>
                <w:szCs w:val="18"/>
                <w:color w:val="auto"/>
                <w:w w:val="97"/>
              </w:rPr>
              <w:t>(0.01)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A0A0A"/>
              </w:rPr>
              <w:t>54.8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A0A0A"/>
              </w:rPr>
              <w:t>58.6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5"/>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Dollars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Per Share - diluted</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Dollars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gridSpan w:val="2"/>
            <w:shd w:val="clear" w:color="auto" w:fill="CCEEFF"/>
          </w:tcPr>
          <w:p>
            <w:pPr>
              <w:jc w:val="center"/>
              <w:ind w:left="855"/>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A0A0A"/>
              </w:rPr>
              <w:t>55.0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A0A0A"/>
              </w:rPr>
              <w:t>59.3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43" w:lineRule="exact"/>
        <w:rPr>
          <w:sz w:val="20"/>
          <w:szCs w:val="20"/>
          <w:color w:val="auto"/>
        </w:rPr>
      </w:pPr>
    </w:p>
    <w:p>
      <w:pPr>
        <w:ind w:left="440" w:hanging="414"/>
        <w:spacing w:after="0"/>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The tax effect of adjusting items, net is calculated at the Company’s statutory rate for the application period</w:t>
      </w:r>
    </w:p>
    <w:p>
      <w:pPr>
        <w:spacing w:after="0" w:line="93"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This represents the adjustment to the TRA for the period, which is recorded in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20"/>
          </w:cols>
          <w:pgMar w:left="320" w:top="1440" w:right="359" w:bottom="1440" w:gutter="0" w:footer="0" w:header="0"/>
        </w:sectPr>
      </w:pPr>
    </w:p>
    <w:bookmarkStart w:id="17" w:name="page18"/>
    <w:bookmarkEnd w:id="17"/>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to adjusted EBITDA for the periods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350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30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r>
      <w:tr>
        <w:trPr>
          <w:trHeight w:val="224"/>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66.5</w:t>
            </w:r>
          </w:p>
        </w:tc>
      </w:tr>
      <w:tr>
        <w:trPr>
          <w:trHeight w:val="229"/>
        </w:trPr>
        <w:tc>
          <w:tcPr>
            <w:tcW w:w="432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(7.8)</w:t>
            </w:r>
          </w:p>
        </w:tc>
      </w:tr>
      <w:tr>
        <w:trPr>
          <w:trHeight w:val="230"/>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31.3</w:t>
            </w:r>
          </w:p>
        </w:tc>
      </w:tr>
      <w:tr>
        <w:trPr>
          <w:trHeight w:val="229"/>
        </w:trPr>
        <w:tc>
          <w:tcPr>
            <w:tcW w:w="432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102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8.1</w:t>
            </w:r>
          </w:p>
        </w:tc>
      </w:tr>
      <w:tr>
        <w:trPr>
          <w:trHeight w:val="270"/>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30"/>
        </w:trPr>
        <w:tc>
          <w:tcPr>
            <w:tcW w:w="4320" w:type="dxa"/>
            <w:vAlign w:val="bottom"/>
          </w:tcPr>
          <w:p>
            <w:pPr>
              <w:ind w:left="80"/>
              <w:spacing w:after="0"/>
              <w:rPr>
                <w:sz w:val="20"/>
                <w:szCs w:val="20"/>
                <w:color w:val="auto"/>
              </w:rPr>
            </w:pPr>
            <w:r>
              <w:rPr>
                <w:rFonts w:ascii="Arial" w:cs="Arial" w:eastAsia="Arial" w:hAnsi="Arial"/>
                <w:sz w:val="18"/>
                <w:szCs w:val="18"/>
                <w:color w:val="auto"/>
              </w:rPr>
              <w:t>Secondary offering costs</w:t>
            </w:r>
          </w:p>
        </w:tc>
        <w:tc>
          <w:tcPr>
            <w:tcW w:w="10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0.6</w:t>
            </w:r>
          </w:p>
        </w:tc>
      </w:tr>
      <w:tr>
        <w:trPr>
          <w:trHeight w:val="229"/>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w:t>
            </w:r>
          </w:p>
        </w:tc>
      </w:tr>
      <w:tr>
        <w:trPr>
          <w:trHeight w:val="229"/>
        </w:trPr>
        <w:tc>
          <w:tcPr>
            <w:tcW w:w="4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64.6</w:t>
            </w:r>
          </w:p>
        </w:tc>
      </w:tr>
      <w:tr>
        <w:trPr>
          <w:trHeight w:val="248"/>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155.7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183.0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bl>
    <w:p>
      <w:pPr>
        <w:spacing w:after="0" w:line="77" w:lineRule="exact"/>
        <w:rPr>
          <w:sz w:val="20"/>
          <w:szCs w:val="20"/>
          <w:color w:val="auto"/>
        </w:rPr>
      </w:pPr>
    </w:p>
    <w:p>
      <w:pPr>
        <w:ind w:left="440" w:hanging="414"/>
        <w:spacing w:after="0"/>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341" w:lineRule="exact"/>
        <w:rPr>
          <w:rFonts w:ascii="Arial" w:cs="Arial" w:eastAsia="Arial" w:hAnsi="Arial"/>
          <w:sz w:val="29"/>
          <w:szCs w:val="29"/>
          <w:color w:val="auto"/>
          <w:vertAlign w:val="superscript"/>
        </w:rPr>
      </w:pPr>
    </w:p>
    <w:p>
      <w:pPr>
        <w:ind w:left="5360"/>
        <w:spacing w:after="0"/>
        <w:rPr>
          <w:rFonts w:ascii="Arial" w:cs="Arial" w:eastAsia="Arial" w:hAnsi="Arial"/>
          <w:sz w:val="29"/>
          <w:szCs w:val="29"/>
          <w:color w:val="auto"/>
          <w:vertAlign w:val="superscript"/>
        </w:rPr>
      </w:pPr>
      <w:r>
        <w:rPr>
          <w:rFonts w:ascii="Arial" w:cs="Arial" w:eastAsia="Arial" w:hAnsi="Arial"/>
          <w:sz w:val="14"/>
          <w:szCs w:val="14"/>
          <w:color w:val="auto"/>
        </w:rPr>
        <w:t>Page 15</w:t>
      </w:r>
    </w:p>
    <w:p>
      <w:pPr>
        <w:sectPr>
          <w:pgSz w:w="11900" w:h="16838" w:orient="portrait"/>
          <w:cols w:equalWidth="0" w:num="1">
            <w:col w:w="11220"/>
          </w:cols>
          <w:pgMar w:left="320" w:top="144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and depreciation recognized on our aircraft and flight equipment held for operating lease as these operations do not create ASMs. We have entered into a series of aircraft-related transactions where we act as an aircraft lessor. As of September 30, 2024, we leased or subleased seven aircraft. Depreciation expense on these aircraft materially began during the three months ended June 30, 2023. 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40"/>
          </w:cols>
          <w:pgMar w:left="320" w:top="128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Three Months Ended September 30,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800" w:type="dxa"/>
            <w:vAlign w:val="bottom"/>
            <w:gridSpan w:val="4"/>
          </w:tcPr>
          <w:p>
            <w:pPr>
              <w:jc w:val="center"/>
              <w:ind w:right="240"/>
              <w:spacing w:after="0" w:line="147"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gridSpan w:val="4"/>
          </w:tcPr>
          <w:p>
            <w:pPr>
              <w:jc w:val="center"/>
              <w:ind w:right="240"/>
              <w:spacing w:after="0" w:line="147"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5"/>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Leased Aircraft, Depreciation and 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476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Nine Months Ended September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60" w:type="dxa"/>
            <w:vAlign w:val="bottom"/>
          </w:tcPr>
          <w:p>
            <w:pPr>
              <w:spacing w:after="0"/>
              <w:rPr>
                <w:sz w:val="12"/>
                <w:szCs w:val="12"/>
                <w:color w:val="auto"/>
              </w:rPr>
            </w:pPr>
          </w:p>
        </w:tc>
        <w:tc>
          <w:tcPr>
            <w:tcW w:w="180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476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4760" w:type="dxa"/>
            <w:vAlign w:val="bottom"/>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Leased Aircraft, Depreciation and 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476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17</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2024-10-30T15:15:22Z</dcterms:created>
  <dcterms:modified xsi:type="dcterms:W3CDTF">2024-10-30T15:15:22Z</dcterms:modified>
</cp:coreProperties>
</file>