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October 31, 2022</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6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001-40217</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82-4092570</w:t>
      </w:r>
    </w:p>
    <w:p>
      <w:pPr>
        <w:spacing w:after="0" w:line="90"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640"/>
        <w:spacing w:after="0"/>
        <w:rPr>
          <w:sz w:val="20"/>
          <w:szCs w:val="20"/>
          <w:color w:val="auto"/>
        </w:rPr>
      </w:pPr>
      <w:r>
        <w:rPr>
          <w:rFonts w:ascii="Arial" w:cs="Arial" w:eastAsia="Arial" w:hAnsi="Arial"/>
          <w:sz w:val="18"/>
          <w:szCs w:val="18"/>
          <w:color w:val="auto"/>
        </w:rPr>
        <w:t>(State of</w:t>
      </w:r>
    </w:p>
    <w:p>
      <w:pPr>
        <w:spacing w:after="0" w:line="23"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00" w:space="720"/>
            <w:col w:w="2860" w:space="720"/>
            <w:col w:w="2520"/>
          </w:cols>
          <w:pgMar w:left="320" w:top="1440" w:right="359" w:bottom="1440" w:gutter="0" w:footer="0" w:header="0"/>
          <w:type w:val="continuous"/>
        </w:sectPr>
      </w:pPr>
    </w:p>
    <w:p>
      <w:pPr>
        <w:spacing w:after="0" w:line="167" w:lineRule="exact"/>
        <w:rPr>
          <w:sz w:val="24"/>
          <w:szCs w:val="24"/>
          <w:color w:val="auto"/>
        </w:rPr>
      </w:pPr>
    </w:p>
    <w:p>
      <w:pPr>
        <w:ind w:left="2140"/>
        <w:spacing w:after="0"/>
        <w:rPr>
          <w:sz w:val="20"/>
          <w:szCs w:val="20"/>
          <w:color w:val="auto"/>
        </w:rPr>
      </w:pPr>
      <w:r>
        <w:rPr>
          <w:rFonts w:ascii="Arial" w:cs="Arial" w:eastAsia="Arial" w:hAnsi="Arial"/>
          <w:sz w:val="16"/>
          <w:szCs w:val="16"/>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302"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55450</w:t>
      </w:r>
    </w:p>
    <w:p>
      <w:pPr>
        <w:spacing w:after="0" w:line="90"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180"/>
          </w:cols>
          <w:pgMar w:left="320" w:top="1440" w:right="359" w:bottom="1440" w:gutter="0" w:footer="0" w:header="0"/>
          <w:type w:val="continuous"/>
        </w:sectPr>
      </w:pP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3"/>
              </w:rPr>
              <w:t>Trading</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6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87"/>
              </w:rPr>
              <w:t>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Common Stock, par value $0.01 per share</w:t>
            </w:r>
          </w:p>
        </w:tc>
        <w:tc>
          <w:tcPr>
            <w:tcW w:w="2840" w:type="dxa"/>
            <w:vAlign w:val="bottom"/>
            <w:gridSpan w:val="2"/>
          </w:tcPr>
          <w:p>
            <w:pPr>
              <w:jc w:val="center"/>
              <w:ind w:right="1000"/>
              <w:spacing w:after="0"/>
              <w:rPr>
                <w:sz w:val="20"/>
                <w:szCs w:val="20"/>
                <w:color w:val="auto"/>
              </w:rPr>
            </w:pPr>
            <w:r>
              <w:rPr>
                <w:rFonts w:ascii="Arial" w:cs="Arial" w:eastAsia="Arial" w:hAnsi="Arial"/>
                <w:sz w:val="18"/>
                <w:szCs w:val="18"/>
                <w:color w:val="auto"/>
                <w:w w:val="95"/>
              </w:rPr>
              <w:t>SNCY</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1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080"/>
        <w:spacing w:after="0" w:line="308" w:lineRule="auto"/>
        <w:rPr>
          <w:sz w:val="20"/>
          <w:szCs w:val="20"/>
          <w:color w:val="auto"/>
        </w:rPr>
      </w:pPr>
      <w:r>
        <w:rPr>
          <w:rFonts w:ascii="Arial" w:cs="Arial" w:eastAsia="Arial" w:hAnsi="Arial"/>
          <w:sz w:val="17"/>
          <w:szCs w:val="17"/>
          <w:color w:val="auto"/>
        </w:rPr>
        <w:t>On November 1, 2022, Sun Country Airlines Holdings, Inc. issued a press release announcing its financial results for the fiscal quarter ended September 30, 2022. A copy of the press release is attached hereto as Exhibit 99.1 and incorporated by reference herein.</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October 31, 2022, the Company’s Board of Directors authorized a stock repurchase program pursuant to which the Company may purchase up to $50.0 million of its Common Stock, $0.01 par value per share (“Common Stock”). The Company may purchase shares of its Common Stock on a discretionary basis from time-to-time through open market repurchases, privately negotiated transactions, or other means, including through Rule 10b5-1 trading plans. The Company’s intent in the near term is to enter into a $25.0 million Accelerated Share Repurchase (“ASR”) agreement with our brokering bank to allow the rapid retirement of acquired shares of Common Stock. Whether any repurchases are made, and the timing and actual number of any shares repurchased, will be determined by management depending on a variety of factors, including stock price, trading volume, market conditions and other general business considerations. The stock repurchase program has no expiration date and may be modified, suspended, or terminated at any time. Any repurchases made under this program will be funded from the Company’s existing cash flows, or future cash flows. The Company has been advised by SCA Horus Holdings, LLC, which is an affiliate of certain investment funds managed by affiliates of Apollo Global Management, Inc., that it does not intend to sell any shares of Common Stock to the Company in connection with the Company’s stock repurchase program.</w:t>
      </w:r>
    </w:p>
    <w:p>
      <w:pPr>
        <w:spacing w:after="0" w:line="2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4"/>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tc>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7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7"/>
              </w:rPr>
              <w:t>Press release, dated November 1, 2022</w:t>
            </w:r>
          </w:p>
        </w:tc>
        <w:tc>
          <w:tcPr>
            <w:tcW w:w="6740" w:type="dxa"/>
            <w:vAlign w:val="bottom"/>
          </w:tcPr>
          <w:p>
            <w:pPr>
              <w:spacing w:after="0"/>
              <w:rPr>
                <w:sz w:val="17"/>
                <w:szCs w:val="17"/>
                <w:color w:val="auto"/>
              </w:rPr>
            </w:pPr>
          </w:p>
        </w:tc>
      </w:tr>
      <w:tr>
        <w:trPr>
          <w:trHeight w:val="291"/>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color w:val="auto"/>
              </w:rPr>
              <w:t>Date: November 1, 2022</w:t>
            </w:r>
          </w:p>
        </w:tc>
        <w:tc>
          <w:tcPr>
            <w:tcW w:w="7840" w:type="dxa"/>
            <w:vAlign w:val="bottom"/>
            <w:gridSpan w:val="3"/>
          </w:tcPr>
          <w:p>
            <w:pPr>
              <w:ind w:left="1600"/>
              <w:spacing w:after="0"/>
              <w:rPr>
                <w:sz w:val="20"/>
                <w:szCs w:val="20"/>
                <w:color w:val="auto"/>
              </w:rPr>
            </w:pPr>
            <w:r>
              <w:rPr>
                <w:rFonts w:ascii="Arial" w:cs="Arial" w:eastAsia="Arial" w:hAnsi="Arial"/>
                <w:sz w:val="18"/>
                <w:szCs w:val="18"/>
                <w:b w:val="1"/>
                <w:bCs w:val="1"/>
                <w:color w:val="auto"/>
              </w:rPr>
              <w:t>Sun Country Airlines Holdings, Inc.</w:t>
            </w:r>
          </w:p>
        </w:tc>
      </w:tr>
      <w:tr>
        <w:trPr>
          <w:trHeight w:val="513"/>
        </w:trPr>
        <w:tc>
          <w:tcPr>
            <w:tcW w:w="3380" w:type="dxa"/>
            <w:vAlign w:val="bottom"/>
          </w:tcPr>
          <w:p>
            <w:pPr>
              <w:spacing w:after="0"/>
              <w:rPr>
                <w:sz w:val="24"/>
                <w:szCs w:val="24"/>
                <w:color w:val="auto"/>
              </w:rPr>
            </w:pPr>
          </w:p>
        </w:tc>
        <w:tc>
          <w:tcPr>
            <w:tcW w:w="7840" w:type="dxa"/>
            <w:vAlign w:val="bottom"/>
            <w:gridSpan w:val="3"/>
          </w:tcPr>
          <w:p>
            <w:pPr>
              <w:ind w:left="1600"/>
              <w:spacing w:after="0"/>
              <w:rPr>
                <w:sz w:val="20"/>
                <w:szCs w:val="20"/>
                <w:color w:val="auto"/>
              </w:rPr>
            </w:pPr>
            <w:r>
              <w:rPr>
                <w:rFonts w:ascii="Arial" w:cs="Arial" w:eastAsia="Arial" w:hAnsi="Arial"/>
                <w:sz w:val="18"/>
                <w:szCs w:val="18"/>
                <w:color w:val="auto"/>
              </w:rPr>
              <w:t>By:  /s/ Erin Rose Neale</w:t>
            </w:r>
          </w:p>
        </w:tc>
      </w:tr>
      <w:tr>
        <w:trPr>
          <w:trHeight w:val="222"/>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Erin Rose Neale</w:t>
            </w:r>
          </w:p>
        </w:tc>
      </w:tr>
      <w:tr>
        <w:trPr>
          <w:trHeight w:val="230"/>
        </w:trPr>
        <w:tc>
          <w:tcPr>
            <w:tcW w:w="3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518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1147" w:right="339" w:bottom="1440" w:gutter="0" w:footer="0" w:header="0"/>
        </w:sectPr>
      </w:pPr>
    </w:p>
    <w:bookmarkStart w:id="3" w:name="page4"/>
    <w:bookmarkEnd w:id="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31" w:lineRule="exact"/>
        <w:rPr>
          <w:sz w:val="20"/>
          <w:szCs w:val="20"/>
          <w:color w:val="auto"/>
        </w:rPr>
      </w:pPr>
    </w:p>
    <w:p>
      <w:pPr>
        <w:jc w:val="center"/>
        <w:ind w:left="340" w:right="2100"/>
        <w:spacing w:after="0" w:line="316" w:lineRule="auto"/>
        <w:rPr>
          <w:sz w:val="20"/>
          <w:szCs w:val="20"/>
          <w:color w:val="auto"/>
        </w:rPr>
      </w:pPr>
      <w:r>
        <w:rPr>
          <w:rFonts w:ascii="Arial" w:cs="Arial" w:eastAsia="Arial" w:hAnsi="Arial"/>
          <w:sz w:val="18"/>
          <w:szCs w:val="18"/>
          <w:b w:val="1"/>
          <w:bCs w:val="1"/>
          <w:color w:val="auto"/>
        </w:rPr>
        <w:t xml:space="preserve">Sun Country Airlines Reports Third Quarter 2022 Results </w:t>
      </w:r>
      <w:r>
        <w:rPr>
          <w:rFonts w:ascii="Arial" w:cs="Arial" w:eastAsia="Arial" w:hAnsi="Arial"/>
          <w:sz w:val="18"/>
          <w:szCs w:val="18"/>
          <w:color w:val="auto"/>
        </w:rPr>
        <w:t>Q3 2022 GAAP diluted EPS of $0.18 and operating income of $15 million Q3 2022 Adjusted diluted EPS of $0.12</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adjusted operating income of $16 million</w:t>
      </w:r>
      <w:r>
        <w:rPr>
          <w:rFonts w:ascii="Arial" w:cs="Arial" w:eastAsia="Arial" w:hAnsi="Arial"/>
          <w:sz w:val="23"/>
          <w:szCs w:val="23"/>
          <w:color w:val="auto"/>
          <w:vertAlign w:val="superscript"/>
        </w:rPr>
        <w:t>(1)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MINNEAPOLIS. November 1, 2022. Sun Country Airlines Holdings, Inc. (“Sun Country Airlines,” “Sun Country,” the “Company”) (</w:t>
      </w:r>
      <w:r>
        <w:rPr>
          <w:rFonts w:ascii="Arial" w:cs="Arial" w:eastAsia="Arial" w:hAnsi="Arial"/>
          <w:sz w:val="18"/>
          <w:szCs w:val="18"/>
          <w:color w:val="0563C1"/>
        </w:rPr>
        <w:t>NASDAQ: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third quarter ended September 30, 2022.</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0A0A0A"/>
        </w:rPr>
        <w:t>“The leisure demand environment remains very strong, as our third quarter scheduled service unit revenue increased 39% versus third quarter 2021,” said Jude Bricker, Chief Executive Officer of Sun Country. “Despite fuel prices that were higher than expected and the impact of Hurricane Ian on our Florida operations, we produced a GAAP operating margin of 6.9% and an adjusted operating income margin of 7.2%</w:t>
      </w:r>
      <w:r>
        <w:rPr>
          <w:rFonts w:ascii="Arial" w:cs="Arial" w:eastAsia="Arial" w:hAnsi="Arial"/>
          <w:sz w:val="23"/>
          <w:szCs w:val="23"/>
          <w:color w:val="0A0A0A"/>
          <w:vertAlign w:val="superscript"/>
        </w:rPr>
        <w:t>(1)</w:t>
      </w:r>
      <w:r>
        <w:rPr>
          <w:rFonts w:ascii="Arial" w:cs="Arial" w:eastAsia="Arial" w:hAnsi="Arial"/>
          <w:sz w:val="18"/>
          <w:szCs w:val="18"/>
          <w:color w:val="0A0A0A"/>
        </w:rPr>
        <w:t>. Our business model continues to demonstrate its inherent resiliency. Even with fuel prices 83% higher than last year and staffing-driven constraints on our capacity, we generated a year-to-date GAAP and adjusted operating income margin of 6%</w:t>
      </w:r>
      <w:r>
        <w:rPr>
          <w:rFonts w:ascii="Arial" w:cs="Arial" w:eastAsia="Arial" w:hAnsi="Arial"/>
          <w:sz w:val="23"/>
          <w:szCs w:val="23"/>
          <w:color w:val="0A0A0A"/>
          <w:vertAlign w:val="superscript"/>
        </w:rPr>
        <w:t>(1)</w:t>
      </w:r>
      <w:r>
        <w:rPr>
          <w:rFonts w:ascii="Arial" w:cs="Arial" w:eastAsia="Arial" w:hAnsi="Arial"/>
          <w:sz w:val="18"/>
          <w:szCs w:val="18"/>
          <w:color w:val="0A0A0A"/>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Third Quarter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38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Three Months Ended September 30,</w:t>
            </w:r>
          </w:p>
        </w:tc>
        <w:tc>
          <w:tcPr>
            <w:tcW w:w="1500" w:type="dxa"/>
            <w:vAlign w:val="bottom"/>
          </w:tcPr>
          <w:p>
            <w:pPr>
              <w:spacing w:after="0"/>
              <w:rPr>
                <w:sz w:val="16"/>
                <w:szCs w:val="16"/>
                <w:color w:val="auto"/>
              </w:rPr>
            </w:pPr>
          </w:p>
        </w:tc>
      </w:tr>
      <w:tr>
        <w:trPr>
          <w:trHeight w:val="208"/>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0A0A0A"/>
              </w:rPr>
              <w:t>2022</w:t>
            </w: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9"/>
                <w:szCs w:val="9"/>
                <w:b w:val="1"/>
                <w:bCs w:val="1"/>
                <w:color w:val="0A0A0A"/>
              </w:rPr>
              <w:t>(7)</w:t>
            </w:r>
          </w:p>
        </w:tc>
        <w:tc>
          <w:tcPr>
            <w:tcW w:w="15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0A0A0A"/>
              </w:rPr>
              <w:t>% Change</w:t>
            </w:r>
          </w:p>
        </w:tc>
      </w:tr>
      <w:tr>
        <w:trPr>
          <w:trHeight w:val="22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221.7</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173.7</w:t>
            </w:r>
          </w:p>
        </w:tc>
        <w:tc>
          <w:tcPr>
            <w:tcW w:w="1500" w:type="dxa"/>
            <w:vAlign w:val="bottom"/>
            <w:shd w:val="clear" w:color="auto" w:fill="CCEEFF"/>
          </w:tcPr>
          <w:p>
            <w:pPr>
              <w:jc w:val="center"/>
              <w:ind w:left="915"/>
              <w:spacing w:after="0"/>
              <w:rPr>
                <w:sz w:val="20"/>
                <w:szCs w:val="20"/>
                <w:color w:val="auto"/>
              </w:rPr>
            </w:pPr>
            <w:r>
              <w:rPr>
                <w:rFonts w:ascii="Arial" w:cs="Arial" w:eastAsia="Arial" w:hAnsi="Arial"/>
                <w:sz w:val="18"/>
                <w:szCs w:val="18"/>
                <w:color w:val="0A0A0A"/>
                <w:w w:val="96"/>
              </w:rPr>
              <w:t>27.7</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15.4</w:t>
            </w:r>
          </w:p>
        </w:tc>
        <w:tc>
          <w:tcPr>
            <w:tcW w:w="400" w:type="dxa"/>
            <w:vAlign w:val="bottom"/>
          </w:tcPr>
          <w:p>
            <w:pPr>
              <w:spacing w:after="0"/>
              <w:rPr>
                <w:sz w:val="19"/>
                <w:szCs w:val="19"/>
                <w:color w:val="auto"/>
              </w:rPr>
            </w:pPr>
          </w:p>
        </w:tc>
        <w:tc>
          <w:tcPr>
            <w:tcW w:w="1580" w:type="dxa"/>
            <w:vAlign w:val="bottom"/>
          </w:tcPr>
          <w:p>
            <w:pPr>
              <w:jc w:val="right"/>
              <w:ind w:right="215"/>
              <w:spacing w:after="0"/>
              <w:rPr>
                <w:sz w:val="20"/>
                <w:szCs w:val="20"/>
                <w:color w:val="auto"/>
              </w:rPr>
            </w:pPr>
            <w:r>
              <w:rPr>
                <w:rFonts w:ascii="Arial" w:cs="Arial" w:eastAsia="Arial" w:hAnsi="Arial"/>
                <w:sz w:val="18"/>
                <w:szCs w:val="18"/>
                <w:color w:val="0A0A0A"/>
              </w:rPr>
              <w:t>21.3</w:t>
            </w:r>
          </w:p>
        </w:tc>
        <w:tc>
          <w:tcPr>
            <w:tcW w:w="1500" w:type="dxa"/>
            <w:vAlign w:val="bottom"/>
          </w:tcPr>
          <w:p>
            <w:pPr>
              <w:jc w:val="center"/>
              <w:ind w:left="895"/>
              <w:spacing w:after="0"/>
              <w:rPr>
                <w:sz w:val="20"/>
                <w:szCs w:val="20"/>
                <w:color w:val="auto"/>
              </w:rPr>
            </w:pPr>
            <w:r>
              <w:rPr>
                <w:rFonts w:ascii="Arial" w:cs="Arial" w:eastAsia="Arial" w:hAnsi="Arial"/>
                <w:sz w:val="18"/>
                <w:szCs w:val="18"/>
                <w:color w:val="0A0A0A"/>
              </w:rPr>
              <w:t>(27.8)</w:t>
            </w:r>
          </w:p>
        </w:tc>
      </w:tr>
      <w:tr>
        <w:trPr>
          <w:trHeight w:val="22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12.9</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15.5</w:t>
            </w:r>
          </w:p>
        </w:tc>
        <w:tc>
          <w:tcPr>
            <w:tcW w:w="1500" w:type="dxa"/>
            <w:vAlign w:val="bottom"/>
            <w:shd w:val="clear" w:color="auto" w:fill="CCEEFF"/>
          </w:tcPr>
          <w:p>
            <w:pPr>
              <w:jc w:val="center"/>
              <w:ind w:left="895"/>
              <w:spacing w:after="0"/>
              <w:rPr>
                <w:sz w:val="20"/>
                <w:szCs w:val="20"/>
                <w:color w:val="auto"/>
              </w:rPr>
            </w:pPr>
            <w:r>
              <w:rPr>
                <w:rFonts w:ascii="Arial" w:cs="Arial" w:eastAsia="Arial" w:hAnsi="Arial"/>
                <w:sz w:val="18"/>
                <w:szCs w:val="18"/>
                <w:color w:val="0A0A0A"/>
              </w:rPr>
              <w:t>(16.7)</w:t>
            </w:r>
          </w:p>
        </w:tc>
      </w:tr>
      <w:tr>
        <w:trPr>
          <w:trHeight w:val="229"/>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10.7</w:t>
            </w:r>
          </w:p>
        </w:tc>
        <w:tc>
          <w:tcPr>
            <w:tcW w:w="400" w:type="dxa"/>
            <w:vAlign w:val="bottom"/>
          </w:tcPr>
          <w:p>
            <w:pPr>
              <w:spacing w:after="0"/>
              <w:rPr>
                <w:sz w:val="19"/>
                <w:szCs w:val="19"/>
                <w:color w:val="auto"/>
              </w:rPr>
            </w:pPr>
          </w:p>
        </w:tc>
        <w:tc>
          <w:tcPr>
            <w:tcW w:w="1580" w:type="dxa"/>
            <w:vAlign w:val="bottom"/>
          </w:tcPr>
          <w:p>
            <w:pPr>
              <w:jc w:val="right"/>
              <w:ind w:right="215"/>
              <w:spacing w:after="0"/>
              <w:rPr>
                <w:sz w:val="20"/>
                <w:szCs w:val="20"/>
                <w:color w:val="auto"/>
              </w:rPr>
            </w:pPr>
            <w:r>
              <w:rPr>
                <w:rFonts w:ascii="Arial" w:cs="Arial" w:eastAsia="Arial" w:hAnsi="Arial"/>
                <w:sz w:val="18"/>
                <w:szCs w:val="18"/>
                <w:color w:val="0A0A0A"/>
              </w:rPr>
              <w:t>13.4</w:t>
            </w:r>
          </w:p>
        </w:tc>
        <w:tc>
          <w:tcPr>
            <w:tcW w:w="1500" w:type="dxa"/>
            <w:vAlign w:val="bottom"/>
          </w:tcPr>
          <w:p>
            <w:pPr>
              <w:jc w:val="center"/>
              <w:ind w:left="895"/>
              <w:spacing w:after="0"/>
              <w:rPr>
                <w:sz w:val="20"/>
                <w:szCs w:val="20"/>
                <w:color w:val="auto"/>
              </w:rPr>
            </w:pPr>
            <w:r>
              <w:rPr>
                <w:rFonts w:ascii="Arial" w:cs="Arial" w:eastAsia="Arial" w:hAnsi="Arial"/>
                <w:sz w:val="18"/>
                <w:szCs w:val="18"/>
                <w:color w:val="0A0A0A"/>
              </w:rPr>
              <w:t>(20.2)</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0.18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0.22</w:t>
            </w:r>
          </w:p>
        </w:tc>
        <w:tc>
          <w:tcPr>
            <w:tcW w:w="1500" w:type="dxa"/>
            <w:vAlign w:val="bottom"/>
            <w:shd w:val="clear" w:color="auto" w:fill="CCEEFF"/>
          </w:tcPr>
          <w:p>
            <w:pPr>
              <w:jc w:val="center"/>
              <w:ind w:left="895"/>
              <w:spacing w:after="0"/>
              <w:rPr>
                <w:sz w:val="20"/>
                <w:szCs w:val="20"/>
                <w:color w:val="auto"/>
              </w:rPr>
            </w:pPr>
            <w:r>
              <w:rPr>
                <w:rFonts w:ascii="Arial" w:cs="Arial" w:eastAsia="Arial" w:hAnsi="Arial"/>
                <w:sz w:val="18"/>
                <w:szCs w:val="18"/>
                <w:color w:val="0A0A0A"/>
              </w:rPr>
              <w:t>(18.2)</w:t>
            </w:r>
          </w:p>
        </w:tc>
      </w:tr>
      <w:tr>
        <w:trPr>
          <w:trHeight w:val="420"/>
        </w:trPr>
        <w:tc>
          <w:tcPr>
            <w:tcW w:w="4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Three Months Ended September 30,</w:t>
            </w:r>
          </w:p>
        </w:tc>
        <w:tc>
          <w:tcPr>
            <w:tcW w:w="1500" w:type="dxa"/>
            <w:vAlign w:val="bottom"/>
          </w:tcPr>
          <w:p>
            <w:pPr>
              <w:spacing w:after="0"/>
              <w:rPr>
                <w:sz w:val="24"/>
                <w:szCs w:val="24"/>
                <w:color w:val="auto"/>
              </w:rPr>
            </w:pPr>
          </w:p>
        </w:tc>
      </w:tr>
      <w:tr>
        <w:trPr>
          <w:trHeight w:val="241"/>
        </w:trPr>
        <w:tc>
          <w:tcPr>
            <w:tcW w:w="4800" w:type="dxa"/>
            <w:vAlign w:val="bottom"/>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Pr>
          <w:p>
            <w:pPr>
              <w:spacing w:after="0"/>
              <w:rPr>
                <w:sz w:val="20"/>
                <w:szCs w:val="20"/>
                <w:color w:val="auto"/>
              </w:rPr>
            </w:pPr>
          </w:p>
        </w:tc>
        <w:tc>
          <w:tcPr>
            <w:tcW w:w="1400" w:type="dxa"/>
            <w:vAlign w:val="bottom"/>
          </w:tcPr>
          <w:p>
            <w:pPr>
              <w:jc w:val="right"/>
              <w:ind w:right="618"/>
              <w:spacing w:after="0"/>
              <w:rPr>
                <w:sz w:val="20"/>
                <w:szCs w:val="20"/>
                <w:color w:val="auto"/>
              </w:rPr>
            </w:pPr>
            <w:r>
              <w:rPr>
                <w:rFonts w:ascii="Arial" w:cs="Arial" w:eastAsia="Arial" w:hAnsi="Arial"/>
                <w:sz w:val="14"/>
                <w:szCs w:val="14"/>
                <w:b w:val="1"/>
                <w:bCs w:val="1"/>
                <w:color w:val="0A0A0A"/>
              </w:rPr>
              <w:t>2022</w:t>
            </w:r>
          </w:p>
        </w:tc>
        <w:tc>
          <w:tcPr>
            <w:tcW w:w="400" w:type="dxa"/>
            <w:vAlign w:val="bottom"/>
          </w:tcPr>
          <w:p>
            <w:pPr>
              <w:spacing w:after="0"/>
              <w:rPr>
                <w:sz w:val="20"/>
                <w:szCs w:val="20"/>
                <w:color w:val="auto"/>
              </w:rPr>
            </w:pPr>
          </w:p>
        </w:tc>
        <w:tc>
          <w:tcPr>
            <w:tcW w:w="1580" w:type="dxa"/>
            <w:vAlign w:val="bottom"/>
          </w:tcPr>
          <w:p>
            <w:pPr>
              <w:jc w:val="right"/>
              <w:ind w:right="795"/>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1500" w:type="dxa"/>
            <w:vAlign w:val="bottom"/>
          </w:tcPr>
          <w:p>
            <w:pPr>
              <w:ind w:left="300"/>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234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(1)</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(1)</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(1)</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(1)</w:t>
      </w: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20" w:type="dxa"/>
            <w:vAlign w:val="bottom"/>
          </w:tcPr>
          <w:p>
            <w:pPr>
              <w:jc w:val="right"/>
              <w:ind w:right="130"/>
              <w:spacing w:after="0"/>
              <w:rPr>
                <w:sz w:val="20"/>
                <w:szCs w:val="20"/>
                <w:color w:val="auto"/>
              </w:rPr>
            </w:pPr>
            <w:r>
              <w:rPr>
                <w:rFonts w:ascii="Arial" w:cs="Arial" w:eastAsia="Arial" w:hAnsi="Arial"/>
                <w:sz w:val="18"/>
                <w:szCs w:val="18"/>
                <w:color w:val="0A0A0A"/>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0A0A0A"/>
              </w:rPr>
              <w:t>15.9</w:t>
            </w:r>
          </w:p>
        </w:tc>
        <w:tc>
          <w:tcPr>
            <w:tcW w:w="400" w:type="dxa"/>
            <w:vAlign w:val="bottom"/>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tcPr>
          <w:p>
            <w:pPr>
              <w:jc w:val="right"/>
              <w:ind w:right="214"/>
              <w:spacing w:after="0"/>
              <w:rPr>
                <w:sz w:val="20"/>
                <w:szCs w:val="20"/>
                <w:color w:val="auto"/>
              </w:rPr>
            </w:pPr>
            <w:r>
              <w:rPr>
                <w:rFonts w:ascii="Arial" w:cs="Arial" w:eastAsia="Arial" w:hAnsi="Arial"/>
                <w:sz w:val="18"/>
                <w:szCs w:val="18"/>
                <w:color w:val="0A0A0A"/>
              </w:rPr>
              <w:t>22.2</w:t>
            </w:r>
          </w:p>
        </w:tc>
        <w:tc>
          <w:tcPr>
            <w:tcW w:w="1440" w:type="dxa"/>
            <w:vAlign w:val="bottom"/>
          </w:tcPr>
          <w:p>
            <w:pPr>
              <w:jc w:val="right"/>
              <w:spacing w:after="0"/>
              <w:rPr>
                <w:sz w:val="20"/>
                <w:szCs w:val="20"/>
                <w:color w:val="auto"/>
              </w:rPr>
            </w:pPr>
            <w:r>
              <w:rPr>
                <w:rFonts w:ascii="Arial" w:cs="Arial" w:eastAsia="Arial" w:hAnsi="Arial"/>
                <w:sz w:val="18"/>
                <w:szCs w:val="18"/>
                <w:color w:val="0A0A0A"/>
              </w:rPr>
              <w:t>(28.6)</w:t>
            </w:r>
          </w:p>
        </w:tc>
      </w:tr>
      <w:tr>
        <w:trPr>
          <w:trHeight w:val="270"/>
        </w:trPr>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A0A0A"/>
              </w:rPr>
              <w:t>9.7</w:t>
            </w:r>
          </w:p>
        </w:tc>
        <w:tc>
          <w:tcPr>
            <w:tcW w:w="400" w:type="dxa"/>
            <w:vAlign w:val="bottom"/>
          </w:tcPr>
          <w:p>
            <w:pPr>
              <w:spacing w:after="0"/>
              <w:rPr>
                <w:sz w:val="23"/>
                <w:szCs w:val="23"/>
                <w:color w:val="auto"/>
              </w:rPr>
            </w:pPr>
          </w:p>
        </w:tc>
        <w:tc>
          <w:tcPr>
            <w:tcW w:w="1580" w:type="dxa"/>
            <w:vAlign w:val="bottom"/>
          </w:tcPr>
          <w:p>
            <w:pPr>
              <w:jc w:val="right"/>
              <w:ind w:right="214"/>
              <w:spacing w:after="0"/>
              <w:rPr>
                <w:sz w:val="20"/>
                <w:szCs w:val="20"/>
                <w:color w:val="auto"/>
              </w:rPr>
            </w:pPr>
            <w:r>
              <w:rPr>
                <w:rFonts w:ascii="Arial" w:cs="Arial" w:eastAsia="Arial" w:hAnsi="Arial"/>
                <w:sz w:val="18"/>
                <w:szCs w:val="18"/>
                <w:color w:val="0A0A0A"/>
              </w:rPr>
              <w:t>16.0</w:t>
            </w:r>
          </w:p>
        </w:tc>
        <w:tc>
          <w:tcPr>
            <w:tcW w:w="1440" w:type="dxa"/>
            <w:vAlign w:val="bottom"/>
          </w:tcPr>
          <w:p>
            <w:pPr>
              <w:jc w:val="right"/>
              <w:spacing w:after="0"/>
              <w:rPr>
                <w:sz w:val="20"/>
                <w:szCs w:val="20"/>
                <w:color w:val="auto"/>
              </w:rPr>
            </w:pPr>
            <w:r>
              <w:rPr>
                <w:rFonts w:ascii="Arial" w:cs="Arial" w:eastAsia="Arial" w:hAnsi="Arial"/>
                <w:sz w:val="18"/>
                <w:szCs w:val="18"/>
                <w:color w:val="0A0A0A"/>
              </w:rPr>
              <w:t>(39.4)</w:t>
            </w:r>
          </w:p>
        </w:tc>
      </w:tr>
      <w:tr>
        <w:trPr>
          <w:trHeight w:val="270"/>
        </w:trPr>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A0A0A"/>
              </w:rPr>
              <w:t>7.4</w:t>
            </w:r>
          </w:p>
        </w:tc>
        <w:tc>
          <w:tcPr>
            <w:tcW w:w="400" w:type="dxa"/>
            <w:vAlign w:val="bottom"/>
          </w:tcPr>
          <w:p>
            <w:pPr>
              <w:spacing w:after="0"/>
              <w:rPr>
                <w:sz w:val="23"/>
                <w:szCs w:val="23"/>
                <w:color w:val="auto"/>
              </w:rPr>
            </w:pPr>
          </w:p>
        </w:tc>
        <w:tc>
          <w:tcPr>
            <w:tcW w:w="1580" w:type="dxa"/>
            <w:vAlign w:val="bottom"/>
          </w:tcPr>
          <w:p>
            <w:pPr>
              <w:jc w:val="right"/>
              <w:ind w:right="214"/>
              <w:spacing w:after="0"/>
              <w:rPr>
                <w:sz w:val="20"/>
                <w:szCs w:val="20"/>
                <w:color w:val="auto"/>
              </w:rPr>
            </w:pPr>
            <w:r>
              <w:rPr>
                <w:rFonts w:ascii="Arial" w:cs="Arial" w:eastAsia="Arial" w:hAnsi="Arial"/>
                <w:sz w:val="18"/>
                <w:szCs w:val="18"/>
                <w:color w:val="0A0A0A"/>
              </w:rPr>
              <w:t>13.5</w:t>
            </w:r>
          </w:p>
        </w:tc>
        <w:tc>
          <w:tcPr>
            <w:tcW w:w="1440" w:type="dxa"/>
            <w:vAlign w:val="bottom"/>
          </w:tcPr>
          <w:p>
            <w:pPr>
              <w:jc w:val="right"/>
              <w:spacing w:after="0"/>
              <w:rPr>
                <w:sz w:val="20"/>
                <w:szCs w:val="20"/>
                <w:color w:val="auto"/>
              </w:rPr>
            </w:pPr>
            <w:r>
              <w:rPr>
                <w:rFonts w:ascii="Arial" w:cs="Arial" w:eastAsia="Arial" w:hAnsi="Arial"/>
                <w:sz w:val="18"/>
                <w:szCs w:val="18"/>
                <w:color w:val="0A0A0A"/>
              </w:rPr>
              <w:t>(45.2)</w:t>
            </w:r>
          </w:p>
        </w:tc>
      </w:tr>
      <w:tr>
        <w:trPr>
          <w:trHeight w:val="27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0.12</w:t>
            </w:r>
          </w:p>
        </w:tc>
        <w:tc>
          <w:tcPr>
            <w:tcW w:w="400" w:type="dxa"/>
            <w:vAlign w:val="bottom"/>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tcPr>
          <w:p>
            <w:pPr>
              <w:jc w:val="right"/>
              <w:ind w:right="214"/>
              <w:spacing w:after="0"/>
              <w:rPr>
                <w:sz w:val="20"/>
                <w:szCs w:val="20"/>
                <w:color w:val="auto"/>
              </w:rPr>
            </w:pPr>
            <w:r>
              <w:rPr>
                <w:rFonts w:ascii="Arial" w:cs="Arial" w:eastAsia="Arial" w:hAnsi="Arial"/>
                <w:sz w:val="18"/>
                <w:szCs w:val="18"/>
                <w:color w:val="0A0A0A"/>
              </w:rPr>
              <w:t>0.22</w:t>
            </w:r>
          </w:p>
        </w:tc>
        <w:tc>
          <w:tcPr>
            <w:tcW w:w="1440" w:type="dxa"/>
            <w:vAlign w:val="bottom"/>
          </w:tcPr>
          <w:p>
            <w:pPr>
              <w:jc w:val="right"/>
              <w:spacing w:after="0"/>
              <w:rPr>
                <w:sz w:val="20"/>
                <w:szCs w:val="20"/>
                <w:color w:val="auto"/>
              </w:rPr>
            </w:pPr>
            <w:r>
              <w:rPr>
                <w:rFonts w:ascii="Arial" w:cs="Arial" w:eastAsia="Arial" w:hAnsi="Arial"/>
                <w:sz w:val="18"/>
                <w:szCs w:val="18"/>
                <w:color w:val="0A0A0A"/>
              </w:rPr>
              <w:t>(45.5)</w:t>
            </w:r>
          </w:p>
        </w:tc>
      </w:tr>
      <w:tr>
        <w:trPr>
          <w:trHeight w:val="460"/>
        </w:trPr>
        <w:tc>
          <w:tcPr>
            <w:tcW w:w="320" w:type="dxa"/>
            <w:vAlign w:val="bottom"/>
          </w:tcPr>
          <w:p>
            <w:pPr>
              <w:spacing w:after="0"/>
              <w:rPr>
                <w:sz w:val="24"/>
                <w:szCs w:val="24"/>
                <w:color w:val="auto"/>
              </w:rPr>
            </w:pPr>
          </w:p>
        </w:tc>
        <w:tc>
          <w:tcPr>
            <w:tcW w:w="336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0A0A0A"/>
              </w:rPr>
              <w:t>Nine Months Ended September 30,</w:t>
            </w:r>
          </w:p>
        </w:tc>
        <w:tc>
          <w:tcPr>
            <w:tcW w:w="1440" w:type="dxa"/>
            <w:vAlign w:val="bottom"/>
          </w:tcPr>
          <w:p>
            <w:pPr>
              <w:spacing w:after="0"/>
              <w:rPr>
                <w:sz w:val="24"/>
                <w:szCs w:val="24"/>
                <w:color w:val="auto"/>
              </w:rPr>
            </w:pPr>
          </w:p>
        </w:tc>
      </w:tr>
      <w:tr>
        <w:trPr>
          <w:trHeight w:val="214"/>
        </w:trPr>
        <w:tc>
          <w:tcPr>
            <w:tcW w:w="320" w:type="dxa"/>
            <w:vAlign w:val="bottom"/>
          </w:tcPr>
          <w:p>
            <w:pPr>
              <w:spacing w:after="0"/>
              <w:rPr>
                <w:sz w:val="18"/>
                <w:szCs w:val="18"/>
                <w:color w:val="auto"/>
              </w:rPr>
            </w:pPr>
          </w:p>
        </w:tc>
        <w:tc>
          <w:tcPr>
            <w:tcW w:w="1380" w:type="dxa"/>
            <w:vAlign w:val="bottom"/>
          </w:tcPr>
          <w:p>
            <w:pPr>
              <w:jc w:val="right"/>
              <w:ind w:right="616"/>
              <w:spacing w:after="0"/>
              <w:rPr>
                <w:sz w:val="20"/>
                <w:szCs w:val="20"/>
                <w:color w:val="auto"/>
              </w:rPr>
            </w:pPr>
            <w:r>
              <w:rPr>
                <w:rFonts w:ascii="Arial" w:cs="Arial" w:eastAsia="Arial" w:hAnsi="Arial"/>
                <w:sz w:val="14"/>
                <w:szCs w:val="14"/>
                <w:b w:val="1"/>
                <w:bCs w:val="1"/>
                <w:color w:val="0A0A0A"/>
              </w:rPr>
              <w:t>2022</w:t>
            </w:r>
          </w:p>
        </w:tc>
        <w:tc>
          <w:tcPr>
            <w:tcW w:w="400" w:type="dxa"/>
            <w:vAlign w:val="bottom"/>
          </w:tcPr>
          <w:p>
            <w:pPr>
              <w:spacing w:after="0"/>
              <w:rPr>
                <w:sz w:val="18"/>
                <w:szCs w:val="18"/>
                <w:color w:val="auto"/>
              </w:rPr>
            </w:pPr>
          </w:p>
        </w:tc>
        <w:tc>
          <w:tcPr>
            <w:tcW w:w="1580" w:type="dxa"/>
            <w:vAlign w:val="bottom"/>
          </w:tcPr>
          <w:p>
            <w:pPr>
              <w:jc w:val="right"/>
              <w:ind w:right="794"/>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-744855</wp:posOffset>
            </wp:positionV>
            <wp:extent cx="7123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0A0A0A"/>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667.3</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0A0A0A"/>
              </w:rPr>
              <w:t>450.5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48.1</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A0A0A"/>
              </w:rPr>
              <w:t>40.6</w:t>
            </w:r>
          </w:p>
        </w:tc>
        <w:tc>
          <w:tcPr>
            <w:tcW w:w="420" w:type="dxa"/>
            <w:vAlign w:val="bottom"/>
          </w:tcPr>
          <w:p>
            <w:pPr>
              <w:spacing w:after="0"/>
              <w:rPr>
                <w:sz w:val="19"/>
                <w:szCs w:val="19"/>
                <w:color w:val="auto"/>
              </w:rPr>
            </w:pPr>
          </w:p>
        </w:tc>
        <w:tc>
          <w:tcPr>
            <w:tcW w:w="1580" w:type="dxa"/>
            <w:vAlign w:val="bottom"/>
          </w:tcPr>
          <w:p>
            <w:pPr>
              <w:jc w:val="right"/>
              <w:ind w:right="212"/>
              <w:spacing w:after="0"/>
              <w:rPr>
                <w:sz w:val="20"/>
                <w:szCs w:val="20"/>
                <w:color w:val="auto"/>
              </w:rPr>
            </w:pPr>
            <w:r>
              <w:rPr>
                <w:rFonts w:ascii="Arial" w:cs="Arial" w:eastAsia="Arial" w:hAnsi="Arial"/>
                <w:sz w:val="18"/>
                <w:szCs w:val="18"/>
                <w:color w:val="0A0A0A"/>
              </w:rPr>
              <w:t>101.7</w:t>
            </w:r>
          </w:p>
        </w:tc>
        <w:tc>
          <w:tcPr>
            <w:tcW w:w="1500" w:type="dxa"/>
            <w:vAlign w:val="bottom"/>
          </w:tcPr>
          <w:p>
            <w:pPr>
              <w:jc w:val="right"/>
              <w:spacing w:after="0"/>
              <w:rPr>
                <w:sz w:val="20"/>
                <w:szCs w:val="20"/>
                <w:color w:val="auto"/>
              </w:rPr>
            </w:pPr>
            <w:r>
              <w:rPr>
                <w:rFonts w:ascii="Arial" w:cs="Arial" w:eastAsia="Arial" w:hAnsi="Arial"/>
                <w:sz w:val="18"/>
                <w:szCs w:val="18"/>
                <w:color w:val="0A0A0A"/>
              </w:rPr>
              <w:t>(60.1)</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5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14.5</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100.8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(85.6)</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A0A0A"/>
              </w:rPr>
              <w:t>10.4</w:t>
            </w:r>
          </w:p>
        </w:tc>
        <w:tc>
          <w:tcPr>
            <w:tcW w:w="420" w:type="dxa"/>
            <w:vAlign w:val="bottom"/>
          </w:tcPr>
          <w:p>
            <w:pPr>
              <w:spacing w:after="0"/>
              <w:rPr>
                <w:sz w:val="19"/>
                <w:szCs w:val="19"/>
                <w:color w:val="auto"/>
              </w:rPr>
            </w:pP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82.3</w:t>
            </w:r>
          </w:p>
        </w:tc>
        <w:tc>
          <w:tcPr>
            <w:tcW w:w="1500" w:type="dxa"/>
            <w:vAlign w:val="bottom"/>
          </w:tcPr>
          <w:p>
            <w:pPr>
              <w:jc w:val="right"/>
              <w:spacing w:after="0"/>
              <w:rPr>
                <w:sz w:val="20"/>
                <w:szCs w:val="20"/>
                <w:color w:val="auto"/>
              </w:rPr>
            </w:pPr>
            <w:r>
              <w:rPr>
                <w:rFonts w:ascii="Arial" w:cs="Arial" w:eastAsia="Arial" w:hAnsi="Arial"/>
                <w:sz w:val="18"/>
                <w:szCs w:val="18"/>
                <w:color w:val="0A0A0A"/>
              </w:rPr>
              <w:t>(87.4)</w:t>
            </w:r>
          </w:p>
        </w:tc>
      </w:tr>
      <w:tr>
        <w:trPr>
          <w:trHeight w:val="22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A0A0A"/>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0.17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1.40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(87.9)</w:t>
            </w:r>
          </w:p>
        </w:tc>
      </w:tr>
      <w:tr>
        <w:trPr>
          <w:trHeight w:val="407"/>
        </w:trPr>
        <w:tc>
          <w:tcPr>
            <w:tcW w:w="4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60" w:type="dxa"/>
            <w:vAlign w:val="bottom"/>
            <w:gridSpan w:val="3"/>
          </w:tcPr>
          <w:p>
            <w:pPr>
              <w:jc w:val="right"/>
              <w:ind w:right="692"/>
              <w:spacing w:after="0"/>
              <w:rPr>
                <w:sz w:val="20"/>
                <w:szCs w:val="20"/>
                <w:color w:val="auto"/>
              </w:rPr>
            </w:pPr>
            <w:r>
              <w:rPr>
                <w:rFonts w:ascii="Arial" w:cs="Arial" w:eastAsia="Arial" w:hAnsi="Arial"/>
                <w:sz w:val="14"/>
                <w:szCs w:val="14"/>
                <w:b w:val="1"/>
                <w:bCs w:val="1"/>
                <w:color w:val="0A0A0A"/>
              </w:rPr>
              <w:t>Nine Months Ended September 30,</w:t>
            </w:r>
          </w:p>
        </w:tc>
        <w:tc>
          <w:tcPr>
            <w:tcW w:w="1500" w:type="dxa"/>
            <w:vAlign w:val="bottom"/>
          </w:tcPr>
          <w:p>
            <w:pPr>
              <w:spacing w:after="0"/>
              <w:rPr>
                <w:sz w:val="24"/>
                <w:szCs w:val="24"/>
                <w:color w:val="auto"/>
              </w:rPr>
            </w:pPr>
          </w:p>
        </w:tc>
      </w:tr>
      <w:tr>
        <w:trPr>
          <w:trHeight w:val="209"/>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0A0A0A"/>
              </w:rPr>
              <w:t>2022</w:t>
            </w: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9"/>
                <w:szCs w:val="9"/>
                <w:b w:val="1"/>
                <w:bCs w:val="1"/>
                <w:color w:val="0A0A0A"/>
              </w:rPr>
              <w:t>(7)</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0A0A0A"/>
              </w:rPr>
              <w:t>% Change</w:t>
            </w:r>
          </w:p>
        </w:tc>
      </w:tr>
      <w:tr>
        <w:trPr>
          <w:trHeight w:val="26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(1)</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A0A0A"/>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42.6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34.2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24.5</w:t>
            </w:r>
          </w:p>
        </w:tc>
      </w:tr>
      <w:tr>
        <w:trPr>
          <w:trHeight w:val="27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(1)</w:t>
            </w:r>
          </w:p>
        </w:tc>
        <w:tc>
          <w:tcPr>
            <w:tcW w:w="15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A0A0A"/>
              </w:rPr>
              <w:t>22.7</w:t>
            </w:r>
          </w:p>
        </w:tc>
        <w:tc>
          <w:tcPr>
            <w:tcW w:w="420" w:type="dxa"/>
            <w:vAlign w:val="bottom"/>
          </w:tcPr>
          <w:p>
            <w:pPr>
              <w:spacing w:after="0"/>
              <w:rPr>
                <w:sz w:val="23"/>
                <w:szCs w:val="23"/>
                <w:color w:val="auto"/>
              </w:rPr>
            </w:pPr>
          </w:p>
        </w:tc>
        <w:tc>
          <w:tcPr>
            <w:tcW w:w="1580" w:type="dxa"/>
            <w:vAlign w:val="bottom"/>
          </w:tcPr>
          <w:p>
            <w:pPr>
              <w:jc w:val="right"/>
              <w:ind w:right="212"/>
              <w:spacing w:after="0"/>
              <w:rPr>
                <w:sz w:val="20"/>
                <w:szCs w:val="20"/>
                <w:color w:val="auto"/>
              </w:rPr>
            </w:pPr>
            <w:r>
              <w:rPr>
                <w:rFonts w:ascii="Arial" w:cs="Arial" w:eastAsia="Arial" w:hAnsi="Arial"/>
                <w:sz w:val="18"/>
                <w:szCs w:val="18"/>
                <w:color w:val="0A0A0A"/>
              </w:rPr>
              <w:t>16.0</w:t>
            </w:r>
          </w:p>
        </w:tc>
        <w:tc>
          <w:tcPr>
            <w:tcW w:w="1500" w:type="dxa"/>
            <w:vAlign w:val="bottom"/>
          </w:tcPr>
          <w:p>
            <w:pPr>
              <w:jc w:val="right"/>
              <w:spacing w:after="0"/>
              <w:rPr>
                <w:sz w:val="20"/>
                <w:szCs w:val="20"/>
                <w:color w:val="auto"/>
              </w:rPr>
            </w:pPr>
            <w:r>
              <w:rPr>
                <w:rFonts w:ascii="Arial" w:cs="Arial" w:eastAsia="Arial" w:hAnsi="Arial"/>
                <w:sz w:val="18"/>
                <w:szCs w:val="18"/>
                <w:color w:val="0A0A0A"/>
              </w:rPr>
              <w:t>41.9</w:t>
            </w:r>
          </w:p>
        </w:tc>
      </w:tr>
      <w:tr>
        <w:trPr>
          <w:trHeight w:val="27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(1)</w:t>
            </w:r>
          </w:p>
        </w:tc>
        <w:tc>
          <w:tcPr>
            <w:tcW w:w="15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17.9</w:t>
            </w:r>
          </w:p>
        </w:tc>
        <w:tc>
          <w:tcPr>
            <w:tcW w:w="4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12.5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43.2</w:t>
            </w:r>
          </w:p>
        </w:tc>
      </w:tr>
      <w:tr>
        <w:trPr>
          <w:trHeight w:val="328"/>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(1)</w:t>
            </w:r>
          </w:p>
        </w:tc>
        <w:tc>
          <w:tcPr>
            <w:tcW w:w="1560" w:type="dxa"/>
            <w:vAlign w:val="bottom"/>
          </w:tcPr>
          <w:p>
            <w:pPr>
              <w:jc w:val="right"/>
              <w:ind w:right="130"/>
              <w:spacing w:after="0"/>
              <w:rPr>
                <w:sz w:val="20"/>
                <w:szCs w:val="20"/>
                <w:color w:val="auto"/>
              </w:rPr>
            </w:pPr>
            <w:r>
              <w:rPr>
                <w:rFonts w:ascii="Arial" w:cs="Arial" w:eastAsia="Arial" w:hAnsi="Arial"/>
                <w:sz w:val="18"/>
                <w:szCs w:val="18"/>
                <w:color w:val="0A0A0A"/>
              </w:rPr>
              <w:t>$</w:t>
            </w:r>
          </w:p>
        </w:tc>
        <w:tc>
          <w:tcPr>
            <w:tcW w:w="1360" w:type="dxa"/>
            <w:vAlign w:val="bottom"/>
          </w:tcPr>
          <w:p>
            <w:pPr>
              <w:jc w:val="right"/>
              <w:spacing w:after="0"/>
              <w:rPr>
                <w:sz w:val="20"/>
                <w:szCs w:val="20"/>
                <w:color w:val="auto"/>
              </w:rPr>
            </w:pPr>
            <w:r>
              <w:rPr>
                <w:rFonts w:ascii="Arial" w:cs="Arial" w:eastAsia="Arial" w:hAnsi="Arial"/>
                <w:sz w:val="18"/>
                <w:szCs w:val="18"/>
                <w:color w:val="0A0A0A"/>
              </w:rPr>
              <w:t>0.29</w:t>
            </w:r>
          </w:p>
        </w:tc>
        <w:tc>
          <w:tcPr>
            <w:tcW w:w="420" w:type="dxa"/>
            <w:vAlign w:val="bottom"/>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tcPr>
          <w:p>
            <w:pPr>
              <w:jc w:val="right"/>
              <w:ind w:right="212"/>
              <w:spacing w:after="0"/>
              <w:rPr>
                <w:sz w:val="20"/>
                <w:szCs w:val="20"/>
                <w:color w:val="auto"/>
              </w:rPr>
            </w:pPr>
            <w:r>
              <w:rPr>
                <w:rFonts w:ascii="Arial" w:cs="Arial" w:eastAsia="Arial" w:hAnsi="Arial"/>
                <w:sz w:val="18"/>
                <w:szCs w:val="18"/>
                <w:color w:val="0A0A0A"/>
              </w:rPr>
              <w:t>0.21</w:t>
            </w:r>
          </w:p>
        </w:tc>
        <w:tc>
          <w:tcPr>
            <w:tcW w:w="1500" w:type="dxa"/>
            <w:vAlign w:val="bottom"/>
          </w:tcPr>
          <w:p>
            <w:pPr>
              <w:jc w:val="right"/>
              <w:spacing w:after="0"/>
              <w:rPr>
                <w:sz w:val="20"/>
                <w:szCs w:val="20"/>
                <w:color w:val="auto"/>
              </w:rPr>
            </w:pPr>
            <w:r>
              <w:rPr>
                <w:rFonts w:ascii="Arial" w:cs="Arial" w:eastAsia="Arial" w:hAnsi="Arial"/>
                <w:sz w:val="18"/>
                <w:szCs w:val="18"/>
                <w:color w:val="0A0A0A"/>
              </w:rPr>
              <w:t>38.1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spacing w:after="0" w:line="227" w:lineRule="auto"/>
        <w:rPr>
          <w:sz w:val="20"/>
          <w:szCs w:val="20"/>
          <w:color w:val="auto"/>
        </w:rPr>
      </w:pPr>
      <w:r>
        <w:rPr>
          <w:rFonts w:ascii="Arial" w:cs="Arial" w:eastAsia="Arial" w:hAnsi="Arial"/>
          <w:sz w:val="18"/>
          <w:szCs w:val="18"/>
          <w:color w:val="0A0A0A"/>
        </w:rPr>
        <w:t>For the quarter ended September 30, 2022, Sun Country reported net income of $ 11 million and income before income tax of $13 million, on $222 million of revenue. Adjusted income before income tax for the quarter was $10 million</w:t>
      </w:r>
      <w:r>
        <w:rPr>
          <w:rFonts w:ascii="Arial" w:cs="Arial" w:eastAsia="Arial" w:hAnsi="Arial"/>
          <w:sz w:val="23"/>
          <w:szCs w:val="23"/>
          <w:color w:val="0A0A0A"/>
          <w:vertAlign w:val="superscript"/>
        </w:rPr>
        <w:t>(1)</w:t>
      </w:r>
      <w:r>
        <w:rPr>
          <w:rFonts w:ascii="Arial" w:cs="Arial" w:eastAsia="Arial" w:hAnsi="Arial"/>
          <w:sz w:val="18"/>
          <w:szCs w:val="18"/>
          <w:color w:val="0A0A0A"/>
        </w:rPr>
        <w:t>. GAAP operating income during the quarter was $15 million, producing an operating margin of 6.9%, while adjusted operating income was $16 million</w:t>
      </w:r>
      <w:r>
        <w:rPr>
          <w:rFonts w:ascii="Arial" w:cs="Arial" w:eastAsia="Arial" w:hAnsi="Arial"/>
          <w:sz w:val="23"/>
          <w:szCs w:val="23"/>
          <w:color w:val="0A0A0A"/>
          <w:vertAlign w:val="superscript"/>
        </w:rPr>
        <w:t>(1)</w:t>
      </w:r>
      <w:r>
        <w:rPr>
          <w:rFonts w:ascii="Arial" w:cs="Arial" w:eastAsia="Arial" w:hAnsi="Arial"/>
          <w:sz w:val="18"/>
          <w:szCs w:val="18"/>
          <w:color w:val="0A0A0A"/>
        </w:rPr>
        <w:t>, resulting in an adjusted operating income margin of 7.2%</w:t>
      </w:r>
      <w:r>
        <w:rPr>
          <w:rFonts w:ascii="Arial" w:cs="Arial" w:eastAsia="Arial" w:hAnsi="Arial"/>
          <w:sz w:val="23"/>
          <w:szCs w:val="23"/>
          <w:color w:val="0A0A0A"/>
          <w:vertAlign w:val="superscript"/>
        </w:rPr>
        <w:t>(1)</w:t>
      </w:r>
      <w:r>
        <w:rPr>
          <w:rFonts w:ascii="Arial" w:cs="Arial" w:eastAsia="Arial" w:hAnsi="Arial"/>
          <w:sz w:val="18"/>
          <w:szCs w:val="18"/>
          <w:color w:val="0A0A0A"/>
        </w:rPr>
        <w:t>.</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A0A0A"/>
        </w:rPr>
        <w:t>“Unit revenue has continued to strengthen throughout the quarter,” said Dave Davis, President and Chief Financial Officer. “Scheduled service TRASM</w:t>
      </w:r>
      <w:r>
        <w:rPr>
          <w:rFonts w:ascii="Arial" w:cs="Arial" w:eastAsia="Arial" w:hAnsi="Arial"/>
          <w:sz w:val="23"/>
          <w:szCs w:val="23"/>
          <w:color w:val="0A0A0A"/>
          <w:vertAlign w:val="superscript"/>
        </w:rPr>
        <w:t>(3)</w:t>
      </w:r>
      <w:r>
        <w:rPr>
          <w:rFonts w:ascii="Arial" w:cs="Arial" w:eastAsia="Arial" w:hAnsi="Arial"/>
          <w:sz w:val="18"/>
          <w:szCs w:val="18"/>
          <w:color w:val="0A0A0A"/>
        </w:rPr>
        <w:t xml:space="preserve"> increased 39% year over year and 46% versus the third quarter of 2019 while TRASM</w:t>
      </w:r>
      <w:r>
        <w:rPr>
          <w:rFonts w:ascii="Arial" w:cs="Arial" w:eastAsia="Arial" w:hAnsi="Arial"/>
          <w:sz w:val="23"/>
          <w:szCs w:val="23"/>
          <w:color w:val="0A0A0A"/>
          <w:vertAlign w:val="superscript"/>
        </w:rPr>
        <w:t>(2)</w:t>
      </w:r>
      <w:r>
        <w:rPr>
          <w:rFonts w:ascii="Arial" w:cs="Arial" w:eastAsia="Arial" w:hAnsi="Arial"/>
          <w:sz w:val="18"/>
          <w:szCs w:val="18"/>
          <w:color w:val="0A0A0A"/>
        </w:rPr>
        <w:t>, including charter revenue, increased 32% year over year and 38% versus third quarter 2019. We continue to make significant progress in expanding our pilot training pipeline and have hired 91 pilots in 2022, a 20% increase in the number of pilots at Sun Country. While we have seen substantial improvement in our training throughput, we still have work to do to generate the pilots that we need to support our growth plans. In the third quarter, we were smaller than we would like to be, putting pressure on unit costs. As we increase utilization closer to historical levels in 2023, we anticipate these pressures to ease. Third quarter performance was also impacted by Hurricane Ian, which reduced total revenue by an estimated $1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274" w:lineRule="exact"/>
        <w:rPr>
          <w:sz w:val="20"/>
          <w:szCs w:val="20"/>
          <w:color w:val="auto"/>
        </w:rPr>
      </w:pPr>
    </w:p>
    <w:p>
      <w:pPr>
        <w:jc w:val="both"/>
        <w:ind w:left="660" w:hanging="328"/>
        <w:spacing w:after="0" w:line="24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Sun Country’s board of directors has authorized management to repurchase up to $50 million worth of SNCY shares. The Company’s intent in the near term is to enter into a $25 million Accelerated Share Repurchase (ASR) agreement with our brokering bank to allow the rapid retirement of acquired shares.</w:t>
      </w:r>
    </w:p>
    <w:p>
      <w:pPr>
        <w:ind w:left="660" w:right="400" w:hanging="328"/>
        <w:spacing w:after="0" w:line="18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0A0A0A"/>
        </w:rPr>
        <w:t>Announced service to Destin-Fort Walton Beach, the 11</w:t>
      </w:r>
      <w:r>
        <w:rPr>
          <w:rFonts w:ascii="Arial" w:cs="Arial" w:eastAsia="Arial" w:hAnsi="Arial"/>
          <w:sz w:val="23"/>
          <w:szCs w:val="23"/>
          <w:color w:val="0A0A0A"/>
          <w:vertAlign w:val="superscript"/>
        </w:rPr>
        <w:t>th</w:t>
      </w:r>
      <w:r>
        <w:rPr>
          <w:rFonts w:ascii="Arial" w:cs="Arial" w:eastAsia="Arial" w:hAnsi="Arial"/>
          <w:sz w:val="18"/>
          <w:szCs w:val="18"/>
          <w:color w:val="0A0A0A"/>
        </w:rPr>
        <w:t xml:space="preserve"> nonstop destination in Florida, from Minneapolis beginning in February 2023 and Melbourne, the 12</w:t>
      </w:r>
      <w:r>
        <w:rPr>
          <w:rFonts w:ascii="Arial" w:cs="Arial" w:eastAsia="Arial" w:hAnsi="Arial"/>
          <w:sz w:val="23"/>
          <w:szCs w:val="23"/>
          <w:color w:val="0A0A0A"/>
          <w:vertAlign w:val="superscript"/>
        </w:rPr>
        <w:t>th</w:t>
      </w:r>
      <w:r>
        <w:rPr>
          <w:rFonts w:ascii="Arial" w:cs="Arial" w:eastAsia="Arial" w:hAnsi="Arial"/>
          <w:sz w:val="18"/>
          <w:szCs w:val="18"/>
          <w:color w:val="0A0A0A"/>
        </w:rPr>
        <w:t xml:space="preserve"> nonstop destination in Florida beginning in February 2023.</w:t>
      </w:r>
    </w:p>
    <w:p>
      <w:pPr>
        <w:spacing w:after="0" w:line="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Announced the expansion of service to Orlando, Florida from Eau Claire, Green Bay, and Madison, Wisconsin beginning in April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A0A0A"/>
        </w:rPr>
        <w:t>System block hours flown during the third quarter of 2022 grew by 2% year over year. Training issues still challenged growth in our scheduled service flying with scheduled service block hours declining 2% year over year. Both cargo and charter block hours grew 2% and 21% respectively year over year.</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A0A0A"/>
        </w:rPr>
        <w:t>Charter block hours under long-term contracts continue to remain the bulk of the charter flying performed in the third quarter. This comprised 80% of total charter flying versus 92% in the second quarter of 2022. As the Company begins to normalize its aircraft utilization, it should be able to pursue more ad-hoc charter flying.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4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0A0A0A"/>
        </w:rPr>
        <w:t xml:space="preserve">For the third quarter of 2022, the Company reported total revenue of $222 million, which was 28% more than the third quarter of 2021. </w:t>
      </w:r>
      <w:r>
        <w:rPr>
          <w:rFonts w:ascii="Arial" w:cs="Arial" w:eastAsia="Arial" w:hAnsi="Arial"/>
          <w:sz w:val="18"/>
          <w:szCs w:val="18"/>
          <w:color w:val="000000"/>
        </w:rPr>
        <w:t>The</w:t>
      </w:r>
      <w:r>
        <w:rPr>
          <w:rFonts w:ascii="Arial" w:cs="Arial" w:eastAsia="Arial" w:hAnsi="Arial"/>
          <w:sz w:val="18"/>
          <w:szCs w:val="18"/>
          <w:color w:val="0A0A0A"/>
        </w:rPr>
        <w:t xml:space="preserve"> </w:t>
      </w:r>
      <w:r>
        <w:rPr>
          <w:rFonts w:ascii="Arial" w:cs="Arial" w:eastAsia="Arial" w:hAnsi="Arial"/>
          <w:sz w:val="18"/>
          <w:szCs w:val="18"/>
          <w:color w:val="000000"/>
        </w:rPr>
        <w:t>Company’s scheduled service TRASM</w:t>
      </w:r>
      <w:r>
        <w:rPr>
          <w:rFonts w:ascii="Arial" w:cs="Arial" w:eastAsia="Arial" w:hAnsi="Arial"/>
          <w:sz w:val="23"/>
          <w:szCs w:val="23"/>
          <w:color w:val="000000"/>
          <w:vertAlign w:val="superscript"/>
        </w:rPr>
        <w:t>(3)</w:t>
      </w:r>
      <w:r>
        <w:rPr>
          <w:rFonts w:ascii="Arial" w:cs="Arial" w:eastAsia="Arial" w:hAnsi="Arial"/>
          <w:sz w:val="18"/>
          <w:szCs w:val="18"/>
          <w:color w:val="000000"/>
        </w:rPr>
        <w:t xml:space="preserve"> of 12.3 cents in the </w:t>
      </w:r>
      <w:r>
        <w:rPr>
          <w:rFonts w:ascii="Arial" w:cs="Arial" w:eastAsia="Arial" w:hAnsi="Arial"/>
          <w:sz w:val="18"/>
          <w:szCs w:val="18"/>
          <w:color w:val="0A0A0A"/>
        </w:rPr>
        <w:t>third</w:t>
      </w:r>
      <w:r>
        <w:rPr>
          <w:rFonts w:ascii="Arial" w:cs="Arial" w:eastAsia="Arial" w:hAnsi="Arial"/>
          <w:sz w:val="18"/>
          <w:szCs w:val="18"/>
          <w:color w:val="000000"/>
        </w:rPr>
        <w:t xml:space="preserve"> quarter of 2022 increased 39% year over year while scheduled service ASMs decreased 3%. The third quarter 2022 total fare of $168 exceeded </w:t>
      </w:r>
      <w:r>
        <w:rPr>
          <w:rFonts w:ascii="Arial" w:cs="Arial" w:eastAsia="Arial" w:hAnsi="Arial"/>
          <w:sz w:val="18"/>
          <w:szCs w:val="18"/>
          <w:color w:val="0A0A0A"/>
        </w:rPr>
        <w:t>third</w:t>
      </w:r>
      <w:r>
        <w:rPr>
          <w:rFonts w:ascii="Arial" w:cs="Arial" w:eastAsia="Arial" w:hAnsi="Arial"/>
          <w:sz w:val="18"/>
          <w:szCs w:val="18"/>
          <w:color w:val="000000"/>
        </w:rPr>
        <w:t xml:space="preserve"> quarter 2021 by 16% and included strong ancillary revenue per passenger of $55.</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Charter service revenue is primarily generated through service provided to collegiate and professional sports teams, the U.S. Department of Defense, casinos, and other customers. In the third quarter of 2022, the Company’s charter service revenue was $43 million, an increase of 27% year over year. On a rate basis, </w:t>
      </w:r>
      <w:r>
        <w:rPr>
          <w:rFonts w:ascii="Arial" w:cs="Arial" w:eastAsia="Arial" w:hAnsi="Arial"/>
          <w:sz w:val="18"/>
          <w:szCs w:val="18"/>
          <w:color w:val="0A0A0A"/>
        </w:rPr>
        <w:t>third</w:t>
      </w:r>
      <w:r>
        <w:rPr>
          <w:rFonts w:ascii="Arial" w:cs="Arial" w:eastAsia="Arial" w:hAnsi="Arial"/>
          <w:sz w:val="18"/>
          <w:szCs w:val="18"/>
          <w:color w:val="auto"/>
        </w:rPr>
        <w:t xml:space="preserve"> quarter 2022 charter revenue per block hour was 5% higher than the rate in the </w:t>
      </w:r>
      <w:r>
        <w:rPr>
          <w:rFonts w:ascii="Arial" w:cs="Arial" w:eastAsia="Arial" w:hAnsi="Arial"/>
          <w:sz w:val="18"/>
          <w:szCs w:val="18"/>
          <w:color w:val="0A0A0A"/>
        </w:rPr>
        <w:t>third</w:t>
      </w:r>
      <w:r>
        <w:rPr>
          <w:rFonts w:ascii="Arial" w:cs="Arial" w:eastAsia="Arial" w:hAnsi="Arial"/>
          <w:sz w:val="18"/>
          <w:szCs w:val="18"/>
          <w:color w:val="auto"/>
        </w:rPr>
        <w:t xml:space="preserve"> quarter of 2021.</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Cargo revenue consists of revenue earned from flying cargo aircraft under the Air Transportation Services Agreement (“ATSA”) with Amazon. In the third quarter of 2022, cargo revenue was $24 million, a 3% decrease versus the third quarter of 2021. The variance was primarily driven by a revenue benefit recognized in the prior year, slightly offset by a 2% increase in block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3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A0A0A"/>
        </w:rPr>
        <w:t>Cost</w:t>
      </w:r>
    </w:p>
    <w:p>
      <w:pPr>
        <w:spacing w:after="0" w:line="24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0A0A0A"/>
        </w:rPr>
        <w:t>For the third quarter of 2022, total GAAP operating expenses increased 35% year over year, primarily due to a 77% increase in aircraft fuel expense in the quarter. Adjusted CASM</w:t>
      </w:r>
      <w:r>
        <w:rPr>
          <w:rFonts w:ascii="Arial" w:cs="Arial" w:eastAsia="Arial" w:hAnsi="Arial"/>
          <w:sz w:val="23"/>
          <w:szCs w:val="23"/>
          <w:color w:val="0A0A0A"/>
          <w:vertAlign w:val="superscript"/>
        </w:rPr>
        <w:t>(1)</w:t>
      </w:r>
      <w:r>
        <w:rPr>
          <w:rFonts w:ascii="Arial" w:cs="Arial" w:eastAsia="Arial" w:hAnsi="Arial"/>
          <w:sz w:val="18"/>
          <w:szCs w:val="18"/>
          <w:color w:val="0A0A0A"/>
        </w:rPr>
        <w:t xml:space="preserve"> in the third quarter increased 18% versus the third quarter 2021 on flat total ASMs and a decrease in daily aircraft utilization of 9% for the same period. Third quarter 2022 was also impacted by the new pilot agreement that was signed at the end of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0A0A0A"/>
        </w:rPr>
        <w:t>Total liquidity</w:t>
      </w:r>
      <w:r>
        <w:rPr>
          <w:rFonts w:ascii="Arial" w:cs="Arial" w:eastAsia="Arial" w:hAnsi="Arial"/>
          <w:sz w:val="23"/>
          <w:szCs w:val="23"/>
          <w:color w:val="0A0A0A"/>
          <w:vertAlign w:val="superscript"/>
        </w:rPr>
        <w:t>(6)</w:t>
      </w:r>
      <w:r>
        <w:rPr>
          <w:rFonts w:ascii="Arial" w:cs="Arial" w:eastAsia="Arial" w:hAnsi="Arial"/>
          <w:sz w:val="18"/>
          <w:szCs w:val="18"/>
          <w:color w:val="0A0A0A"/>
        </w:rPr>
        <w:t xml:space="preserve"> was $285 million on September 30, 2022, while the Company’s net debt</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was $393 million.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6"/>
                <w:szCs w:val="16"/>
                <w:color w:val="auto"/>
              </w:rPr>
            </w:pPr>
          </w:p>
        </w:tc>
        <w:tc>
          <w:tcPr>
            <w:tcW w:w="1940" w:type="dxa"/>
            <w:vAlign w:val="bottom"/>
          </w:tcPr>
          <w:p>
            <w:pPr>
              <w:jc w:val="right"/>
              <w:ind w:right="393"/>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6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7"/>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04"/>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7"/>
                <w:szCs w:val="17"/>
                <w:color w:val="auto"/>
              </w:rPr>
            </w:pPr>
          </w:p>
        </w:tc>
        <w:tc>
          <w:tcPr>
            <w:tcW w:w="1940" w:type="dxa"/>
            <w:vAlign w:val="bottom"/>
          </w:tcPr>
          <w:p>
            <w:pPr>
              <w:jc w:val="right"/>
              <w:ind w:right="393"/>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6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8"/>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192.2</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September 30, 2022, the Company had 42 aircraft in its passenger service fleet, and operated 12 freighter aircraft in its cargo operation.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Fourth Quarter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center"/>
              <w:ind w:left="1333"/>
              <w:spacing w:after="0"/>
              <w:rPr>
                <w:sz w:val="20"/>
                <w:szCs w:val="20"/>
                <w:color w:val="auto"/>
              </w:rPr>
            </w:pPr>
            <w:r>
              <w:rPr>
                <w:rFonts w:ascii="Arial" w:cs="Arial" w:eastAsia="Arial" w:hAnsi="Arial"/>
                <w:sz w:val="14"/>
                <w:szCs w:val="14"/>
                <w:b w:val="1"/>
                <w:bCs w:val="1"/>
                <w:color w:val="0A0A0A"/>
              </w:rPr>
              <w:t>Q4 2022</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Q4 2021</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$220 to $230</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27% to 33%</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7"/>
              </w:rPr>
              <w:t>$3.75</w:t>
            </w:r>
          </w:p>
        </w:tc>
        <w:tc>
          <w:tcPr>
            <w:tcW w:w="2340" w:type="dxa"/>
            <w:vAlign w:val="bottom"/>
          </w:tcPr>
          <w:p>
            <w:pPr>
              <w:spacing w:after="0"/>
              <w:rPr>
                <w:sz w:val="19"/>
                <w:szCs w:val="19"/>
                <w:color w:val="auto"/>
              </w:rPr>
            </w:pP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4% to 8%</w:t>
            </w:r>
          </w:p>
        </w:tc>
        <w:tc>
          <w:tcPr>
            <w:tcW w:w="2340" w:type="dxa"/>
            <w:vAlign w:val="bottom"/>
            <w:shd w:val="clear" w:color="auto" w:fill="CCEEFF"/>
          </w:tcPr>
          <w:p>
            <w:pPr>
              <w:spacing w:after="0"/>
              <w:rPr>
                <w:sz w:val="19"/>
                <w:szCs w:val="19"/>
                <w:color w:val="auto"/>
              </w:rPr>
            </w:pP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9"/>
              </w:rPr>
              <w:t>23%</w:t>
            </w:r>
          </w:p>
        </w:tc>
        <w:tc>
          <w:tcPr>
            <w:tcW w:w="2340" w:type="dxa"/>
            <w:vAlign w:val="bottom"/>
          </w:tcPr>
          <w:p>
            <w:pPr>
              <w:spacing w:after="0"/>
              <w:rPr>
                <w:sz w:val="19"/>
                <w:szCs w:val="19"/>
                <w:color w:val="auto"/>
              </w:rPr>
            </w:pP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32 to 33</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8"/>
              </w:rPr>
              <w:t>9% to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27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4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0A0A0A"/>
        </w:rPr>
        <w:t xml:space="preserve">Sun Country Airlines will host a conference call to discuss its third quarter 2022 results at 4:30 p.m. Eastern Time on Tuesday, November 1, 2022.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r>
        <w:rPr>
          <w:rFonts w:ascii="Arial" w:cs="Arial" w:eastAsia="Arial" w:hAnsi="Arial"/>
          <w:sz w:val="18"/>
          <w:szCs w:val="18"/>
          <w:color w:val="026DCE"/>
        </w:rPr>
        <w:t xml:space="preserve"> </w:t>
      </w:r>
      <w:r>
        <w:rPr>
          <w:rFonts w:ascii="Arial" w:cs="Arial" w:eastAsia="Arial" w:hAnsi="Arial"/>
          <w:sz w:val="18"/>
          <w:szCs w:val="18"/>
          <w:color w:val="000000"/>
        </w:rPr>
        <w:t>hour after the call. The conference call can also be listened to live by accessing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26DCE"/>
        </w:rPr>
        <w:t>https://register.vevent.com/register/BI679d9e5501af453b94af349d8dfc9784</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Canada, and the Caribbean.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ectPr>
          <w:pgSz w:w="11900" w:h="16838" w:orient="portrait"/>
          <w:cols w:equalWidth="0" w:num="1">
            <w:col w:w="11240"/>
          </w:cols>
          <w:pgMar w:left="320" w:top="1278" w:right="339" w:bottom="1440" w:gutter="0" w:footer="0" w:header="0"/>
        </w:sectPr>
      </w:pPr>
    </w:p>
    <w:p>
      <w:pPr>
        <w:spacing w:after="0" w:line="85"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2 -</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3 -</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5 -</w:t>
      </w:r>
    </w:p>
    <w:p>
      <w:pPr>
        <w:spacing w:after="0" w:line="252"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3360"/>
        <w:spacing w:after="0" w:line="297" w:lineRule="auto"/>
        <w:rPr>
          <w:sz w:val="20"/>
          <w:szCs w:val="20"/>
          <w:color w:val="auto"/>
        </w:rPr>
      </w:pPr>
      <w:r>
        <w:rPr>
          <w:rFonts w:ascii="Arial" w:cs="Arial" w:eastAsia="Arial" w:hAnsi="Arial"/>
          <w:sz w:val="18"/>
          <w:szCs w:val="18"/>
          <w:color w:val="0A0A0A"/>
        </w:rPr>
        <w:t>See additional details in the tables below in the section titled “</w:t>
      </w:r>
      <w:r>
        <w:rPr>
          <w:rFonts w:ascii="Arial" w:cs="Arial" w:eastAsia="Arial" w:hAnsi="Arial"/>
          <w:sz w:val="18"/>
          <w:szCs w:val="18"/>
          <w:color w:val="000000"/>
        </w:rPr>
        <w:t>Non-GAAP financial measures”</w:t>
      </w:r>
      <w:r>
        <w:rPr>
          <w:rFonts w:ascii="Arial" w:cs="Arial" w:eastAsia="Arial" w:hAnsi="Arial"/>
          <w:sz w:val="18"/>
          <w:szCs w:val="18"/>
          <w:color w:val="0A0A0A"/>
        </w:rPr>
        <w:t xml:space="preserve"> </w:t>
      </w:r>
      <w:r>
        <w:rPr>
          <w:rFonts w:ascii="Arial" w:cs="Arial" w:eastAsia="Arial" w:hAnsi="Arial"/>
          <w:sz w:val="18"/>
          <w:szCs w:val="18"/>
          <w:color w:val="000000"/>
        </w:rPr>
        <w:t>Total system TRASM = total revenue – cargo revenue / system ASMs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Scheduled service TRASM = scheduled service revenue + ancillary revenue + other revenue / scheduled service ASMs</w:t>
      </w:r>
    </w:p>
    <w:p>
      <w:pPr>
        <w:spacing w:after="0" w:line="50"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0A0A0A"/>
        </w:rPr>
        <w:t>Adjusted CASM is a non-GAAP measure derived from CASM by excluding fuel costs, Special Items, non-cash management stock compensation expense, costs arising from its cargo operations (began in 2020 when the Company launched cargo operations), certain commissions, and other costs of selling its vacations product from this measure. See table titled “</w:t>
      </w:r>
      <w:r>
        <w:rPr>
          <w:rFonts w:ascii="Arial" w:cs="Arial" w:eastAsia="Arial" w:hAnsi="Arial"/>
          <w:sz w:val="18"/>
          <w:szCs w:val="18"/>
          <w:color w:val="000000"/>
        </w:rPr>
        <w:t>Reconciliation of Adjusted</w:t>
      </w:r>
      <w:r>
        <w:rPr>
          <w:rFonts w:ascii="Arial" w:cs="Arial" w:eastAsia="Arial" w:hAnsi="Arial"/>
          <w:sz w:val="18"/>
          <w:szCs w:val="18"/>
          <w:color w:val="0A0A0A"/>
        </w:rPr>
        <w:t xml:space="preserve"> </w:t>
      </w:r>
      <w:r>
        <w:rPr>
          <w:rFonts w:ascii="Arial" w:cs="Arial" w:eastAsia="Arial" w:hAnsi="Arial"/>
          <w:sz w:val="18"/>
          <w:szCs w:val="18"/>
          <w:color w:val="000000"/>
        </w:rPr>
        <w:t>CASM to CASM”</w:t>
      </w:r>
    </w:p>
    <w:p>
      <w:pPr>
        <w:spacing w:after="0" w:line="43"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50"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Certain prior period amounts have been revised to correct an immaterial change related to the application of the Company’s accounting for its aircraft transactions, as reflected in our Quarterly Report on Form 10-Q.</w:t>
      </w:r>
    </w:p>
    <w:p>
      <w:pPr>
        <w:spacing w:after="0" w:line="200" w:lineRule="exact"/>
        <w:rPr>
          <w:sz w:val="20"/>
          <w:szCs w:val="20"/>
          <w:color w:val="auto"/>
        </w:rPr>
      </w:pPr>
    </w:p>
    <w:p>
      <w:pPr>
        <w:sectPr>
          <w:pgSz w:w="11900" w:h="16838" w:orient="portrait"/>
          <w:cols w:equalWidth="0" w:num="2">
            <w:col w:w="240" w:space="240"/>
            <w:col w:w="10760"/>
          </w:cols>
          <w:pgMar w:left="320" w:top="1278"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651-681-4810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A0A0A"/>
        </w:rPr>
        <w:t>Wendy Burt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651-900-8400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40"/>
          </w:cols>
          <w:pgMar w:left="320" w:top="127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208"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 on Form 10-Q, and Current Reports on Form 8-K.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305"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60" w:type="dxa"/>
            <w:vAlign w:val="bottom"/>
            <w:gridSpan w:val="5"/>
          </w:tcPr>
          <w:p>
            <w:pPr>
              <w:ind w:left="300"/>
              <w:spacing w:after="0"/>
              <w:rPr>
                <w:sz w:val="20"/>
                <w:szCs w:val="20"/>
                <w:color w:val="auto"/>
              </w:rPr>
            </w:pPr>
            <w:r>
              <w:rPr>
                <w:rFonts w:ascii="Arial" w:cs="Arial" w:eastAsia="Arial" w:hAnsi="Arial"/>
                <w:sz w:val="14"/>
                <w:szCs w:val="14"/>
                <w:b w:val="1"/>
                <w:bCs w:val="1"/>
                <w:color w:val="0A0A0A"/>
              </w:rPr>
              <w:t>Three Months Ended September 30,</w:t>
            </w:r>
          </w:p>
        </w:tc>
        <w:tc>
          <w:tcPr>
            <w:tcW w:w="1880" w:type="dxa"/>
            <w:vAlign w:val="bottom"/>
          </w:tcPr>
          <w:p>
            <w:pPr>
              <w:spacing w:after="0"/>
              <w:rPr>
                <w:sz w:val="16"/>
                <w:szCs w:val="16"/>
                <w:color w:val="auto"/>
              </w:rPr>
            </w:pPr>
          </w:p>
        </w:tc>
      </w:tr>
      <w:tr>
        <w:trPr>
          <w:trHeight w:val="215"/>
        </w:trPr>
        <w:tc>
          <w:tcPr>
            <w:tcW w:w="5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2022</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102,200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80,212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27.4</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 Service</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33,809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26.9</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33,697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49.2</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147,718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32.3</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23,687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24,400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(2.9)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2,653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1,545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71.7</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173,663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27.7</w:t>
            </w:r>
          </w:p>
        </w:tc>
      </w:tr>
      <w:tr>
        <w:trPr>
          <w:trHeight w:val="250"/>
        </w:trPr>
        <w:tc>
          <w:tcPr>
            <w:tcW w:w="5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36,647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76.9</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58,661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43,424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3,925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9,660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5,470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14,710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16.8</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7,873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12,069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Special Items, net</w:t>
            </w:r>
          </w:p>
        </w:tc>
        <w:tc>
          <w:tcPr>
            <w:tcW w:w="4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Operating, net</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18,629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Operating Expenses</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152,342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35.4</w:t>
            </w: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Operating Income</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21,321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(27.8)</w:t>
            </w:r>
          </w:p>
        </w:tc>
      </w:tr>
      <w:tr>
        <w:trPr>
          <w:trHeight w:val="196"/>
        </w:trPr>
        <w:tc>
          <w:tcPr>
            <w:tcW w:w="5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Income</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Expense</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(6,286)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net</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456</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Non-operating Expense, net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(5,802)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03"/>
        </w:trPr>
        <w:tc>
          <w:tcPr>
            <w:tcW w:w="53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Income before Income Tax</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2,140</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36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13,379</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5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0.23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0.22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Shares used for computation:</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58,146,606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57,355,104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60,793,516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61,712,378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20"/>
          </w:cols>
          <w:pgMar w:left="320" w:top="1332" w:right="359" w:bottom="1440" w:gutter="0" w:footer="0" w:header="0"/>
        </w:sectPr>
      </w:pPr>
    </w:p>
    <w:bookmarkStart w:id="9" w:name="page10"/>
    <w:bookmarkEnd w:id="9"/>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gridSpan w:val="5"/>
          </w:tcPr>
          <w:p>
            <w:pPr>
              <w:ind w:left="320"/>
              <w:spacing w:after="0"/>
              <w:rPr>
                <w:sz w:val="20"/>
                <w:szCs w:val="20"/>
                <w:color w:val="auto"/>
              </w:rPr>
            </w:pPr>
            <w:r>
              <w:rPr>
                <w:rFonts w:ascii="Arial" w:cs="Arial" w:eastAsia="Arial" w:hAnsi="Arial"/>
                <w:sz w:val="14"/>
                <w:szCs w:val="14"/>
                <w:b w:val="1"/>
                <w:bCs w:val="1"/>
                <w:color w:val="0A0A0A"/>
              </w:rPr>
              <w:t>Nine Months Ended September 30,</w:t>
            </w:r>
          </w:p>
        </w:tc>
        <w:tc>
          <w:tcPr>
            <w:tcW w:w="1880" w:type="dxa"/>
            <w:vAlign w:val="bottom"/>
          </w:tcPr>
          <w:p>
            <w:pPr>
              <w:spacing w:after="0"/>
              <w:rPr>
                <w:sz w:val="16"/>
                <w:szCs w:val="16"/>
                <w:color w:val="auto"/>
              </w:rPr>
            </w:pPr>
          </w:p>
        </w:tc>
      </w:tr>
      <w:tr>
        <w:trPr>
          <w:trHeight w:val="215"/>
        </w:trPr>
        <w:tc>
          <w:tcPr>
            <w:tcW w:w="5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2022</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334,679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201,905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65.8</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 Service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88,511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33.9</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86,626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61.1</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377,042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57.2</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65,930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68,084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(3.2)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8,607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5,338</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61.2</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450,464</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48.1</w:t>
            </w:r>
          </w:p>
        </w:tc>
      </w:tr>
      <w:tr>
        <w:trPr>
          <w:trHeight w:val="250"/>
        </w:trPr>
        <w:tc>
          <w:tcPr>
            <w:tcW w:w="5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90,631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127.7</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178,576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129,815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13,339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35,794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30,170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16,402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41,532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18.9</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19,654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32,708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29,606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Special Items, net</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(72,419)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Operating,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50,026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Operating Expenses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348,756</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79.7</w:t>
            </w: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Operating Income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101,708</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(60.1)</w:t>
            </w:r>
          </w:p>
        </w:tc>
      </w:tr>
      <w:tr>
        <w:trPr>
          <w:trHeight w:val="196"/>
        </w:trPr>
        <w:tc>
          <w:tcPr>
            <w:tcW w:w="5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Income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Expense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(19,487)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18,505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Non-operating Expense, net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(26,087)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(930)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03"/>
        </w:trPr>
        <w:tc>
          <w:tcPr>
            <w:tcW w:w="53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Income before Income Tax</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100,778</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r>
      <w:tr>
        <w:trPr>
          <w:trHeight w:val="22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Income Tax Expense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18,444</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23"/>
        </w:trPr>
        <w:tc>
          <w:tcPr>
            <w:tcW w:w="536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82,334</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5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1.51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1.40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Shares used for computation: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58,039,201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54,368,231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61,372,735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58,699,991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ectPr>
          <w:pgSz w:w="11900" w:h="16838" w:orient="portrait"/>
          <w:cols w:equalWidth="0" w:num="1">
            <w:col w:w="11220"/>
          </w:cols>
          <w:pgMar w:left="320" w:top="13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20"/>
          </w:cols>
          <w:pgMar w:left="320" w:top="1332" w:right="35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29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statistics and metrics for the three and nine months ended September 30, 2022 and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4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0A0A0A"/>
              </w:rPr>
              <w:t>Three Months Ended September 30,</w:t>
            </w:r>
          </w:p>
        </w:tc>
        <w:tc>
          <w:tcPr>
            <w:tcW w:w="1660" w:type="dxa"/>
            <w:vAlign w:val="bottom"/>
          </w:tcPr>
          <w:p>
            <w:pPr>
              <w:spacing w:after="0"/>
              <w:rPr>
                <w:sz w:val="16"/>
                <w:szCs w:val="16"/>
                <w:color w:val="auto"/>
              </w:rPr>
            </w:pPr>
          </w:p>
        </w:tc>
      </w:tr>
      <w:tr>
        <w:trPr>
          <w:trHeight w:val="215"/>
        </w:trPr>
        <w:tc>
          <w:tcPr>
            <w:tcW w:w="4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1,101,011</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1,011,936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8.8</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1,256,755</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1,296,555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87.6%</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78.0%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9.6</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908,967</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785,348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15.7</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5,611</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5,533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1.4</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17,313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8.90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38.7</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102.14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55.29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42.91</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28.9</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13,475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(0.9)</w:t>
            </w:r>
          </w:p>
        </w:tc>
      </w:tr>
      <w:tr>
        <w:trPr>
          <w:trHeight w:val="270"/>
        </w:trPr>
        <w:tc>
          <w:tcPr>
            <w:tcW w:w="4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2,359</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1,798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31.2</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3,835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20.5</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286,189</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244,393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17.1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2,760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10.7</w:t>
            </w:r>
          </w:p>
        </w:tc>
      </w:tr>
      <w:tr>
        <w:trPr>
          <w:trHeight w:val="270"/>
        </w:trPr>
        <w:tc>
          <w:tcPr>
            <w:tcW w:w="4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Cargo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3,043</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2,912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4.5</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8,533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w:t>
            </w:r>
          </w:p>
        </w:tc>
      </w:tr>
      <w:tr>
        <w:trPr>
          <w:trHeight w:val="270"/>
        </w:trPr>
        <w:tc>
          <w:tcPr>
            <w:tcW w:w="4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Average passenger aircraft</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32.9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11.9</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Passenger aircraft – end of period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1,553,483</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1,549,432</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0.3</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11,072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10,299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7.5</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29,842</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(8.6)</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1,155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(8.7)</w:t>
            </w:r>
          </w:p>
        </w:tc>
      </w:tr>
      <w:tr>
        <w:trPr>
          <w:trHeight w:val="229"/>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Total revenue per ASM (TRASM)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12.75</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9.63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32.4</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9.83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35.1</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Adjusted CASM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7.55</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6.39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18.2</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16,321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Fuel cost per gallon, excluding derivatives</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2.24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75.4</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2,014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 Scheduled service TRASM = scheduled service revenue + ancillary revenue + other revenue / scheduled service ASMs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Total system TRASM = total revenue – cargo revenue / system ASMs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100"/>
          </w:cols>
          <w:pgMar w:left="320" w:top="1102" w:right="47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03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20" w:type="dxa"/>
            <w:vAlign w:val="bottom"/>
            <w:gridSpan w:val="3"/>
          </w:tcPr>
          <w:p>
            <w:pPr>
              <w:jc w:val="right"/>
              <w:ind w:right="871"/>
              <w:spacing w:after="0"/>
              <w:rPr>
                <w:sz w:val="20"/>
                <w:szCs w:val="20"/>
                <w:color w:val="auto"/>
              </w:rPr>
            </w:pPr>
            <w:r>
              <w:rPr>
                <w:rFonts w:ascii="Arial" w:cs="Arial" w:eastAsia="Arial" w:hAnsi="Arial"/>
                <w:sz w:val="14"/>
                <w:szCs w:val="14"/>
                <w:b w:val="1"/>
                <w:bCs w:val="1"/>
                <w:color w:val="0A0A0A"/>
              </w:rPr>
              <w:t>Nine Months Ended September 30,</w:t>
            </w:r>
          </w:p>
        </w:tc>
        <w:tc>
          <w:tcPr>
            <w:tcW w:w="1660" w:type="dxa"/>
            <w:vAlign w:val="bottom"/>
          </w:tcPr>
          <w:p>
            <w:pPr>
              <w:spacing w:after="0"/>
              <w:rPr>
                <w:sz w:val="16"/>
                <w:szCs w:val="16"/>
                <w:color w:val="auto"/>
              </w:rPr>
            </w:pPr>
          </w:p>
        </w:tc>
      </w:tr>
      <w:tr>
        <w:trPr>
          <w:trHeight w:val="215"/>
        </w:trPr>
        <w:tc>
          <w:tcPr>
            <w:tcW w:w="4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Scheduled Service Statistics: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Revenue passenger miles (RPMs) – thousands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3,565,501</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2,705,969</w:t>
            </w:r>
          </w:p>
        </w:tc>
        <w:tc>
          <w:tcPr>
            <w:tcW w:w="16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 seat miles (ASMs) – thousands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4,284,403</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3,653,335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Load factor</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74.1%</w:t>
            </w:r>
          </w:p>
        </w:tc>
        <w:tc>
          <w:tcPr>
            <w:tcW w:w="1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passengers carried</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2,715,707</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2,038,399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Departures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17,512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14,777</w:t>
            </w:r>
          </w:p>
        </w:tc>
        <w:tc>
          <w:tcPr>
            <w:tcW w:w="16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Block hours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57,585</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48,420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4660" w:type="dxa"/>
            <w:vAlign w:val="bottom"/>
          </w:tcPr>
          <w:p>
            <w:pPr>
              <w:ind w:left="14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11.27</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8.04</w:t>
            </w:r>
          </w:p>
        </w:tc>
        <w:tc>
          <w:tcPr>
            <w:tcW w:w="16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base fare per passenger</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99.05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Ancillary revenue per passenger</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51.39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42.50</w:t>
            </w:r>
          </w:p>
        </w:tc>
        <w:tc>
          <w:tcPr>
            <w:tcW w:w="16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gallons - thousands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37,299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70"/>
        </w:trPr>
        <w:tc>
          <w:tcPr>
            <w:tcW w:w="4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6,214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5,036</w:t>
            </w:r>
          </w:p>
        </w:tc>
        <w:tc>
          <w:tcPr>
            <w:tcW w:w="16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10,822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800,698</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693,837</w:t>
            </w:r>
          </w:p>
        </w:tc>
        <w:tc>
          <w:tcPr>
            <w:tcW w:w="16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7,739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4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Cargo Statistics: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8,310</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8,229</w:t>
            </w: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24,973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4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Average passenger aircraft</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31.7</w:t>
            </w:r>
          </w:p>
        </w:tc>
        <w:tc>
          <w:tcPr>
            <w:tcW w:w="16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Passenger aircraft – end of period</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5,114,134</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4,368,972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32,246</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28,196</w:t>
            </w:r>
          </w:p>
        </w:tc>
        <w:tc>
          <w:tcPr>
            <w:tcW w:w="16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84,648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6.9</w:t>
            </w:r>
          </w:p>
        </w:tc>
        <w:tc>
          <w:tcPr>
            <w:tcW w:w="1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1,199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660" w:type="dxa"/>
            <w:vAlign w:val="bottom"/>
          </w:tcPr>
          <w:p>
            <w:pPr>
              <w:ind w:left="80"/>
              <w:spacing w:after="0" w:line="230" w:lineRule="exact"/>
              <w:rPr>
                <w:sz w:val="20"/>
                <w:szCs w:val="20"/>
                <w:color w:val="auto"/>
              </w:rPr>
            </w:pPr>
            <w:r>
              <w:rPr>
                <w:rFonts w:ascii="Arial" w:cs="Arial" w:eastAsia="Arial" w:hAnsi="Arial"/>
                <w:sz w:val="18"/>
                <w:szCs w:val="18"/>
                <w:color w:val="auto"/>
              </w:rPr>
              <w:t>Total revenue per ASM (TRASM)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11.76</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8.75</w:t>
            </w:r>
          </w:p>
        </w:tc>
        <w:tc>
          <w:tcPr>
            <w:tcW w:w="166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7.98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Adjusted CASM - cents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6.91</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6.32</w:t>
            </w:r>
          </w:p>
        </w:tc>
        <w:tc>
          <w:tcPr>
            <w:tcW w:w="16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45,269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Fuel cost per gallon, excluding derivatives</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2.08</w:t>
            </w:r>
          </w:p>
        </w:tc>
        <w:tc>
          <w:tcPr>
            <w:tcW w:w="166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2,014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 Scheduled service TRASM = scheduled service revenue + ancillary revenue + other revenue / scheduled service ASMs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Total system TRASM = total revenue – cargo revenue / system ASMs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100"/>
          </w:cols>
          <w:pgMar w:left="320" w:top="1102" w:right="479" w:bottom="1440" w:gutter="0" w:footer="0" w:header="0"/>
        </w:sectPr>
      </w:pPr>
    </w:p>
    <w:bookmarkStart w:id="12" w:name="page13"/>
    <w:bookmarkEnd w:id="12"/>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r>
              <w:rPr>
                <w:rFonts w:ascii="Arial" w:cs="Arial" w:eastAsia="Arial" w:hAnsi="Arial"/>
                <w:sz w:val="18"/>
                <w:szCs w:val="18"/>
                <w:b w:val="1"/>
                <w:bCs w:val="1"/>
                <w:color w:val="auto"/>
                <w:vertAlign w:val="superscript"/>
              </w:rPr>
              <w:t>(7)</w:t>
            </w:r>
          </w:p>
        </w:tc>
        <w:tc>
          <w:tcPr>
            <w:tcW w:w="1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198"/>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6"/>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r>
      <w:tr>
        <w:trPr>
          <w:trHeight w:val="223"/>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16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516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5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16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30"/>
        </w:trPr>
        <w:tc>
          <w:tcPr>
            <w:tcW w:w="516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Liabilities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0A0A0A"/>
              </w:rPr>
              <w:t>Total Current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5160" w:type="dxa"/>
            <w:vAlign w:val="bottom"/>
          </w:tcPr>
          <w:p>
            <w:pPr>
              <w:ind w:left="80"/>
              <w:spacing w:after="0"/>
              <w:rPr>
                <w:sz w:val="20"/>
                <w:szCs w:val="20"/>
                <w:color w:val="auto"/>
              </w:rPr>
            </w:pPr>
            <w:r>
              <w:rPr>
                <w:rFonts w:ascii="Arial" w:cs="Arial" w:eastAsia="Arial" w:hAnsi="Arial"/>
                <w:sz w:val="18"/>
                <w:szCs w:val="18"/>
                <w:color w:val="0A0A0A"/>
              </w:rPr>
              <w:t>Finance Lease Obligations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Lease Obligations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5160" w:type="dxa"/>
            <w:vAlign w:val="bottom"/>
          </w:tcPr>
          <w:p>
            <w:pPr>
              <w:ind w:left="80"/>
              <w:spacing w:after="0"/>
              <w:rPr>
                <w:sz w:val="20"/>
                <w:szCs w:val="20"/>
                <w:color w:val="auto"/>
              </w:rPr>
            </w:pPr>
            <w:r>
              <w:rPr>
                <w:rFonts w:ascii="Arial" w:cs="Arial" w:eastAsia="Arial" w:hAnsi="Arial"/>
                <w:sz w:val="18"/>
                <w:szCs w:val="18"/>
                <w:color w:val="0A0A0A"/>
              </w:rPr>
              <w:t>Long-Term Debt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23"/>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29"/>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160"/>
          </w:cols>
          <w:pgMar w:left="320" w:top="1332" w:right="41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SUMMARY CASH FLOW</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1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Net Cash Provided by Operating Activities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Purchases of Property &amp; Equipment</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Net Cash Used in Investing Activities</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Received from Stock Offering</w:t>
            </w:r>
          </w:p>
        </w:tc>
        <w:tc>
          <w:tcPr>
            <w:tcW w:w="1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Proceeds from Borrowing</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Repayment of Finance Lease Obligations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Repayment of Borrowings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0A0A0A"/>
              </w:rPr>
              <w:t>Net Cash Provided by Financing Activities</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4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50"/>
        </w:trPr>
        <w:tc>
          <w:tcPr>
            <w:tcW w:w="5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Net Increase (Decrease) in Cash</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188"/>
        </w:trPr>
        <w:tc>
          <w:tcPr>
            <w:tcW w:w="53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0A0A0A"/>
              </w:rPr>
              <w:t>Cash, Cash Equivalents and Restricted Cash – Beginning of the</w:t>
            </w:r>
          </w:p>
        </w:tc>
        <w:tc>
          <w:tcPr>
            <w:tcW w:w="1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317.8</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Period</w:t>
            </w:r>
          </w:p>
        </w:tc>
        <w:tc>
          <w:tcPr>
            <w:tcW w:w="1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5360" w:type="dxa"/>
            <w:vAlign w:val="bottom"/>
          </w:tcPr>
          <w:p>
            <w:pPr>
              <w:ind w:left="100"/>
              <w:spacing w:after="0" w:line="168" w:lineRule="exact"/>
              <w:rPr>
                <w:sz w:val="20"/>
                <w:szCs w:val="20"/>
                <w:color w:val="auto"/>
              </w:rPr>
            </w:pPr>
            <w:r>
              <w:rPr>
                <w:rFonts w:ascii="Arial" w:cs="Arial" w:eastAsia="Arial" w:hAnsi="Arial"/>
                <w:sz w:val="18"/>
                <w:szCs w:val="18"/>
                <w:color w:val="0A0A0A"/>
              </w:rPr>
              <w:t>Cash, Cash Equivalents and Restricted Cash –</w:t>
            </w:r>
          </w:p>
        </w:tc>
        <w:tc>
          <w:tcPr>
            <w:tcW w:w="1160" w:type="dxa"/>
            <w:vAlign w:val="bottom"/>
            <w:vMerge w:val="restart"/>
          </w:tcPr>
          <w:p>
            <w:pPr>
              <w:jc w:val="right"/>
              <w:ind w:right="959"/>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14"/>
                <w:szCs w:val="14"/>
                <w:color w:val="auto"/>
              </w:rPr>
            </w:pPr>
          </w:p>
        </w:tc>
        <w:tc>
          <w:tcPr>
            <w:tcW w:w="1180" w:type="dxa"/>
            <w:vAlign w:val="bottom"/>
            <w:vMerge w:val="restart"/>
          </w:tcPr>
          <w:p>
            <w:pPr>
              <w:jc w:val="right"/>
              <w:ind w:right="976"/>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291.0</w:t>
            </w:r>
          </w:p>
        </w:tc>
        <w:tc>
          <w:tcPr>
            <w:tcW w:w="14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122"/>
        </w:trPr>
        <w:tc>
          <w:tcPr>
            <w:tcW w:w="5360" w:type="dxa"/>
            <w:vAlign w:val="bottom"/>
            <w:vMerge w:val="restart"/>
          </w:tcPr>
          <w:p>
            <w:pPr>
              <w:ind w:left="180"/>
              <w:spacing w:after="0" w:line="203" w:lineRule="exact"/>
              <w:rPr>
                <w:sz w:val="20"/>
                <w:szCs w:val="20"/>
                <w:color w:val="auto"/>
              </w:rPr>
            </w:pPr>
            <w:r>
              <w:rPr>
                <w:rFonts w:ascii="Arial" w:cs="Arial" w:eastAsia="Arial" w:hAnsi="Arial"/>
                <w:sz w:val="18"/>
                <w:szCs w:val="18"/>
                <w:color w:val="0A0A0A"/>
              </w:rPr>
              <w:t>End of the Period</w:t>
            </w:r>
          </w:p>
        </w:tc>
        <w:tc>
          <w:tcPr>
            <w:tcW w:w="1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60" w:type="dxa"/>
            <w:vAlign w:val="bottom"/>
            <w:vMerge w:val="continue"/>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20"/>
          </w:cols>
          <w:pgMar w:left="320" w:top="1372" w:right="359" w:bottom="1440" w:gutter="0" w:footer="0" w:header="0"/>
        </w:sectPr>
      </w:pPr>
    </w:p>
    <w:bookmarkStart w:id="14" w:name="page15"/>
    <w:bookmarkEnd w:id="14"/>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Calculation of Special Items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lists the items that are included as Special Items, net.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88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Pr>
          <w:p>
            <w:pPr>
              <w:spacing w:after="0"/>
              <w:rPr>
                <w:sz w:val="16"/>
                <w:szCs w:val="16"/>
                <w:color w:val="auto"/>
              </w:rPr>
            </w:pPr>
          </w:p>
        </w:tc>
      </w:tr>
      <w:tr>
        <w:trPr>
          <w:trHeight w:val="208"/>
        </w:trPr>
        <w:tc>
          <w:tcPr>
            <w:tcW w:w="66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7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CARES Act employee retention credit </w:t>
            </w:r>
            <w:r>
              <w:rPr>
                <w:rFonts w:ascii="Arial" w:cs="Arial" w:eastAsia="Arial" w:hAnsi="Arial"/>
                <w:sz w:val="23"/>
                <w:szCs w:val="23"/>
                <w:color w:val="auto"/>
                <w:vertAlign w:val="superscript"/>
              </w:rPr>
              <w:t>(1)</w:t>
            </w:r>
          </w:p>
        </w:tc>
        <w:tc>
          <w:tcPr>
            <w:tcW w:w="1640" w:type="dxa"/>
            <w:vAlign w:val="bottom"/>
            <w:tcBorders>
              <w:bottom w:val="single" w:sz="8" w:color="auto"/>
            </w:tcBorders>
            <w:shd w:val="clear" w:color="auto" w:fill="CCEEFF"/>
          </w:tcPr>
          <w:p>
            <w:pPr>
              <w:jc w:val="right"/>
              <w:ind w:right="14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Total Special Items, net</w:t>
            </w:r>
          </w:p>
        </w:tc>
        <w:tc>
          <w:tcPr>
            <w:tcW w:w="1640" w:type="dxa"/>
            <w:vAlign w:val="bottom"/>
            <w:tcBorders>
              <w:bottom w:val="single" w:sz="8" w:color="auto"/>
            </w:tcBorders>
          </w:tcPr>
          <w:p>
            <w:pPr>
              <w:jc w:val="right"/>
              <w:ind w:right="14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13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
        </w:trPr>
        <w:tc>
          <w:tcPr>
            <w:tcW w:w="6620" w:type="dxa"/>
            <w:vAlign w:val="bottom"/>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21"/>
        </w:trPr>
        <w:tc>
          <w:tcPr>
            <w:tcW w:w="6620" w:type="dxa"/>
            <w:vAlign w:val="bottom"/>
          </w:tcPr>
          <w:p>
            <w:pPr>
              <w:spacing w:after="0"/>
              <w:rPr>
                <w:sz w:val="24"/>
                <w:szCs w:val="24"/>
                <w:color w:val="auto"/>
              </w:rPr>
            </w:pPr>
          </w:p>
        </w:tc>
        <w:tc>
          <w:tcPr>
            <w:tcW w:w="388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Pr>
          <w:p>
            <w:pPr>
              <w:spacing w:after="0"/>
              <w:rPr>
                <w:sz w:val="24"/>
                <w:szCs w:val="24"/>
                <w:color w:val="auto"/>
              </w:rPr>
            </w:pPr>
          </w:p>
        </w:tc>
      </w:tr>
      <w:tr>
        <w:trPr>
          <w:trHeight w:val="215"/>
        </w:trPr>
        <w:tc>
          <w:tcPr>
            <w:tcW w:w="66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700" w:type="dxa"/>
            <w:vAlign w:val="bottom"/>
            <w:tcBorders>
              <w:bottom w:val="single" w:sz="8" w:color="auto"/>
            </w:tcBorders>
          </w:tcPr>
          <w:p>
            <w:pPr>
              <w:spacing w:after="0"/>
              <w:rPr>
                <w:sz w:val="18"/>
                <w:szCs w:val="18"/>
                <w:color w:val="auto"/>
              </w:rPr>
            </w:pPr>
          </w:p>
        </w:tc>
      </w:tr>
      <w:tr>
        <w:trPr>
          <w:trHeight w:val="26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CARES Act employee grant recognition </w:t>
            </w:r>
            <w:r>
              <w:rPr>
                <w:rFonts w:ascii="Arial" w:cs="Arial" w:eastAsia="Arial" w:hAnsi="Arial"/>
                <w:sz w:val="23"/>
                <w:szCs w:val="23"/>
                <w:color w:val="auto"/>
                <w:vertAlign w:val="superscript"/>
              </w:rPr>
              <w:t>(2)</w:t>
            </w:r>
          </w:p>
        </w:tc>
        <w:tc>
          <w:tcPr>
            <w:tcW w:w="1640" w:type="dxa"/>
            <w:vAlign w:val="bottom"/>
            <w:shd w:val="clear" w:color="auto" w:fill="CCEEFF"/>
          </w:tcPr>
          <w:p>
            <w:pPr>
              <w:jc w:val="right"/>
              <w:ind w:right="1439"/>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7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CARES Act employee retention credit </w:t>
            </w:r>
            <w:r>
              <w:rPr>
                <w:rFonts w:ascii="Arial" w:cs="Arial" w:eastAsia="Arial" w:hAnsi="Arial"/>
                <w:sz w:val="23"/>
                <w:szCs w:val="23"/>
                <w:color w:val="auto"/>
                <w:vertAlign w:val="superscript"/>
              </w:rPr>
              <w:t>(1)</w:t>
            </w:r>
          </w:p>
        </w:tc>
        <w:tc>
          <w:tcPr>
            <w:tcW w:w="16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 Items, net</w:t>
            </w:r>
          </w:p>
        </w:tc>
        <w:tc>
          <w:tcPr>
            <w:tcW w:w="1640" w:type="dxa"/>
            <w:vAlign w:val="bottom"/>
            <w:shd w:val="clear" w:color="auto" w:fill="CCEEFF"/>
          </w:tcPr>
          <w:p>
            <w:pPr>
              <w:jc w:val="right"/>
              <w:ind w:right="1439"/>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440" w:hanging="414"/>
        <w:spacing w:after="0"/>
        <w:tabs>
          <w:tab w:leader="none" w:pos="44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Relates to a credit recognized under the CARES Act Employee Retention credit which is a refundable tax credit against certain employee taxes</w:t>
      </w:r>
    </w:p>
    <w:p>
      <w:pPr>
        <w:spacing w:after="0" w:line="43" w:lineRule="exact"/>
        <w:rPr>
          <w:rFonts w:ascii="Arial" w:cs="Arial" w:eastAsia="Arial" w:hAnsi="Arial"/>
          <w:sz w:val="29"/>
          <w:szCs w:val="29"/>
          <w:color w:val="auto"/>
          <w:vertAlign w:val="superscript"/>
        </w:rPr>
      </w:pPr>
    </w:p>
    <w:p>
      <w:pPr>
        <w:ind w:left="440" w:right="80" w:hanging="414"/>
        <w:spacing w:after="0" w:line="258" w:lineRule="auto"/>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the first half of 2021, the United States Department of the Treasury awarded the Company a grant of $71.6 under the Payroll Support Program (“PSP2”) under the Consolidated Appropriations Act,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00"/>
          </w:cols>
          <w:pgMar w:left="320" w:top="1440"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 Adjusted EBITDA and Adjusted EBITDA Margin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and facilitate comparisons among current, past and future periods. We believe that while items excluded from Adjusted EBITDA and Adjusted EBITDA Margin may be recurring in nature and should not be disregarded in evaluation of our earnings performance, Adjusted EBITDA and Adjusted EBITDA Margin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presented non-GAAP measures have limitations as analytic tools, such as: these measures do not reflect the impact of certain cash and non-cash charges resulting from matters we consider not to be indicative of our ongoing operations and other companies in our industry may calculate these measures differently than we do, limiting each measure’s usefulness as a comparative measure. Because of these limitations, these non-GAAP measures should not be considered in isolation or as a substitute for performance measures calculated in accordance with GAAP. Accordingly, you are cautioned not to place undue reliance on this information. We encourage investors to review our financial statements and other filings with the Securities and Exchange Commission in their entirety and not to rely on any single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278" w:right="339" w:bottom="1440" w:gutter="0" w:footer="0" w:header="0"/>
        </w:sectPr>
      </w:pPr>
    </w:p>
    <w:bookmarkStart w:id="16" w:name="page17"/>
    <w:bookmarkEnd w:id="16"/>
    <w:p>
      <w:pPr>
        <w:ind w:left="20" w:right="4480"/>
        <w:spacing w:after="0" w:line="334"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23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9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Pr>
          <w:p>
            <w:pPr>
              <w:spacing w:after="0"/>
              <w:rPr>
                <w:sz w:val="16"/>
                <w:szCs w:val="16"/>
                <w:color w:val="auto"/>
              </w:rPr>
            </w:pPr>
          </w:p>
        </w:tc>
      </w:tr>
      <w:tr>
        <w:trPr>
          <w:trHeight w:val="215"/>
        </w:trPr>
        <w:tc>
          <w:tcPr>
            <w:tcW w:w="6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80" w:type="dxa"/>
            <w:vAlign w:val="bottom"/>
            <w:shd w:val="clear" w:color="auto" w:fill="CCEEFF"/>
          </w:tcPr>
          <w:p>
            <w:pPr>
              <w:jc w:val="right"/>
              <w:ind w:right="127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173.7</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21.3</w:t>
            </w:r>
          </w:p>
        </w:tc>
      </w:tr>
      <w:tr>
        <w:trPr>
          <w:trHeight w:val="27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compensation expense</w:t>
            </w:r>
          </w:p>
        </w:tc>
        <w:tc>
          <w:tcPr>
            <w:tcW w:w="1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1480" w:type="dxa"/>
            <w:vAlign w:val="bottom"/>
            <w:tcBorders>
              <w:bottom w:val="single" w:sz="8" w:color="auto"/>
            </w:tcBorders>
            <w:shd w:val="clear" w:color="auto" w:fill="CCEEFF"/>
          </w:tcPr>
          <w:p>
            <w:pPr>
              <w:jc w:val="right"/>
              <w:ind w:right="127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1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Adjusted Operating Income Margin</w:t>
            </w:r>
          </w:p>
        </w:tc>
        <w:tc>
          <w:tcPr>
            <w:tcW w:w="1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609"/>
        </w:trPr>
        <w:tc>
          <w:tcPr>
            <w:tcW w:w="6440" w:type="dxa"/>
            <w:vAlign w:val="bottom"/>
          </w:tcPr>
          <w:p>
            <w:pPr>
              <w:spacing w:after="0"/>
              <w:rPr>
                <w:sz w:val="24"/>
                <w:szCs w:val="24"/>
                <w:color w:val="auto"/>
              </w:rPr>
            </w:pPr>
          </w:p>
        </w:tc>
        <w:tc>
          <w:tcPr>
            <w:tcW w:w="394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spacing w:after="0"/>
              <w:rPr>
                <w:sz w:val="24"/>
                <w:szCs w:val="24"/>
                <w:color w:val="auto"/>
              </w:rPr>
            </w:pPr>
          </w:p>
        </w:tc>
      </w:tr>
      <w:tr>
        <w:trPr>
          <w:trHeight w:val="215"/>
        </w:trPr>
        <w:tc>
          <w:tcPr>
            <w:tcW w:w="6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80" w:type="dxa"/>
            <w:vAlign w:val="bottom"/>
            <w:shd w:val="clear" w:color="auto" w:fill="CCEEFF"/>
          </w:tcPr>
          <w:p>
            <w:pPr>
              <w:jc w:val="right"/>
              <w:ind w:right="127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667.3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450.5</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101.7</w:t>
            </w:r>
          </w:p>
        </w:tc>
      </w:tr>
      <w:tr>
        <w:trPr>
          <w:trHeight w:val="27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(72.4)</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48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4.6</w:t>
            </w:r>
          </w:p>
        </w:tc>
      </w:tr>
      <w:tr>
        <w:trPr>
          <w:trHeight w:val="27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14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480" w:type="dxa"/>
            <w:vAlign w:val="bottom"/>
            <w:tcBorders>
              <w:top w:val="single" w:sz="8" w:color="auto"/>
              <w:bottom w:val="single" w:sz="8" w:color="auto"/>
            </w:tcBorders>
          </w:tcPr>
          <w:p>
            <w:pPr>
              <w:jc w:val="right"/>
              <w:ind w:right="127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34.2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1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22.6 %</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bl>
    <w:p>
      <w:pPr>
        <w:spacing w:after="0" w:line="180" w:lineRule="exact"/>
        <w:rPr>
          <w:sz w:val="20"/>
          <w:szCs w:val="20"/>
          <w:color w:val="auto"/>
        </w:rPr>
      </w:pPr>
    </w:p>
    <w:p>
      <w:pPr>
        <w:ind w:left="440" w:hanging="414"/>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24"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Tax Receivable Agreement (“TRA”) liability with our pre-IPO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00"/>
          </w:cols>
          <w:pgMar w:left="320" w:top="1413" w:right="379" w:bottom="1440" w:gutter="0" w:footer="0" w:header="0"/>
        </w:sectPr>
      </w:pPr>
    </w:p>
    <w:bookmarkStart w:id="17" w:name="page18"/>
    <w:bookmarkEnd w:id="17"/>
    <w:p>
      <w:pPr>
        <w:ind w:left="20" w:right="3460"/>
        <w:spacing w:after="0" w:line="334" w:lineRule="auto"/>
        <w:rPr>
          <w:sz w:val="20"/>
          <w:szCs w:val="20"/>
          <w:color w:val="auto"/>
        </w:rPr>
      </w:pPr>
      <w:r>
        <w:rPr>
          <w:rFonts w:ascii="Arial" w:cs="Arial" w:eastAsia="Arial" w:hAnsi="Arial"/>
          <w:sz w:val="18"/>
          <w:szCs w:val="18"/>
          <w:b w:val="1"/>
          <w:bCs w:val="1"/>
          <w:color w:val="auto"/>
        </w:rPr>
        <w:t>Reconciliation of GAAP Income Before Income Tax to Adjusted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23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before income tax to adjusted income before income tax.</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9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Pr>
          <w:p>
            <w:pPr>
              <w:spacing w:after="0"/>
              <w:rPr>
                <w:sz w:val="16"/>
                <w:szCs w:val="16"/>
                <w:color w:val="auto"/>
              </w:rPr>
            </w:pPr>
          </w:p>
        </w:tc>
      </w:tr>
      <w:tr>
        <w:trPr>
          <w:trHeight w:val="215"/>
        </w:trPr>
        <w:tc>
          <w:tcPr>
            <w:tcW w:w="6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13.4</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70"/>
        </w:trPr>
        <w:tc>
          <w:tcPr>
            <w:tcW w:w="64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6440" w:type="dxa"/>
            <w:vAlign w:val="bottom"/>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54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Secondary offering expense</w:t>
            </w:r>
          </w:p>
        </w:tc>
        <w:tc>
          <w:tcPr>
            <w:tcW w:w="15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transactions, net</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1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w:t>
            </w:r>
          </w:p>
        </w:tc>
        <w:tc>
          <w:tcPr>
            <w:tcW w:w="1540" w:type="dxa"/>
            <w:vAlign w:val="bottom"/>
            <w:tcBorders>
              <w:bottom w:val="single" w:sz="8" w:color="auto"/>
            </w:tcBorders>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528"/>
        </w:trPr>
        <w:tc>
          <w:tcPr>
            <w:tcW w:w="6440" w:type="dxa"/>
            <w:vAlign w:val="bottom"/>
          </w:tcPr>
          <w:p>
            <w:pPr>
              <w:spacing w:after="0"/>
              <w:rPr>
                <w:sz w:val="24"/>
                <w:szCs w:val="24"/>
                <w:color w:val="auto"/>
              </w:rPr>
            </w:pPr>
          </w:p>
        </w:tc>
        <w:tc>
          <w:tcPr>
            <w:tcW w:w="394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spacing w:after="0"/>
              <w:rPr>
                <w:sz w:val="24"/>
                <w:szCs w:val="24"/>
                <w:color w:val="auto"/>
              </w:rPr>
            </w:pPr>
          </w:p>
        </w:tc>
      </w:tr>
      <w:tr>
        <w:trPr>
          <w:trHeight w:val="214"/>
        </w:trPr>
        <w:tc>
          <w:tcPr>
            <w:tcW w:w="6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82.3</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18.4</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100.8</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22.4 %</w:t>
            </w:r>
          </w:p>
        </w:tc>
      </w:tr>
      <w:tr>
        <w:trPr>
          <w:trHeight w:val="270"/>
        </w:trPr>
        <w:tc>
          <w:tcPr>
            <w:tcW w:w="64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6440" w:type="dxa"/>
            <w:vAlign w:val="bottom"/>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54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(72.4)</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Secondary offering expense</w:t>
            </w:r>
          </w:p>
        </w:tc>
        <w:tc>
          <w:tcPr>
            <w:tcW w:w="15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transactions, net</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Early pay-off of US Treasury loan</w:t>
            </w:r>
          </w:p>
        </w:tc>
        <w:tc>
          <w:tcPr>
            <w:tcW w:w="15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7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15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70"/>
        </w:trPr>
        <w:tc>
          <w:tcPr>
            <w:tcW w:w="644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1540" w:type="dxa"/>
            <w:vAlign w:val="bottom"/>
          </w:tcPr>
          <w:p>
            <w:pPr>
              <w:spacing w:after="0"/>
              <w:rPr>
                <w:sz w:val="23"/>
                <w:szCs w:val="23"/>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(19.8)</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refinancing credit facility</w:t>
            </w:r>
          </w:p>
        </w:tc>
        <w:tc>
          <w:tcPr>
            <w:tcW w:w="1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Adjusted Income Before Income Tax</w:t>
            </w:r>
          </w:p>
        </w:tc>
        <w:tc>
          <w:tcPr>
            <w:tcW w:w="1540" w:type="dxa"/>
            <w:vAlign w:val="bottom"/>
            <w:tcBorders>
              <w:bottom w:val="single" w:sz="8" w:color="auto"/>
            </w:tcBorders>
          </w:tcPr>
          <w:p>
            <w:pPr>
              <w:jc w:val="right"/>
              <w:ind w:right="133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16.0</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Adjusted Pre-tax margin</w:t>
            </w:r>
          </w:p>
        </w:tc>
        <w:tc>
          <w:tcPr>
            <w:tcW w:w="1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3.5 %</w:t>
            </w:r>
          </w:p>
        </w:tc>
      </w:tr>
    </w:tbl>
    <w:p>
      <w:pPr>
        <w:spacing w:after="0" w:line="275" w:lineRule="exact"/>
        <w:rPr>
          <w:sz w:val="20"/>
          <w:szCs w:val="20"/>
          <w:color w:val="auto"/>
        </w:rPr>
      </w:pPr>
    </w:p>
    <w:p>
      <w:pPr>
        <w:ind w:left="440" w:hanging="414"/>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24"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8"/>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98" w:lineRule="exact"/>
        <w:rPr>
          <w:rFonts w:ascii="Arial" w:cs="Arial" w:eastAsia="Arial" w:hAnsi="Arial"/>
          <w:sz w:val="29"/>
          <w:szCs w:val="29"/>
          <w:color w:val="auto"/>
          <w:vertAlign w:val="superscript"/>
        </w:rPr>
      </w:pPr>
    </w:p>
    <w:p>
      <w:pPr>
        <w:ind w:left="440" w:hanging="414"/>
        <w:spacing w:after="0" w:line="189" w:lineRule="auto"/>
        <w:tabs>
          <w:tab w:leader="none" w:pos="440" w:val="left"/>
        </w:tabs>
        <w:numPr>
          <w:ilvl w:val="0"/>
          <w:numId w:val="8"/>
        </w:numPr>
        <w:rPr>
          <w:rFonts w:ascii="Arial" w:cs="Arial" w:eastAsia="Arial" w:hAnsi="Arial"/>
          <w:sz w:val="19"/>
          <w:szCs w:val="19"/>
          <w:color w:val="auto"/>
          <w:vertAlign w:val="superscript"/>
        </w:rPr>
      </w:pPr>
      <w:r>
        <w:rPr>
          <w:rFonts w:ascii="Arial" w:cs="Arial" w:eastAsia="Arial" w:hAnsi="Arial"/>
          <w:sz w:val="11"/>
          <w:szCs w:val="11"/>
          <w:color w:val="auto"/>
        </w:rPr>
        <w:t>This represents the adjustment to the TRA for the period, which is recorded in Non-Operating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00"/>
          </w:cols>
          <w:pgMar w:left="320" w:top="1413" w:right="379" w:bottom="1440" w:gutter="0" w:footer="0" w:header="0"/>
        </w:sectPr>
      </w:pPr>
    </w:p>
    <w:bookmarkStart w:id="18" w:name="page19"/>
    <w:bookmarkEnd w:id="18"/>
    <w:p>
      <w:pPr>
        <w:spacing w:after="0" w:line="200" w:lineRule="exact"/>
        <w:rPr>
          <w:sz w:val="20"/>
          <w:szCs w:val="20"/>
          <w:color w:val="auto"/>
        </w:rPr>
      </w:pPr>
    </w:p>
    <w:p>
      <w:pPr>
        <w:spacing w:after="0" w:line="259" w:lineRule="exact"/>
        <w:rPr>
          <w:sz w:val="20"/>
          <w:szCs w:val="20"/>
          <w:color w:val="auto"/>
        </w:rPr>
      </w:pPr>
    </w:p>
    <w:p>
      <w:pPr>
        <w:ind w:left="20" w:right="1120"/>
        <w:spacing w:after="0" w:line="368" w:lineRule="auto"/>
        <w:rPr>
          <w:sz w:val="20"/>
          <w:szCs w:val="20"/>
          <w:color w:val="auto"/>
        </w:rPr>
      </w:pPr>
      <w:r>
        <w:rPr>
          <w:rFonts w:ascii="Arial" w:cs="Arial" w:eastAsia="Arial" w:hAnsi="Arial"/>
          <w:sz w:val="17"/>
          <w:szCs w:val="17"/>
          <w:b w:val="1"/>
          <w:bCs w:val="1"/>
          <w:color w:val="auto"/>
        </w:rPr>
        <w:t>Reconciliation of GAAP Net Income and Earnings per Share to Adjusted Net Income and Adjusted Earnings per Share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234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32"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The following table presents the reconciliation of GAAP net income and earnings per share to adjusted net income and adjusted earnings per share.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Dollars</w:t>
            </w:r>
          </w:p>
        </w:tc>
        <w:tc>
          <w:tcPr>
            <w:tcW w:w="200" w:type="dxa"/>
            <w:vAlign w:val="bottom"/>
          </w:tcPr>
          <w:p>
            <w:pPr>
              <w:spacing w:after="0"/>
              <w:rPr>
                <w:sz w:val="12"/>
                <w:szCs w:val="12"/>
                <w:color w:val="auto"/>
              </w:rPr>
            </w:pPr>
          </w:p>
        </w:tc>
        <w:tc>
          <w:tcPr>
            <w:tcW w:w="13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Per Share -</w:t>
            </w:r>
          </w:p>
        </w:tc>
        <w:tc>
          <w:tcPr>
            <w:tcW w:w="260" w:type="dxa"/>
            <w:vAlign w:val="bottom"/>
          </w:tcPr>
          <w:p>
            <w:pPr>
              <w:spacing w:after="0"/>
              <w:rPr>
                <w:sz w:val="12"/>
                <w:szCs w:val="12"/>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Dollars</w:t>
            </w:r>
          </w:p>
        </w:tc>
        <w:tc>
          <w:tcPr>
            <w:tcW w:w="260" w:type="dxa"/>
            <w:vAlign w:val="bottom"/>
          </w:tcPr>
          <w:p>
            <w:pPr>
              <w:spacing w:after="0"/>
              <w:rPr>
                <w:sz w:val="12"/>
                <w:szCs w:val="12"/>
                <w:color w:val="auto"/>
              </w:rPr>
            </w:pPr>
          </w:p>
        </w:tc>
        <w:tc>
          <w:tcPr>
            <w:tcW w:w="1080" w:type="dxa"/>
            <w:vAlign w:val="bottom"/>
          </w:tcPr>
          <w:p>
            <w:pPr>
              <w:jc w:val="center"/>
              <w:ind w:right="113"/>
              <w:spacing w:after="0" w:line="142" w:lineRule="exact"/>
              <w:rPr>
                <w:sz w:val="20"/>
                <w:szCs w:val="20"/>
                <w:color w:val="auto"/>
              </w:rPr>
            </w:pPr>
            <w:r>
              <w:rPr>
                <w:rFonts w:ascii="Arial" w:cs="Arial" w:eastAsia="Arial" w:hAnsi="Arial"/>
                <w:sz w:val="14"/>
                <w:szCs w:val="14"/>
                <w:b w:val="1"/>
                <w:bCs w:val="1"/>
                <w:color w:val="auto"/>
              </w:rPr>
              <w:t>Per Share -</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diluted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Secondary offering expense</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transactions,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13.5</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0A0A0A"/>
              </w:rPr>
              <w:t>60.8</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0A0A0A"/>
              </w:rPr>
              <w:t>61.7</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2"/>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9"/>
                <w:szCs w:val="9"/>
                <w:b w:val="1"/>
                <w:bCs w:val="1"/>
                <w:color w:val="auto"/>
              </w:rPr>
              <w:t>(7)</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Dollars</w:t>
            </w:r>
          </w:p>
        </w:tc>
        <w:tc>
          <w:tcPr>
            <w:tcW w:w="20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Per Share -</w:t>
            </w:r>
          </w:p>
        </w:tc>
        <w:tc>
          <w:tcPr>
            <w:tcW w:w="260" w:type="dxa"/>
            <w:vAlign w:val="bottom"/>
          </w:tcPr>
          <w:p>
            <w:pPr>
              <w:spacing w:after="0"/>
              <w:rPr>
                <w:sz w:val="12"/>
                <w:szCs w:val="12"/>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Dollars</w:t>
            </w:r>
          </w:p>
        </w:tc>
        <w:tc>
          <w:tcPr>
            <w:tcW w:w="260" w:type="dxa"/>
            <w:vAlign w:val="bottom"/>
          </w:tcPr>
          <w:p>
            <w:pPr>
              <w:spacing w:after="0"/>
              <w:rPr>
                <w:sz w:val="12"/>
                <w:szCs w:val="12"/>
                <w:color w:val="auto"/>
              </w:rPr>
            </w:pPr>
          </w:p>
        </w:tc>
        <w:tc>
          <w:tcPr>
            <w:tcW w:w="10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rPr>
              <w:t>Per Share -</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diluted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Secondary offering expense</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transactions,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Early pay-off of US Treasury loan</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refinancing credit facility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 count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0A0A0A"/>
              </w:rPr>
              <w:t>61.4</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0A0A0A"/>
              </w:rPr>
              <w:t>58.7</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40" w:hanging="414"/>
        <w:spacing w:after="0"/>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24"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98" w:lineRule="exact"/>
        <w:rPr>
          <w:rFonts w:ascii="Arial" w:cs="Arial" w:eastAsia="Arial" w:hAnsi="Arial"/>
          <w:sz w:val="29"/>
          <w:szCs w:val="29"/>
          <w:color w:val="auto"/>
          <w:vertAlign w:val="superscript"/>
        </w:rPr>
      </w:pPr>
    </w:p>
    <w:p>
      <w:pPr>
        <w:ind w:left="440" w:hanging="414"/>
        <w:spacing w:after="0" w:line="189" w:lineRule="auto"/>
        <w:tabs>
          <w:tab w:leader="none" w:pos="440" w:val="left"/>
        </w:tabs>
        <w:numPr>
          <w:ilvl w:val="0"/>
          <w:numId w:val="9"/>
        </w:numPr>
        <w:rPr>
          <w:rFonts w:ascii="Arial" w:cs="Arial" w:eastAsia="Arial" w:hAnsi="Arial"/>
          <w:sz w:val="19"/>
          <w:szCs w:val="19"/>
          <w:color w:val="auto"/>
          <w:vertAlign w:val="superscript"/>
        </w:rPr>
      </w:pPr>
      <w:r>
        <w:rPr>
          <w:rFonts w:ascii="Arial" w:cs="Arial" w:eastAsia="Arial" w:hAnsi="Arial"/>
          <w:sz w:val="11"/>
          <w:szCs w:val="11"/>
          <w:color w:val="auto"/>
        </w:rPr>
        <w:t>This represents the adjustment to the TRA for the period, which is recorded in Non-Operating Income (Expense)</w:t>
      </w:r>
    </w:p>
    <w:p>
      <w:pPr>
        <w:spacing w:after="0" w:line="97" w:lineRule="exact"/>
        <w:rPr>
          <w:rFonts w:ascii="Arial" w:cs="Arial" w:eastAsia="Arial" w:hAnsi="Arial"/>
          <w:sz w:val="19"/>
          <w:szCs w:val="19"/>
          <w:color w:val="auto"/>
          <w:vertAlign w:val="superscript"/>
        </w:rPr>
      </w:pPr>
    </w:p>
    <w:p>
      <w:pPr>
        <w:ind w:left="440" w:hanging="414"/>
        <w:spacing w:after="0" w:line="189" w:lineRule="auto"/>
        <w:tabs>
          <w:tab w:leader="none" w:pos="440" w:val="left"/>
        </w:tabs>
        <w:numPr>
          <w:ilvl w:val="0"/>
          <w:numId w:val="9"/>
        </w:numPr>
        <w:rPr>
          <w:rFonts w:ascii="Arial" w:cs="Arial" w:eastAsia="Arial" w:hAnsi="Arial"/>
          <w:sz w:val="19"/>
          <w:szCs w:val="19"/>
          <w:color w:val="auto"/>
          <w:vertAlign w:val="superscript"/>
        </w:rPr>
      </w:pPr>
      <w:r>
        <w:rPr>
          <w:rFonts w:ascii="Arial" w:cs="Arial" w:eastAsia="Arial" w:hAnsi="Arial"/>
          <w:sz w:val="11"/>
          <w:szCs w:val="11"/>
          <w:color w:val="auto"/>
        </w:rPr>
        <w:t>The tax effect of adjusting items, net is calculated at the Company’s statutory rate for the application period</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00"/>
          </w:cols>
          <w:pgMar w:left="320" w:top="1440" w:right="37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Reconciliation of GAAP Net Income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23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net income to adjusted EBITDA for the periods presented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80" w:type="dxa"/>
            <w:vAlign w:val="bottom"/>
            <w:gridSpan w:val="5"/>
          </w:tcPr>
          <w:p>
            <w:pPr>
              <w:jc w:val="right"/>
              <w:ind w:right="336"/>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Pr>
          <w:p>
            <w:pPr>
              <w:spacing w:after="0"/>
              <w:rPr>
                <w:sz w:val="16"/>
                <w:szCs w:val="16"/>
                <w:color w:val="auto"/>
              </w:rPr>
            </w:pPr>
          </w:p>
        </w:tc>
      </w:tr>
      <w:tr>
        <w:trPr>
          <w:trHeight w:val="215"/>
        </w:trPr>
        <w:tc>
          <w:tcPr>
            <w:tcW w:w="6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23"/>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13.4</w:t>
            </w:r>
          </w:p>
        </w:tc>
      </w:tr>
      <w:tr>
        <w:trPr>
          <w:trHeight w:val="270"/>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580" w:type="dxa"/>
            <w:vAlign w:val="bottom"/>
          </w:tcPr>
          <w:p>
            <w:pPr>
              <w:spacing w:after="0"/>
              <w:rPr>
                <w:sz w:val="23"/>
                <w:szCs w:val="23"/>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(0.1)</w:t>
            </w:r>
          </w:p>
        </w:tc>
      </w:tr>
      <w:tr>
        <w:trPr>
          <w:trHeight w:val="229"/>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15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6.3</w:t>
            </w:r>
          </w:p>
        </w:tc>
      </w:tr>
      <w:tr>
        <w:trPr>
          <w:trHeight w:val="230"/>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15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r>
      <w:tr>
        <w:trPr>
          <w:trHeight w:val="243"/>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Gain on asset transactions, net</w:t>
            </w:r>
          </w:p>
        </w:tc>
        <w:tc>
          <w:tcPr>
            <w:tcW w:w="158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Secondary offering expense</w:t>
            </w:r>
          </w:p>
        </w:tc>
        <w:tc>
          <w:tcPr>
            <w:tcW w:w="15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r>
      <w:tr>
        <w:trPr>
          <w:trHeight w:val="270"/>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158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(1.1)</w:t>
            </w:r>
          </w:p>
        </w:tc>
      </w:tr>
      <w:tr>
        <w:trPr>
          <w:trHeight w:val="229"/>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15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r>
      <w:tr>
        <w:trPr>
          <w:trHeight w:val="230"/>
        </w:trPr>
        <w:tc>
          <w:tcPr>
            <w:tcW w:w="624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14.7</w:t>
            </w:r>
          </w:p>
        </w:tc>
      </w:tr>
      <w:tr>
        <w:trPr>
          <w:trHeight w:val="248"/>
        </w:trPr>
        <w:tc>
          <w:tcPr>
            <w:tcW w:w="6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39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Adjusted EBITDA margin</w:t>
            </w:r>
          </w:p>
        </w:tc>
        <w:tc>
          <w:tcPr>
            <w:tcW w:w="1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r>
      <w:tr>
        <w:trPr>
          <w:trHeight w:val="609"/>
        </w:trPr>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5"/>
          </w:tcPr>
          <w:p>
            <w:pPr>
              <w:jc w:val="right"/>
              <w:ind w:right="376"/>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spacing w:after="0"/>
              <w:rPr>
                <w:sz w:val="24"/>
                <w:szCs w:val="24"/>
                <w:color w:val="auto"/>
              </w:rPr>
            </w:pPr>
          </w:p>
        </w:tc>
      </w:tr>
      <w:tr>
        <w:trPr>
          <w:trHeight w:val="214"/>
        </w:trPr>
        <w:tc>
          <w:tcPr>
            <w:tcW w:w="6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23"/>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82.3</w:t>
            </w:r>
          </w:p>
        </w:tc>
      </w:tr>
      <w:tr>
        <w:trPr>
          <w:trHeight w:val="270"/>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580" w:type="dxa"/>
            <w:vAlign w:val="bottom"/>
          </w:tcPr>
          <w:p>
            <w:pPr>
              <w:spacing w:after="0"/>
              <w:rPr>
                <w:sz w:val="23"/>
                <w:szCs w:val="23"/>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(72.4)</w:t>
            </w:r>
          </w:p>
        </w:tc>
      </w:tr>
      <w:tr>
        <w:trPr>
          <w:trHeight w:val="229"/>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15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r>
      <w:tr>
        <w:trPr>
          <w:trHeight w:val="230"/>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19.5</w:t>
            </w:r>
          </w:p>
        </w:tc>
      </w:tr>
      <w:tr>
        <w:trPr>
          <w:trHeight w:val="230"/>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15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r>
      <w:tr>
        <w:trPr>
          <w:trHeight w:val="230"/>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Gain on asset transactions, net</w:t>
            </w:r>
          </w:p>
        </w:tc>
        <w:tc>
          <w:tcPr>
            <w:tcW w:w="158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Secondary offering expense</w:t>
            </w:r>
          </w:p>
        </w:tc>
        <w:tc>
          <w:tcPr>
            <w:tcW w:w="15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70"/>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1580" w:type="dxa"/>
            <w:vAlign w:val="bottom"/>
          </w:tcPr>
          <w:p>
            <w:pPr>
              <w:spacing w:after="0"/>
              <w:rPr>
                <w:sz w:val="23"/>
                <w:szCs w:val="23"/>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0.3</w:t>
            </w:r>
          </w:p>
        </w:tc>
      </w:tr>
      <w:tr>
        <w:trPr>
          <w:trHeight w:val="270"/>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15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(19.8)</w:t>
            </w:r>
          </w:p>
        </w:tc>
      </w:tr>
      <w:tr>
        <w:trPr>
          <w:trHeight w:val="230"/>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18.4</w:t>
            </w:r>
          </w:p>
        </w:tc>
      </w:tr>
      <w:tr>
        <w:trPr>
          <w:trHeight w:val="230"/>
        </w:trPr>
        <w:tc>
          <w:tcPr>
            <w:tcW w:w="6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41.5</w:t>
            </w:r>
          </w:p>
        </w:tc>
      </w:tr>
      <w:tr>
        <w:trPr>
          <w:trHeight w:val="223"/>
        </w:trPr>
        <w:tc>
          <w:tcPr>
            <w:tcW w:w="62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39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139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75.7</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240" w:type="dxa"/>
            <w:vAlign w:val="bottom"/>
            <w:gridSpan w:val="2"/>
          </w:tcPr>
          <w:p>
            <w:pPr>
              <w:ind w:left="80"/>
              <w:spacing w:after="0"/>
              <w:rPr>
                <w:sz w:val="20"/>
                <w:szCs w:val="20"/>
                <w:color w:val="auto"/>
              </w:rPr>
            </w:pPr>
            <w:r>
              <w:rPr>
                <w:rFonts w:ascii="Arial" w:cs="Arial" w:eastAsia="Arial" w:hAnsi="Arial"/>
                <w:sz w:val="18"/>
                <w:szCs w:val="18"/>
                <w:color w:val="auto"/>
              </w:rPr>
              <w:t>Adjusted EBITDA margin</w:t>
            </w:r>
          </w:p>
        </w:tc>
        <w:tc>
          <w:tcPr>
            <w:tcW w:w="1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16.8 %</w:t>
            </w:r>
          </w:p>
        </w:tc>
      </w:tr>
    </w:tbl>
    <w:p>
      <w:pPr>
        <w:spacing w:after="0" w:line="180" w:lineRule="exact"/>
        <w:rPr>
          <w:sz w:val="20"/>
          <w:szCs w:val="20"/>
          <w:color w:val="auto"/>
        </w:rPr>
      </w:pPr>
    </w:p>
    <w:p>
      <w:pPr>
        <w:ind w:left="440" w:hanging="414"/>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24"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10"/>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98" w:lineRule="exact"/>
        <w:rPr>
          <w:rFonts w:ascii="Arial" w:cs="Arial" w:eastAsia="Arial" w:hAnsi="Arial"/>
          <w:sz w:val="29"/>
          <w:szCs w:val="29"/>
          <w:color w:val="auto"/>
          <w:vertAlign w:val="superscript"/>
        </w:rPr>
      </w:pPr>
    </w:p>
    <w:p>
      <w:pPr>
        <w:ind w:left="440" w:hanging="414"/>
        <w:spacing w:after="0" w:line="189" w:lineRule="auto"/>
        <w:tabs>
          <w:tab w:leader="none" w:pos="44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This represents the adjustment to the TRA for the period, which is recorded in Non-Operating Income (Expense)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1140"/>
          </w:cols>
          <w:pgMar w:left="320" w:top="1170" w:right="439" w:bottom="1440" w:gutter="0" w:footer="0" w:header="0"/>
        </w:sectPr>
      </w:pPr>
    </w:p>
    <w:bookmarkStart w:id="20" w:name="page21"/>
    <w:bookmarkEnd w:id="20"/>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CASM</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(began in 2020 when we launched our cargo operations), stock based compensation,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derivations of CASM are not determined in accordance with GAAP, such measures are susceptible to varying calculations and not all companies calculate the measures in the same manner. As a result, derivations of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Total operating expense less fuel and special items per block hour is derived by excluding fuel expense and special items from total operating expense. By excluding volatile fuel expenses that are outside of our control from our unit metrics and certain special items that we consider to not be indicative of our ongoing operations, we believe that we have better visibility into the results of operations and our non-fuel cost initiatives.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18</w:t>
      </w:r>
    </w:p>
    <w:p>
      <w:pPr>
        <w:sectPr>
          <w:pgSz w:w="11900" w:h="16838" w:orient="portrait"/>
          <w:cols w:equalWidth="0" w:num="1">
            <w:col w:w="11240"/>
          </w:cols>
          <w:pgMar w:left="320" w:top="1440"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234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800" w:type="dxa"/>
            <w:vAlign w:val="bottom"/>
            <w:gridSpan w:val="2"/>
          </w:tcPr>
          <w:p>
            <w:pPr>
              <w:jc w:val="center"/>
              <w:ind w:right="153"/>
              <w:spacing w:after="0" w:line="143"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40" w:type="dxa"/>
            <w:vAlign w:val="bottom"/>
            <w:gridSpan w:val="2"/>
          </w:tcPr>
          <w:p>
            <w:pPr>
              <w:jc w:val="center"/>
              <w:ind w:right="193"/>
              <w:spacing w:after="0" w:line="143" w:lineRule="exact"/>
              <w:rPr>
                <w:sz w:val="20"/>
                <w:szCs w:val="20"/>
                <w:color w:val="auto"/>
              </w:rPr>
            </w:pPr>
            <w:r>
              <w:rPr>
                <w:rFonts w:ascii="Arial" w:cs="Arial" w:eastAsia="Arial" w:hAnsi="Arial"/>
                <w:sz w:val="14"/>
                <w:szCs w:val="14"/>
                <w:b w:val="1"/>
                <w:bCs w:val="1"/>
                <w:color w:val="auto"/>
              </w:rPr>
              <w:t>Operating Expenses</w:t>
            </w: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3"/>
              <w:spacing w:after="0"/>
              <w:rPr>
                <w:sz w:val="20"/>
                <w:szCs w:val="20"/>
                <w:color w:val="auto"/>
              </w:rPr>
            </w:pPr>
            <w:r>
              <w:rPr>
                <w:rFonts w:ascii="Arial" w:cs="Arial" w:eastAsia="Arial" w:hAnsi="Arial"/>
                <w:sz w:val="14"/>
                <w:szCs w:val="14"/>
                <w:b w:val="1"/>
                <w:bCs w:val="1"/>
                <w:color w:val="auto"/>
              </w:rPr>
              <w:t>- mm</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206.3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152.3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64.8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36.6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0.5</w:t>
            </w:r>
          </w:p>
        </w:tc>
        <w:tc>
          <w:tcPr>
            <w:tcW w:w="13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1.0</w:t>
            </w:r>
          </w:p>
        </w:tc>
        <w:tc>
          <w:tcPr>
            <w:tcW w:w="13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23.6</w:t>
            </w:r>
          </w:p>
        </w:tc>
        <w:tc>
          <w:tcPr>
            <w:tcW w:w="13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15.5</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76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117.2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99.1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1,553.5</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1,549.4</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9"/>
        </w:trPr>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 September 30,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800" w:type="dxa"/>
            <w:vAlign w:val="bottom"/>
            <w:gridSpan w:val="2"/>
          </w:tcPr>
          <w:p>
            <w:pPr>
              <w:jc w:val="center"/>
              <w:ind w:right="153"/>
              <w:spacing w:after="0" w:line="142"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40" w:type="dxa"/>
            <w:vAlign w:val="bottom"/>
            <w:gridSpan w:val="2"/>
          </w:tcPr>
          <w:p>
            <w:pPr>
              <w:jc w:val="center"/>
              <w:ind w:right="193"/>
              <w:spacing w:after="0" w:line="142" w:lineRule="exact"/>
              <w:rPr>
                <w:sz w:val="20"/>
                <w:szCs w:val="20"/>
                <w:color w:val="auto"/>
              </w:rPr>
            </w:pPr>
            <w:r>
              <w:rPr>
                <w:rFonts w:ascii="Arial" w:cs="Arial" w:eastAsia="Arial" w:hAnsi="Arial"/>
                <w:sz w:val="14"/>
                <w:szCs w:val="14"/>
                <w:b w:val="1"/>
                <w:bCs w:val="1"/>
                <w:color w:val="auto"/>
              </w:rPr>
              <w:t>Operating Expenses</w:t>
            </w: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3"/>
              <w:spacing w:after="0"/>
              <w:rPr>
                <w:sz w:val="20"/>
                <w:szCs w:val="20"/>
                <w:color w:val="auto"/>
              </w:rPr>
            </w:pPr>
            <w:r>
              <w:rPr>
                <w:rFonts w:ascii="Arial" w:cs="Arial" w:eastAsia="Arial" w:hAnsi="Arial"/>
                <w:sz w:val="14"/>
                <w:szCs w:val="14"/>
                <w:b w:val="1"/>
                <w:bCs w:val="1"/>
                <w:color w:val="auto"/>
              </w:rPr>
              <w:t>- mm</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626.7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348.8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206.3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90.6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2.0</w:t>
            </w:r>
          </w:p>
        </w:tc>
        <w:tc>
          <w:tcPr>
            <w:tcW w:w="13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4.6</w:t>
            </w:r>
          </w:p>
        </w:tc>
        <w:tc>
          <w:tcPr>
            <w:tcW w:w="134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(72.4)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0"/>
        </w:trPr>
        <w:tc>
          <w:tcPr>
            <w:tcW w:w="4760" w:type="dxa"/>
            <w:vAlign w:val="bottom"/>
          </w:tcPr>
          <w:p>
            <w:pPr>
              <w:ind w:left="8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360" w:type="dxa"/>
            <w:vAlign w:val="bottom"/>
          </w:tcPr>
          <w:p>
            <w:pPr>
              <w:spacing w:after="0"/>
              <w:rPr>
                <w:sz w:val="23"/>
                <w:szCs w:val="23"/>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0.3</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64.0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48.9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0.8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0.6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353.6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276.1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5,114.1</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4,369.0</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40" w:hanging="414"/>
        <w:spacing w:after="0"/>
        <w:tabs>
          <w:tab w:leader="none" w:pos="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24"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11"/>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19</w:t>
      </w:r>
    </w:p>
    <w:sectPr>
      <w:pgSz w:w="11900" w:h="16838" w:orient="portrait"/>
      <w:cols w:equalWidth="0" w:num="1">
        <w:col w:w="11220"/>
      </w:cols>
      <w:pgMar w:left="320" w:top="13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6"/>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2022-11-01T15:12:59Z</dcterms:created>
  <dcterms:modified xsi:type="dcterms:W3CDTF">2022-11-01T15:12:59Z</dcterms:modified>
</cp:coreProperties>
</file>