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As filed with the Securities and Exchange Commission on October 14, 2021</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S-1</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Sun Country Airlines Holdings,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700" w:type="dxa"/>
        <w:tblCellMar>
          <w:top w:w="0" w:type="dxa"/>
          <w:left w:w="0" w:type="dxa"/>
          <w:bottom w:w="0" w:type="dxa"/>
          <w:right w:w="0" w:type="dxa"/>
        </w:tblCellMar>
      </w:tblPr>
      <w:tr>
        <w:trPr>
          <w:trHeight w:val="216"/>
        </w:trPr>
        <w:tc>
          <w:tcPr>
            <w:tcW w:w="3140" w:type="dxa"/>
            <w:vAlign w:val="bottom"/>
          </w:tcPr>
          <w:p>
            <w:pPr>
              <w:jc w:val="center"/>
              <w:ind w:right="610"/>
              <w:spacing w:after="0"/>
              <w:rPr>
                <w:sz w:val="20"/>
                <w:szCs w:val="20"/>
                <w:color w:val="auto"/>
              </w:rPr>
            </w:pPr>
            <w:r>
              <w:rPr>
                <w:rFonts w:ascii="Arial" w:cs="Arial" w:eastAsia="Arial" w:hAnsi="Arial"/>
                <w:sz w:val="18"/>
                <w:szCs w:val="18"/>
                <w:b w:val="1"/>
                <w:bCs w:val="1"/>
                <w:color w:val="auto"/>
                <w:w w:val="91"/>
              </w:rPr>
              <w:t>Delaware</w:t>
            </w:r>
          </w:p>
        </w:tc>
        <w:tc>
          <w:tcPr>
            <w:tcW w:w="3820" w:type="dxa"/>
            <w:vAlign w:val="bottom"/>
          </w:tcPr>
          <w:p>
            <w:pPr>
              <w:jc w:val="right"/>
              <w:ind w:right="1710"/>
              <w:spacing w:after="0"/>
              <w:rPr>
                <w:sz w:val="20"/>
                <w:szCs w:val="20"/>
                <w:color w:val="auto"/>
              </w:rPr>
            </w:pPr>
            <w:r>
              <w:rPr>
                <w:rFonts w:ascii="Arial" w:cs="Arial" w:eastAsia="Arial" w:hAnsi="Arial"/>
                <w:sz w:val="18"/>
                <w:szCs w:val="18"/>
                <w:b w:val="1"/>
                <w:bCs w:val="1"/>
                <w:color w:val="auto"/>
              </w:rPr>
              <w:t>4512</w:t>
            </w:r>
          </w:p>
        </w:tc>
        <w:tc>
          <w:tcPr>
            <w:tcW w:w="2620" w:type="dxa"/>
            <w:vAlign w:val="bottom"/>
          </w:tcPr>
          <w:p>
            <w:pPr>
              <w:jc w:val="center"/>
              <w:ind w:left="750"/>
              <w:spacing w:after="0"/>
              <w:rPr>
                <w:sz w:val="20"/>
                <w:szCs w:val="20"/>
                <w:color w:val="auto"/>
              </w:rPr>
            </w:pPr>
            <w:r>
              <w:rPr>
                <w:rFonts w:ascii="Arial" w:cs="Arial" w:eastAsia="Arial" w:hAnsi="Arial"/>
                <w:sz w:val="18"/>
                <w:szCs w:val="18"/>
                <w:b w:val="1"/>
                <w:bCs w:val="1"/>
                <w:color w:val="auto"/>
                <w:w w:val="89"/>
              </w:rPr>
              <w:t>82-4092570</w:t>
            </w:r>
          </w:p>
        </w:tc>
      </w:tr>
      <w:tr>
        <w:trPr>
          <w:trHeight w:val="216"/>
        </w:trPr>
        <w:tc>
          <w:tcPr>
            <w:tcW w:w="3140" w:type="dxa"/>
            <w:vAlign w:val="bottom"/>
          </w:tcPr>
          <w:p>
            <w:pPr>
              <w:jc w:val="center"/>
              <w:ind w:right="610"/>
              <w:spacing w:after="0"/>
              <w:rPr>
                <w:sz w:val="20"/>
                <w:szCs w:val="20"/>
                <w:color w:val="auto"/>
              </w:rPr>
            </w:pPr>
            <w:r>
              <w:rPr>
                <w:rFonts w:ascii="Arial" w:cs="Arial" w:eastAsia="Arial" w:hAnsi="Arial"/>
                <w:sz w:val="18"/>
                <w:szCs w:val="18"/>
                <w:b w:val="1"/>
                <w:bCs w:val="1"/>
                <w:color w:val="auto"/>
                <w:w w:val="90"/>
              </w:rPr>
              <w:t>(State or Other Jurisdiction of</w:t>
            </w:r>
          </w:p>
        </w:tc>
        <w:tc>
          <w:tcPr>
            <w:tcW w:w="382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(Primary Standard Industrial</w:t>
            </w:r>
          </w:p>
        </w:tc>
        <w:tc>
          <w:tcPr>
            <w:tcW w:w="2620" w:type="dxa"/>
            <w:vAlign w:val="bottom"/>
          </w:tcPr>
          <w:p>
            <w:pPr>
              <w:jc w:val="center"/>
              <w:ind w:left="750"/>
              <w:spacing w:after="0"/>
              <w:rPr>
                <w:sz w:val="20"/>
                <w:szCs w:val="20"/>
                <w:color w:val="auto"/>
              </w:rPr>
            </w:pPr>
            <w:r>
              <w:rPr>
                <w:rFonts w:ascii="Arial" w:cs="Arial" w:eastAsia="Arial" w:hAnsi="Arial"/>
                <w:sz w:val="18"/>
                <w:szCs w:val="18"/>
                <w:b w:val="1"/>
                <w:bCs w:val="1"/>
                <w:color w:val="auto"/>
                <w:w w:val="94"/>
              </w:rPr>
              <w:t>(I.R.S. Employer</w:t>
            </w:r>
          </w:p>
        </w:tc>
      </w:tr>
      <w:tr>
        <w:trPr>
          <w:trHeight w:val="216"/>
        </w:trPr>
        <w:tc>
          <w:tcPr>
            <w:tcW w:w="3140" w:type="dxa"/>
            <w:vAlign w:val="bottom"/>
          </w:tcPr>
          <w:p>
            <w:pPr>
              <w:jc w:val="center"/>
              <w:ind w:right="630"/>
              <w:spacing w:after="0"/>
              <w:rPr>
                <w:sz w:val="20"/>
                <w:szCs w:val="20"/>
                <w:color w:val="auto"/>
              </w:rPr>
            </w:pPr>
            <w:r>
              <w:rPr>
                <w:rFonts w:ascii="Arial" w:cs="Arial" w:eastAsia="Arial" w:hAnsi="Arial"/>
                <w:sz w:val="18"/>
                <w:szCs w:val="18"/>
                <w:b w:val="1"/>
                <w:bCs w:val="1"/>
                <w:color w:val="auto"/>
                <w:w w:val="93"/>
              </w:rPr>
              <w:t>Incorporation or Organization)</w:t>
            </w:r>
          </w:p>
        </w:tc>
        <w:tc>
          <w:tcPr>
            <w:tcW w:w="38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Classification Code Number)</w:t>
            </w:r>
          </w:p>
        </w:tc>
        <w:tc>
          <w:tcPr>
            <w:tcW w:w="2620" w:type="dxa"/>
            <w:vAlign w:val="bottom"/>
          </w:tcPr>
          <w:p>
            <w:pPr>
              <w:jc w:val="center"/>
              <w:ind w:left="750"/>
              <w:spacing w:after="0"/>
              <w:rPr>
                <w:sz w:val="20"/>
                <w:szCs w:val="20"/>
                <w:color w:val="auto"/>
              </w:rPr>
            </w:pPr>
            <w:r>
              <w:rPr>
                <w:rFonts w:ascii="Arial" w:cs="Arial" w:eastAsia="Arial" w:hAnsi="Arial"/>
                <w:sz w:val="18"/>
                <w:szCs w:val="18"/>
                <w:b w:val="1"/>
                <w:bCs w:val="1"/>
                <w:color w:val="auto"/>
                <w:w w:val="93"/>
              </w:rPr>
              <w:t>Identification Number)</w:t>
            </w:r>
          </w:p>
        </w:tc>
      </w:tr>
      <w:tr>
        <w:trPr>
          <w:trHeight w:val="216"/>
        </w:trPr>
        <w:tc>
          <w:tcPr>
            <w:tcW w:w="3140" w:type="dxa"/>
            <w:vAlign w:val="bottom"/>
          </w:tcPr>
          <w:p>
            <w:pPr>
              <w:spacing w:after="0"/>
              <w:rPr>
                <w:sz w:val="18"/>
                <w:szCs w:val="18"/>
                <w:color w:val="auto"/>
              </w:rPr>
            </w:pPr>
          </w:p>
        </w:tc>
        <w:tc>
          <w:tcPr>
            <w:tcW w:w="38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2005 Cargo Road</w:t>
            </w:r>
          </w:p>
        </w:tc>
        <w:tc>
          <w:tcPr>
            <w:tcW w:w="262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382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Minneapolis, MN 55450</w:t>
            </w:r>
          </w:p>
        </w:tc>
        <w:tc>
          <w:tcPr>
            <w:tcW w:w="2620" w:type="dxa"/>
            <w:vAlign w:val="bottom"/>
          </w:tcPr>
          <w:p>
            <w:pPr>
              <w:spacing w:after="0"/>
              <w:rPr>
                <w:sz w:val="18"/>
                <w:szCs w:val="18"/>
                <w:color w:val="auto"/>
              </w:rPr>
            </w:pPr>
          </w:p>
        </w:tc>
      </w:tr>
      <w:tr>
        <w:trPr>
          <w:trHeight w:val="234"/>
        </w:trPr>
        <w:tc>
          <w:tcPr>
            <w:tcW w:w="3140" w:type="dxa"/>
            <w:vAlign w:val="bottom"/>
          </w:tcPr>
          <w:p>
            <w:pPr>
              <w:spacing w:after="0"/>
              <w:rPr>
                <w:sz w:val="20"/>
                <w:szCs w:val="20"/>
                <w:color w:val="auto"/>
              </w:rPr>
            </w:pPr>
          </w:p>
        </w:tc>
        <w:tc>
          <w:tcPr>
            <w:tcW w:w="3820" w:type="dxa"/>
            <w:vAlign w:val="bottom"/>
          </w:tcPr>
          <w:p>
            <w:pPr>
              <w:jc w:val="right"/>
              <w:ind w:right="1330"/>
              <w:spacing w:after="0"/>
              <w:rPr>
                <w:sz w:val="20"/>
                <w:szCs w:val="20"/>
                <w:color w:val="auto"/>
              </w:rPr>
            </w:pPr>
            <w:r>
              <w:rPr>
                <w:rFonts w:ascii="Arial" w:cs="Arial" w:eastAsia="Arial" w:hAnsi="Arial"/>
                <w:sz w:val="18"/>
                <w:szCs w:val="18"/>
                <w:b w:val="1"/>
                <w:bCs w:val="1"/>
                <w:color w:val="auto"/>
              </w:rPr>
              <w:t>(651) 681-3900</w:t>
            </w:r>
          </w:p>
        </w:tc>
        <w:tc>
          <w:tcPr>
            <w:tcW w:w="2620" w:type="dxa"/>
            <w:vAlign w:val="bottom"/>
          </w:tcPr>
          <w:p>
            <w:pPr>
              <w:spacing w:after="0"/>
              <w:rPr>
                <w:sz w:val="20"/>
                <w:szCs w:val="20"/>
                <w:color w:val="auto"/>
              </w:rPr>
            </w:pPr>
          </w:p>
        </w:tc>
      </w:tr>
    </w:tbl>
    <w:p>
      <w:pPr>
        <w:jc w:val="center"/>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Eric Levenhagen,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2005 Cargo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Minneapolis, MN 55450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(651) 681-3900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tbl>
      <w:tblPr>
        <w:tblLayout w:type="fixed"/>
        <w:tblInd w:w="64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6280" w:type="dxa"/>
            <w:vAlign w:val="bottom"/>
          </w:tcPr>
          <w:p>
            <w:pPr>
              <w:ind w:left="1040"/>
              <w:spacing w:after="0"/>
              <w:rPr>
                <w:sz w:val="20"/>
                <w:szCs w:val="20"/>
                <w:color w:val="auto"/>
              </w:rPr>
            </w:pPr>
            <w:r>
              <w:rPr>
                <w:rFonts w:ascii="Arial" w:cs="Arial" w:eastAsia="Arial" w:hAnsi="Arial"/>
                <w:sz w:val="18"/>
                <w:szCs w:val="18"/>
                <w:b w:val="1"/>
                <w:bCs w:val="1"/>
                <w:i w:val="1"/>
                <w:iCs w:val="1"/>
                <w:color w:val="auto"/>
              </w:rPr>
              <w:t>Copies to:</w:t>
            </w:r>
          </w:p>
        </w:tc>
      </w:tr>
      <w:tr>
        <w:trPr>
          <w:trHeight w:val="414"/>
        </w:trPr>
        <w:tc>
          <w:tcPr>
            <w:tcW w:w="3580" w:type="dxa"/>
            <w:vAlign w:val="bottom"/>
          </w:tcPr>
          <w:p>
            <w:pPr>
              <w:jc w:val="center"/>
              <w:ind w:right="930"/>
              <w:spacing w:after="0"/>
              <w:rPr>
                <w:sz w:val="20"/>
                <w:szCs w:val="20"/>
                <w:color w:val="auto"/>
              </w:rPr>
            </w:pPr>
            <w:r>
              <w:rPr>
                <w:rFonts w:ascii="Arial" w:cs="Arial" w:eastAsia="Arial" w:hAnsi="Arial"/>
                <w:sz w:val="18"/>
                <w:szCs w:val="18"/>
                <w:b w:val="1"/>
                <w:bCs w:val="1"/>
                <w:color w:val="auto"/>
                <w:w w:val="91"/>
              </w:rPr>
              <w:t>Brian M. Janson, Esq.</w:t>
            </w:r>
          </w:p>
        </w:tc>
        <w:tc>
          <w:tcPr>
            <w:tcW w:w="6280" w:type="dxa"/>
            <w:vAlign w:val="bottom"/>
          </w:tcPr>
          <w:p>
            <w:pPr>
              <w:jc w:val="center"/>
              <w:ind w:left="3970"/>
              <w:spacing w:after="0"/>
              <w:rPr>
                <w:sz w:val="20"/>
                <w:szCs w:val="20"/>
                <w:color w:val="auto"/>
              </w:rPr>
            </w:pPr>
            <w:r>
              <w:rPr>
                <w:rFonts w:ascii="Arial" w:cs="Arial" w:eastAsia="Arial" w:hAnsi="Arial"/>
                <w:sz w:val="18"/>
                <w:szCs w:val="18"/>
                <w:b w:val="1"/>
                <w:bCs w:val="1"/>
                <w:color w:val="auto"/>
                <w:w w:val="92"/>
              </w:rPr>
              <w:t>Michael Kaplan, Esq.</w:t>
            </w:r>
          </w:p>
        </w:tc>
      </w:tr>
      <w:tr>
        <w:trPr>
          <w:trHeight w:val="216"/>
        </w:trPr>
        <w:tc>
          <w:tcPr>
            <w:tcW w:w="3580" w:type="dxa"/>
            <w:vAlign w:val="bottom"/>
          </w:tcPr>
          <w:p>
            <w:pPr>
              <w:jc w:val="center"/>
              <w:ind w:right="930"/>
              <w:spacing w:after="0"/>
              <w:rPr>
                <w:sz w:val="20"/>
                <w:szCs w:val="20"/>
                <w:color w:val="auto"/>
              </w:rPr>
            </w:pPr>
            <w:r>
              <w:rPr>
                <w:rFonts w:ascii="Arial" w:cs="Arial" w:eastAsia="Arial" w:hAnsi="Arial"/>
                <w:sz w:val="18"/>
                <w:szCs w:val="18"/>
                <w:b w:val="1"/>
                <w:bCs w:val="1"/>
                <w:color w:val="auto"/>
                <w:w w:val="94"/>
              </w:rPr>
              <w:t>Paul, Weiss, Rifkind, Wharton &amp;</w:t>
            </w:r>
          </w:p>
        </w:tc>
        <w:tc>
          <w:tcPr>
            <w:tcW w:w="6280" w:type="dxa"/>
            <w:vAlign w:val="bottom"/>
          </w:tcPr>
          <w:p>
            <w:pPr>
              <w:jc w:val="center"/>
              <w:ind w:left="3970"/>
              <w:spacing w:after="0"/>
              <w:rPr>
                <w:sz w:val="20"/>
                <w:szCs w:val="20"/>
                <w:color w:val="auto"/>
              </w:rPr>
            </w:pPr>
            <w:r>
              <w:rPr>
                <w:rFonts w:ascii="Arial" w:cs="Arial" w:eastAsia="Arial" w:hAnsi="Arial"/>
                <w:sz w:val="18"/>
                <w:szCs w:val="18"/>
                <w:b w:val="1"/>
                <w:bCs w:val="1"/>
                <w:color w:val="auto"/>
                <w:w w:val="89"/>
              </w:rPr>
              <w:t>Derek Dostal, Esq.</w:t>
            </w:r>
          </w:p>
        </w:tc>
      </w:tr>
      <w:tr>
        <w:trPr>
          <w:trHeight w:val="216"/>
        </w:trPr>
        <w:tc>
          <w:tcPr>
            <w:tcW w:w="3580" w:type="dxa"/>
            <w:vAlign w:val="bottom"/>
          </w:tcPr>
          <w:p>
            <w:pPr>
              <w:jc w:val="center"/>
              <w:ind w:right="930"/>
              <w:spacing w:after="0"/>
              <w:rPr>
                <w:sz w:val="20"/>
                <w:szCs w:val="20"/>
                <w:color w:val="auto"/>
              </w:rPr>
            </w:pPr>
            <w:r>
              <w:rPr>
                <w:rFonts w:ascii="Arial" w:cs="Arial" w:eastAsia="Arial" w:hAnsi="Arial"/>
                <w:sz w:val="18"/>
                <w:szCs w:val="18"/>
                <w:b w:val="1"/>
                <w:bCs w:val="1"/>
                <w:color w:val="auto"/>
                <w:w w:val="94"/>
              </w:rPr>
              <w:t>Garrison LLP</w:t>
            </w:r>
          </w:p>
        </w:tc>
        <w:tc>
          <w:tcPr>
            <w:tcW w:w="6280" w:type="dxa"/>
            <w:vAlign w:val="bottom"/>
          </w:tcPr>
          <w:p>
            <w:pPr>
              <w:jc w:val="center"/>
              <w:ind w:left="3970"/>
              <w:spacing w:after="0"/>
              <w:rPr>
                <w:sz w:val="20"/>
                <w:szCs w:val="20"/>
                <w:color w:val="auto"/>
              </w:rPr>
            </w:pPr>
            <w:r>
              <w:rPr>
                <w:rFonts w:ascii="Arial" w:cs="Arial" w:eastAsia="Arial" w:hAnsi="Arial"/>
                <w:sz w:val="18"/>
                <w:szCs w:val="18"/>
                <w:b w:val="1"/>
                <w:bCs w:val="1"/>
                <w:color w:val="auto"/>
                <w:w w:val="95"/>
              </w:rPr>
              <w:t>Davis Polk &amp; Wardwell LLP</w:t>
            </w:r>
          </w:p>
        </w:tc>
      </w:tr>
      <w:tr>
        <w:trPr>
          <w:trHeight w:val="216"/>
        </w:trPr>
        <w:tc>
          <w:tcPr>
            <w:tcW w:w="3580" w:type="dxa"/>
            <w:vAlign w:val="bottom"/>
          </w:tcPr>
          <w:p>
            <w:pPr>
              <w:jc w:val="center"/>
              <w:ind w:right="930"/>
              <w:spacing w:after="0"/>
              <w:rPr>
                <w:sz w:val="20"/>
                <w:szCs w:val="20"/>
                <w:color w:val="auto"/>
              </w:rPr>
            </w:pPr>
            <w:r>
              <w:rPr>
                <w:rFonts w:ascii="Arial" w:cs="Arial" w:eastAsia="Arial" w:hAnsi="Arial"/>
                <w:sz w:val="18"/>
                <w:szCs w:val="18"/>
                <w:b w:val="1"/>
                <w:bCs w:val="1"/>
                <w:color w:val="auto"/>
                <w:w w:val="89"/>
              </w:rPr>
              <w:t>1285 Avenue of the Americas</w:t>
            </w:r>
          </w:p>
        </w:tc>
        <w:tc>
          <w:tcPr>
            <w:tcW w:w="6280" w:type="dxa"/>
            <w:vAlign w:val="bottom"/>
          </w:tcPr>
          <w:p>
            <w:pPr>
              <w:jc w:val="center"/>
              <w:ind w:left="3970"/>
              <w:spacing w:after="0"/>
              <w:rPr>
                <w:sz w:val="20"/>
                <w:szCs w:val="20"/>
                <w:color w:val="auto"/>
              </w:rPr>
            </w:pPr>
            <w:r>
              <w:rPr>
                <w:rFonts w:ascii="Arial" w:cs="Arial" w:eastAsia="Arial" w:hAnsi="Arial"/>
                <w:sz w:val="18"/>
                <w:szCs w:val="18"/>
                <w:b w:val="1"/>
                <w:bCs w:val="1"/>
                <w:color w:val="auto"/>
                <w:w w:val="88"/>
              </w:rPr>
              <w:t>450 Lexington Avenue</w:t>
            </w:r>
          </w:p>
        </w:tc>
      </w:tr>
      <w:tr>
        <w:trPr>
          <w:trHeight w:val="216"/>
        </w:trPr>
        <w:tc>
          <w:tcPr>
            <w:tcW w:w="3580" w:type="dxa"/>
            <w:vAlign w:val="bottom"/>
          </w:tcPr>
          <w:p>
            <w:pPr>
              <w:jc w:val="center"/>
              <w:ind w:right="930"/>
              <w:spacing w:after="0"/>
              <w:rPr>
                <w:sz w:val="20"/>
                <w:szCs w:val="20"/>
                <w:color w:val="auto"/>
              </w:rPr>
            </w:pPr>
            <w:r>
              <w:rPr>
                <w:rFonts w:ascii="Arial" w:cs="Arial" w:eastAsia="Arial" w:hAnsi="Arial"/>
                <w:sz w:val="18"/>
                <w:szCs w:val="18"/>
                <w:b w:val="1"/>
                <w:bCs w:val="1"/>
                <w:color w:val="auto"/>
                <w:w w:val="91"/>
              </w:rPr>
              <w:t>New York, New York 10019-6064</w:t>
            </w:r>
          </w:p>
        </w:tc>
        <w:tc>
          <w:tcPr>
            <w:tcW w:w="6280" w:type="dxa"/>
            <w:vAlign w:val="bottom"/>
          </w:tcPr>
          <w:p>
            <w:pPr>
              <w:jc w:val="center"/>
              <w:ind w:left="3970"/>
              <w:spacing w:after="0"/>
              <w:rPr>
                <w:sz w:val="20"/>
                <w:szCs w:val="20"/>
                <w:color w:val="auto"/>
              </w:rPr>
            </w:pPr>
            <w:r>
              <w:rPr>
                <w:rFonts w:ascii="Arial" w:cs="Arial" w:eastAsia="Arial" w:hAnsi="Arial"/>
                <w:sz w:val="18"/>
                <w:szCs w:val="18"/>
                <w:b w:val="1"/>
                <w:bCs w:val="1"/>
                <w:color w:val="auto"/>
                <w:w w:val="91"/>
              </w:rPr>
              <w:t>New York, New York 10017</w:t>
            </w:r>
          </w:p>
        </w:tc>
      </w:tr>
      <w:tr>
        <w:trPr>
          <w:trHeight w:val="234"/>
        </w:trPr>
        <w:tc>
          <w:tcPr>
            <w:tcW w:w="3580" w:type="dxa"/>
            <w:vAlign w:val="bottom"/>
          </w:tcPr>
          <w:p>
            <w:pPr>
              <w:jc w:val="center"/>
              <w:ind w:right="930"/>
              <w:spacing w:after="0"/>
              <w:rPr>
                <w:sz w:val="20"/>
                <w:szCs w:val="20"/>
                <w:color w:val="auto"/>
              </w:rPr>
            </w:pPr>
            <w:r>
              <w:rPr>
                <w:rFonts w:ascii="Arial" w:cs="Arial" w:eastAsia="Arial" w:hAnsi="Arial"/>
                <w:sz w:val="18"/>
                <w:szCs w:val="18"/>
                <w:b w:val="1"/>
                <w:bCs w:val="1"/>
                <w:color w:val="auto"/>
                <w:w w:val="90"/>
              </w:rPr>
              <w:t>(212) 373-3000</w:t>
            </w:r>
          </w:p>
        </w:tc>
        <w:tc>
          <w:tcPr>
            <w:tcW w:w="6280" w:type="dxa"/>
            <w:vAlign w:val="bottom"/>
          </w:tcPr>
          <w:p>
            <w:pPr>
              <w:jc w:val="center"/>
              <w:ind w:left="3970"/>
              <w:spacing w:after="0"/>
              <w:rPr>
                <w:sz w:val="20"/>
                <w:szCs w:val="20"/>
                <w:color w:val="auto"/>
              </w:rPr>
            </w:pPr>
            <w:r>
              <w:rPr>
                <w:rFonts w:ascii="Arial" w:cs="Arial" w:eastAsia="Arial" w:hAnsi="Arial"/>
                <w:sz w:val="18"/>
                <w:szCs w:val="18"/>
                <w:b w:val="1"/>
                <w:bCs w:val="1"/>
                <w:color w:val="auto"/>
                <w:w w:val="92"/>
              </w:rPr>
              <w:t>(212) 450-4000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ind w:left="660"/>
        <w:spacing w:after="0"/>
        <w:rPr>
          <w:sz w:val="20"/>
          <w:szCs w:val="20"/>
          <w:color w:val="auto"/>
        </w:rPr>
      </w:pPr>
      <w:r>
        <w:rPr>
          <w:rFonts w:ascii="Arial" w:cs="Arial" w:eastAsia="Arial" w:hAnsi="Arial"/>
          <w:sz w:val="16"/>
          <w:szCs w:val="16"/>
          <w:color w:val="auto"/>
        </w:rPr>
        <w:t>Approximate date of commencement of proposed sale to the public: As soon as practicable after this Registration Statement becomes effective.</w:t>
      </w:r>
    </w:p>
    <w:p>
      <w:pPr>
        <w:spacing w:after="0" w:line="248" w:lineRule="exact"/>
        <w:rPr>
          <w:sz w:val="24"/>
          <w:szCs w:val="24"/>
          <w:color w:val="auto"/>
        </w:rPr>
      </w:pPr>
    </w:p>
    <w:p>
      <w:pPr>
        <w:ind w:right="180" w:firstLine="648"/>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280" w:firstLine="648"/>
        <w:spacing w:after="0" w:line="234"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r>
        <w:rPr>
          <w:rFonts w:ascii="Arial" w:cs="Arial" w:eastAsia="Arial" w:hAnsi="Arial"/>
          <w:sz w:val="16"/>
          <w:szCs w:val="16"/>
          <w:color w:val="auto"/>
        </w:rPr>
        <w:t xml:space="preserve"> 333-260195</w:t>
      </w:r>
    </w:p>
    <w:p>
      <w:pPr>
        <w:spacing w:after="0" w:line="182" w:lineRule="exact"/>
        <w:rPr>
          <w:sz w:val="24"/>
          <w:szCs w:val="24"/>
          <w:color w:val="auto"/>
        </w:rPr>
      </w:pPr>
    </w:p>
    <w:p>
      <w:pPr>
        <w:ind w:right="200" w:firstLine="648"/>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180" w:firstLine="648"/>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100"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120" w:type="dxa"/>
        <w:tblCellMar>
          <w:top w:w="0" w:type="dxa"/>
          <w:left w:w="0" w:type="dxa"/>
          <w:bottom w:w="0" w:type="dxa"/>
          <w:right w:w="0" w:type="dxa"/>
        </w:tblCellMar>
      </w:tblP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8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4440" w:type="dxa"/>
            <w:vAlign w:val="bottom"/>
          </w:tcPr>
          <w:p>
            <w:pPr>
              <w:ind w:left="1840"/>
              <w:spacing w:after="0"/>
              <w:rPr>
                <w:sz w:val="20"/>
                <w:szCs w:val="20"/>
                <w:color w:val="auto"/>
              </w:rPr>
            </w:pPr>
            <w:r>
              <w:rPr>
                <w:rFonts w:ascii="Arial" w:cs="Arial" w:eastAsia="Arial" w:hAnsi="Arial"/>
                <w:sz w:val="18"/>
                <w:szCs w:val="18"/>
                <w:color w:val="auto"/>
              </w:rPr>
              <w:t>Accelerated filer</w:t>
            </w:r>
          </w:p>
        </w:tc>
        <w:tc>
          <w:tcPr>
            <w:tcW w:w="82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Non-accelerated filer</w:t>
            </w:r>
          </w:p>
        </w:tc>
        <w:tc>
          <w:tcPr>
            <w:tcW w:w="298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4440" w:type="dxa"/>
            <w:vAlign w:val="bottom"/>
          </w:tcPr>
          <w:p>
            <w:pPr>
              <w:ind w:left="1840"/>
              <w:spacing w:after="0"/>
              <w:rPr>
                <w:sz w:val="20"/>
                <w:szCs w:val="20"/>
                <w:color w:val="auto"/>
              </w:rPr>
            </w:pPr>
            <w:r>
              <w:rPr>
                <w:rFonts w:ascii="Arial" w:cs="Arial" w:eastAsia="Arial" w:hAnsi="Arial"/>
                <w:sz w:val="18"/>
                <w:szCs w:val="18"/>
                <w:color w:val="auto"/>
              </w:rPr>
              <w:t>Smaller reporting company</w:t>
            </w:r>
          </w:p>
        </w:tc>
        <w:tc>
          <w:tcPr>
            <w:tcW w:w="82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26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440" w:type="dxa"/>
            <w:vAlign w:val="bottom"/>
          </w:tcPr>
          <w:p>
            <w:pPr>
              <w:ind w:left="1840"/>
              <w:spacing w:after="0"/>
              <w:rPr>
                <w:sz w:val="20"/>
                <w:szCs w:val="20"/>
                <w:color w:val="auto"/>
              </w:rPr>
            </w:pPr>
            <w:r>
              <w:rPr>
                <w:rFonts w:ascii="Arial" w:cs="Arial" w:eastAsia="Arial" w:hAnsi="Arial"/>
                <w:sz w:val="18"/>
                <w:szCs w:val="18"/>
                <w:color w:val="auto"/>
              </w:rPr>
              <w:t>Emerging growth company</w:t>
            </w:r>
          </w:p>
        </w:tc>
        <w:tc>
          <w:tcPr>
            <w:tcW w:w="82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88"/>
              </w:rPr>
              <w:t>☒</w:t>
            </w:r>
          </w:p>
        </w:tc>
      </w:tr>
    </w:tbl>
    <w:p>
      <w:pPr>
        <w:sectPr>
          <w:pgSz w:w="11900" w:h="16838" w:orient="portrait"/>
          <w:cols w:equalWidth="0" w:num="1">
            <w:col w:w="11240"/>
          </w:cols>
          <w:pgMar w:left="320" w:top="233" w:right="339" w:bottom="103" w:gutter="0" w:footer="0" w:header="0"/>
        </w:sectPr>
      </w:pPr>
    </w:p>
    <w:bookmarkStart w:id="1" w:name="page2"/>
    <w:bookmarkEnd w:id="1"/>
    <w:p>
      <w:pPr>
        <w:ind w:right="16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gridSpan w:val="5"/>
          </w:tcPr>
          <w:p>
            <w:pPr>
              <w:jc w:val="right"/>
              <w:ind w:right="120"/>
              <w:spacing w:after="0"/>
              <w:rPr>
                <w:sz w:val="20"/>
                <w:szCs w:val="20"/>
                <w:color w:val="auto"/>
              </w:rPr>
            </w:pPr>
            <w:r>
              <w:rPr>
                <w:rFonts w:ascii="Arial" w:cs="Arial" w:eastAsia="Arial" w:hAnsi="Arial"/>
                <w:sz w:val="18"/>
                <w:szCs w:val="18"/>
                <w:color w:val="auto"/>
              </w:rPr>
              <w:t>CALCULATION OF REGISTRATION FEE</w:t>
            </w: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Proposed</w:t>
            </w: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Proposed</w:t>
            </w:r>
          </w:p>
        </w:tc>
        <w:tc>
          <w:tcPr>
            <w:tcW w:w="320" w:type="dxa"/>
            <w:vAlign w:val="bottom"/>
          </w:tcPr>
          <w:p>
            <w:pPr>
              <w:spacing w:after="0"/>
              <w:rPr>
                <w:sz w:val="18"/>
                <w:szCs w:val="18"/>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Maximum</w:t>
            </w: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Maximum</w:t>
            </w:r>
          </w:p>
        </w:tc>
        <w:tc>
          <w:tcPr>
            <w:tcW w:w="320" w:type="dxa"/>
            <w:vAlign w:val="bottom"/>
          </w:tcPr>
          <w:p>
            <w:pPr>
              <w:spacing w:after="0"/>
              <w:rPr>
                <w:sz w:val="18"/>
                <w:szCs w:val="18"/>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Aggregate</w:t>
            </w:r>
          </w:p>
        </w:tc>
        <w:tc>
          <w:tcPr>
            <w:tcW w:w="260" w:type="dxa"/>
            <w:vAlign w:val="bottom"/>
          </w:tcPr>
          <w:p>
            <w:pPr>
              <w:spacing w:after="0"/>
              <w:rPr>
                <w:sz w:val="18"/>
                <w:szCs w:val="18"/>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Amount of</w:t>
            </w:r>
          </w:p>
        </w:tc>
      </w:tr>
      <w:tr>
        <w:trPr>
          <w:trHeight w:val="216"/>
        </w:trPr>
        <w:tc>
          <w:tcPr>
            <w:tcW w:w="36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Title of Each Class of</w:t>
            </w:r>
          </w:p>
        </w:tc>
        <w:tc>
          <w:tcPr>
            <w:tcW w:w="1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Amount to be</w:t>
            </w:r>
          </w:p>
        </w:tc>
        <w:tc>
          <w:tcPr>
            <w:tcW w:w="24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Offering Price</w:t>
            </w:r>
          </w:p>
        </w:tc>
        <w:tc>
          <w:tcPr>
            <w:tcW w:w="320" w:type="dxa"/>
            <w:vAlign w:val="bottom"/>
          </w:tcPr>
          <w:p>
            <w:pPr>
              <w:spacing w:after="0"/>
              <w:rPr>
                <w:sz w:val="18"/>
                <w:szCs w:val="18"/>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Offering</w:t>
            </w:r>
          </w:p>
        </w:tc>
        <w:tc>
          <w:tcPr>
            <w:tcW w:w="260" w:type="dxa"/>
            <w:vAlign w:val="bottom"/>
          </w:tcPr>
          <w:p>
            <w:pPr>
              <w:spacing w:after="0"/>
              <w:rPr>
                <w:sz w:val="18"/>
                <w:szCs w:val="18"/>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Registration</w:t>
            </w:r>
          </w:p>
        </w:tc>
      </w:tr>
      <w:tr>
        <w:trPr>
          <w:trHeight w:val="248"/>
        </w:trPr>
        <w:tc>
          <w:tcPr>
            <w:tcW w:w="3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Securities to be Registered</w:t>
            </w:r>
          </w:p>
        </w:tc>
        <w:tc>
          <w:tcPr>
            <w:tcW w:w="1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Registered(1)(2)</w:t>
            </w:r>
          </w:p>
        </w:tc>
        <w:tc>
          <w:tcPr>
            <w:tcW w:w="240" w:type="dxa"/>
            <w:vAlign w:val="bottom"/>
          </w:tcPr>
          <w:p>
            <w:pPr>
              <w:spacing w:after="0"/>
              <w:rPr>
                <w:sz w:val="21"/>
                <w:szCs w:val="21"/>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Per Share</w:t>
            </w:r>
          </w:p>
        </w:tc>
        <w:tc>
          <w:tcPr>
            <w:tcW w:w="320" w:type="dxa"/>
            <w:vAlign w:val="bottom"/>
          </w:tcPr>
          <w:p>
            <w:pPr>
              <w:spacing w:after="0"/>
              <w:rPr>
                <w:sz w:val="21"/>
                <w:szCs w:val="21"/>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Price(3)</w:t>
            </w:r>
          </w:p>
        </w:tc>
        <w:tc>
          <w:tcPr>
            <w:tcW w:w="260" w:type="dxa"/>
            <w:vAlign w:val="bottom"/>
          </w:tcPr>
          <w:p>
            <w:pPr>
              <w:spacing w:after="0"/>
              <w:rPr>
                <w:sz w:val="21"/>
                <w:szCs w:val="21"/>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Fee(3)</w:t>
            </w:r>
          </w:p>
        </w:tc>
      </w:tr>
      <w:tr>
        <w:trPr>
          <w:trHeight w:val="223"/>
        </w:trPr>
        <w:tc>
          <w:tcPr>
            <w:tcW w:w="3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 par value $0.01 per share</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18,687,500</w:t>
            </w:r>
          </w:p>
        </w:tc>
        <w:tc>
          <w:tcPr>
            <w:tcW w:w="2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00" w:type="dxa"/>
            <w:vAlign w:val="bottom"/>
            <w:tcBorders>
              <w:top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ind w:left="340" w:right="62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shares of common stock being registered in this Registration Statement are in addition to the 9,200,000 shares of common stock registered pursuant to the registrant’s Registration Statement on Form S-1 (Registration No. 333-260195).</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75,000 shares of common stock that are subject to the underwriters’ option to purchase additional shares.</w:t>
      </w:r>
    </w:p>
    <w:p>
      <w:pPr>
        <w:spacing w:after="0" w:line="225" w:lineRule="exact"/>
        <w:rPr>
          <w:rFonts w:ascii="Arial" w:cs="Arial" w:eastAsia="Arial" w:hAnsi="Arial"/>
          <w:sz w:val="18"/>
          <w:szCs w:val="18"/>
          <w:color w:val="auto"/>
        </w:rPr>
      </w:pPr>
    </w:p>
    <w:p>
      <w:pPr>
        <w:ind w:left="340" w:hanging="332"/>
        <w:spacing w:after="0" w:line="25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registration fee is calculated in accordance with Rule 457(a) under the Securities Act of 1933, as amended, based on the proposed maximum aggregate offering price. The registrant previously paid a filing fee of $30,685 for the Registration Statement on Form S-1 (File No. 333-260195), which was declared effective on October 14, 2021. In accordance with Rule 462(b) under the Securities Act of 1933, as amended, an additional amount of securities having a proposed maximum aggregate offering price of $18,687,500 are hereby registered, which includes the additional shares that the underwriters have the option to purchase.</w:t>
      </w:r>
    </w:p>
    <w:p>
      <w:pPr>
        <w:spacing w:after="0" w:line="184" w:lineRule="exact"/>
        <w:rPr>
          <w:sz w:val="20"/>
          <w:szCs w:val="20"/>
          <w:color w:val="auto"/>
        </w:rPr>
      </w:pPr>
    </w:p>
    <w:p>
      <w:pPr>
        <w:ind w:right="740" w:firstLine="648"/>
        <w:spacing w:after="0" w:line="282" w:lineRule="auto"/>
        <w:rPr>
          <w:sz w:val="20"/>
          <w:szCs w:val="20"/>
          <w:color w:val="auto"/>
        </w:rPr>
      </w:pPr>
      <w:r>
        <w:rPr>
          <w:rFonts w:ascii="Arial" w:cs="Arial" w:eastAsia="Arial" w:hAnsi="Arial"/>
          <w:sz w:val="18"/>
          <w:szCs w:val="18"/>
          <w:b w:val="1"/>
          <w:bCs w:val="1"/>
          <w:color w:val="auto"/>
        </w:rPr>
        <w:t>This Registration Statement shall become effective upon filing with the Securities and Exchange Commission in accordance with Rule 462(b)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756920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240" w:firstLine="648"/>
        <w:spacing w:after="0" w:line="301" w:lineRule="auto"/>
        <w:rPr>
          <w:rFonts w:ascii="Arial" w:cs="Arial" w:eastAsia="Arial" w:hAnsi="Arial"/>
          <w:sz w:val="16"/>
          <w:szCs w:val="16"/>
          <w:color w:val="0000EE"/>
        </w:rPr>
      </w:pPr>
      <w:r>
        <w:rPr>
          <w:rFonts w:ascii="Arial" w:cs="Arial" w:eastAsia="Arial" w:hAnsi="Arial"/>
          <w:sz w:val="16"/>
          <w:szCs w:val="16"/>
          <w:color w:val="auto"/>
        </w:rPr>
        <w:t xml:space="preserve">This Registration Statement is being filed pursuant to Rule 462(b) (“Rule 462(b)”) and General Instruction V of Form S-1, both as promulgated </w:t>
      </w:r>
      <w:hyperlink r:id="rId19">
        <w:r>
          <w:rPr>
            <w:rFonts w:ascii="Arial" w:cs="Arial" w:eastAsia="Arial" w:hAnsi="Arial"/>
            <w:sz w:val="16"/>
            <w:szCs w:val="16"/>
            <w:color w:val="auto"/>
          </w:rPr>
          <w:t xml:space="preserve">under the Securities Act of 1933, as amended. Pursuant to Rule 462(b), the contents of the </w:t>
        </w:r>
        <w:r>
          <w:rPr>
            <w:rFonts w:ascii="Arial" w:cs="Arial" w:eastAsia="Arial" w:hAnsi="Arial"/>
            <w:sz w:val="16"/>
            <w:szCs w:val="16"/>
            <w:u w:val="single" w:color="auto"/>
            <w:color w:val="0000EE"/>
          </w:rPr>
          <w:t>Registration Statement on Form S−1 (Registration No. 333-</w:t>
        </w:r>
      </w:hyperlink>
      <w:hyperlink r:id="rId19">
        <w:r>
          <w:rPr>
            <w:rFonts w:ascii="Arial" w:cs="Arial" w:eastAsia="Arial" w:hAnsi="Arial"/>
            <w:sz w:val="16"/>
            <w:szCs w:val="16"/>
            <w:u w:val="single" w:color="auto"/>
            <w:color w:val="0000EE"/>
          </w:rPr>
          <w:t>260195) of Sun Country Airlines Holdings, Inc. (the “Registrant”)</w:t>
        </w:r>
        <w:r>
          <w:rPr>
            <w:rFonts w:ascii="Arial" w:cs="Arial" w:eastAsia="Arial" w:hAnsi="Arial"/>
            <w:sz w:val="16"/>
            <w:szCs w:val="16"/>
            <w:color w:val="000000"/>
          </w:rPr>
          <w:t>, including the exhibits thereto, which was declared effective by the Securities and</w:t>
        </w:r>
      </w:hyperlink>
      <w:r>
        <w:rPr>
          <w:rFonts w:ascii="Arial" w:cs="Arial" w:eastAsia="Arial" w:hAnsi="Arial"/>
          <w:sz w:val="16"/>
          <w:szCs w:val="16"/>
          <w:color w:val="0000EE"/>
        </w:rPr>
        <w:t xml:space="preserve"> </w:t>
      </w:r>
      <w:r>
        <w:rPr>
          <w:rFonts w:ascii="Arial" w:cs="Arial" w:eastAsia="Arial" w:hAnsi="Arial"/>
          <w:sz w:val="16"/>
          <w:szCs w:val="16"/>
          <w:color w:val="000000"/>
        </w:rPr>
        <w:t>Exchange Commission (the “Commission”) on October 14, 2021, are incorporated by reference into this Registration Statement.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Registrant hereby certifies that it (i) has instructed its bank to transmit to the Commission the filing fee set forth on the cover page of this Registration Statement by a wire transfer of such amount to the Commission’s account at U.S. Bank, N.A. in St. Louis, Missouri as soon as practicable (but no later than the close of business on October 15, 2021), (ii) will not revoke such instructions, (iii) has sufficient funds in the relevant account to cover the amount of such filing fee, and (iv) will confirm receipt of such instructions by its bank during the bank’s regular business hours no later than October 15,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All exhibits filed with or incorporated by reference in Registration Statement No. 333-260195 are incorporated by reference into, and shall be deemed to be a part of, this registration statement, except for the following, which are filed herewith.</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4"/>
              </w:rPr>
              <w:t>Exhibit Number</w:t>
            </w:r>
          </w:p>
        </w:tc>
        <w:tc>
          <w:tcPr>
            <w:tcW w:w="220" w:type="dxa"/>
            <w:vAlign w:val="bottom"/>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7440" w:type="dxa"/>
            <w:vAlign w:val="bottom"/>
            <w:tcBorders>
              <w:bottom w:val="single" w:sz="8" w:color="auto"/>
            </w:tcBorders>
            <w:gridSpan w:val="5"/>
          </w:tcPr>
          <w:p>
            <w:pPr>
              <w:ind w:left="1720"/>
              <w:spacing w:after="0"/>
              <w:rPr>
                <w:sz w:val="20"/>
                <w:szCs w:val="20"/>
                <w:color w:val="auto"/>
              </w:rPr>
            </w:pPr>
            <w:r>
              <w:rPr>
                <w:rFonts w:ascii="Arial" w:cs="Arial" w:eastAsia="Arial" w:hAnsi="Arial"/>
                <w:sz w:val="18"/>
                <w:szCs w:val="18"/>
                <w:b w:val="1"/>
                <w:bCs w:val="1"/>
                <w:color w:val="auto"/>
              </w:rPr>
              <w:t>Description of Exhibit</w:t>
            </w:r>
          </w:p>
        </w:tc>
      </w:tr>
      <w:tr>
        <w:trPr>
          <w:trHeight w:val="169"/>
        </w:trPr>
        <w:tc>
          <w:tcPr>
            <w:tcW w:w="520" w:type="dxa"/>
            <w:vAlign w:val="bottom"/>
          </w:tcPr>
          <w:p>
            <w:pPr>
              <w:spacing w:after="0"/>
              <w:rPr>
                <w:sz w:val="14"/>
                <w:szCs w:val="14"/>
                <w:color w:val="auto"/>
              </w:rPr>
            </w:pPr>
          </w:p>
        </w:tc>
        <w:tc>
          <w:tcPr>
            <w:tcW w:w="220" w:type="dxa"/>
            <w:vAlign w:val="bottom"/>
          </w:tcPr>
          <w:p>
            <w:pPr>
              <w:jc w:val="center"/>
              <w:spacing w:after="0" w:line="169"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hyperlink>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760" w:type="dxa"/>
            <w:vAlign w:val="bottom"/>
            <w:gridSpan w:val="6"/>
          </w:tcPr>
          <w:p>
            <w:pPr>
              <w:spacing w:after="0" w:line="169" w:lineRule="exact"/>
              <w:rPr>
                <w:rFonts w:ascii="Arial" w:cs="Arial" w:eastAsia="Arial" w:hAnsi="Arial"/>
                <w:sz w:val="18"/>
                <w:szCs w:val="18"/>
                <w:color w:val="0000EE"/>
              </w:rPr>
            </w:pPr>
            <w:hyperlink w:anchor="page6">
              <w:r>
                <w:rPr>
                  <w:rFonts w:ascii="Arial" w:cs="Arial" w:eastAsia="Arial" w:hAnsi="Arial"/>
                  <w:sz w:val="18"/>
                  <w:szCs w:val="18"/>
                  <w:color w:val="0000EE"/>
                </w:rPr>
                <w:t>Opinion of Paul, Weiss, Rifkind, Wharton &amp; Garrison LLP as to the legality of the securities being registered.</w:t>
              </w:r>
            </w:hyperlink>
          </w:p>
        </w:tc>
      </w:tr>
      <w:tr>
        <w:trPr>
          <w:trHeight w:val="20"/>
        </w:trPr>
        <w:tc>
          <w:tcPr>
            <w:tcW w:w="5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740" w:type="dxa"/>
            <w:vAlign w:val="bottom"/>
            <w:gridSpan w:val="2"/>
          </w:tcPr>
          <w:p>
            <w:pPr>
              <w:jc w:val="center"/>
              <w:ind w:left="330"/>
              <w:spacing w:after="0"/>
              <w:rPr>
                <w:rFonts w:ascii="Arial" w:cs="Arial" w:eastAsia="Arial" w:hAnsi="Arial"/>
                <w:sz w:val="18"/>
                <w:szCs w:val="18"/>
                <w:color w:val="0000EE"/>
                <w:w w:val="91"/>
              </w:rPr>
            </w:pPr>
            <w:hyperlink w:anchor="page8">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1</w:t>
              </w:r>
            </w:hyperlink>
          </w:p>
        </w:tc>
        <w:tc>
          <w:tcPr>
            <w:tcW w:w="520" w:type="dxa"/>
            <w:vAlign w:val="bottom"/>
          </w:tcPr>
          <w:p>
            <w:pPr>
              <w:spacing w:after="0"/>
              <w:rPr>
                <w:sz w:val="24"/>
                <w:szCs w:val="24"/>
                <w:color w:val="auto"/>
              </w:rPr>
            </w:pPr>
          </w:p>
        </w:tc>
        <w:tc>
          <w:tcPr>
            <w:tcW w:w="9980" w:type="dxa"/>
            <w:vAlign w:val="bottom"/>
            <w:gridSpan w:val="7"/>
          </w:tcPr>
          <w:p>
            <w:pPr>
              <w:ind w:left="220"/>
              <w:spacing w:after="0"/>
              <w:rPr>
                <w:rFonts w:ascii="Arial" w:cs="Arial" w:eastAsia="Arial" w:hAnsi="Arial"/>
                <w:sz w:val="18"/>
                <w:szCs w:val="18"/>
                <w:color w:val="0000EE"/>
              </w:rPr>
            </w:pPr>
            <w:hyperlink w:anchor="page8">
              <w:r>
                <w:rPr>
                  <w:rFonts w:ascii="Arial" w:cs="Arial" w:eastAsia="Arial" w:hAnsi="Arial"/>
                  <w:sz w:val="18"/>
                  <w:szCs w:val="18"/>
                  <w:color w:val="0000EE"/>
                </w:rPr>
                <w:t>Consent of KPMG LLP, independent registered public accounting firm.</w:t>
              </w:r>
            </w:hyperlink>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740" w:type="dxa"/>
            <w:vAlign w:val="bottom"/>
            <w:gridSpan w:val="2"/>
          </w:tcPr>
          <w:p>
            <w:pPr>
              <w:jc w:val="center"/>
              <w:ind w:left="330"/>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2</w:t>
              </w:r>
            </w:hyperlink>
          </w:p>
        </w:tc>
        <w:tc>
          <w:tcPr>
            <w:tcW w:w="520" w:type="dxa"/>
            <w:vAlign w:val="bottom"/>
          </w:tcPr>
          <w:p>
            <w:pPr>
              <w:spacing w:after="0"/>
              <w:rPr>
                <w:sz w:val="24"/>
                <w:szCs w:val="24"/>
                <w:color w:val="auto"/>
              </w:rPr>
            </w:pPr>
          </w:p>
        </w:tc>
        <w:tc>
          <w:tcPr>
            <w:tcW w:w="9980" w:type="dxa"/>
            <w:vAlign w:val="bottom"/>
            <w:gridSpan w:val="7"/>
          </w:tcPr>
          <w:p>
            <w:pPr>
              <w:ind w:left="220"/>
              <w:spacing w:after="0"/>
              <w:rPr>
                <w:rFonts w:ascii="Arial" w:cs="Arial" w:eastAsia="Arial" w:hAnsi="Arial"/>
                <w:sz w:val="18"/>
                <w:szCs w:val="18"/>
                <w:color w:val="0000EE"/>
              </w:rPr>
            </w:pPr>
            <w:hyperlink w:anchor="page6">
              <w:r>
                <w:rPr>
                  <w:rFonts w:ascii="Arial" w:cs="Arial" w:eastAsia="Arial" w:hAnsi="Arial"/>
                  <w:sz w:val="18"/>
                  <w:szCs w:val="18"/>
                  <w:color w:val="0000EE"/>
                </w:rPr>
                <w:t>Consent of Paul, Weiss, Rifkind, Wharton &amp; Garrison LLP (included in Exhibit 5.1).</w:t>
              </w:r>
            </w:hyperlink>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3780" w:type="dxa"/>
            <w:vAlign w:val="bottom"/>
            <w:gridSpan w:val="2"/>
            <w:shd w:val="clear" w:color="auto" w:fill="0000EE"/>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740" w:type="dxa"/>
            <w:vAlign w:val="bottom"/>
            <w:gridSpan w:val="2"/>
          </w:tcPr>
          <w:p>
            <w:pPr>
              <w:jc w:val="center"/>
              <w:ind w:left="330"/>
              <w:spacing w:after="0"/>
              <w:rPr>
                <w:rFonts w:ascii="Arial" w:cs="Arial" w:eastAsia="Arial" w:hAnsi="Arial"/>
                <w:sz w:val="18"/>
                <w:szCs w:val="18"/>
                <w:color w:val="0000EE"/>
                <w:w w:val="91"/>
              </w:rPr>
            </w:pPr>
            <w:hyperlink r:id="rId20">
              <w:r>
                <w:rPr>
                  <w:rFonts w:ascii="Arial" w:cs="Arial" w:eastAsia="Arial" w:hAnsi="Arial"/>
                  <w:sz w:val="18"/>
                  <w:szCs w:val="18"/>
                  <w:color w:val="0000EE"/>
                  <w:w w:val="91"/>
                </w:rPr>
                <w:t>24.</w:t>
              </w:r>
              <w:r>
                <w:rPr>
                  <w:rFonts w:ascii="Arial" w:cs="Arial" w:eastAsia="Arial" w:hAnsi="Arial"/>
                  <w:sz w:val="18"/>
                  <w:szCs w:val="18"/>
                  <w:u w:val="single" w:color="auto"/>
                  <w:color w:val="0000EE"/>
                  <w:w w:val="91"/>
                </w:rPr>
                <w:t>1</w:t>
              </w:r>
            </w:hyperlink>
          </w:p>
        </w:tc>
        <w:tc>
          <w:tcPr>
            <w:tcW w:w="520" w:type="dxa"/>
            <w:vAlign w:val="bottom"/>
          </w:tcPr>
          <w:p>
            <w:pPr>
              <w:spacing w:after="0"/>
              <w:rPr>
                <w:sz w:val="24"/>
                <w:szCs w:val="24"/>
                <w:color w:val="auto"/>
              </w:rPr>
            </w:pPr>
          </w:p>
        </w:tc>
        <w:tc>
          <w:tcPr>
            <w:tcW w:w="9980" w:type="dxa"/>
            <w:vAlign w:val="bottom"/>
            <w:gridSpan w:val="7"/>
          </w:tcPr>
          <w:p>
            <w:pPr>
              <w:ind w:left="220"/>
              <w:spacing w:after="0"/>
              <w:rPr>
                <w:rFonts w:ascii="Arial" w:cs="Arial" w:eastAsia="Arial" w:hAnsi="Arial"/>
                <w:sz w:val="18"/>
                <w:szCs w:val="18"/>
                <w:color w:val="0000EE"/>
                <w:w w:val="96"/>
              </w:rPr>
            </w:pPr>
            <w:hyperlink r:id="rId20">
              <w:r>
                <w:rPr>
                  <w:rFonts w:ascii="Arial" w:cs="Arial" w:eastAsia="Arial" w:hAnsi="Arial"/>
                  <w:sz w:val="18"/>
                  <w:szCs w:val="18"/>
                  <w:color w:val="0000EE"/>
                  <w:w w:val="96"/>
                </w:rPr>
                <w:t>Power of Attorney (incorporated by reference to the Registration Statement on Form S-1 of Sun Country Airlines Holdings, Inc.</w:t>
              </w:r>
            </w:hyperlink>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6920" w:type="dxa"/>
            <w:vAlign w:val="bottom"/>
            <w:gridSpan w:val="4"/>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80" w:type="dxa"/>
            <w:vAlign w:val="bottom"/>
            <w:gridSpan w:val="7"/>
          </w:tcPr>
          <w:p>
            <w:pPr>
              <w:ind w:left="220"/>
              <w:spacing w:after="0" w:line="196" w:lineRule="exact"/>
              <w:rPr>
                <w:rFonts w:ascii="Arial" w:cs="Arial" w:eastAsia="Arial" w:hAnsi="Arial"/>
                <w:sz w:val="18"/>
                <w:szCs w:val="18"/>
                <w:color w:val="0000EE"/>
              </w:rPr>
            </w:pPr>
            <w:hyperlink r:id="rId20">
              <w:r>
                <w:rPr>
                  <w:rFonts w:ascii="Arial" w:cs="Arial" w:eastAsia="Arial" w:hAnsi="Arial"/>
                  <w:sz w:val="18"/>
                  <w:szCs w:val="18"/>
                  <w:color w:val="0000EE"/>
                </w:rPr>
                <w:t>(Registration No. 333-260195)).</w:t>
              </w:r>
            </w:hyperlink>
          </w:p>
        </w:tc>
      </w:tr>
      <w:tr>
        <w:trPr>
          <w:trHeight w:val="695"/>
        </w:trPr>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20" w:type="dxa"/>
            <w:vAlign w:val="bottom"/>
            <w:tcBorders>
              <w:top w:val="single" w:sz="8" w:color="0000EE"/>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duly caused this registration statement to be signed on its behalf by the undersigned, thereunto duly authorized, in the City of Minneapolis, State of Minnesota, on October 14, 2021.</w:t>
      </w:r>
    </w:p>
    <w:p>
      <w:pPr>
        <w:spacing w:after="0" w:line="16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SUN COUNTRY AIRLINES HOLDINGS, INC.</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Jude Bricker</w:t>
      </w:r>
    </w:p>
    <w:p>
      <w:pPr>
        <w:spacing w:after="0" w:line="3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Chief Executive Officer</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on October 14, 2021, by the following persons in the capacities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Borders>
              <w:bottom w:val="single" w:sz="8" w:color="auto"/>
            </w:tcBorders>
          </w:tcPr>
          <w:p>
            <w:pPr>
              <w:spacing w:after="0"/>
              <w:rPr>
                <w:sz w:val="20"/>
                <w:szCs w:val="20"/>
                <w:color w:val="auto"/>
              </w:rPr>
            </w:pPr>
          </w:p>
        </w:tc>
        <w:tc>
          <w:tcPr>
            <w:tcW w:w="4820" w:type="dxa"/>
            <w:vAlign w:val="bottom"/>
            <w:tcBorders>
              <w:bottom w:val="single" w:sz="8" w:color="auto"/>
            </w:tcBorders>
          </w:tcPr>
          <w:p>
            <w:pPr>
              <w:ind w:left="1820"/>
              <w:spacing w:after="0"/>
              <w:rPr>
                <w:sz w:val="20"/>
                <w:szCs w:val="20"/>
                <w:color w:val="auto"/>
              </w:rPr>
            </w:pPr>
            <w:r>
              <w:rPr>
                <w:rFonts w:ascii="Arial" w:cs="Arial" w:eastAsia="Arial" w:hAnsi="Arial"/>
                <w:sz w:val="18"/>
                <w:szCs w:val="18"/>
                <w:b w:val="1"/>
                <w:bCs w:val="1"/>
                <w:color w:val="auto"/>
              </w:rPr>
              <w:t>Signature</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4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7"/>
              </w:rPr>
              <w:t>Title</w:t>
            </w:r>
          </w:p>
        </w:tc>
      </w:tr>
      <w:tr>
        <w:trPr>
          <w:trHeight w:val="425"/>
        </w:trPr>
        <w:tc>
          <w:tcPr>
            <w:tcW w:w="5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Jude Bricker</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0" w:type="dxa"/>
            <w:vAlign w:val="bottom"/>
          </w:tcPr>
          <w:p>
            <w:pPr>
              <w:jc w:val="center"/>
              <w:ind w:right="130"/>
              <w:spacing w:after="0"/>
              <w:rPr>
                <w:sz w:val="20"/>
                <w:szCs w:val="20"/>
                <w:color w:val="auto"/>
              </w:rPr>
            </w:pPr>
            <w:r>
              <w:rPr>
                <w:rFonts w:ascii="Arial" w:cs="Arial" w:eastAsia="Arial" w:hAnsi="Arial"/>
                <w:sz w:val="18"/>
                <w:szCs w:val="18"/>
                <w:color w:val="auto"/>
                <w:w w:val="94"/>
              </w:rPr>
              <w:t>Chief Executive Officer; Director</w:t>
            </w:r>
          </w:p>
        </w:tc>
      </w:tr>
      <w:tr>
        <w:trPr>
          <w:trHeight w:val="224"/>
        </w:trPr>
        <w:tc>
          <w:tcPr>
            <w:tcW w:w="5280" w:type="dxa"/>
            <w:vAlign w:val="bottom"/>
            <w:gridSpan w:val="2"/>
          </w:tcPr>
          <w:p>
            <w:pPr>
              <w:spacing w:after="0"/>
              <w:rPr>
                <w:sz w:val="20"/>
                <w:szCs w:val="20"/>
                <w:color w:val="auto"/>
              </w:rPr>
            </w:pPr>
            <w:r>
              <w:rPr>
                <w:rFonts w:ascii="Arial" w:cs="Arial" w:eastAsia="Arial" w:hAnsi="Arial"/>
                <w:sz w:val="18"/>
                <w:szCs w:val="18"/>
                <w:color w:val="auto"/>
              </w:rPr>
              <w:t>Jude Bricker</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0" w:type="dxa"/>
            <w:vAlign w:val="bottom"/>
          </w:tcPr>
          <w:p>
            <w:pPr>
              <w:jc w:val="center"/>
              <w:ind w:right="130"/>
              <w:spacing w:after="0"/>
              <w:rPr>
                <w:sz w:val="20"/>
                <w:szCs w:val="20"/>
                <w:color w:val="auto"/>
              </w:rPr>
            </w:pPr>
            <w:r>
              <w:rPr>
                <w:rFonts w:ascii="Arial" w:cs="Arial" w:eastAsia="Arial" w:hAnsi="Arial"/>
                <w:sz w:val="18"/>
                <w:szCs w:val="18"/>
                <w:color w:val="auto"/>
                <w:w w:val="94"/>
              </w:rPr>
              <w:t>(Principal Executive Officer)</w:t>
            </w:r>
          </w:p>
        </w:tc>
      </w:tr>
      <w:tr>
        <w:trPr>
          <w:trHeight w:val="418"/>
        </w:trPr>
        <w:tc>
          <w:tcPr>
            <w:tcW w:w="5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Dave Davis</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0" w:type="dxa"/>
            <w:vAlign w:val="bottom"/>
          </w:tcPr>
          <w:p>
            <w:pPr>
              <w:jc w:val="center"/>
              <w:ind w:right="130"/>
              <w:spacing w:after="0"/>
              <w:rPr>
                <w:sz w:val="20"/>
                <w:szCs w:val="20"/>
                <w:color w:val="auto"/>
              </w:rPr>
            </w:pPr>
            <w:r>
              <w:rPr>
                <w:rFonts w:ascii="Arial" w:cs="Arial" w:eastAsia="Arial" w:hAnsi="Arial"/>
                <w:sz w:val="18"/>
                <w:szCs w:val="18"/>
                <w:color w:val="auto"/>
                <w:w w:val="92"/>
              </w:rPr>
              <w:t>President and Chief Financial Officer; Director</w:t>
            </w:r>
          </w:p>
        </w:tc>
      </w:tr>
      <w:tr>
        <w:trPr>
          <w:trHeight w:val="224"/>
        </w:trPr>
        <w:tc>
          <w:tcPr>
            <w:tcW w:w="5280" w:type="dxa"/>
            <w:vAlign w:val="bottom"/>
            <w:gridSpan w:val="2"/>
          </w:tcPr>
          <w:p>
            <w:pPr>
              <w:spacing w:after="0"/>
              <w:rPr>
                <w:sz w:val="20"/>
                <w:szCs w:val="20"/>
                <w:color w:val="auto"/>
              </w:rPr>
            </w:pPr>
            <w:r>
              <w:rPr>
                <w:rFonts w:ascii="Arial" w:cs="Arial" w:eastAsia="Arial" w:hAnsi="Arial"/>
                <w:sz w:val="18"/>
                <w:szCs w:val="18"/>
                <w:color w:val="auto"/>
              </w:rPr>
              <w:t>Dave Davis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0" w:type="dxa"/>
            <w:vAlign w:val="bottom"/>
          </w:tcPr>
          <w:p>
            <w:pPr>
              <w:jc w:val="center"/>
              <w:ind w:right="150"/>
              <w:spacing w:after="0"/>
              <w:rPr>
                <w:sz w:val="20"/>
                <w:szCs w:val="20"/>
                <w:color w:val="auto"/>
              </w:rPr>
            </w:pPr>
            <w:r>
              <w:rPr>
                <w:rFonts w:ascii="Arial" w:cs="Arial" w:eastAsia="Arial" w:hAnsi="Arial"/>
                <w:sz w:val="18"/>
                <w:szCs w:val="18"/>
                <w:color w:val="auto"/>
                <w:w w:val="93"/>
              </w:rPr>
              <w:t>(Principal Financial and Accounting Officer)</w:t>
            </w:r>
          </w:p>
        </w:tc>
      </w:tr>
      <w:tr>
        <w:trPr>
          <w:trHeight w:val="418"/>
        </w:trPr>
        <w:tc>
          <w:tcPr>
            <w:tcW w:w="5280" w:type="dxa"/>
            <w:vAlign w:val="bottom"/>
            <w:tcBorders>
              <w:bottom w:val="single" w:sz="8" w:color="auto"/>
            </w:tcBorders>
            <w:gridSpan w:val="2"/>
          </w:tcPr>
          <w:p>
            <w:pPr>
              <w:ind w:left="26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0" w:type="dxa"/>
            <w:vAlign w:val="bottom"/>
          </w:tcPr>
          <w:p>
            <w:pPr>
              <w:jc w:val="center"/>
              <w:ind w:right="150"/>
              <w:spacing w:after="0"/>
              <w:rPr>
                <w:sz w:val="20"/>
                <w:szCs w:val="20"/>
                <w:color w:val="auto"/>
              </w:rPr>
            </w:pPr>
            <w:r>
              <w:rPr>
                <w:rFonts w:ascii="Arial" w:cs="Arial" w:eastAsia="Arial" w:hAnsi="Arial"/>
                <w:sz w:val="18"/>
                <w:szCs w:val="18"/>
                <w:color w:val="auto"/>
                <w:w w:val="95"/>
              </w:rPr>
              <w:t>Director</w:t>
            </w:r>
          </w:p>
        </w:tc>
      </w:tr>
      <w:tr>
        <w:trPr>
          <w:trHeight w:val="224"/>
        </w:trPr>
        <w:tc>
          <w:tcPr>
            <w:tcW w:w="5280" w:type="dxa"/>
            <w:vAlign w:val="bottom"/>
            <w:gridSpan w:val="2"/>
          </w:tcPr>
          <w:p>
            <w:pPr>
              <w:spacing w:after="0"/>
              <w:rPr>
                <w:sz w:val="20"/>
                <w:szCs w:val="20"/>
                <w:color w:val="auto"/>
              </w:rPr>
            </w:pPr>
            <w:r>
              <w:rPr>
                <w:rFonts w:ascii="Arial" w:cs="Arial" w:eastAsia="Arial" w:hAnsi="Arial"/>
                <w:sz w:val="18"/>
                <w:szCs w:val="18"/>
                <w:color w:val="auto"/>
              </w:rPr>
              <w:t>Partick Kearney</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418"/>
        </w:trPr>
        <w:tc>
          <w:tcPr>
            <w:tcW w:w="5280" w:type="dxa"/>
            <w:vAlign w:val="bottom"/>
            <w:tcBorders>
              <w:bottom w:val="single" w:sz="8" w:color="auto"/>
            </w:tcBorders>
            <w:gridSpan w:val="2"/>
          </w:tcPr>
          <w:p>
            <w:pPr>
              <w:ind w:left="26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0" w:type="dxa"/>
            <w:vAlign w:val="bottom"/>
          </w:tcPr>
          <w:p>
            <w:pPr>
              <w:jc w:val="center"/>
              <w:ind w:right="150"/>
              <w:spacing w:after="0"/>
              <w:rPr>
                <w:sz w:val="20"/>
                <w:szCs w:val="20"/>
                <w:color w:val="auto"/>
              </w:rPr>
            </w:pPr>
            <w:r>
              <w:rPr>
                <w:rFonts w:ascii="Arial" w:cs="Arial" w:eastAsia="Arial" w:hAnsi="Arial"/>
                <w:sz w:val="18"/>
                <w:szCs w:val="18"/>
                <w:color w:val="auto"/>
                <w:w w:val="95"/>
              </w:rPr>
              <w:t>Director</w:t>
            </w:r>
          </w:p>
        </w:tc>
      </w:tr>
      <w:tr>
        <w:trPr>
          <w:trHeight w:val="224"/>
        </w:trPr>
        <w:tc>
          <w:tcPr>
            <w:tcW w:w="5280" w:type="dxa"/>
            <w:vAlign w:val="bottom"/>
            <w:gridSpan w:val="2"/>
          </w:tcPr>
          <w:p>
            <w:pPr>
              <w:spacing w:after="0"/>
              <w:rPr>
                <w:sz w:val="20"/>
                <w:szCs w:val="20"/>
                <w:color w:val="auto"/>
              </w:rPr>
            </w:pPr>
            <w:r>
              <w:rPr>
                <w:rFonts w:ascii="Arial" w:cs="Arial" w:eastAsia="Arial" w:hAnsi="Arial"/>
                <w:sz w:val="18"/>
                <w:szCs w:val="18"/>
                <w:color w:val="auto"/>
              </w:rPr>
              <w:t>Thomas C. Kennedy</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418"/>
        </w:trPr>
        <w:tc>
          <w:tcPr>
            <w:tcW w:w="5280" w:type="dxa"/>
            <w:vAlign w:val="bottom"/>
            <w:tcBorders>
              <w:bottom w:val="single" w:sz="8" w:color="auto"/>
            </w:tcBorders>
            <w:gridSpan w:val="2"/>
          </w:tcPr>
          <w:p>
            <w:pPr>
              <w:ind w:left="26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0" w:type="dxa"/>
            <w:vAlign w:val="bottom"/>
          </w:tcPr>
          <w:p>
            <w:pPr>
              <w:jc w:val="center"/>
              <w:ind w:right="150"/>
              <w:spacing w:after="0"/>
              <w:rPr>
                <w:sz w:val="20"/>
                <w:szCs w:val="20"/>
                <w:color w:val="auto"/>
              </w:rPr>
            </w:pPr>
            <w:r>
              <w:rPr>
                <w:rFonts w:ascii="Arial" w:cs="Arial" w:eastAsia="Arial" w:hAnsi="Arial"/>
                <w:sz w:val="18"/>
                <w:szCs w:val="18"/>
                <w:color w:val="auto"/>
                <w:w w:val="95"/>
              </w:rPr>
              <w:t>Director</w:t>
            </w:r>
          </w:p>
        </w:tc>
      </w:tr>
      <w:tr>
        <w:trPr>
          <w:trHeight w:val="224"/>
        </w:trPr>
        <w:tc>
          <w:tcPr>
            <w:tcW w:w="5280" w:type="dxa"/>
            <w:vAlign w:val="bottom"/>
            <w:gridSpan w:val="2"/>
          </w:tcPr>
          <w:p>
            <w:pPr>
              <w:spacing w:after="0"/>
              <w:rPr>
                <w:sz w:val="20"/>
                <w:szCs w:val="20"/>
                <w:color w:val="auto"/>
              </w:rPr>
            </w:pPr>
            <w:r>
              <w:rPr>
                <w:rFonts w:ascii="Arial" w:cs="Arial" w:eastAsia="Arial" w:hAnsi="Arial"/>
                <w:sz w:val="18"/>
                <w:szCs w:val="18"/>
                <w:color w:val="auto"/>
              </w:rPr>
              <w:t>Antoine Munfakh</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418"/>
        </w:trPr>
        <w:tc>
          <w:tcPr>
            <w:tcW w:w="5280" w:type="dxa"/>
            <w:vAlign w:val="bottom"/>
            <w:tcBorders>
              <w:bottom w:val="single" w:sz="8" w:color="auto"/>
            </w:tcBorders>
            <w:gridSpan w:val="2"/>
          </w:tcPr>
          <w:p>
            <w:pPr>
              <w:ind w:left="26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0" w:type="dxa"/>
            <w:vAlign w:val="bottom"/>
          </w:tcPr>
          <w:p>
            <w:pPr>
              <w:jc w:val="center"/>
              <w:ind w:right="150"/>
              <w:spacing w:after="0"/>
              <w:rPr>
                <w:sz w:val="20"/>
                <w:szCs w:val="20"/>
                <w:color w:val="auto"/>
              </w:rPr>
            </w:pPr>
            <w:r>
              <w:rPr>
                <w:rFonts w:ascii="Arial" w:cs="Arial" w:eastAsia="Arial" w:hAnsi="Arial"/>
                <w:sz w:val="18"/>
                <w:szCs w:val="18"/>
                <w:color w:val="auto"/>
                <w:w w:val="95"/>
              </w:rPr>
              <w:t>Director</w:t>
            </w:r>
          </w:p>
        </w:tc>
      </w:tr>
      <w:tr>
        <w:trPr>
          <w:trHeight w:val="224"/>
        </w:trPr>
        <w:tc>
          <w:tcPr>
            <w:tcW w:w="5280" w:type="dxa"/>
            <w:vAlign w:val="bottom"/>
            <w:gridSpan w:val="2"/>
          </w:tcPr>
          <w:p>
            <w:pPr>
              <w:spacing w:after="0"/>
              <w:rPr>
                <w:sz w:val="20"/>
                <w:szCs w:val="20"/>
                <w:color w:val="auto"/>
              </w:rPr>
            </w:pPr>
            <w:r>
              <w:rPr>
                <w:rFonts w:ascii="Arial" w:cs="Arial" w:eastAsia="Arial" w:hAnsi="Arial"/>
                <w:sz w:val="18"/>
                <w:szCs w:val="18"/>
                <w:color w:val="auto"/>
              </w:rPr>
              <w:t>Kerry Philipovitch</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418"/>
        </w:trPr>
        <w:tc>
          <w:tcPr>
            <w:tcW w:w="5280" w:type="dxa"/>
            <w:vAlign w:val="bottom"/>
            <w:tcBorders>
              <w:bottom w:val="single" w:sz="8" w:color="auto"/>
            </w:tcBorders>
            <w:gridSpan w:val="2"/>
          </w:tcPr>
          <w:p>
            <w:pPr>
              <w:ind w:left="26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0" w:type="dxa"/>
            <w:vAlign w:val="bottom"/>
          </w:tcPr>
          <w:p>
            <w:pPr>
              <w:jc w:val="center"/>
              <w:ind w:right="150"/>
              <w:spacing w:after="0"/>
              <w:rPr>
                <w:sz w:val="20"/>
                <w:szCs w:val="20"/>
                <w:color w:val="auto"/>
              </w:rPr>
            </w:pPr>
            <w:r>
              <w:rPr>
                <w:rFonts w:ascii="Arial" w:cs="Arial" w:eastAsia="Arial" w:hAnsi="Arial"/>
                <w:sz w:val="18"/>
                <w:szCs w:val="18"/>
                <w:color w:val="auto"/>
                <w:w w:val="95"/>
              </w:rPr>
              <w:t>Director</w:t>
            </w:r>
          </w:p>
        </w:tc>
      </w:tr>
      <w:tr>
        <w:trPr>
          <w:trHeight w:val="224"/>
        </w:trPr>
        <w:tc>
          <w:tcPr>
            <w:tcW w:w="5280" w:type="dxa"/>
            <w:vAlign w:val="bottom"/>
            <w:gridSpan w:val="2"/>
          </w:tcPr>
          <w:p>
            <w:pPr>
              <w:spacing w:after="0"/>
              <w:rPr>
                <w:sz w:val="20"/>
                <w:szCs w:val="20"/>
                <w:color w:val="auto"/>
              </w:rPr>
            </w:pPr>
            <w:r>
              <w:rPr>
                <w:rFonts w:ascii="Arial" w:cs="Arial" w:eastAsia="Arial" w:hAnsi="Arial"/>
                <w:sz w:val="18"/>
                <w:szCs w:val="18"/>
                <w:color w:val="auto"/>
              </w:rPr>
              <w:t>David Siegel</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418"/>
        </w:trPr>
        <w:tc>
          <w:tcPr>
            <w:tcW w:w="5280" w:type="dxa"/>
            <w:vAlign w:val="bottom"/>
            <w:tcBorders>
              <w:bottom w:val="single" w:sz="8" w:color="auto"/>
            </w:tcBorders>
            <w:gridSpan w:val="2"/>
          </w:tcPr>
          <w:p>
            <w:pPr>
              <w:ind w:left="26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0" w:type="dxa"/>
            <w:vAlign w:val="bottom"/>
          </w:tcPr>
          <w:p>
            <w:pPr>
              <w:jc w:val="center"/>
              <w:ind w:right="150"/>
              <w:spacing w:after="0"/>
              <w:rPr>
                <w:sz w:val="20"/>
                <w:szCs w:val="20"/>
                <w:color w:val="auto"/>
              </w:rPr>
            </w:pPr>
            <w:r>
              <w:rPr>
                <w:rFonts w:ascii="Arial" w:cs="Arial" w:eastAsia="Arial" w:hAnsi="Arial"/>
                <w:sz w:val="18"/>
                <w:szCs w:val="18"/>
                <w:color w:val="auto"/>
                <w:w w:val="95"/>
              </w:rPr>
              <w:t>Director</w:t>
            </w:r>
          </w:p>
        </w:tc>
      </w:tr>
      <w:tr>
        <w:trPr>
          <w:trHeight w:val="224"/>
        </w:trPr>
        <w:tc>
          <w:tcPr>
            <w:tcW w:w="5280" w:type="dxa"/>
            <w:vAlign w:val="bottom"/>
            <w:gridSpan w:val="2"/>
          </w:tcPr>
          <w:p>
            <w:pPr>
              <w:spacing w:after="0"/>
              <w:rPr>
                <w:sz w:val="20"/>
                <w:szCs w:val="20"/>
                <w:color w:val="auto"/>
              </w:rPr>
            </w:pPr>
            <w:r>
              <w:rPr>
                <w:rFonts w:ascii="Arial" w:cs="Arial" w:eastAsia="Arial" w:hAnsi="Arial"/>
                <w:sz w:val="18"/>
                <w:szCs w:val="18"/>
                <w:color w:val="auto"/>
              </w:rPr>
              <w:t>Juan Carlos Zuazua</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661"/>
        </w:trPr>
        <w:tc>
          <w:tcPr>
            <w:tcW w:w="5280" w:type="dxa"/>
            <w:vAlign w:val="bottom"/>
            <w:gridSpan w:val="2"/>
          </w:tcPr>
          <w:p>
            <w:pPr>
              <w:spacing w:after="0"/>
              <w:rPr>
                <w:sz w:val="20"/>
                <w:szCs w:val="20"/>
                <w:color w:val="auto"/>
              </w:rPr>
            </w:pPr>
            <w:r>
              <w:rPr>
                <w:rFonts w:ascii="Arial" w:cs="Arial" w:eastAsia="Arial" w:hAnsi="Arial"/>
                <w:sz w:val="18"/>
                <w:szCs w:val="18"/>
                <w:color w:val="auto"/>
              </w:rPr>
              <w:t>*By: /s/ Dave Davis</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224"/>
        </w:trPr>
        <w:tc>
          <w:tcPr>
            <w:tcW w:w="460" w:type="dxa"/>
            <w:vAlign w:val="bottom"/>
          </w:tcPr>
          <w:p>
            <w:pPr>
              <w:spacing w:after="0"/>
              <w:rPr>
                <w:sz w:val="19"/>
                <w:szCs w:val="19"/>
                <w:color w:val="auto"/>
              </w:rPr>
            </w:pPr>
          </w:p>
        </w:tc>
        <w:tc>
          <w:tcPr>
            <w:tcW w:w="4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Dave Davis</w:t>
            </w:r>
          </w:p>
        </w:tc>
        <w:tc>
          <w:tcPr>
            <w:tcW w:w="3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400" w:type="dxa"/>
            <w:vAlign w:val="bottom"/>
          </w:tcPr>
          <w:p>
            <w:pPr>
              <w:spacing w:after="0"/>
              <w:rPr>
                <w:sz w:val="19"/>
                <w:szCs w:val="19"/>
                <w:color w:val="auto"/>
              </w:rPr>
            </w:pPr>
          </w:p>
        </w:tc>
      </w:tr>
      <w:tr>
        <w:trPr>
          <w:trHeight w:val="242"/>
        </w:trPr>
        <w:tc>
          <w:tcPr>
            <w:tcW w:w="46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Attorney-in-Fact</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0" w:type="dxa"/>
            <w:vAlign w:val="bottom"/>
          </w:tcPr>
          <w:p>
            <w:pPr>
              <w:spacing w:after="0"/>
              <w:rPr>
                <w:sz w:val="21"/>
                <w:szCs w:val="21"/>
                <w:color w:val="auto"/>
              </w:rPr>
            </w:pPr>
          </w:p>
        </w:tc>
      </w:tr>
      <w:tr>
        <w:trPr>
          <w:trHeight w:val="675"/>
        </w:trPr>
        <w:tc>
          <w:tcPr>
            <w:tcW w:w="46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440" w:type="dxa"/>
            <w:vAlign w:val="bottom"/>
            <w:gridSpan w:val="5"/>
          </w:tcPr>
          <w:p>
            <w:pPr>
              <w:ind w:left="920"/>
              <w:spacing w:after="0"/>
              <w:rPr>
                <w:sz w:val="20"/>
                <w:szCs w:val="20"/>
                <w:color w:val="auto"/>
              </w:rPr>
            </w:pPr>
            <w:r>
              <w:rPr>
                <w:rFonts w:ascii="Arial" w:cs="Arial" w:eastAsia="Arial" w:hAnsi="Arial"/>
                <w:sz w:val="18"/>
                <w:szCs w:val="18"/>
                <w:b w:val="1"/>
                <w:bCs w:val="1"/>
                <w:color w:val="auto"/>
              </w:rPr>
              <w:t>INDEX TO EXHIBITS</w:t>
            </w:r>
          </w:p>
        </w:tc>
      </w:tr>
      <w:tr>
        <w:trPr>
          <w:trHeight w:val="418"/>
        </w:trPr>
        <w:tc>
          <w:tcPr>
            <w:tcW w:w="13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Exhibit Number</w:t>
            </w:r>
          </w:p>
        </w:tc>
        <w:tc>
          <w:tcPr>
            <w:tcW w:w="9860" w:type="dxa"/>
            <w:vAlign w:val="bottom"/>
            <w:gridSpan w:val="7"/>
          </w:tcPr>
          <w:p>
            <w:pPr>
              <w:ind w:left="100"/>
              <w:spacing w:after="0"/>
              <w:rPr>
                <w:sz w:val="20"/>
                <w:szCs w:val="20"/>
                <w:color w:val="auto"/>
              </w:rPr>
            </w:pPr>
            <w:r>
              <w:rPr>
                <w:rFonts w:ascii="Arial" w:cs="Arial" w:eastAsia="Arial" w:hAnsi="Arial"/>
                <w:sz w:val="18"/>
                <w:szCs w:val="18"/>
                <w:b w:val="1"/>
                <w:bCs w:val="1"/>
                <w:color w:val="auto"/>
              </w:rPr>
              <w:t>Description of Exhibit</w:t>
            </w:r>
          </w:p>
        </w:tc>
      </w:tr>
      <w:tr>
        <w:trPr>
          <w:trHeight w:val="190"/>
        </w:trPr>
        <w:tc>
          <w:tcPr>
            <w:tcW w:w="520" w:type="dxa"/>
            <w:vAlign w:val="bottom"/>
          </w:tcPr>
          <w:p>
            <w:pPr>
              <w:spacing w:after="0"/>
              <w:rPr>
                <w:sz w:val="16"/>
                <w:szCs w:val="16"/>
                <w:color w:val="auto"/>
              </w:rPr>
            </w:pPr>
          </w:p>
        </w:tc>
        <w:tc>
          <w:tcPr>
            <w:tcW w:w="220" w:type="dxa"/>
            <w:vAlign w:val="bottom"/>
          </w:tcPr>
          <w:p>
            <w:pPr>
              <w:jc w:val="center"/>
              <w:spacing w:after="0" w:line="190"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hyperlink>
          </w:p>
        </w:tc>
        <w:tc>
          <w:tcPr>
            <w:tcW w:w="640" w:type="dxa"/>
            <w:vAlign w:val="bottom"/>
          </w:tcPr>
          <w:p>
            <w:pPr>
              <w:spacing w:after="0"/>
              <w:rPr>
                <w:sz w:val="16"/>
                <w:szCs w:val="16"/>
                <w:color w:val="auto"/>
              </w:rPr>
            </w:pPr>
          </w:p>
        </w:tc>
        <w:tc>
          <w:tcPr>
            <w:tcW w:w="9860" w:type="dxa"/>
            <w:vAlign w:val="bottom"/>
            <w:gridSpan w:val="7"/>
          </w:tcPr>
          <w:p>
            <w:pPr>
              <w:ind w:left="100"/>
              <w:spacing w:after="0" w:line="190" w:lineRule="exact"/>
              <w:rPr>
                <w:rFonts w:ascii="Arial" w:cs="Arial" w:eastAsia="Arial" w:hAnsi="Arial"/>
                <w:sz w:val="18"/>
                <w:szCs w:val="18"/>
                <w:color w:val="0000EE"/>
              </w:rPr>
            </w:pPr>
            <w:hyperlink w:anchor="page6">
              <w:r>
                <w:rPr>
                  <w:rFonts w:ascii="Arial" w:cs="Arial" w:eastAsia="Arial" w:hAnsi="Arial"/>
                  <w:sz w:val="18"/>
                  <w:szCs w:val="18"/>
                  <w:color w:val="0000EE"/>
                </w:rPr>
                <w:t>Opinion of Paul, Weiss, Rifkind, Wharton &amp; Garrison LLP as to the legality of the securities being registered.</w:t>
              </w:r>
            </w:hyperlink>
          </w:p>
        </w:tc>
      </w:tr>
      <w:tr>
        <w:trPr>
          <w:trHeight w:val="20"/>
        </w:trPr>
        <w:tc>
          <w:tcPr>
            <w:tcW w:w="5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740" w:type="dxa"/>
            <w:vAlign w:val="bottom"/>
            <w:gridSpan w:val="2"/>
          </w:tcPr>
          <w:p>
            <w:pPr>
              <w:jc w:val="center"/>
              <w:ind w:left="330"/>
              <w:spacing w:after="0"/>
              <w:rPr>
                <w:rFonts w:ascii="Arial" w:cs="Arial" w:eastAsia="Arial" w:hAnsi="Arial"/>
                <w:sz w:val="18"/>
                <w:szCs w:val="18"/>
                <w:color w:val="0000EE"/>
                <w:w w:val="91"/>
              </w:rPr>
            </w:pPr>
            <w:hyperlink w:anchor="page8">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1</w:t>
              </w:r>
            </w:hyperlink>
          </w:p>
        </w:tc>
        <w:tc>
          <w:tcPr>
            <w:tcW w:w="640" w:type="dxa"/>
            <w:vAlign w:val="bottom"/>
          </w:tcPr>
          <w:p>
            <w:pPr>
              <w:spacing w:after="0"/>
              <w:rPr>
                <w:sz w:val="24"/>
                <w:szCs w:val="24"/>
                <w:color w:val="auto"/>
              </w:rPr>
            </w:pPr>
          </w:p>
        </w:tc>
        <w:tc>
          <w:tcPr>
            <w:tcW w:w="9860" w:type="dxa"/>
            <w:vAlign w:val="bottom"/>
            <w:gridSpan w:val="7"/>
          </w:tcPr>
          <w:p>
            <w:pPr>
              <w:ind w:left="100"/>
              <w:spacing w:after="0"/>
              <w:rPr>
                <w:rFonts w:ascii="Arial" w:cs="Arial" w:eastAsia="Arial" w:hAnsi="Arial"/>
                <w:sz w:val="18"/>
                <w:szCs w:val="18"/>
                <w:color w:val="0000EE"/>
              </w:rPr>
            </w:pPr>
            <w:hyperlink w:anchor="page8">
              <w:r>
                <w:rPr>
                  <w:rFonts w:ascii="Arial" w:cs="Arial" w:eastAsia="Arial" w:hAnsi="Arial"/>
                  <w:sz w:val="18"/>
                  <w:szCs w:val="18"/>
                  <w:color w:val="0000EE"/>
                </w:rPr>
                <w:t>Consent of KPMG LLP, independent registered public accounting firm.</w:t>
              </w:r>
            </w:hyperlink>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740" w:type="dxa"/>
            <w:vAlign w:val="bottom"/>
            <w:gridSpan w:val="2"/>
          </w:tcPr>
          <w:p>
            <w:pPr>
              <w:jc w:val="center"/>
              <w:ind w:left="330"/>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2</w:t>
              </w:r>
            </w:hyperlink>
          </w:p>
        </w:tc>
        <w:tc>
          <w:tcPr>
            <w:tcW w:w="640" w:type="dxa"/>
            <w:vAlign w:val="bottom"/>
          </w:tcPr>
          <w:p>
            <w:pPr>
              <w:spacing w:after="0"/>
              <w:rPr>
                <w:sz w:val="24"/>
                <w:szCs w:val="24"/>
                <w:color w:val="auto"/>
              </w:rPr>
            </w:pPr>
          </w:p>
        </w:tc>
        <w:tc>
          <w:tcPr>
            <w:tcW w:w="9860" w:type="dxa"/>
            <w:vAlign w:val="bottom"/>
            <w:gridSpan w:val="7"/>
          </w:tcPr>
          <w:p>
            <w:pPr>
              <w:ind w:left="100"/>
              <w:spacing w:after="0"/>
              <w:rPr>
                <w:rFonts w:ascii="Arial" w:cs="Arial" w:eastAsia="Arial" w:hAnsi="Arial"/>
                <w:sz w:val="18"/>
                <w:szCs w:val="18"/>
                <w:color w:val="0000EE"/>
              </w:rPr>
            </w:pPr>
            <w:hyperlink w:anchor="page6">
              <w:r>
                <w:rPr>
                  <w:rFonts w:ascii="Arial" w:cs="Arial" w:eastAsia="Arial" w:hAnsi="Arial"/>
                  <w:sz w:val="18"/>
                  <w:szCs w:val="18"/>
                  <w:color w:val="0000EE"/>
                </w:rPr>
                <w:t>Consent of Paul, Weiss, Rifkind, Wharton &amp; Garrison LLP (included in Exhibit 5.1).</w:t>
              </w:r>
            </w:hyperlink>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3780" w:type="dxa"/>
            <w:vAlign w:val="bottom"/>
            <w:gridSpan w:val="2"/>
            <w:shd w:val="clear" w:color="auto" w:fill="0000EE"/>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740" w:type="dxa"/>
            <w:vAlign w:val="bottom"/>
            <w:gridSpan w:val="2"/>
          </w:tcPr>
          <w:p>
            <w:pPr>
              <w:jc w:val="center"/>
              <w:ind w:left="330"/>
              <w:spacing w:after="0"/>
              <w:rPr>
                <w:rFonts w:ascii="Arial" w:cs="Arial" w:eastAsia="Arial" w:hAnsi="Arial"/>
                <w:sz w:val="18"/>
                <w:szCs w:val="18"/>
                <w:color w:val="0000EE"/>
                <w:w w:val="91"/>
              </w:rPr>
            </w:pPr>
            <w:hyperlink r:id="rId19">
              <w:r>
                <w:rPr>
                  <w:rFonts w:ascii="Arial" w:cs="Arial" w:eastAsia="Arial" w:hAnsi="Arial"/>
                  <w:sz w:val="18"/>
                  <w:szCs w:val="18"/>
                  <w:color w:val="0000EE"/>
                  <w:w w:val="91"/>
                </w:rPr>
                <w:t>24.</w:t>
              </w:r>
              <w:r>
                <w:rPr>
                  <w:rFonts w:ascii="Arial" w:cs="Arial" w:eastAsia="Arial" w:hAnsi="Arial"/>
                  <w:sz w:val="18"/>
                  <w:szCs w:val="18"/>
                  <w:u w:val="single" w:color="auto"/>
                  <w:color w:val="0000EE"/>
                  <w:w w:val="91"/>
                </w:rPr>
                <w:t>1</w:t>
              </w:r>
            </w:hyperlink>
          </w:p>
        </w:tc>
        <w:tc>
          <w:tcPr>
            <w:tcW w:w="640" w:type="dxa"/>
            <w:vAlign w:val="bottom"/>
          </w:tcPr>
          <w:p>
            <w:pPr>
              <w:spacing w:after="0"/>
              <w:rPr>
                <w:sz w:val="24"/>
                <w:szCs w:val="24"/>
                <w:color w:val="auto"/>
              </w:rPr>
            </w:pPr>
          </w:p>
        </w:tc>
        <w:tc>
          <w:tcPr>
            <w:tcW w:w="9860" w:type="dxa"/>
            <w:vAlign w:val="bottom"/>
            <w:gridSpan w:val="7"/>
          </w:tcPr>
          <w:p>
            <w:pPr>
              <w:ind w:left="100"/>
              <w:spacing w:after="0"/>
              <w:rPr>
                <w:rFonts w:ascii="Arial" w:cs="Arial" w:eastAsia="Arial" w:hAnsi="Arial"/>
                <w:sz w:val="18"/>
                <w:szCs w:val="18"/>
                <w:color w:val="0000EE"/>
                <w:w w:val="96"/>
              </w:rPr>
            </w:pPr>
            <w:hyperlink r:id="rId19">
              <w:r>
                <w:rPr>
                  <w:rFonts w:ascii="Arial" w:cs="Arial" w:eastAsia="Arial" w:hAnsi="Arial"/>
                  <w:sz w:val="18"/>
                  <w:szCs w:val="18"/>
                  <w:color w:val="0000EE"/>
                  <w:w w:val="96"/>
                </w:rPr>
                <w:t>Power of Attorney (incorporated by reference to the Registration Statement on Form S-1 of Sun Country Airlines Holdings, Inc.</w:t>
              </w:r>
            </w:hyperlink>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6920" w:type="dxa"/>
            <w:vAlign w:val="bottom"/>
            <w:gridSpan w:val="4"/>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60" w:type="dxa"/>
            <w:vAlign w:val="bottom"/>
            <w:gridSpan w:val="7"/>
          </w:tcPr>
          <w:p>
            <w:pPr>
              <w:ind w:left="100"/>
              <w:spacing w:after="0" w:line="196" w:lineRule="exact"/>
              <w:rPr>
                <w:rFonts w:ascii="Arial" w:cs="Arial" w:eastAsia="Arial" w:hAnsi="Arial"/>
                <w:sz w:val="18"/>
                <w:szCs w:val="18"/>
                <w:color w:val="0000EE"/>
              </w:rPr>
            </w:pPr>
            <w:hyperlink r:id="rId19">
              <w:r>
                <w:rPr>
                  <w:rFonts w:ascii="Arial" w:cs="Arial" w:eastAsia="Arial" w:hAnsi="Arial"/>
                  <w:sz w:val="18"/>
                  <w:szCs w:val="18"/>
                  <w:color w:val="0000EE"/>
                </w:rPr>
                <w:t>(Registration No. 333-260195)).</w:t>
              </w:r>
            </w:hyperlink>
          </w:p>
        </w:tc>
      </w:tr>
      <w:tr>
        <w:trPr>
          <w:trHeight w:val="696"/>
        </w:trPr>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20" w:type="dxa"/>
            <w:vAlign w:val="bottom"/>
            <w:tcBorders>
              <w:top w:val="single" w:sz="8" w:color="0000EE"/>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10019-6064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14,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Sun Country Airlines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2005 Cargo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MN 55450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Sun Country Airlines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Registration Statement on Form S-1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(incorporating Registration Statement on Form S-1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Registration No. </w:t>
      </w:r>
      <w:r>
        <w:rPr>
          <w:rFonts w:ascii="Arial" w:cs="Arial" w:eastAsia="Arial" w:hAnsi="Arial"/>
          <w:sz w:val="18"/>
          <w:szCs w:val="18"/>
          <w:u w:val="single" w:color="auto"/>
          <w:color w:val="auto"/>
        </w:rPr>
        <w:t>333-260195</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1296"/>
        <w:spacing w:after="0" w:line="269" w:lineRule="auto"/>
        <w:rPr>
          <w:sz w:val="20"/>
          <w:szCs w:val="20"/>
          <w:color w:val="auto"/>
        </w:rPr>
      </w:pPr>
      <w:r>
        <w:rPr>
          <w:rFonts w:ascii="Arial" w:cs="Arial" w:eastAsia="Arial" w:hAnsi="Arial"/>
          <w:sz w:val="17"/>
          <w:szCs w:val="17"/>
          <w:color w:val="auto"/>
        </w:rPr>
        <w:t>We have acted as counsel to Sun Country Airlines Holdings, Inc., a Delaware corporation (the “Company”), in connection with the Registration Statement on Form S-1 (the “Registration Statement”) of the Company filed today with the Securities and Exchange Commission pursuant to the Securities Act of 1933, as amended (the “Act”), and the rules and regulations thereunder (the “Rules”). You have asked us to furnish our opinion as to the legality of the securities being registered under the Registration Statement. The Registration Statement and the related registration statement (Registration No. 333-260195) relate to the registration under the Act of up to 9,775,000 shares (the “Shares”) of the Company’s common stock, par value $0.01 per share (the “Common Stock”), that may be offered by certain stockholders of the Company (including shares that may be sold by certain stockholders of the Company upon exercise of the underwriters’ option to purchase additional shares). The Shares include 372,768 shares of Common Stock to be issued to a certain stockholder of the Company upon the exercise of stock options granted under the SCA Acquisition Holdings, LLC Equity Incentive Plan (the “Plan”) and the Non-Qualified Stock Option Agreement relating to such options to purchase shares of Common Stock granted under the Plan (the “Option Agreement”).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In connection with the furnishing of this opinion, we have examined the Registration Statement, the Plan and the Option Agreement.</w:t>
      </w:r>
    </w:p>
    <w:p>
      <w:pPr>
        <w:spacing w:after="0" w:line="237" w:lineRule="exact"/>
        <w:rPr>
          <w:sz w:val="20"/>
          <w:szCs w:val="20"/>
          <w:color w:val="auto"/>
        </w:rPr>
      </w:pPr>
    </w:p>
    <w:p>
      <w:pPr>
        <w:ind w:right="240" w:firstLine="1296"/>
        <w:spacing w:after="0" w:line="257" w:lineRule="auto"/>
        <w:rPr>
          <w:sz w:val="20"/>
          <w:szCs w:val="20"/>
          <w:color w:val="auto"/>
        </w:rPr>
      </w:pPr>
      <w:r>
        <w:rPr>
          <w:rFonts w:ascii="Arial" w:cs="Arial" w:eastAsia="Arial" w:hAnsi="Arial"/>
          <w:sz w:val="18"/>
          <w:szCs w:val="18"/>
          <w:color w:val="auto"/>
        </w:rPr>
        <w:t>In addition, we have examined (i) such corporate records of the Company that we have considered appropriate, including a copy of the certificate of incorporation, as amended, and bylaws, as amended, of the Company, certified by the Company as in effect on the date of this letter, and copies of resolutions of the board of directors of the Company relating to the registration of the Shares, certified by the Company and (ii) such other certificates, agreements and documents that we deemed relevant and necessary as a basis for the opinion expressed below. We have also relied upon certificates of public officials and the officers of the Company.</w:t>
      </w:r>
    </w:p>
    <w:p>
      <w:pPr>
        <w:spacing w:after="0" w:line="188" w:lineRule="exact"/>
        <w:rPr>
          <w:sz w:val="20"/>
          <w:szCs w:val="20"/>
          <w:color w:val="auto"/>
        </w:rPr>
      </w:pPr>
    </w:p>
    <w:p>
      <w:pPr>
        <w:ind w:right="140" w:firstLine="1296"/>
        <w:spacing w:after="0" w:line="275" w:lineRule="auto"/>
        <w:rPr>
          <w:sz w:val="20"/>
          <w:szCs w:val="20"/>
          <w:color w:val="auto"/>
        </w:rPr>
      </w:pPr>
      <w:r>
        <w:rPr>
          <w:rFonts w:ascii="Arial" w:cs="Arial" w:eastAsia="Arial" w:hAnsi="Arial"/>
          <w:sz w:val="17"/>
          <w:szCs w:val="17"/>
          <w:color w:val="auto"/>
        </w:rPr>
        <w:t>In our examination of the documents referred to above, we have assumed, without independent investigation, the genuineness of all signatures, the legal capacity of all individuals who have executed any of the documents reviewed by us, the authenticity of all documents submitted to us as originals, the conformity to the originals of all documents submitted to us as certified, photostatic, reproduced or conformed copies of valid existing agreements or other documents, the authenticity of all the latter documents and that the statements regarding matters of fact in the certificates, records, agreements, instruments and documents that we have examined are accurate and complete.</w:t>
      </w:r>
    </w:p>
    <w:p>
      <w:pPr>
        <w:spacing w:after="0" w:line="176" w:lineRule="exact"/>
        <w:rPr>
          <w:sz w:val="20"/>
          <w:szCs w:val="20"/>
          <w:color w:val="auto"/>
        </w:rPr>
      </w:pPr>
    </w:p>
    <w:p>
      <w:pPr>
        <w:jc w:val="both"/>
        <w:ind w:right="220" w:firstLine="1296"/>
        <w:spacing w:after="0" w:line="263" w:lineRule="auto"/>
        <w:rPr>
          <w:sz w:val="20"/>
          <w:szCs w:val="20"/>
          <w:color w:val="auto"/>
        </w:rPr>
      </w:pPr>
      <w:r>
        <w:rPr>
          <w:rFonts w:ascii="Arial" w:cs="Arial" w:eastAsia="Arial" w:hAnsi="Arial"/>
          <w:sz w:val="18"/>
          <w:szCs w:val="18"/>
          <w:color w:val="auto"/>
        </w:rPr>
        <w:t>Based upon the above, and subject to the stated assumptions, exceptions and qualifications, we are of the opinion that the Shares have been duly authorized by all necessary corporate action on the part of the Company and are, or when issued, delivered and paid for in accordance with the terms of the Plan and the Option Agreement, will be, validly issued, fully paid and non-assessable.</w:t>
      </w:r>
    </w:p>
    <w:p>
      <w:pPr>
        <w:spacing w:after="0" w:line="184" w:lineRule="exact"/>
        <w:rPr>
          <w:sz w:val="20"/>
          <w:szCs w:val="20"/>
          <w:color w:val="auto"/>
        </w:rPr>
      </w:pPr>
    </w:p>
    <w:p>
      <w:pPr>
        <w:ind w:right="440" w:firstLine="1296"/>
        <w:spacing w:after="0" w:line="277" w:lineRule="auto"/>
        <w:rPr>
          <w:sz w:val="20"/>
          <w:szCs w:val="20"/>
          <w:color w:val="auto"/>
        </w:rPr>
      </w:pPr>
      <w:r>
        <w:rPr>
          <w:rFonts w:ascii="Arial" w:cs="Arial" w:eastAsia="Arial" w:hAnsi="Arial"/>
          <w:sz w:val="18"/>
          <w:szCs w:val="18"/>
          <w:color w:val="auto"/>
        </w:rPr>
        <w:t>The opinion expressed above is limited to the General Corporation Law of the State of Delaware. Our opinion is rendered only with respect to the laws, and the rules, regulations and orders under those laws, that are currently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both"/>
        <w:ind w:firstLine="1296"/>
        <w:spacing w:after="0" w:line="263" w:lineRule="auto"/>
        <w:rPr>
          <w:sz w:val="20"/>
          <w:szCs w:val="20"/>
          <w:color w:val="auto"/>
        </w:rPr>
      </w:pPr>
      <w:r>
        <w:rPr>
          <w:rFonts w:ascii="Arial" w:cs="Arial" w:eastAsia="Arial" w:hAnsi="Arial"/>
          <w:sz w:val="18"/>
          <w:szCs w:val="18"/>
          <w:color w:val="auto"/>
        </w:rPr>
        <w:t>We hereby consent to use of this opinion as an exhibit to the Registration Statement and to the use of our name under the heading “Legal Matters” contained in the prospectus incorporated by reference in the Registration Statement. In giving this consent, we do not thereby admit that we come within the category of persons whose consent is required by the Act or the Rules.</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Paul, Weiss, Rifkind, Wharton &amp; Garrison LLP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PAUL, WEISS, RIFKIND, WHARTON &amp; GARRISON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b w:val="1"/>
          <w:bCs w:val="1"/>
          <w:color w:val="auto"/>
        </w:rPr>
        <w:t>Exhibit 23.1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We consent to the use of our report dated February 23, 2021, except as to the third and fourth paragraphs of Note 20, which are as of March 8, 2021, with respect to the consolidated financial statements of Sun Country Airlines Holdings, Inc. incorporated herein by reference and to the reference to our firm under the heading “Experts” in the prospectus. Our report contains an explanatory paragraph that states that the Company has changed its method of accounting for revenue recognition and leases as of January 1, 2019 due to the adoption of Accounting Standards Update 2014-09,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with Customers </w:t>
      </w:r>
      <w:r>
        <w:rPr>
          <w:rFonts w:ascii="Arial" w:cs="Arial" w:eastAsia="Arial" w:hAnsi="Arial"/>
          <w:sz w:val="18"/>
          <w:szCs w:val="18"/>
          <w:color w:val="auto"/>
        </w:rPr>
        <w:t>and Accounting Standards Update 2016-02,</w:t>
      </w:r>
      <w:r>
        <w:rPr>
          <w:rFonts w:ascii="Arial" w:cs="Arial" w:eastAsia="Arial" w:hAnsi="Arial"/>
          <w:sz w:val="18"/>
          <w:szCs w:val="18"/>
          <w:i w:val="1"/>
          <w:iCs w:val="1"/>
          <w:color w:val="auto"/>
        </w:rPr>
        <w:t xml:space="preserve"> Leases.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October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19" Type="http://schemas.openxmlformats.org/officeDocument/2006/relationships/hyperlink" Target="http://www.sec.gov/Archives/edgar/data/1743907/000110465921125327/sncy-20210729xs1.htm" TargetMode="External"/><Relationship Id="rId20" Type="http://schemas.openxmlformats.org/officeDocument/2006/relationships/hyperlink" Target="https://www.sec.gov/Archives/edgar/data/1743907/000110465921125327/sncy-20210729xs1.htm#SIGNATURES_1741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2021-10-14T20:34:55Z</dcterms:created>
  <dcterms:modified xsi:type="dcterms:W3CDTF">2021-10-14T20:34:55Z</dcterms:modified>
</cp:coreProperties>
</file>