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2025</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2" w:lineRule="exact"/>
        <w:rPr>
          <w:sz w:val="24"/>
          <w:szCs w:val="24"/>
          <w:color w:val="auto"/>
        </w:rPr>
      </w:pPr>
    </w:p>
    <w:p>
      <w:pPr>
        <w:ind w:left="4300" w:right="2500" w:hanging="4274"/>
        <w:spacing w:after="0" w:line="585"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-97155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28"/>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5"/>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01" w:lineRule="exact"/>
        <w:rPr>
          <w:sz w:val="24"/>
          <w:szCs w:val="24"/>
          <w:color w:val="auto"/>
        </w:rPr>
      </w:pPr>
    </w:p>
    <w:p>
      <w:pPr>
        <w:ind w:right="180" w:firstLine="324"/>
        <w:spacing w:after="0" w:line="30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360" w:firstLine="324"/>
        <w:spacing w:after="0" w:line="30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40" w:firstLine="324"/>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5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3">
            <w:col w:w="5620" w:space="720"/>
            <w:col w:w="2620" w:space="720"/>
            <w:col w:w="1560"/>
          </w:cols>
          <w:pgMar w:left="320" w:top="512"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12" w:right="339" w:bottom="1440" w:gutter="0" w:footer="0" w:header="0"/>
          <w:type w:val="continuous"/>
        </w:sectPr>
      </w:pPr>
    </w:p>
    <w:p>
      <w:pPr>
        <w:spacing w:after="0" w:line="90" w:lineRule="exact"/>
        <w:rPr>
          <w:sz w:val="24"/>
          <w:szCs w:val="24"/>
          <w:color w:val="auto"/>
        </w:rPr>
      </w:pPr>
    </w:p>
    <w:p>
      <w:pPr>
        <w:ind w:right="540" w:firstLine="324"/>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2" w:lineRule="exact"/>
        <w:rPr>
          <w:sz w:val="24"/>
          <w:szCs w:val="24"/>
          <w:color w:val="auto"/>
        </w:rPr>
      </w:pP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March 31, 2025:</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53,201,003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39"/>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8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6"/>
            <w:vMerge w:val="restart"/>
          </w:tcPr>
          <w:p>
            <w:pPr>
              <w:spacing w:after="0"/>
              <w:rPr>
                <w:sz w:val="21"/>
                <w:szCs w:val="2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380" w:type="dxa"/>
            <w:vAlign w:val="bottom"/>
            <w:tcBorders>
              <w:bottom w:val="single" w:sz="8" w:color="0000FF"/>
            </w:tcBorders>
            <w:gridSpan w:val="22"/>
            <w:vMerge w:val="continue"/>
          </w:tcPr>
          <w:p>
            <w:pPr>
              <w:spacing w:after="0"/>
              <w:rPr>
                <w:sz w:val="14"/>
                <w:szCs w:val="14"/>
                <w:color w:val="auto"/>
              </w:rPr>
            </w:pPr>
          </w:p>
        </w:tc>
        <w:tc>
          <w:tcPr>
            <w:tcW w:w="7820" w:type="dxa"/>
            <w:vAlign w:val="bottom"/>
            <w:gridSpan w:val="16"/>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Comprehensive Income</w:t>
            </w:r>
          </w:p>
        </w:tc>
        <w:tc>
          <w:tcPr>
            <w:tcW w:w="484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29"/>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gridSpan w:val="6"/>
          </w:tcPr>
          <w:p>
            <w:pPr>
              <w:spacing w:after="0"/>
              <w:rPr>
                <w:sz w:val="17"/>
                <w:szCs w:val="17"/>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7"/>
                <w:szCs w:val="17"/>
                <w:color w:val="auto"/>
              </w:rPr>
            </w:pPr>
          </w:p>
        </w:tc>
        <w:tc>
          <w:tcPr>
            <w:tcW w:w="72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7"/>
              </w:rPr>
              <w:t>Revenue</w:t>
            </w:r>
          </w:p>
        </w:tc>
        <w:tc>
          <w:tcPr>
            <w:tcW w:w="8740" w:type="dxa"/>
            <w:vAlign w:val="bottom"/>
            <w:gridSpan w:val="2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1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560" w:type="dxa"/>
            <w:vAlign w:val="bottom"/>
            <w:gridSpan w:val="6"/>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0"/>
          </w:tcPr>
          <w:p>
            <w:pPr>
              <w:spacing w:after="0"/>
              <w:rPr>
                <w:sz w:val="18"/>
                <w:szCs w:val="18"/>
                <w:color w:val="auto"/>
              </w:rPr>
            </w:pPr>
          </w:p>
        </w:tc>
        <w:tc>
          <w:tcPr>
            <w:tcW w:w="74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560" w:type="dxa"/>
            <w:vAlign w:val="bottom"/>
            <w:gridSpan w:val="6"/>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Special Items,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10</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7"/>
          </w:tcPr>
          <w:p>
            <w:pPr>
              <w:jc w:val="right"/>
              <w:spacing w:after="0"/>
              <w:rPr>
                <w:sz w:val="20"/>
                <w:szCs w:val="20"/>
                <w:color w:val="auto"/>
              </w:rPr>
            </w:pPr>
            <w:r>
              <w:rPr>
                <w:rFonts w:ascii="Arial" w:cs="Arial" w:eastAsia="Arial" w:hAnsi="Arial"/>
                <w:sz w:val="18"/>
                <w:szCs w:val="18"/>
                <w:color w:val="0000FF"/>
              </w:rPr>
              <w:t>11</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4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1"/>
          </w:tcPr>
          <w:p>
            <w:pPr>
              <w:spacing w:after="0"/>
              <w:rPr>
                <w:sz w:val="20"/>
                <w:szCs w:val="20"/>
                <w:color w:val="auto"/>
              </w:rPr>
            </w:pPr>
            <w:r>
              <w:rPr>
                <w:rFonts w:ascii="Arial" w:cs="Arial" w:eastAsia="Arial" w:hAnsi="Arial"/>
                <w:sz w:val="18"/>
                <w:szCs w:val="18"/>
                <w:color w:val="0000FF"/>
              </w:rPr>
              <w:t>Operating Segments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rPr>
              <w:t>Subsequent Events</w:t>
            </w:r>
          </w:p>
        </w:tc>
        <w:tc>
          <w:tcPr>
            <w:tcW w:w="20" w:type="dxa"/>
            <w:vAlign w:val="bottom"/>
            <w:tcBorders>
              <w:top w:val="single" w:sz="8" w:color="0000FF"/>
            </w:tcBorders>
          </w:tcPr>
          <w:p>
            <w:pPr>
              <w:spacing w:after="0"/>
              <w:rPr>
                <w:sz w:val="18"/>
                <w:szCs w:val="18"/>
                <w:color w:val="auto"/>
              </w:rPr>
            </w:pPr>
          </w:p>
        </w:tc>
        <w:tc>
          <w:tcPr>
            <w:tcW w:w="7820" w:type="dxa"/>
            <w:vAlign w:val="bottom"/>
            <w:gridSpan w:val="16"/>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3"/>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4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8"/>
          </w:tcPr>
          <w:p>
            <w:pPr>
              <w:spacing w:after="0"/>
              <w:rPr>
                <w:sz w:val="18"/>
                <w:szCs w:val="18"/>
                <w:color w:val="auto"/>
              </w:rPr>
            </w:pPr>
          </w:p>
        </w:tc>
        <w:tc>
          <w:tcPr>
            <w:tcW w:w="750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7"/>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38"/>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8"/>
          </w:tcPr>
          <w:p>
            <w:pPr>
              <w:jc w:val="center"/>
              <w:ind w:left="4230"/>
              <w:spacing w:after="0"/>
              <w:rPr>
                <w:sz w:val="20"/>
                <w:szCs w:val="20"/>
                <w:color w:val="auto"/>
              </w:rPr>
            </w:pPr>
            <w:r>
              <w:rPr>
                <w:rFonts w:ascii="Arial" w:cs="Arial" w:eastAsia="Arial" w:hAnsi="Arial"/>
                <w:sz w:val="18"/>
                <w:szCs w:val="18"/>
                <w:color w:val="auto"/>
                <w:w w:val="99"/>
              </w:rPr>
              <w:t>-2-</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54"/>
        </w:trPr>
        <w:tc>
          <w:tcPr>
            <w:tcW w:w="7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53,391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83,219</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17,252</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105,376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104,053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$748 and $617,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$872 and $784,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10,467</w:t>
            </w:r>
          </w:p>
        </w:tc>
      </w:tr>
      <w:tr>
        <w:trPr>
          <w:trHeight w:val="215"/>
        </w:trPr>
        <w:tc>
          <w:tcPr>
            <w:tcW w:w="722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14,634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13,837</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48"/>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266,584</w:t>
            </w:r>
          </w:p>
        </w:tc>
      </w:tr>
      <w:tr>
        <w:trPr>
          <w:trHeight w:val="216"/>
        </w:trPr>
        <w:tc>
          <w:tcPr>
            <w:tcW w:w="72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2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775,210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Aircraft and Flight Equipment Held for Operating Lease</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124,383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124,383</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46,550</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Computer Hardware and Software</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22,436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309,877</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Rotable Parts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26,626</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1,305,082</w:t>
            </w:r>
          </w:p>
        </w:tc>
      </w:tr>
      <w:tr>
        <w:trPr>
          <w:trHeight w:val="215"/>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(334,993)</w:t>
            </w:r>
          </w:p>
        </w:tc>
      </w:tr>
      <w:tr>
        <w:trPr>
          <w:trHeight w:val="210"/>
        </w:trPr>
        <w:tc>
          <w:tcPr>
            <w:tcW w:w="7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&amp;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970,089</w:t>
            </w:r>
          </w:p>
        </w:tc>
      </w:tr>
      <w:tr>
        <w:trPr>
          <w:trHeight w:val="34"/>
        </w:trPr>
        <w:tc>
          <w:tcPr>
            <w:tcW w:w="7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222,223</w:t>
            </w:r>
          </w:p>
        </w:tc>
      </w:tr>
      <w:tr>
        <w:trPr>
          <w:trHeight w:val="217"/>
        </w:trPr>
        <w:tc>
          <w:tcPr>
            <w:tcW w:w="7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Intangible Assets, net of accumulated amortization of $31,166 and $29,903, respectively</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77,838</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16,896</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Deposits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r>
      <w:tr>
        <w:trPr>
          <w:trHeight w:val="215"/>
        </w:trPr>
        <w:tc>
          <w:tcPr>
            <w:tcW w:w="7220" w:type="dxa"/>
            <w:vAlign w:val="bottom"/>
          </w:tcPr>
          <w:p>
            <w:pPr>
              <w:ind w:left="140"/>
              <w:spacing w:after="0"/>
              <w:rPr>
                <w:sz w:val="20"/>
                <w:szCs w:val="20"/>
                <w:color w:val="auto"/>
              </w:rPr>
            </w:pPr>
            <w:r>
              <w:rPr>
                <w:rFonts w:ascii="Arial" w:cs="Arial" w:eastAsia="Arial" w:hAnsi="Arial"/>
                <w:sz w:val="16"/>
                <w:szCs w:val="16"/>
                <w:color w:val="auto"/>
              </w:rPr>
              <w:t>Long-term Lessor Maintenance Deposits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53,624</w:t>
            </w:r>
          </w:p>
        </w:tc>
      </w:tr>
      <w:tr>
        <w:trPr>
          <w:trHeight w:val="217"/>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14,998</w:t>
            </w:r>
          </w:p>
        </w:tc>
      </w:tr>
      <w:tr>
        <w:trPr>
          <w:trHeight w:val="209"/>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393,504</w:t>
            </w: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1,592,026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56,917</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56,034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16,713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160,686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Finance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20,175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Loyalty Program Liabilities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Operating Lease Obligations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382,863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422,290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251,087</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17,369</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220,881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239,543</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 Liability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72,376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87,369</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637,514</w:t>
            </w:r>
          </w:p>
        </w:tc>
        <w:tc>
          <w:tcPr>
            <w:tcW w:w="0" w:type="dxa"/>
            <w:vAlign w:val="bottom"/>
          </w:tcPr>
          <w:p>
            <w:pPr>
              <w:spacing w:after="0"/>
              <w:rPr>
                <w:sz w:val="1"/>
                <w:szCs w:val="1"/>
                <w:color w:val="auto"/>
              </w:rPr>
            </w:pPr>
          </w:p>
        </w:tc>
      </w:tr>
      <w:tr>
        <w:trPr>
          <w:trHeight w:val="21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989,009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1,059,804</w:t>
            </w:r>
          </w:p>
        </w:tc>
        <w:tc>
          <w:tcPr>
            <w:tcW w:w="0" w:type="dxa"/>
            <w:vAlign w:val="bottom"/>
          </w:tcPr>
          <w:p>
            <w:pPr>
              <w:spacing w:after="0"/>
              <w:rPr>
                <w:sz w:val="1"/>
                <w:szCs w:val="1"/>
                <w:color w:val="auto"/>
              </w:rPr>
            </w:pP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11</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0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7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6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Common stock, with $0.01 par value, 995,000,000 shares authorized, 60,174,923 and 59,500,970</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issued and 53,201,003 and 53,157,964 outstanding at March 31, 2025 and December 31, 2024,</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3"/>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outstanding at March 31, 2025 and December 31, 2024, respectively</w:t>
            </w:r>
          </w:p>
        </w:tc>
        <w:tc>
          <w:tcPr>
            <w:tcW w:w="2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320" w:type="dxa"/>
            <w:vAlign w:val="bottom"/>
            <w:gridSpan w:val="3"/>
          </w:tcPr>
          <w:p>
            <w:pPr>
              <w:ind w:left="100"/>
              <w:spacing w:after="0" w:line="162" w:lineRule="exact"/>
              <w:rPr>
                <w:sz w:val="20"/>
                <w:szCs w:val="20"/>
                <w:color w:val="auto"/>
              </w:rPr>
            </w:pPr>
            <w:r>
              <w:rPr>
                <w:rFonts w:ascii="Arial" w:cs="Arial" w:eastAsia="Arial" w:hAnsi="Arial"/>
                <w:sz w:val="16"/>
                <w:szCs w:val="16"/>
                <w:color w:val="auto"/>
              </w:rPr>
              <w:t>Treasury stock, at cost, 6,973,920 and 6,343,006 shares held at March 31, 2025 and December 31,</w:t>
            </w:r>
          </w:p>
        </w:tc>
        <w:tc>
          <w:tcPr>
            <w:tcW w:w="2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(115,866)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color w:val="auto"/>
              </w:rPr>
              <w:t>(105,866)</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2024, respectively</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528,604</w:t>
            </w:r>
          </w:p>
        </w:tc>
        <w:tc>
          <w:tcPr>
            <w:tcW w:w="0" w:type="dxa"/>
            <w:vAlign w:val="bottom"/>
          </w:tcPr>
          <w:p>
            <w:pPr>
              <w:spacing w:after="0"/>
              <w:rPr>
                <w:sz w:val="1"/>
                <w:szCs w:val="1"/>
                <w:color w:val="auto"/>
              </w:rPr>
            </w:pPr>
          </w:p>
        </w:tc>
      </w:tr>
      <w:tr>
        <w:trPr>
          <w:trHeight w:val="215"/>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183,667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147,132</w:t>
            </w:r>
          </w:p>
        </w:tc>
        <w:tc>
          <w:tcPr>
            <w:tcW w:w="0" w:type="dxa"/>
            <w:vAlign w:val="bottom"/>
          </w:tcPr>
          <w:p>
            <w:pPr>
              <w:spacing w:after="0"/>
              <w:rPr>
                <w:sz w:val="1"/>
                <w:szCs w:val="1"/>
                <w:color w:val="auto"/>
              </w:rPr>
            </w:pPr>
          </w:p>
        </w:tc>
      </w:tr>
      <w:tr>
        <w:trPr>
          <w:trHeight w:val="217"/>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603,017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570,373</w:t>
            </w:r>
          </w:p>
        </w:tc>
        <w:tc>
          <w:tcPr>
            <w:tcW w:w="0" w:type="dxa"/>
            <w:vAlign w:val="bottom"/>
          </w:tcPr>
          <w:p>
            <w:pPr>
              <w:spacing w:after="0"/>
              <w:rPr>
                <w:sz w:val="1"/>
                <w:szCs w:val="1"/>
                <w:color w:val="auto"/>
              </w:rPr>
            </w:pPr>
          </w:p>
        </w:tc>
      </w:tr>
      <w:tr>
        <w:trPr>
          <w:trHeight w:val="235"/>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1,592,026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1,630,177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2024</w:t>
            </w:r>
          </w:p>
        </w:tc>
      </w:tr>
      <w:tr>
        <w:trPr>
          <w:trHeight w:val="21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285,888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274,664</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r>
      <w:tr>
        <w:trPr>
          <w:trHeight w:val="230"/>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311,483</w:t>
            </w:r>
          </w:p>
        </w:tc>
      </w:tr>
      <w:tr>
        <w:trPr>
          <w:trHeight w:val="34"/>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64,619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70,304</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82,238</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16,817</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23,809</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14,729</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256,307</w:t>
            </w:r>
          </w:p>
        </w:tc>
      </w:tr>
      <w:tr>
        <w:trPr>
          <w:trHeight w:val="262"/>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55,176</w:t>
            </w:r>
          </w:p>
        </w:tc>
      </w:tr>
      <w:tr>
        <w:trPr>
          <w:trHeight w:val="230"/>
        </w:trPr>
        <w:tc>
          <w:tcPr>
            <w:tcW w:w="72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48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(9,625)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(11,112)</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20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(8,618)</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Before Income Tax</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46,558</w:t>
            </w:r>
          </w:p>
        </w:tc>
      </w:tr>
      <w:tr>
        <w:trPr>
          <w:trHeight w:val="223"/>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r>
      <w:tr>
        <w:trPr>
          <w:trHeight w:val="223"/>
        </w:trPr>
        <w:tc>
          <w:tcPr>
            <w:tcW w:w="72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35,313</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0"/>
        </w:trPr>
        <w:tc>
          <w:tcPr>
            <w:tcW w:w="7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4"/>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0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6"/>
        </w:trPr>
        <w:tc>
          <w:tcPr>
            <w:tcW w:w="7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for computation:</w:t>
            </w: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53,342,226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53,034,538</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55,508,359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55,397,685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20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gains (losses) on Available-for-Sale securities, net of deferred tax</w:t>
            </w:r>
          </w:p>
        </w:tc>
        <w:tc>
          <w:tcPr>
            <w:tcW w:w="1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5"/>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expense (benefit) of $17 and $(42), respectively</w:t>
            </w:r>
          </w:p>
        </w:tc>
        <w:tc>
          <w:tcPr>
            <w:tcW w:w="1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36,592</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35,174</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3560"/>
        <w:spacing w:after="0" w:line="284" w:lineRule="auto"/>
        <w:rPr>
          <w:sz w:val="20"/>
          <w:szCs w:val="20"/>
          <w:color w:val="auto"/>
        </w:rPr>
      </w:pPr>
      <w:r>
        <w:rPr>
          <w:rFonts w:ascii="Arial" w:cs="Arial" w:eastAsia="Arial" w:hAnsi="Arial"/>
          <w:sz w:val="18"/>
          <w:szCs w:val="18"/>
          <w:b w:val="1"/>
          <w:bCs w:val="1"/>
          <w:color w:val="auto"/>
        </w:rPr>
        <w:t>CONDENSED CONSOLIDATED STATEMENTS OF CHANGES IN STOCKHOLDERS’ EQUITY (Dollars in thousands, except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8"/>
          </w:tcPr>
          <w:p>
            <w:pPr>
              <w:ind w:left="760"/>
              <w:spacing w:after="0"/>
              <w:rPr>
                <w:sz w:val="20"/>
                <w:szCs w:val="20"/>
                <w:color w:val="auto"/>
              </w:rPr>
            </w:pPr>
            <w:r>
              <w:rPr>
                <w:rFonts w:ascii="Arial" w:cs="Arial" w:eastAsia="Arial" w:hAnsi="Arial"/>
                <w:sz w:val="9"/>
                <w:szCs w:val="9"/>
                <w:b w:val="1"/>
                <w:bCs w:val="1"/>
                <w:color w:val="auto"/>
              </w:rPr>
              <w:t>Three Months Ended March 31, 2025</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restart"/>
          </w:tcPr>
          <w:p>
            <w:pPr>
              <w:jc w:val="center"/>
              <w:ind w:right="80"/>
              <w:spacing w:after="0" w:line="95" w:lineRule="exact"/>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3"/>
                <w:szCs w:val="3"/>
                <w:color w:val="auto"/>
              </w:rPr>
            </w:pPr>
          </w:p>
        </w:tc>
        <w:tc>
          <w:tcPr>
            <w:tcW w:w="800" w:type="dxa"/>
            <w:vAlign w:val="bottom"/>
            <w:gridSpan w:val="2"/>
            <w:vMerge w:val="restart"/>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3"/>
                <w:szCs w:val="3"/>
                <w:color w:val="auto"/>
              </w:rPr>
            </w:pPr>
          </w:p>
        </w:tc>
        <w:tc>
          <w:tcPr>
            <w:tcW w:w="1160" w:type="dxa"/>
            <w:vAlign w:val="bottom"/>
            <w:gridSpan w:val="2"/>
            <w:vMerge w:val="restart"/>
          </w:tcPr>
          <w:p>
            <w:pPr>
              <w:jc w:val="center"/>
              <w:ind w:right="160"/>
              <w:spacing w:after="0" w:line="95" w:lineRule="exact"/>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160" w:type="dxa"/>
            <w:vAlign w:val="bottom"/>
          </w:tcPr>
          <w:p>
            <w:pPr>
              <w:spacing w:after="0"/>
              <w:rPr>
                <w:sz w:val="12"/>
                <w:szCs w:val="12"/>
                <w:color w:val="auto"/>
              </w:rPr>
            </w:pPr>
          </w:p>
        </w:tc>
        <w:tc>
          <w:tcPr>
            <w:tcW w:w="1040" w:type="dxa"/>
            <w:vAlign w:val="bottom"/>
            <w:gridSpan w:val="2"/>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2"/>
                <w:szCs w:val="12"/>
                <w:color w:val="auto"/>
              </w:rPr>
            </w:pPr>
          </w:p>
        </w:tc>
        <w:tc>
          <w:tcPr>
            <w:tcW w:w="720" w:type="dxa"/>
            <w:vAlign w:val="bottom"/>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2024</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4,109,135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59,500,970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6,343,006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528,604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147,132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673,953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2,483</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2,490</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630,914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36,535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252,869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1,867</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1,695</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57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March 31, 2025</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4,362,004</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60,174,923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602</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6,973,920</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(115,866)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534,649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183,667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603,017</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40" w:type="dxa"/>
            <w:vAlign w:val="bottom"/>
            <w:gridSpan w:val="8"/>
          </w:tcPr>
          <w:p>
            <w:pPr>
              <w:ind w:left="760"/>
              <w:spacing w:after="0"/>
              <w:rPr>
                <w:sz w:val="20"/>
                <w:szCs w:val="20"/>
                <w:color w:val="auto"/>
              </w:rPr>
            </w:pPr>
            <w:r>
              <w:rPr>
                <w:rFonts w:ascii="Arial" w:cs="Arial" w:eastAsia="Arial" w:hAnsi="Arial"/>
                <w:sz w:val="9"/>
                <w:szCs w:val="9"/>
                <w:b w:val="1"/>
                <w:bCs w:val="1"/>
                <w:color w:val="auto"/>
              </w:rPr>
              <w:t>Three Months Ended March 31, 2024</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ind w:left="600"/>
              <w:spacing w:after="0"/>
              <w:rPr>
                <w:sz w:val="20"/>
                <w:szCs w:val="20"/>
                <w:color w:val="auto"/>
              </w:rPr>
            </w:pPr>
            <w:r>
              <w:rPr>
                <w:rFonts w:ascii="Arial" w:cs="Arial" w:eastAsia="Arial" w:hAnsi="Arial"/>
                <w:sz w:val="9"/>
                <w:szCs w:val="9"/>
                <w:b w:val="1"/>
                <w:bCs w:val="1"/>
                <w:color w:val="auto"/>
              </w:rPr>
              <w:t>Common Stock</w:t>
            </w:r>
          </w:p>
        </w:tc>
        <w:tc>
          <w:tcPr>
            <w:tcW w:w="12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rPr>
              <w:t>Additional Paid-in</w:t>
            </w:r>
          </w:p>
        </w:tc>
        <w:tc>
          <w:tcPr>
            <w:tcW w:w="1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18"/>
                <w:szCs w:val="18"/>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Warrants</w:t>
            </w:r>
          </w:p>
        </w:tc>
        <w:tc>
          <w:tcPr>
            <w:tcW w:w="98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4"/>
                <w:szCs w:val="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2"/>
            <w:vMerge w:val="restart"/>
          </w:tcPr>
          <w:p>
            <w:pPr>
              <w:ind w:left="28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9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Comprehensive Loss</w:t>
            </w: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2023</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3,224,093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58,878,723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5,587,722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(94,341)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513,988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94,229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514,403</w:t>
            </w:r>
          </w:p>
        </w:tc>
        <w:tc>
          <w:tcPr>
            <w:tcW w:w="0" w:type="dxa"/>
            <w:vAlign w:val="bottom"/>
          </w:tcPr>
          <w:p>
            <w:pPr>
              <w:spacing w:after="0"/>
              <w:rPr>
                <w:sz w:val="1"/>
                <w:szCs w:val="1"/>
                <w:color w:val="auto"/>
              </w:rPr>
            </w:pPr>
          </w:p>
        </w:tc>
      </w:tr>
      <w:tr>
        <w:trPr>
          <w:trHeight w:val="133"/>
        </w:trPr>
        <w:tc>
          <w:tcPr>
            <w:tcW w:w="216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75,606</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110</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755,284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(11,596)</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35,313</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189,652</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1,400</w:t>
            </w:r>
          </w:p>
        </w:tc>
        <w:tc>
          <w:tcPr>
            <w:tcW w:w="0" w:type="dxa"/>
            <w:vAlign w:val="bottom"/>
          </w:tcPr>
          <w:p>
            <w:pPr>
              <w:spacing w:after="0"/>
              <w:rPr>
                <w:sz w:val="1"/>
                <w:szCs w:val="1"/>
                <w:color w:val="auto"/>
              </w:rPr>
            </w:pPr>
          </w:p>
        </w:tc>
      </w:tr>
      <w:tr>
        <w:trPr>
          <w:trHeight w:val="140"/>
        </w:trPr>
        <w:tc>
          <w:tcPr>
            <w:tcW w:w="21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1,514</w:t>
            </w: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March 31, 2024</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3,413,745</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58,954,329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590</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6,343,006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(105,937)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517,012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129,542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541,006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7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rPr>
              <w:t>2024</w:t>
            </w:r>
          </w:p>
        </w:tc>
      </w:tr>
      <w:tr>
        <w:trPr>
          <w:trHeight w:val="171"/>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35,313</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Provided by Operating Activities: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23,809</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8,542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8,974</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7"/>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(1,319)</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Lessor Maintenance Deposits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(2,713)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(4,276)</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2,730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2,455</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(46,428)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(38,058)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(455)</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(4,756)</w:t>
            </w:r>
          </w:p>
        </w:tc>
      </w:tr>
      <w:tr>
        <w:trPr>
          <w:trHeight w:val="165"/>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30,721</w:t>
            </w:r>
          </w:p>
        </w:tc>
      </w:tr>
      <w:tr>
        <w:trPr>
          <w:trHeight w:val="173"/>
        </w:trPr>
        <w:tc>
          <w:tcPr>
            <w:tcW w:w="72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Used in Investing Activities: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Purchases of Property &amp; Equipment</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(15,409)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(29,698)</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Investments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(31,200)</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Proceeds from the Maturities of Investments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17,925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39,500</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w:t>
            </w:r>
          </w:p>
        </w:tc>
      </w:tr>
      <w:tr>
        <w:trPr>
          <w:trHeight w:val="165"/>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(20,307)</w:t>
            </w:r>
          </w:p>
        </w:tc>
      </w:tr>
      <w:tr>
        <w:trPr>
          <w:trHeight w:val="173"/>
        </w:trPr>
        <w:tc>
          <w:tcPr>
            <w:tcW w:w="72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Used in Financing Activities: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Common Stock Repurchases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(11,493)</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(5,847)</w:t>
            </w:r>
          </w:p>
        </w:tc>
      </w:tr>
      <w:tr>
        <w:trPr>
          <w:trHeight w:val="171"/>
        </w:trPr>
        <w:tc>
          <w:tcPr>
            <w:tcW w:w="7220" w:type="dxa"/>
            <w:vAlign w:val="bottom"/>
          </w:tcPr>
          <w:p>
            <w:pPr>
              <w:ind w:left="240"/>
              <w:spacing w:after="0"/>
              <w:rPr>
                <w:sz w:val="20"/>
                <w:szCs w:val="20"/>
                <w:color w:val="auto"/>
              </w:rPr>
            </w:pPr>
            <w:r>
              <w:rPr>
                <w:rFonts w:ascii="Arial" w:cs="Arial" w:eastAsia="Arial" w:hAnsi="Arial"/>
                <w:sz w:val="13"/>
                <w:szCs w:val="13"/>
                <w:color w:val="auto"/>
              </w:rPr>
              <w:t>Repayment of Borrowings</w:t>
            </w:r>
          </w:p>
        </w:tc>
        <w:tc>
          <w:tcPr>
            <w:tcW w:w="3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(14,829)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(13,830)</w:t>
            </w:r>
          </w:p>
        </w:tc>
      </w:tr>
      <w:tr>
        <w:trPr>
          <w:trHeight w:val="180"/>
        </w:trPr>
        <w:tc>
          <w:tcPr>
            <w:tcW w:w="72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 Receivable Agreement Payment</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r>
      <w:tr>
        <w:trPr>
          <w:trHeight w:val="171"/>
        </w:trPr>
        <w:tc>
          <w:tcPr>
            <w:tcW w:w="72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net</w:t>
            </w: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74"/>
        </w:trPr>
        <w:tc>
          <w:tcPr>
            <w:tcW w:w="722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(39,202)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(34,494)</w:t>
            </w:r>
          </w:p>
        </w:tc>
      </w:tr>
      <w:tr>
        <w:trPr>
          <w:trHeight w:val="34"/>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75"/>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(24,080)</w:t>
            </w:r>
          </w:p>
        </w:tc>
      </w:tr>
      <w:tr>
        <w:trPr>
          <w:trHeight w:val="54"/>
        </w:trPr>
        <w:tc>
          <w:tcPr>
            <w:tcW w:w="7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176"/>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63,680</w:t>
            </w:r>
          </w:p>
        </w:tc>
      </w:tr>
      <w:tr>
        <w:trPr>
          <w:trHeight w:val="54"/>
        </w:trPr>
        <w:tc>
          <w:tcPr>
            <w:tcW w:w="7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19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39,600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75"/>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71"/>
        </w:trPr>
        <w:tc>
          <w:tcPr>
            <w:tcW w:w="7220" w:type="dxa"/>
            <w:vAlign w:val="bottom"/>
          </w:tcPr>
          <w:p>
            <w:pPr>
              <w:ind w:left="100"/>
              <w:spacing w:after="0"/>
              <w:rPr>
                <w:sz w:val="20"/>
                <w:szCs w:val="20"/>
                <w:color w:val="auto"/>
              </w:rPr>
            </w:pPr>
            <w:r>
              <w:rPr>
                <w:rFonts w:ascii="Arial" w:cs="Arial" w:eastAsia="Arial" w:hAnsi="Arial"/>
                <w:sz w:val="13"/>
                <w:szCs w:val="13"/>
                <w:color w:val="auto"/>
              </w:rPr>
              <w:t>Aircraft Acquired under Finance Lease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40,116</w:t>
            </w:r>
          </w:p>
        </w:tc>
      </w:tr>
      <w:tr>
        <w:trPr>
          <w:trHeight w:val="207"/>
        </w:trPr>
        <w:tc>
          <w:tcPr>
            <w:tcW w:w="91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71"/>
        </w:trPr>
        <w:tc>
          <w:tcPr>
            <w:tcW w:w="9280" w:type="dxa"/>
            <w:vAlign w:val="bottom"/>
            <w:gridSpan w:val="4"/>
          </w:tcPr>
          <w:p>
            <w:pPr>
              <w:ind w:left="20"/>
              <w:spacing w:after="0"/>
              <w:rPr>
                <w:sz w:val="20"/>
                <w:szCs w:val="20"/>
                <w:color w:val="auto"/>
              </w:rPr>
            </w:pPr>
            <w:r>
              <w:rPr>
                <w:rFonts w:ascii="Arial" w:cs="Arial" w:eastAsia="Arial" w:hAnsi="Arial"/>
                <w:sz w:val="13"/>
                <w:szCs w:val="13"/>
                <w:color w:val="auto"/>
                <w:w w:val="99"/>
              </w:rPr>
              <w:t>The following provides a reconciliation of Cash, Cash Equivalents and Restricted Cash to the amounts reported on the Condensed Consolidated Balance Sheets:</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0"/>
        </w:trPr>
        <w:tc>
          <w:tcPr>
            <w:tcW w:w="7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March 31, 2025</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77"/>
              <w:spacing w:after="0"/>
              <w:rPr>
                <w:sz w:val="20"/>
                <w:szCs w:val="20"/>
                <w:color w:val="auto"/>
              </w:rPr>
            </w:pPr>
            <w:r>
              <w:rPr>
                <w:rFonts w:ascii="Arial" w:cs="Arial" w:eastAsia="Arial" w:hAnsi="Arial"/>
                <w:sz w:val="13"/>
                <w:szCs w:val="13"/>
                <w:b w:val="1"/>
                <w:bCs w:val="1"/>
                <w:color w:val="auto"/>
              </w:rPr>
              <w:t>March 31, 2024</w:t>
            </w:r>
          </w:p>
        </w:tc>
      </w:tr>
      <w:tr>
        <w:trPr>
          <w:trHeight w:val="164"/>
        </w:trPr>
        <w:tc>
          <w:tcPr>
            <w:tcW w:w="72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30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53,391</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28,427</w:t>
            </w:r>
          </w:p>
        </w:tc>
      </w:tr>
      <w:tr>
        <w:trPr>
          <w:trHeight w:val="176"/>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3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11,173</w:t>
            </w:r>
          </w:p>
        </w:tc>
      </w:tr>
      <w:tr>
        <w:trPr>
          <w:trHeight w:val="174"/>
        </w:trPr>
        <w:tc>
          <w:tcPr>
            <w:tcW w:w="7220" w:type="dxa"/>
            <w:vAlign w:val="bottom"/>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67,128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39,600</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unaudited Condensed Consolidated Financial Statements of Sun Country Airlines Holdings, Inc. should be read in conjunction with the Consolidated Financial Statements contained in the Company's Annual Report on Form 10-K for the year ended December 31, 2024 as filed with the SEC ("2024 10-K"). These unaudited Condensed Consolidated Financial Statements reflect all normal recurring adjustments that are necessary for the fair presentation of the Company’s financial position, results of operations, and cash flows for the respective periods presented. All material intercompany balances and transactions have been eliminated in consolidation.</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Due to impacts from seasonal variations in the demand for air travel, the volatility of aircraft fuel prices, the impact of macroeconomic conditions, and other factors, operating results for the three months ended March 31, 2025 are not necessarily indicative of operating results for other interim periods or for the full year ending December 31, 2025.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among other disclosures, greater disaggregation of information, the use of certain categories in the rate reconciliation, and the disaggregation of income taxes paid by jurisdiction. The ASU is effective for public business entities for fiscal years beginning after December 15, 2024, with early adoption permitted. The Company continues to assess the impact of this ASU on its Consolidated Financial Statements.</w:t>
      </w:r>
    </w:p>
    <w:p>
      <w:pPr>
        <w:spacing w:after="0" w:line="17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U.S. Department of Defense ("DoD"), collegiate and professional sports teams, and casinos. Ancillary revenues consist of revenue earned from air travel-related services, such as: baggage fees, seat selection fees, other fees and on-board sales. Cargo consists of revenue earned from flying cargo aircraft for Amazon.com Services, Inc. (together with its affiliates, “Amazon”) under the Amended and Restated Air Transportation Services Agreement (the “A&amp;R ATSA”). Other revenue consists primarily of revenue from services in connection with Sun Country Vacations products and rental revenue related to certain transactions where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serves as a lessor. The Company recognized rental revenue of $8,636 and $9,275, during the three months ended March 31, 2025 and 2024, respectively.</w:t>
      </w:r>
    </w:p>
    <w:p>
      <w:pPr>
        <w:spacing w:after="0" w:line="153" w:lineRule="exact"/>
        <w:rPr>
          <w:sz w:val="20"/>
          <w:szCs w:val="20"/>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June 2024, the Company entered into the A&amp;R ATSA with Amazon that will increase the number of Boeing 737-800 cargo aircraft that Sun Country operates on behalf of Amazon from 12 to 20 in 2025. For more information on the A&amp;R ATSA, see Note 2, "Basis of Presentation and Summary of Significant Accounting Policies" included within Part II, </w:t>
      </w:r>
      <w:hyperlink r:id="rId31">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 During the three months ended March 31, 2025, the Company received three additional cargo aircraft under the A&amp;R ATSA, of which one aircraft was in-service. All eight additional aircraft are expected to be in-service by the end of the third quarter of 2025.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r>
      <w:tr>
        <w:trPr>
          <w:trHeight w:val="224"/>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141,194</w:t>
            </w: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Charter</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54,692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47,312</w:t>
            </w:r>
          </w:p>
        </w:tc>
      </w:tr>
      <w:tr>
        <w:trPr>
          <w:trHeight w:val="229"/>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86,158</w:t>
            </w: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285,888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274,664</w:t>
            </w:r>
          </w:p>
        </w:tc>
      </w:tr>
      <w:tr>
        <w:trPr>
          <w:trHeight w:val="229"/>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r>
      <w:tr>
        <w:trPr>
          <w:trHeight w:val="230"/>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w:t>
            </w: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311,483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attributes and measures its Operating Revenues by geographic region as defined by the United States Department of Transportation ("DOT") for airline reporting based upon the origin of each passenger and cargo flight segment.</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consisting of scheduled service to Latin America and military charter service to various international destinations.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25,176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21,269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color w:val="auto"/>
              </w:rPr>
              <w:t>Total Operating Revenues</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311,483</w:t>
            </w: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Company’s contract assets primarily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Company’s contract liabilities are primarily comprised of: 1) ticket sales for transportation that have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under the original ATSA (reported within Other Current Liabilities and Other Long-term Liabilities on the Condensed Consolidated Balance Sheets).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114,257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160,686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48"/>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three months ended March 31, 2025, $133,807 of revenue was recognized in Passenger revenue that was included in the Air Traffic Liabilities as of December 31, 2024.</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714"/>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29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2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29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Balance – March 31</w:t>
            </w:r>
          </w:p>
        </w:tc>
        <w:tc>
          <w:tcPr>
            <w:tcW w:w="290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00" w:type="dxa"/>
            <w:vAlign w:val="bottom"/>
            <w:vMerge w:val="restart"/>
          </w:tcPr>
          <w:p>
            <w:pPr>
              <w:jc w:val="right"/>
              <w:ind w:right="1079"/>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61" w:lineRule="exact"/>
        <w:rPr>
          <w:sz w:val="20"/>
          <w:szCs w:val="20"/>
          <w:color w:val="auto"/>
        </w:rPr>
      </w:pPr>
    </w:p>
    <w:p>
      <w:pPr>
        <w:jc w:val="both"/>
        <w:ind w:left="900" w:right="500" w:hanging="550"/>
        <w:spacing w:after="0" w:line="27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which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6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March 2025, the Company entered into a Credit Card Program Agreement for a new co-branded credit card program. The new co-branded credit card program is expected to launch in the second half of 2025. Subject to certain exceptions, the Credit Card Program Agreement has a term of seven years following its launch, with automatic successive one-year renewal terms.</w:t>
      </w:r>
    </w:p>
    <w:p>
      <w:pPr>
        <w:spacing w:after="0" w:line="17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6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r>
      <w:tr>
        <w:trPr>
          <w:trHeight w:val="21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35,313</w:t>
            </w:r>
          </w:p>
        </w:tc>
      </w:tr>
      <w:tr>
        <w:trPr>
          <w:trHeight w:val="257"/>
        </w:trPr>
        <w:tc>
          <w:tcPr>
            <w:tcW w:w="66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53,342,226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53,034,538</w:t>
            </w:r>
          </w:p>
        </w:tc>
      </w:tr>
      <w:tr>
        <w:trPr>
          <w:trHeight w:val="230"/>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effect of Stock Options, RSUs and Warrants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2,166,133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2,363,147</w:t>
            </w:r>
          </w:p>
        </w:tc>
      </w:tr>
      <w:tr>
        <w:trPr>
          <w:trHeight w:val="248"/>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55,508,359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55,397,685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0.64</w:t>
            </w: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anti-dilutive shares for the three months ended March 31, 2025 were not material to the Condensed Consolidated</w:t>
      </w:r>
    </w:p>
    <w:p>
      <w:pPr>
        <w:spacing w:after="0" w:line="50"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Financial Statements. The Company excluded 4,230,975 of stock options, RSUs and warrants that would have had an anti-dilutive effect on its diluted earnings per share calculation for the three months ended March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AIRCRAFT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As of March 31, 2025, Sun Country's fleet consisted of 66 Boeing 737-NG aircraft, comprised of 61 Boeing 737-800s and five Boeing 737-900ERs.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three months ended March 31, 2025 and 2024, respectively:</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2024</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38"/>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4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80"/>
              <w:spacing w:after="0"/>
              <w:rPr>
                <w:sz w:val="20"/>
                <w:szCs w:val="20"/>
                <w:color w:val="auto"/>
              </w:rPr>
            </w:pPr>
            <w:r>
              <w:rPr>
                <w:rFonts w:ascii="Arial" w:cs="Arial" w:eastAsia="Arial" w:hAnsi="Arial"/>
                <w:sz w:val="18"/>
                <w:szCs w:val="18"/>
                <w:color w:val="auto"/>
              </w:rPr>
              <w:t>Aircraft Operated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80"/>
              <w:spacing w:after="0" w:line="248" w:lineRule="exact"/>
              <w:rPr>
                <w:sz w:val="20"/>
                <w:szCs w:val="20"/>
                <w:color w:val="auto"/>
              </w:rPr>
            </w:pPr>
            <w:r>
              <w:rPr>
                <w:rFonts w:ascii="Arial" w:cs="Arial" w:eastAsia="Arial" w:hAnsi="Arial"/>
                <w:sz w:val="18"/>
                <w:szCs w:val="18"/>
                <w:color w:val="auto"/>
              </w:rPr>
              <w:t xml:space="preserve">Amazon </w:t>
            </w:r>
            <w:r>
              <w:rPr>
                <w:rFonts w:ascii="Arial" w:cs="Arial" w:eastAsia="Arial" w:hAnsi="Arial"/>
                <w:sz w:val="23"/>
                <w:szCs w:val="23"/>
                <w:color w:val="auto"/>
                <w:vertAlign w:val="superscript"/>
              </w:rPr>
              <w:t>(1)</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420" w:type="dxa"/>
            <w:vAlign w:val="bottom"/>
          </w:tcPr>
          <w:p>
            <w:pPr>
              <w:ind w:left="180"/>
              <w:spacing w:after="0"/>
              <w:rPr>
                <w:sz w:val="20"/>
                <w:szCs w:val="20"/>
                <w:color w:val="auto"/>
              </w:rPr>
            </w:pPr>
            <w:r>
              <w:rPr>
                <w:rFonts w:ascii="Arial" w:cs="Arial" w:eastAsia="Arial" w:hAnsi="Arial"/>
                <w:sz w:val="18"/>
                <w:szCs w:val="18"/>
                <w:color w:val="auto"/>
              </w:rPr>
              <w:t>Total Aircraft</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Additions</w:t>
            </w: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100"/>
              <w:spacing w:after="0" w:line="176" w:lineRule="exact"/>
              <w:rPr>
                <w:sz w:val="20"/>
                <w:szCs w:val="20"/>
                <w:color w:val="auto"/>
              </w:rPr>
            </w:pPr>
            <w:r>
              <w:rPr>
                <w:rFonts w:ascii="Arial" w:cs="Arial" w:eastAsia="Arial" w:hAnsi="Arial"/>
                <w:sz w:val="18"/>
                <w:szCs w:val="18"/>
                <w:color w:val="auto"/>
              </w:rPr>
              <w:t>Aircraft Operated for</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Amazon</w:t>
            </w:r>
          </w:p>
        </w:tc>
        <w:tc>
          <w:tcPr>
            <w:tcW w:w="1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100"/>
              <w:spacing w:after="0"/>
              <w:rPr>
                <w:sz w:val="20"/>
                <w:szCs w:val="20"/>
                <w:color w:val="auto"/>
              </w:rPr>
            </w:pPr>
            <w:r>
              <w:rPr>
                <w:rFonts w:ascii="Arial" w:cs="Arial" w:eastAsia="Arial" w:hAnsi="Arial"/>
                <w:sz w:val="18"/>
                <w:szCs w:val="18"/>
                <w:color w:val="auto"/>
              </w:rPr>
              <w:t>Owned Aircraft Held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Arial" w:cs="Arial" w:eastAsia="Arial" w:hAnsi="Arial"/>
                <w:sz w:val="18"/>
                <w:szCs w:val="18"/>
                <w:color w:val="auto"/>
              </w:rPr>
              <w:t>Total Aircraft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amount includes both aircraft in-service and aircraft received, but not in-service as of March 31, 2025.</w:t>
      </w:r>
    </w:p>
    <w:p>
      <w:pPr>
        <w:spacing w:after="0" w:line="68" w:lineRule="exact"/>
        <w:rPr>
          <w:rFonts w:ascii="Arial" w:cs="Arial" w:eastAsia="Arial" w:hAnsi="Arial"/>
          <w:sz w:val="14"/>
          <w:szCs w:val="14"/>
          <w:color w:val="auto"/>
        </w:rPr>
      </w:pPr>
    </w:p>
    <w:p>
      <w:pPr>
        <w:ind w:left="900" w:hanging="550"/>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16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During the three months ended March 31, 2025, the Company received three additional cargo aircraft under the A&amp;R ATSA, of which one aircraft was in-service. During the three months ended March 31, 2025, amendments were executed to extend the lease expiry terms for three of the four remaining Owned Aircraft Held for Operating Lease, which now expire over various dates through the fourth quarter of 2026. Of the 38 Owned aircraft and Owned Aircraft Held for Operating Lease as of March 31, 2025, 31 aircraft were financed, five aircraft have been pledged to support the ability to efficiently utilize the Company's new four-year $75,000 revolving credit facility (“Revolving Credit Facility”) entered into during March 2025, and two aircraft were unencumbered.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more information on the Company's Revolving Credit Facility.</w:t>
      </w:r>
    </w:p>
    <w:p>
      <w:pPr>
        <w:spacing w:after="0" w:line="12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the three months ended March 31, 2024, the Company acquired one incremental aircraft and took control of two aircraft through finance lease arrangements, one of which was subsequently subleased to 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unaffiliated airline. Upon expiry of the sublease, the aircraft will be redelivered to the Company and is expected to be inducted into the Company's passenger fleet.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Aircraft Status</w:t>
            </w:r>
          </w:p>
        </w:tc>
        <w:tc>
          <w:tcPr>
            <w:tcW w:w="1360" w:type="dxa"/>
            <w:vAlign w:val="bottom"/>
          </w:tcPr>
          <w:p>
            <w:pPr>
              <w:spacing w:after="0"/>
              <w:rPr>
                <w:sz w:val="17"/>
                <w:szCs w:val="17"/>
                <w:color w:val="auto"/>
              </w:rPr>
            </w:pPr>
          </w:p>
        </w:tc>
        <w:tc>
          <w:tcPr>
            <w:tcW w:w="3500" w:type="dxa"/>
            <w:vAlign w:val="bottom"/>
            <w:gridSpan w:val="3"/>
          </w:tcPr>
          <w:p>
            <w:pPr>
              <w:jc w:val="right"/>
              <w:ind w:right="2130"/>
              <w:spacing w:after="0"/>
              <w:rPr>
                <w:sz w:val="20"/>
                <w:szCs w:val="20"/>
                <w:color w:val="auto"/>
              </w:rPr>
            </w:pPr>
            <w:r>
              <w:rPr>
                <w:rFonts w:ascii="Arial" w:cs="Arial" w:eastAsia="Arial" w:hAnsi="Arial"/>
                <w:sz w:val="14"/>
                <w:szCs w:val="14"/>
                <w:b w:val="1"/>
                <w:bCs w:val="1"/>
                <w:color w:val="auto"/>
              </w:rPr>
              <w:t>Expense Type</w:t>
            </w:r>
          </w:p>
        </w:tc>
        <w:tc>
          <w:tcPr>
            <w:tcW w:w="1440" w:type="dxa"/>
            <w:vAlign w:val="bottom"/>
          </w:tcPr>
          <w:p>
            <w:pPr>
              <w:jc w:val="right"/>
              <w:ind w:right="6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735"/>
              <w:spacing w:after="0"/>
              <w:rPr>
                <w:sz w:val="20"/>
                <w:szCs w:val="20"/>
                <w:color w:val="auto"/>
              </w:rPr>
            </w:pPr>
            <w:r>
              <w:rPr>
                <w:rFonts w:ascii="Arial" w:cs="Arial" w:eastAsia="Arial" w:hAnsi="Arial"/>
                <w:sz w:val="14"/>
                <w:szCs w:val="14"/>
                <w:b w:val="1"/>
                <w:bCs w:val="1"/>
                <w:color w:val="auto"/>
              </w:rPr>
              <w:t>2024</w:t>
            </w:r>
          </w:p>
        </w:tc>
      </w:tr>
      <w:tr>
        <w:trPr>
          <w:trHeight w:val="224"/>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w:t>
            </w:r>
          </w:p>
        </w:tc>
      </w:tr>
      <w:tr>
        <w:trPr>
          <w:trHeight w:val="230"/>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Leased</w:t>
            </w:r>
          </w:p>
        </w:tc>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w:t>
            </w:r>
          </w:p>
        </w:tc>
      </w:tr>
      <w:tr>
        <w:trPr>
          <w:trHeight w:val="248"/>
        </w:trPr>
        <w:tc>
          <w:tcPr>
            <w:tcW w:w="2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Credit Facilities</w:t>
      </w:r>
    </w:p>
    <w:p>
      <w:pPr>
        <w:spacing w:after="0" w:line="171" w:lineRule="exact"/>
        <w:rPr>
          <w:sz w:val="20"/>
          <w:szCs w:val="20"/>
          <w:color w:val="auto"/>
        </w:rPr>
      </w:pPr>
    </w:p>
    <w:p>
      <w:pPr>
        <w:jc w:val="both"/>
        <w:ind w:left="260"/>
        <w:spacing w:after="0" w:line="253" w:lineRule="auto"/>
        <w:rPr>
          <w:sz w:val="20"/>
          <w:szCs w:val="20"/>
          <w:color w:val="auto"/>
        </w:rPr>
      </w:pPr>
      <w:r>
        <w:rPr>
          <w:rFonts w:ascii="Arial" w:cs="Arial" w:eastAsia="Arial" w:hAnsi="Arial"/>
          <w:sz w:val="18"/>
          <w:szCs w:val="18"/>
          <w:color w:val="auto"/>
        </w:rPr>
        <w:t>In March 2025, the Company executed a new $75,000 Revolving Credit Facility with a group of lenders. The new Revolving Credit Facility replaces the Company's previous $25,000 Revolving Credit Facility. The interest rate on borrowings is determined using a base rate plus an applicable margin of 2.5%. In addition, there is a commitment fee on the unused Revolving Credit Facility of 0.6%. The Revolving Credit Facility is guaranteed by the Company and secured by a pool of collateral. Accordingly, the Company pledged certain assets as collateral, including certain previously unencumbered aircraft, to support the ability to efficiently utilize the Revolving Credit Facility. Available funds from the Revolving Credit Facility can be used for general corporate purposes. The Revolving Credit Facility includes financial covenants that require the Company to maintain: 1) minimum liquidity, as defined within the agreement, of not less than $55,000,</w:t>
      </w:r>
    </w:p>
    <w:p>
      <w:pPr>
        <w:spacing w:after="0" w:line="3" w:lineRule="exact"/>
        <w:rPr>
          <w:sz w:val="20"/>
          <w:szCs w:val="20"/>
          <w:color w:val="auto"/>
        </w:rPr>
      </w:pPr>
    </w:p>
    <w:p>
      <w:pPr>
        <w:jc w:val="both"/>
        <w:ind w:left="260" w:hanging="9"/>
        <w:spacing w:after="0" w:line="255" w:lineRule="auto"/>
        <w:tabs>
          <w:tab w:leader="none" w:pos="4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adjusted EBITDAR of $110,000 for any four consecutive fiscal quarters and 3) a minimum ratio of the borrowing base of the collateral to outstanding obligations under the Revolving Credit Facility of not less than 1.0 to 1.0. The Company was in compliance with these financial covenants as of March 31, 2025. As of March 31, 2025, the Company had $75,000 of financing available through the Revolving Credit Facility.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Long-term Debt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During the three months ended March 31, 2023, the Company executed a term loan credit facility with a face amount of $119,200 ("Term Loan Credit Facility") for the purpose of financing the five Owned Aircraft Held for Operating Lease. The loan is repaid monthly through March 2030. During the lease term, payments collected from the lessee are applied directly to the repayment of principal and interest on the Term Loan Credit Facility. The Owned Aircraft Held for Operating Lease, as well as the related lease payments received from the lessee, are pledged as collateral. In December 2024, the Company made a partial repayment of $60,000 on the Term Loan Credit Facility using proceeds from the reissued Class C trust certificates Series 2019-1.</w:t>
      </w:r>
    </w:p>
    <w:p>
      <w:pPr>
        <w:spacing w:after="0" w:line="182" w:lineRule="exact"/>
        <w:rPr>
          <w:sz w:val="20"/>
          <w:szCs w:val="20"/>
          <w:color w:val="auto"/>
        </w:rPr>
      </w:pPr>
    </w:p>
    <w:p>
      <w:pPr>
        <w:jc w:val="both"/>
        <w:ind w:left="2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interest rate on the Term Loan Credit Facility is determined using a base rate, which resets monthly, plus an applicable margin, and a fixed credit spread adjustment of 0.1%. The applicable margin during the lease term is fixed at 3.75%, and is subsequently reduced to 3.25% once the aircraft have been redelivered to the Company and a Loan-to-Value ("LTV") ratio calculation is completed. To the extent that the LTV ratio exceeds 75% at the end of the lease term, a principal prepayment will be required in order to reduce the ratio to 75%. For more information on the LTV and the Company's related accounting policies, see Note 7, "Debt" included within Part II, </w:t>
      </w:r>
      <w:hyperlink r:id="rId41">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the fourth quarter of 2024, the lease term expired for one Owned Aircraft Held for Operating Lease. As of the lease term date, the LTV level was not in excess of the 75% LTV ratio. Therefore, a principal prepayment was not required. The interest rate in effect as of March 31, 2025, for the redelivered aircraft was 7.7%. The interest rate in effect for the four remaining Owned Aircraft Held for Operating Lease as of March 31, 2025 was 8.2%.</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During March 2022, the Company arranged for the issuance of Class A and Class B certificates Series 2022-1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March 31, 2025.</w:t>
      </w:r>
    </w:p>
    <w:p>
      <w:pPr>
        <w:spacing w:after="0" w:line="176"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 EETC”), in an aggregate face amount of $248,587 for the purpose of financing or refinancing 13 aircraft, which was completed in 2020. The Company is required to make bi-annual principal and interest payments each June and December, through December 2027. These notes bear interest at an annual rate between 4.13% and 7.10%. The weighted average interest rate was 5.35% as of March 31, 2025.</w:t>
      </w:r>
    </w:p>
    <w:p>
      <w:pPr>
        <w:spacing w:after="0" w:line="17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 repay a portion of the Term Loan Credit Facility. The reissued Class C trust certificates had no impact on the bi-annual payment schedule or the term of the 2019-1 EETC.</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2019-1 EETC (see terms and conditions above)</w:t>
            </w:r>
          </w:p>
        </w:tc>
        <w:tc>
          <w:tcPr>
            <w:tcW w:w="17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2022-1 EETC (see terms and conditions above)</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138,532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Term Loan Credit Facility (see terms and conditions above)</w:t>
            </w:r>
          </w:p>
        </w:tc>
        <w:tc>
          <w:tcPr>
            <w:tcW w:w="1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330,122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 of Long-term Debt, net</w:t>
            </w:r>
          </w:p>
        </w:tc>
        <w:tc>
          <w:tcPr>
            <w:tcW w:w="1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 net</w:t>
            </w:r>
          </w:p>
        </w:tc>
        <w:tc>
          <w:tcPr>
            <w:tcW w:w="1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6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Debt Principal</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 of Debt</w:t>
            </w:r>
          </w:p>
        </w:tc>
        <w:tc>
          <w:tcPr>
            <w:tcW w:w="340" w:type="dxa"/>
            <w:vAlign w:val="bottom"/>
          </w:tcPr>
          <w:p>
            <w:pPr>
              <w:spacing w:after="0"/>
              <w:rPr>
                <w:sz w:val="14"/>
                <w:szCs w:val="14"/>
                <w:color w:val="auto"/>
              </w:rPr>
            </w:pPr>
          </w:p>
        </w:tc>
        <w:tc>
          <w:tcPr>
            <w:tcW w:w="14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 Costs</w:t>
            </w:r>
          </w:p>
        </w:tc>
        <w:tc>
          <w:tcPr>
            <w:tcW w:w="3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76,082</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62,682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March 31,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312,596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color w:val="auto"/>
        </w:rPr>
        <w:t>The fair value of Debt was $301,310 as of March 31, 2025 and $311,103 as of December 31, 2024.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54,381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54,385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44,298</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2"/>
                <w:szCs w:val="12"/>
                <w:color w:val="auto"/>
              </w:rPr>
            </w:pPr>
          </w:p>
        </w:tc>
        <w:tc>
          <w:tcPr>
            <w:tcW w:w="13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760" w:right="200" w:hanging="410"/>
        <w:spacing w:after="0" w:line="285" w:lineRule="auto"/>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$6,693 and $6,417 as of March 31, 2025 and December 31, 2024, respectively.</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2025, the unrealized losses were the result of changes in market interest rates and were not the result of a deterioration</w:t>
      </w:r>
    </w:p>
    <w:p>
      <w:pPr>
        <w:spacing w:after="0" w:line="14" w:lineRule="exact"/>
        <w:rPr>
          <w:sz w:val="20"/>
          <w:szCs w:val="20"/>
          <w:color w:val="auto"/>
        </w:rPr>
      </w:pPr>
    </w:p>
    <w:p>
      <w:pPr>
        <w:ind w:left="260" w:right="20"/>
        <w:spacing w:after="0" w:line="237" w:lineRule="auto"/>
        <w:rPr>
          <w:sz w:val="20"/>
          <w:szCs w:val="20"/>
          <w:color w:val="auto"/>
        </w:rPr>
      </w:pPr>
      <w:r>
        <w:rPr>
          <w:rFonts w:ascii="Arial" w:cs="Arial" w:eastAsia="Arial" w:hAnsi="Arial"/>
          <w:sz w:val="18"/>
          <w:szCs w:val="18"/>
          <w:color w:val="auto"/>
        </w:rPr>
        <w:t>in the credit quality of the securities. As of March 31, 2025, the Company expects that any unrealized losses are recoverable prior to the investment's conversion to cash.</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 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53,391</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44,298</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98,683</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156"/>
        </w:trPr>
        <w:tc>
          <w:tcPr>
            <w:tcW w:w="404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60,084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98,683</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158,767</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4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187,272</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Recurring Basis</w:t>
            </w: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Company's effective tax rate for the three months ended March 31, 2025 and 2024, was 24.1% and 24.2%, respectively. The effective tax rate represents a blend of federal and state taxes and includes the impact of certain nondeductible or nontaxable items. The effective tax rate in both periods was impacted by permanent stock compensation items.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total Tax Receivable Agreement ("TRA") balance as of March 31, 2025 and December 31, 2024 was $87,169 and $97,694, of which $14,793 and $10,325 was current, respectively. The TRA liability is an estimate and actual amounts payable under the TRA could differ from this estimate. During the three months ended March 31, 2025 and 2024, the Company made payments of $10,525 and $3,350, respectively, to the pre-IPO stockholders (the “TRA holders”), which includes certain members of the Company's management and certain members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25" w:lineRule="exact"/>
        <w:rPr>
          <w:sz w:val="20"/>
          <w:szCs w:val="20"/>
          <w:color w:val="auto"/>
        </w:rPr>
      </w:pPr>
    </w:p>
    <w:p>
      <w:pPr>
        <w:ind w:left="340" w:right="340"/>
        <w:spacing w:after="0" w:line="287"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5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March 2025, the Company's flight attendants, represented by the International Brotherhood of Teamsters, ratified a new five-year collective bargaining agreement. Upon ratification of the new agreement, eligible flight attendants became entitled to a one-time ratification bonus. Eligibility requirements stipulate that flight attendants must be on the seniority list as of the ratification date, have completed probation, and hold an active status in order to receive the bonus payment. Certain portions of the ratification bonus will be paid in future periods as flight attendants on the seniority list as of the ratification date complete their probationary period or change their status from inactive to active. Ratification bonuses were paid to all eligible flight attendants during March 2025, per the collective bargaining agreement. The ratification bonus of $1,799, including $138 of payroll related tax expense, was included within Special Items, net on the Company's Condensed Consolidated Statements of Operations.</w:t>
      </w:r>
    </w:p>
    <w:p>
      <w:pPr>
        <w:spacing w:after="0" w:line="185" w:lineRule="exact"/>
        <w:rPr>
          <w:sz w:val="20"/>
          <w:szCs w:val="20"/>
          <w:color w:val="auto"/>
        </w:rPr>
      </w:pPr>
    </w:p>
    <w:p>
      <w:pPr>
        <w:ind w:left="340" w:right="8520" w:hanging="332"/>
        <w:spacing w:after="0" w:line="523" w:lineRule="auto"/>
        <w:tabs>
          <w:tab w:leader="none" w:pos="46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Equity Transactions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The Company may purchase shares of its Common Stock on a discretionary basis from time-to-time through open market repurchases, privately negotiated transactions, accelerated share repurchase, or other means, including through Rule 10b5-1 trading plans.</w:t>
      </w:r>
    </w:p>
    <w:p>
      <w:pPr>
        <w:spacing w:after="0" w:line="15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During the three months ended March 31, 2025, the Company announced the commencement of a secondary public offering of 6,346,105 shares of its Common Stock by the SCA Horus Stockholder. Upon completion of the secondary public offering, the SCA Horus Stockholder did not own any shares of the Company’s Common Stock. The Company did not receive any of the proceeds from the offering. The Company received authorization from its Board of Directors to repurchase up to $ 10,000 of its Common Stock in 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 The Company incurred offering expenses of $481 in conjunction with the secondary public offering.</w:t>
      </w:r>
    </w:p>
    <w:p>
      <w:pPr>
        <w:spacing w:after="0" w:line="17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As of March 31, 2025, the Company did not have any remaining amount of Board authorization to repurchase shares of its Common Stock. Subsequent to March 31, 2025, the Company's Board of Directors authorized $25,000 to be used to repurchase shares of the Company's Common Stock.</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During the three months ended March 31, 2024, the Company repurchased 755,284 shares of its Common Stock at a total cost of $11,493, or an average price of $15.22 per share. The repurchases were part of open market purchases.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On December 13, 2019, the Company signed a six-year contract with Amazon to provide cargo services under the ATSA. In connection with the ATSA, the Company issued warrants to Amazon to purchase an aggregate of up to 9,482,606 shares of common stock at an exercise price of approximately $15.17 per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share. During the three months ended March 31, 2025 and 2024, 252,869 and 189,652 warrants vested in each period. As of March 31, 2025 and 2024, the cumulative vested warrants held by Amazon were 4,362,004 and 3,413,745, respectively. The exercise period of these warrants is through the eighth anniversary of the issue date. No incremental warrants were issued, nor was the original warrant agreement modified, upon the signing of the A&amp;R ATSA.</w:t>
      </w:r>
    </w:p>
    <w:p>
      <w:pPr>
        <w:spacing w:after="0" w:line="176"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8</w:t>
      </w:r>
      <w:r>
        <w:rPr>
          <w:rFonts w:ascii="Arial" w:cs="Arial" w:eastAsia="Arial" w:hAnsi="Arial"/>
          <w:sz w:val="18"/>
          <w:szCs w:val="18"/>
          <w:color w:val="000000"/>
        </w:rPr>
        <w:t>), and probable future purchases of aircraft.</w:t>
      </w:r>
    </w:p>
    <w:p>
      <w:pPr>
        <w:spacing w:after="0" w:line="15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is subject to an audit by the Internal Revenue Service (“IRS”) related to the collection of federal excise taxes on optional passenger seat selection charges covering the period of October 1, 2021 through June 30, 2023. During 2024, the Company received an assessment of approximately $ 2,700 from the IRS related to the results of the audit. As of March 31, 2025, the Company has appealed the results of the audit through a formal protest with the IRS and there has been no further communication on this matter. The Company believes a loss in this matter is not probable and has not recognized a loss contingency as of March 31, 2025.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5" w:lineRule="exact"/>
        <w:rPr>
          <w:sz w:val="20"/>
          <w:szCs w:val="20"/>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Company has two operating and reportable segments: Passenger and Cargo, which are determined by the services provided and fleet utilized. The Chief Operating Decision Maker ("CODM") makes resource allocation decisions with the objective of generating high returns and margins and mitigating the seasonality of the Company’s route network. The CODM assesses performance using multiple measures. Operating Income (Loss) is the measure of segment profit that is the most consistent with the amounts presented in the Company’s Condensed Consolidated Financial Statements, as well as the measures the CODM uses to assess segment performance. The accounting policies for the Company’s reportable segments are consistent with those described in Note 2, "Basis of Presentation and Summary of Significant Accounting Policies" included within Part II, </w:t>
      </w:r>
      <w:hyperlink r:id="rId53">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2024 10-K. There are no intercompany transactions between the Company’s reportable segments.</w:t>
      </w:r>
    </w:p>
    <w:p>
      <w:pPr>
        <w:spacing w:after="0" w:line="18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tables present financial information for the Company’s two operating segments: Passenger and Cargo. Certain operating expenses are allocated between the Passenger and Cargo segments. Certain non-fuel operating expenses are allocated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its operating segments. Collectively, these items are included in reconciliations of reporting segment financial amounts to consolidated financial amounts.</w:t>
      </w:r>
    </w:p>
    <w:p>
      <w:pPr>
        <w:spacing w:after="0" w:line="18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Nearly all of the Company’s long-lived assets are associated with the Passenger operating segment. Therefore, predominately all depreciation and amortization expense is associated with the Passenger operating segment. Substantially all the Company’s tangible assets are located in the U.S. The Company's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7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and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Aircraft and Flight equipment are mobile across geographic markets. As a result, assets by segment are not reviewed by the CODM and have not been presented herein.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financial information for the Company’s two segments.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right"/>
              <w:ind w:right="651"/>
              <w:spacing w:after="0"/>
              <w:rPr>
                <w:sz w:val="20"/>
                <w:szCs w:val="20"/>
                <w:color w:val="auto"/>
              </w:rPr>
            </w:pPr>
            <w:r>
              <w:rPr>
                <w:rFonts w:ascii="Arial" w:cs="Arial" w:eastAsia="Arial" w:hAnsi="Arial"/>
                <w:sz w:val="14"/>
                <w:szCs w:val="14"/>
                <w:b w:val="1"/>
                <w:bCs w:val="1"/>
                <w:color w:val="auto"/>
              </w:rPr>
              <w:t>Three Months Ended March 31, 2025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right"/>
              <w:ind w:right="651"/>
              <w:spacing w:after="0"/>
              <w:rPr>
                <w:sz w:val="20"/>
                <w:szCs w:val="20"/>
                <w:color w:val="auto"/>
              </w:rPr>
            </w:pPr>
            <w:r>
              <w:rPr>
                <w:rFonts w:ascii="Arial" w:cs="Arial" w:eastAsia="Arial" w:hAnsi="Arial"/>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Passenger</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Cargo</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Passenger</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298,492</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28,157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326,649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287,535</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311,483</w:t>
            </w: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4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64,619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64,619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70,304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70,304</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75,183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92,845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65,588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82,238</w:t>
            </w:r>
          </w:p>
        </w:tc>
        <w:tc>
          <w:tcPr>
            <w:tcW w:w="0" w:type="dxa"/>
            <w:vAlign w:val="bottom"/>
          </w:tcPr>
          <w:p>
            <w:pPr>
              <w:spacing w:after="0"/>
              <w:rPr>
                <w:sz w:val="1"/>
                <w:szCs w:val="1"/>
                <w:color w:val="auto"/>
              </w:rPr>
            </w:pPr>
          </w:p>
        </w:tc>
      </w:tr>
      <w:tr>
        <w:trPr>
          <w:trHeight w:val="247"/>
        </w:trPr>
        <w:tc>
          <w:tcPr>
            <w:tcW w:w="248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15,343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18,862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13,404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16,817</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10,395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10,395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10,679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24"/>
        </w:trPr>
        <w:tc>
          <w:tcPr>
            <w:tcW w:w="2480" w:type="dxa"/>
            <w:vAlign w:val="bottom"/>
          </w:tcPr>
          <w:p>
            <w:pPr>
              <w:ind w:left="180"/>
              <w:spacing w:after="0"/>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24,799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24,804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23,804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23,809</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11,407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9,145</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24"/>
        </w:trPr>
        <w:tc>
          <w:tcPr>
            <w:tcW w:w="2480" w:type="dxa"/>
            <w:vAlign w:val="bottom"/>
          </w:tcPr>
          <w:p>
            <w:pPr>
              <w:ind w:left="180"/>
              <w:spacing w:after="0"/>
              <w:rPr>
                <w:sz w:val="20"/>
                <w:szCs w:val="20"/>
                <w:color w:val="auto"/>
              </w:rPr>
            </w:pPr>
            <w:r>
              <w:rPr>
                <w:rFonts w:ascii="Arial" w:cs="Arial" w:eastAsia="Arial" w:hAnsi="Arial"/>
                <w:sz w:val="18"/>
                <w:szCs w:val="18"/>
                <w:color w:val="auto"/>
              </w:rPr>
              <w:t>Landing Fees and Airport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tcPr>
          <w:p>
            <w:pPr>
              <w:ind w:left="340"/>
              <w:spacing w:after="0"/>
              <w:rPr>
                <w:sz w:val="20"/>
                <w:szCs w:val="20"/>
                <w:color w:val="auto"/>
              </w:rPr>
            </w:pPr>
            <w:r>
              <w:rPr>
                <w:rFonts w:ascii="Arial" w:cs="Arial" w:eastAsia="Arial" w:hAnsi="Arial"/>
                <w:sz w:val="18"/>
                <w:szCs w:val="18"/>
                <w:color w:val="auto"/>
              </w:rPr>
              <w:t>Rent</w:t>
            </w:r>
          </w:p>
        </w:tc>
        <w:tc>
          <w:tcPr>
            <w:tcW w:w="1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16,684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16,833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14,576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48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23,543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5,296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28,839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23,504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28,577</w:t>
            </w:r>
          </w:p>
        </w:tc>
        <w:tc>
          <w:tcPr>
            <w:tcW w:w="0" w:type="dxa"/>
            <w:vAlign w:val="bottom"/>
          </w:tcPr>
          <w:p>
            <w:pPr>
              <w:spacing w:after="0"/>
              <w:rPr>
                <w:sz w:val="1"/>
                <w:szCs w:val="1"/>
                <w:color w:val="auto"/>
              </w:rPr>
            </w:pPr>
          </w:p>
        </w:tc>
      </w:tr>
      <w:tr>
        <w:trPr>
          <w:trHeight w:val="23"/>
        </w:trPr>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243,772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26,631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270,403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231,004</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256,307</w:t>
            </w:r>
          </w:p>
        </w:tc>
        <w:tc>
          <w:tcPr>
            <w:tcW w:w="0" w:type="dxa"/>
            <w:vAlign w:val="bottom"/>
          </w:tcPr>
          <w:p>
            <w:pPr>
              <w:spacing w:after="0"/>
              <w:rPr>
                <w:sz w:val="1"/>
                <w:szCs w:val="1"/>
                <w:color w:val="auto"/>
              </w:rPr>
            </w:pPr>
          </w:p>
        </w:tc>
      </w:tr>
      <w:tr>
        <w:trPr>
          <w:trHeight w:val="263"/>
        </w:trPr>
        <w:tc>
          <w:tcPr>
            <w:tcW w:w="24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54,720</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56,246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56,531</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55,176</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47"/>
        </w:trPr>
        <w:tc>
          <w:tcPr>
            <w:tcW w:w="2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(9,625)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4"/>
        </w:trPr>
        <w:tc>
          <w:tcPr>
            <w:tcW w:w="2480" w:type="dxa"/>
            <w:vAlign w:val="bottom"/>
          </w:tcPr>
          <w:p>
            <w:pPr>
              <w:ind w:left="340"/>
              <w:spacing w:after="0" w:line="204" w:lineRule="exact"/>
              <w:rPr>
                <w:sz w:val="20"/>
                <w:szCs w:val="20"/>
                <w:color w:val="auto"/>
              </w:rPr>
            </w:pPr>
            <w:r>
              <w:rPr>
                <w:rFonts w:ascii="Arial" w:cs="Arial" w:eastAsia="Arial" w:hAnsi="Arial"/>
                <w:sz w:val="18"/>
                <w:szCs w:val="18"/>
                <w:color w:val="auto"/>
              </w:rPr>
              <w:t>Income Before Income</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48,138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color w:val="auto"/>
              </w:rPr>
              <w:t>46,558</w:t>
            </w:r>
          </w:p>
        </w:tc>
        <w:tc>
          <w:tcPr>
            <w:tcW w:w="0" w:type="dxa"/>
            <w:vAlign w:val="bottom"/>
          </w:tcPr>
          <w:p>
            <w:pPr>
              <w:spacing w:after="0"/>
              <w:rPr>
                <w:sz w:val="1"/>
                <w:szCs w:val="1"/>
                <w:color w:val="auto"/>
              </w:rPr>
            </w:pPr>
          </w:p>
        </w:tc>
      </w:tr>
      <w:tr>
        <w:trPr>
          <w:trHeight w:val="240"/>
        </w:trPr>
        <w:tc>
          <w:tcPr>
            <w:tcW w:w="2480" w:type="dxa"/>
            <w:vAlign w:val="bottom"/>
          </w:tcPr>
          <w:p>
            <w:pPr>
              <w:ind w:left="50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May 2, 2025, the date that the Condensed Consolidated Financial Statements were available to be issued.</w:t>
      </w:r>
    </w:p>
    <w:p>
      <w:pPr>
        <w:spacing w:after="0" w:line="15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 xml:space="preserve">Subsequent to March 31, 2025, the Company's Board of Directors authorized $25,000 to be used to repurchase shares of the Company's Common Stock.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more information on the Company's stock repurchases.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months ended March 31, 2025 and 2024. Also discussed is our financial position as of March 31, 2025 and December 31, 2024.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w:t>
      </w:r>
      <w:hyperlink r:id="rId58">
        <w:r>
          <w:rPr>
            <w:rFonts w:ascii="Arial" w:cs="Arial" w:eastAsia="Arial" w:hAnsi="Arial"/>
            <w:sz w:val="18"/>
            <w:szCs w:val="18"/>
            <w:i w:val="1"/>
            <w:iCs w:val="1"/>
            <w:u w:val="single" w:color="auto"/>
            <w:color w:val="0000FF"/>
          </w:rPr>
          <w:t>Management’s Discussion and Analysis of Financial Condition and Results of Operations</w:t>
        </w:r>
      </w:hyperlink>
      <w:r>
        <w:rPr>
          <w:rFonts w:ascii="Arial" w:cs="Arial" w:eastAsia="Arial" w:hAnsi="Arial"/>
          <w:sz w:val="18"/>
          <w:szCs w:val="18"/>
          <w:i w:val="1"/>
          <w:iCs w:val="1"/>
          <w:color w:val="auto"/>
        </w:rPr>
        <w:t>” in our 2024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59">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2024 10-K to gain an understanding of the important factors that could cause actual results to differ materially from our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Charter customers and providing crew, maintenance and insurance (“CMI”) service to Amazon, with flights throughout the U.S.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We believe this flexible business model provides greater resiliency to economic and industry downturns than a traditional scheduled service carrier. This strategy has been implemented and executed by an experienced management team with deep knowledge of the industry.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2025, we entered into a Credit Card Program Agreement for a new co-branded credit card program. The new co-branded credit card program is expected to launch in the second half of 2025. Subject to certain exceptions, the Credit Card Program Agreement has a term of seven years following its launch, with automatic successive one-year renewal terms.</w:t>
      </w:r>
    </w:p>
    <w:p>
      <w:pPr>
        <w:spacing w:after="0" w:line="171"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Financial Condition and Results of Operations” sections within Part I, </w:t>
      </w:r>
      <w:hyperlink r:id="rId60">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58">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quality passenger experience, offering state-of-the-art interiors, complimentary streaming of in-flight entertainment to passenger devices, seat reclining and seat-back power in all our aircraft.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demand for air travel services has historically been affected by U.S. and global economic conditions, or other geopolitical events. Our diversified business model, which includes a focus on leisure and VFR passengers, Charter and Cargo service, all primarily within the U.S., is unique in the airline sector and helps mitigate the impact of cyclical, economic, and industry downturns on our business when compared with other large U.S. passenger airlines. For example, most of our Charter contracts are non-cyclical because these customers still fly during normal economic downturns, and our casino contracts are long-term in nature. Further, our crew can be utilized by flying Cargo service in periods when the Passenger business is less profitable. Our business model is flexible, which gives us the ability to adjust our services in response to market conditions and is intended to produce the highest possible returns for Sun Country.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accounting estimates and assumptions used in the preparation of our Condensed Consolidated Financial Statements involve financial projections or depend on factors that are inherently uncertain and challenging to estimate during periods of economic uncertainty. Should the current economic uncertainty persist or worsen, the Company may need to reevaluate these estimates and assumptions, potentially resulting in a material impact on the Company's financial position, assets, or earnings.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2024, the Company entered into the A&amp;R ATSA with Amazon that will result in an increase in the number of Boeing 737-800 cargo aircraft that we operate on behalf of Amazon from 12 to 20. During the three months ended March 31, 2025, the Company received three additional cargo aircraft under the A&amp;R ATSA, of which one aircraft was in-service. Cargo revenue will continue to grow during 2025 as all eight additional aircraft are expected to be in-service by the end of the third quarter of 2025. In the near term, the increase in aircraft we operate on behalf of Amazon will result in more resources being allocated to the Cargo business. This aligns with our strategy of long-term flexibility and supports our ability to mitigate the impact of cyclical, economic, and industry downturns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Financial Condition and Results of Operations” in Part II, </w:t>
      </w:r>
      <w:hyperlink r:id="rId58">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8"/>
              </w:rPr>
              <w:t xml:space="preserve">Three Months Ended March 31, 2025 </w:t>
            </w:r>
            <w:r>
              <w:rPr>
                <w:rFonts w:ascii="Arial" w:cs="Arial" w:eastAsia="Arial" w:hAnsi="Arial"/>
                <w:sz w:val="14"/>
                <w:szCs w:val="14"/>
                <w:b w:val="1"/>
                <w:bCs w:val="1"/>
                <w:color w:val="auto"/>
                <w:w w:val="98"/>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1"/>
                <w:szCs w:val="11"/>
                <w:b w:val="1"/>
                <w:bCs w:val="1"/>
                <w:color w:val="auto"/>
                <w:w w:val="97"/>
              </w:rPr>
              <w:t xml:space="preserve">Three Months Ended March 31, 2024 </w:t>
            </w:r>
            <w:r>
              <w:rPr>
                <w:rFonts w:ascii="Arial" w:cs="Arial" w:eastAsia="Arial" w:hAnsi="Arial"/>
                <w:sz w:val="14"/>
                <w:szCs w:val="14"/>
                <w:b w:val="1"/>
                <w:bCs w:val="1"/>
                <w:color w:val="auto"/>
                <w:w w:val="97"/>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66"/>
              <w:spacing w:after="0" w:line="102" w:lineRule="exact"/>
              <w:rPr>
                <w:sz w:val="20"/>
                <w:szCs w:val="20"/>
                <w:color w:val="auto"/>
              </w:rPr>
            </w:pPr>
            <w:r>
              <w:rPr>
                <w:rFonts w:ascii="Arial" w:cs="Arial" w:eastAsia="Arial" w:hAnsi="Arial"/>
                <w:sz w:val="11"/>
                <w:szCs w:val="11"/>
                <w:b w:val="1"/>
                <w:bCs w:val="1"/>
                <w:color w:val="auto"/>
                <w:w w:val="96"/>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20"/>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36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rPr>
              <w:t>Service</w:t>
            </w:r>
          </w:p>
        </w:tc>
        <w:tc>
          <w:tcPr>
            <w:tcW w:w="86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7,466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2,468</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2,926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12,964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7,169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2,292</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2,961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12,539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27,242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5,424</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7,605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40,681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25,496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4,900</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7,688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38,437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10,863,145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1,886,746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2,868,687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15,719,114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10,176,835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1,696,121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2,856,662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14,840,468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2,020,545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331,510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2,370,755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1,892,891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299,058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2,211,886</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16.55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15.82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Leased Aircraft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1,165,073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1,157,511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1,686,484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1,654,851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(6) (7)</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83.5 %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87.4 %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123.19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121.98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(6)</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75.25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6"/>
              <w:spacing w:after="0"/>
              <w:rPr>
                <w:sz w:val="20"/>
                <w:szCs w:val="20"/>
                <w:color w:val="auto"/>
              </w:rPr>
            </w:pPr>
            <w:r>
              <w:rPr>
                <w:rFonts w:ascii="Arial" w:cs="Arial" w:eastAsia="Arial" w:hAnsi="Arial"/>
                <w:sz w:val="11"/>
                <w:szCs w:val="11"/>
                <w:color w:val="auto"/>
              </w:rPr>
              <w:t>74.43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fare per passenger </w:t>
            </w:r>
            <w:r>
              <w:rPr>
                <w:rFonts w:ascii="Arial" w:cs="Arial" w:eastAsia="Arial" w:hAnsi="Arial"/>
                <w:sz w:val="14"/>
                <w:szCs w:val="14"/>
                <w:color w:val="auto"/>
                <w:vertAlign w:val="superscript"/>
              </w:rPr>
              <w:t>(6)</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198.44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196.41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(6)</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10,083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9,655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25,171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3,434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23,676</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indirect fuel credits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3,124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2,865</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(8)</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11.59</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Condensed Consolidated Statements of Operations.</w:t>
      </w: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Load factor is a measure of utilized available seating capacity calculated by dividing Scheduled Service RPMs by Scheduled Service ASMs for a reporting period.</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2025 and 2024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143,522</w:t>
            </w:r>
          </w:p>
        </w:tc>
        <w:tc>
          <w:tcPr>
            <w:tcW w:w="100" w:type="dxa"/>
            <w:vAlign w:val="bottom"/>
          </w:tcPr>
          <w:p>
            <w:pPr>
              <w:spacing w:after="0"/>
              <w:rPr>
                <w:sz w:val="23"/>
                <w:szCs w:val="23"/>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141,194</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87,674</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86,158</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274,664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23,948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311,483</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88"/>
        </w:trPr>
        <w:tc>
          <w:tcPr>
            <w:tcW w:w="57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92,845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82,238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10,679</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9,154</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256,307</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56,246</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48,138</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46,558</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Operating Revenues increased $15,166, or 5%, to $326,649 for the three months ended March 31, 2025, as compared to the three months ended March 31, 2024. The increase was a result of growth in the Company's Passenger business, as well as an increase in Cargo revenue primarily due to contractual rate escalations. These items are discussed in further detail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revenue increased $11,224, or 4%, to $285,888 for the three months ended March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The table below presents select operating data for lines of revenue within Passenger, expressed as year-over-year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c>
          <w:tcPr>
            <w:tcW w:w="148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1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7,466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7,169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27,242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25,496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1,165,073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1,157,511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75.25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74.43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198.44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196.41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1,686,484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1,654,851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2,020,545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1,892,891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12.20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87.4 %</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4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2,292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4,900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9"/>
        </w:trPr>
        <w:tc>
          <w:tcPr>
            <w:tcW w:w="624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10,083</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9,655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year-over-year operational growth was slightly impacted by close-in demand weakness. This resulted in a 7% increase in ASMs, a 5% reduction in TRASM and a 3.9 percentage point reduction in load factor. Total passengers and total fare per passenger were materially consistent year-over-year.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Passenger revenue also benefited from the $7,380, or 16%, increase in Charter revenue during the three months ended March 31, 2025, as compared to the three months ended March 31, 2024. This increase was the result of a 4% improvement in Charter revenue per block hour and an 11% increase in block hours. The improvement in Charter revenue per block hour was primarily driven by rate increases and mix of flying higher rate customers. The year-over-year increase in block hours was due to an increase in flying by large program customers and ad hoc flying.</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$4,209, or 18%, to $28,157 for the three months ended March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The increase was primarily due to contractual rate escalations. Further, during the three months ended March 31, 2025, the Company received three additional cargo aircraft under the A&amp;R ATSA, of which one aircraft was in-service by the end of the quarter.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$267, or 2%, to $12,604 for the three months ended March 31, 2025, as compared to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2024. The decrease in Other revenue was due to $8,636 of rental revenue primarily associated with an average of six leased aircraft during the three months ended March 31, 2025, as compared to $9,275 of rental revenue associated with an average of seven leased aircraft during the three months ended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1820" w:type="dxa"/>
            <w:vAlign w:val="bottom"/>
            <w:gridSpan w:val="2"/>
            <w:vMerge w:val="restart"/>
          </w:tcPr>
          <w:p>
            <w:pPr>
              <w:jc w:val="right"/>
              <w:ind w:right="7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616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25,171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23,676</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8% year-over-year due to a 12% decrease in the average fuel cost per gallon. This was partially offset by a 6% increase in consumption as a result of our operational growth.</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$10,607, or 13%, to $ 92,845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2025, as compared to the three months ended March 31, 2024. The year-over-year increase in Salaries, Wages, and Benefits was impacted by a 9% increase in employee headcount to support the increase in total system block hours as a result of operational growth, and contractual rate increases for our pilots. During the three months ended March 31, 2025, the Company's flight attendants and dispatchers ratified new collective bargaining agreements. The new collective bargaining agreements include contractual pay increases, which increased the Company's Salaries, Wages, and Benefits expense in the current period, and will have a greater impact in future periods due to the timing of ratification within the quarter.</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$2,045, or 12%, to $18,862 for the three months ended March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The year-over-year increase in Maintenance expense was primarily driven by growth in our fleet and operations, an increase in non-routine events, and higher rates for service. These increases were partially offset by a year-over-year decrease in the number of routine, time-based heavy maintenance and landing gear events.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$284, or 3%, to $10,395 for the three months ended March 31,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2024. The year-over-year decrease was driven by a reduction in Global Distribution System ("GDS") fees resulting from a decrease in sales through indirect distribution channels, as well as decreases in advertising and other expenses.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$995, or 4%, to $24,804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2025, as compared to the three months ended March 31, 2024. The increase was primarily due to the impact of a change in the composition of our aircraft fleet that resulted in an increased number of owned aircraft and aircraft under finance leases. For the three months ended March 31, 2025 and 2024, there were an average of 51 and 50 aircraft that were owned or under finance leases,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$2,253, or 25%, to $11,407, for the three months ended March 31,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2024. This year-over-year increase was the result of a 5% increase in Passenger segment departures from our expanding operations, as well as a combination of rate increases due to market pressures at our outsourced ground stations and operational challenges in the quarter.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$2,104, or 14%, to $16,833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2025, as compared to the three months ended March 31, 2024. This year-over-year increase was the result of a 5% increase in Passenger segment departures from our expanding operations, as well as rate increases at airports due to market pressures.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included $1,799 for the three months ended March 31, 2025, which represents the ratification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new five-year collective bargaining agreement paid to eligible flight attendants during the period, as well as the related payroll tax expense. For more information,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increased $262, or 1%, to $ 28,839 for the three months ended March 31,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2024. The increase was primarily the result of an increase in operations, partially offset by our engine part sales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$ 453, or 19%, to $1,995 for the three months ended March 31,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The decrease was primarily due to the reduction in the Company's average investment balance year-over-year.</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$1,487, or 13%, to $9,625 for the three months ended March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2024. The decrease was due to year-over-year decreases in debt balances; as well as the partial refinancing of the Term Loan Credit Facility which resulted in a lower interest rate. For more information on the Company's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was a $478 expense for the three months ended March 31, 2025 as a result of the Company incurring expenses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$481 in conjunction with the secondary public offering. Other, net for the three months ended March 31, 2024 was not material. For more information on the secondary public offering,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Condensed Consolidated Financial Statements included in Part I, Item I of this report.</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March 31, 2025 was 24.1% compared to 24.2%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The effective tax rate in both periods were materially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2025 and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2025</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2024</w:t>
            </w:r>
          </w:p>
        </w:tc>
        <w:tc>
          <w:tcPr>
            <w:tcW w:w="920" w:type="dxa"/>
            <w:vAlign w:val="bottom"/>
            <w:tcBorders>
              <w:bottom w:val="single" w:sz="8" w:color="auto"/>
            </w:tcBorders>
          </w:tcPr>
          <w:p>
            <w:pPr>
              <w:spacing w:after="0"/>
              <w:rPr>
                <w:sz w:val="17"/>
                <w:szCs w:val="17"/>
                <w:color w:val="auto"/>
              </w:rPr>
            </w:pPr>
          </w:p>
        </w:tc>
      </w:tr>
      <w:tr>
        <w:trPr>
          <w:trHeight w:val="223"/>
        </w:trPr>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Cargo</w:t>
            </w:r>
          </w:p>
        </w:tc>
        <w:tc>
          <w:tcPr>
            <w:tcW w:w="50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9"/>
                <w:szCs w:val="19"/>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70"/>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298,492</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28,157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326,649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287,535</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23,948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311,483</w:t>
            </w:r>
          </w:p>
        </w:tc>
      </w:tr>
      <w:tr>
        <w:trPr>
          <w:trHeight w:val="250"/>
        </w:trPr>
        <w:tc>
          <w:tcPr>
            <w:tcW w:w="23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7"/>
        </w:trPr>
        <w:tc>
          <w:tcPr>
            <w:tcW w:w="234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64,619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70,304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70,304</w:t>
            </w: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2"/>
        </w:trPr>
        <w:tc>
          <w:tcPr>
            <w:tcW w:w="2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75,183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17,662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65,588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82,238</w:t>
            </w:r>
          </w:p>
        </w:tc>
      </w:tr>
      <w:tr>
        <w:trPr>
          <w:trHeight w:val="247"/>
        </w:trPr>
        <w:tc>
          <w:tcPr>
            <w:tcW w:w="23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15,343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13,404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16,817</w:t>
            </w: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10,395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10,679</w:t>
            </w:r>
          </w:p>
        </w:tc>
      </w:tr>
      <w:tr>
        <w:trPr>
          <w:trHeight w:val="224"/>
        </w:trPr>
        <w:tc>
          <w:tcPr>
            <w:tcW w:w="2340" w:type="dxa"/>
            <w:vAlign w:val="bottom"/>
          </w:tcPr>
          <w:p>
            <w:pPr>
              <w:ind w:left="18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234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24,799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23,804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23,809</w:t>
            </w: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11,407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9,154</w:t>
            </w:r>
          </w:p>
        </w:tc>
      </w:tr>
      <w:tr>
        <w:trPr>
          <w:trHeight w:val="224"/>
        </w:trPr>
        <w:tc>
          <w:tcPr>
            <w:tcW w:w="2340" w:type="dxa"/>
            <w:vAlign w:val="bottom"/>
          </w:tcPr>
          <w:p>
            <w:pPr>
              <w:ind w:left="180"/>
              <w:spacing w:after="0"/>
              <w:rPr>
                <w:sz w:val="20"/>
                <w:szCs w:val="20"/>
                <w:color w:val="auto"/>
              </w:rPr>
            </w:pPr>
            <w:r>
              <w:rPr>
                <w:rFonts w:ascii="Arial" w:cs="Arial" w:eastAsia="Arial" w:hAnsi="Arial"/>
                <w:sz w:val="18"/>
                <w:szCs w:val="18"/>
                <w:color w:val="auto"/>
              </w:rPr>
              <w:t>Landing Fees and Airport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2340" w:type="dxa"/>
            <w:vAlign w:val="bottom"/>
          </w:tcPr>
          <w:p>
            <w:pPr>
              <w:ind w:left="360"/>
              <w:spacing w:after="0"/>
              <w:rPr>
                <w:sz w:val="20"/>
                <w:szCs w:val="20"/>
                <w:color w:val="auto"/>
              </w:rPr>
            </w:pPr>
            <w:r>
              <w:rPr>
                <w:rFonts w:ascii="Arial" w:cs="Arial" w:eastAsia="Arial" w:hAnsi="Arial"/>
                <w:sz w:val="18"/>
                <w:szCs w:val="18"/>
                <w:color w:val="auto"/>
              </w:rPr>
              <w:t>Rent</w:t>
            </w:r>
          </w:p>
        </w:tc>
        <w:tc>
          <w:tcPr>
            <w:tcW w:w="2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16,684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14,576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14,729</w:t>
            </w: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7"/>
        </w:trPr>
        <w:tc>
          <w:tcPr>
            <w:tcW w:w="234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23,543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5,296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23,504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28,577</w:t>
            </w:r>
          </w:p>
        </w:tc>
      </w:tr>
      <w:tr>
        <w:trPr>
          <w:trHeight w:val="23"/>
        </w:trPr>
        <w:tc>
          <w:tcPr>
            <w:tcW w:w="2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2340" w:type="dxa"/>
            <w:vAlign w:val="bottom"/>
            <w:shd w:val="clear" w:color="auto" w:fill="CCEEFF"/>
          </w:tcPr>
          <w:p>
            <w:pPr>
              <w:ind w:left="360"/>
              <w:spacing w:after="0" w:line="204" w:lineRule="exact"/>
              <w:rPr>
                <w:sz w:val="20"/>
                <w:szCs w:val="20"/>
                <w:color w:val="auto"/>
              </w:rPr>
            </w:pPr>
            <w:r>
              <w:rPr>
                <w:rFonts w:ascii="Arial" w:cs="Arial" w:eastAsia="Arial" w:hAnsi="Arial"/>
                <w:sz w:val="18"/>
                <w:szCs w:val="18"/>
                <w:color w:val="auto"/>
              </w:rPr>
              <w:t>Total Operating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62"/>
        </w:trPr>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243,772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26,631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231,004</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25,303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256,307</w:t>
            </w:r>
          </w:p>
        </w:tc>
      </w:tr>
      <w:tr>
        <w:trPr>
          <w:trHeight w:val="263"/>
        </w:trPr>
        <w:tc>
          <w:tcPr>
            <w:tcW w:w="23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54,720</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56,246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56,531</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55,176</w:t>
            </w:r>
          </w:p>
        </w:tc>
      </w:tr>
      <w:tr>
        <w:trPr>
          <w:trHeight w:val="46"/>
        </w:trPr>
        <w:tc>
          <w:tcPr>
            <w:tcW w:w="23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70"/>
        </w:trPr>
        <w:tc>
          <w:tcPr>
            <w:tcW w:w="2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Margin %</w:t>
            </w:r>
          </w:p>
        </w:tc>
        <w:tc>
          <w:tcPr>
            <w:tcW w:w="220" w:type="dxa"/>
            <w:vAlign w:val="bottom"/>
            <w:tcBorders>
              <w:top w:val="single" w:sz="8" w:color="CCEEFF"/>
              <w:bottom w:val="single" w:sz="8" w:color="auto"/>
            </w:tcBorders>
          </w:tcPr>
          <w:p>
            <w:pPr>
              <w:spacing w:after="0"/>
              <w:rPr>
                <w:sz w:val="23"/>
                <w:szCs w:val="23"/>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0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bottom w:val="single" w:sz="8" w:color="auto"/>
            </w:tcBorders>
          </w:tcPr>
          <w:p>
            <w:pPr>
              <w:spacing w:after="0"/>
              <w:rPr>
                <w:sz w:val="23"/>
                <w:szCs w:val="23"/>
                <w:color w:val="auto"/>
              </w:rPr>
            </w:pPr>
          </w:p>
        </w:tc>
        <w:tc>
          <w:tcPr>
            <w:tcW w:w="9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bottom w:val="single" w:sz="8" w:color="auto"/>
            </w:tcBorders>
          </w:tcPr>
          <w:p>
            <w:pPr>
              <w:spacing w:after="0"/>
              <w:rPr>
                <w:sz w:val="23"/>
                <w:szCs w:val="23"/>
                <w:color w:val="auto"/>
              </w:rPr>
            </w:pP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19.7 %</w:t>
            </w: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17.7 %</w:t>
            </w: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$1,811 to $54,720 for the three months ended March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The Operating Margin Percentage for the three months ended March 31, 2025 decreased by 1.4 percentage points, as compared to the three months ended March 31, 2024. The year-over-year decrease in Passenger Operating Income and Operating Margin Percentage were primarily driven by increased expenses as a result of operational growth, contractual rate increases for our pilots, rate increases for Ground Handling and Landing Fees and Airport Rent, and the ratification bonus paid to eligible flight attendants during the period; partially offset by a 12% decrease in the average fuel cost per gallon. These expense increases were partially offset by revenue growth, primarily driven by the Charter line of business.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(Loss) changed by $2,881, to $1,526, for the three months ended March 31, 2025, as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2024. Operating Margin Percentage for the three months ended March 31, 2025 improved by 11.1 percentage points, as compared to the three months ended March 31, 2024. The changes in both Operating Income (Loss) and Operating Margin Percentage were primarily driven by contractual rate escalations. Further, during the three months ended March 31, 2025, the Company received three additional cargo aircraft under the A&amp;R ATSA, of which one aircraft was in-service. For more information on the components of Operating Income (Loss) for the Cargo segment, refer to the Results of Operations discussion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7"/>
                <w:szCs w:val="17"/>
                <w:color w:val="auto"/>
              </w:rPr>
            </w:pPr>
          </w:p>
        </w:tc>
      </w:tr>
      <w:tr>
        <w:trPr>
          <w:trHeight w:val="196"/>
        </w:trPr>
        <w:tc>
          <w:tcPr>
            <w:tcW w:w="69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326,649</w:t>
            </w:r>
          </w:p>
        </w:tc>
        <w:tc>
          <w:tcPr>
            <w:tcW w:w="140" w:type="dxa"/>
            <w:vAlign w:val="bottom"/>
          </w:tcPr>
          <w:p>
            <w:pPr>
              <w:spacing w:after="0"/>
              <w:rPr>
                <w:sz w:val="19"/>
                <w:szCs w:val="19"/>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311,483</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56,246</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55,176</w:t>
            </w:r>
          </w:p>
        </w:tc>
      </w:tr>
      <w:tr>
        <w:trPr>
          <w:trHeight w:val="229"/>
        </w:trPr>
        <w:tc>
          <w:tcPr>
            <w:tcW w:w="6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Expense</w:t>
            </w:r>
          </w:p>
        </w:tc>
        <w:tc>
          <w:tcPr>
            <w:tcW w:w="1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1,695</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1,514</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59,740</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56,690</w:t>
            </w:r>
          </w:p>
        </w:tc>
      </w:tr>
      <w:tr>
        <w:trPr>
          <w:trHeight w:val="46"/>
        </w:trPr>
        <w:tc>
          <w:tcPr>
            <w:tcW w:w="69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6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Income Margin</w:t>
            </w:r>
          </w:p>
        </w:tc>
        <w:tc>
          <w:tcPr>
            <w:tcW w:w="12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17.2 %</w:t>
            </w: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17.7 %</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73"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Loss on Credit Facility</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39,739</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1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21"/>
                <w:szCs w:val="21"/>
                <w:color w:val="auto"/>
              </w:rPr>
            </w:pPr>
          </w:p>
        </w:tc>
        <w:tc>
          <w:tcPr>
            <w:tcW w:w="1260" w:type="dxa"/>
            <w:vAlign w:val="bottom"/>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35,313</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11,603</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84,547</w:t>
            </w:r>
          </w:p>
        </w:tc>
        <w:tc>
          <w:tcPr>
            <w:tcW w:w="8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80,545</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Company has entered into certain transactions where it serves as a lessor. As of March 31, 2025, we leased or subleased six aircraft.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7"/>
                <w:szCs w:val="17"/>
                <w:color w:val="auto"/>
              </w:rPr>
            </w:pPr>
          </w:p>
        </w:tc>
      </w:tr>
      <w:tr>
        <w:trPr>
          <w:trHeight w:val="196"/>
        </w:trPr>
        <w:tc>
          <w:tcPr>
            <w:tcW w:w="4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40" w:type="dxa"/>
            <w:vAlign w:val="bottom"/>
            <w:tcBorders>
              <w:bottom w:val="single" w:sz="8" w:color="auto"/>
            </w:tcBorders>
          </w:tcPr>
          <w:p>
            <w:pPr>
              <w:spacing w:after="0"/>
              <w:rPr>
                <w:sz w:val="17"/>
                <w:szCs w:val="17"/>
                <w:color w:val="auto"/>
              </w:rPr>
            </w:pPr>
          </w:p>
        </w:tc>
      </w:tr>
      <w:tr>
        <w:trPr>
          <w:trHeight w:val="147"/>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ind w:left="140"/>
              <w:spacing w:after="0" w:line="147" w:lineRule="exact"/>
              <w:rPr>
                <w:sz w:val="20"/>
                <w:szCs w:val="20"/>
                <w:color w:val="auto"/>
              </w:rPr>
            </w:pPr>
            <w:r>
              <w:rPr>
                <w:rFonts w:ascii="Arial" w:cs="Arial" w:eastAsia="Arial" w:hAnsi="Arial"/>
                <w:sz w:val="14"/>
                <w:szCs w:val="14"/>
                <w:b w:val="1"/>
                <w:bCs w:val="1"/>
                <w:color w:val="auto"/>
              </w:rPr>
              <w:t>Operating</w:t>
            </w:r>
          </w:p>
        </w:tc>
        <w:tc>
          <w:tcPr>
            <w:tcW w:w="13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2"/>
                <w:szCs w:val="12"/>
                <w:color w:val="auto"/>
              </w:rPr>
            </w:pPr>
          </w:p>
        </w:tc>
        <w:tc>
          <w:tcPr>
            <w:tcW w:w="162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auto"/>
              </w:rPr>
              <w:t>Operating</w:t>
            </w:r>
          </w:p>
        </w:tc>
        <w:tc>
          <w:tcPr>
            <w:tcW w:w="124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Per ASM</w:t>
            </w:r>
          </w:p>
        </w:tc>
      </w:t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6"/>
                <w:szCs w:val="16"/>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64,619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880" w:type="dxa"/>
            <w:vAlign w:val="bottom"/>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 xml:space="preserve">Leased Aircraft, Depreciation and Amortization Expense </w:t>
            </w:r>
            <w:r>
              <w:rPr>
                <w:rFonts w:ascii="Arial" w:cs="Arial" w:eastAsia="Arial" w:hAnsi="Arial"/>
                <w:sz w:val="23"/>
                <w:szCs w:val="23"/>
                <w:color w:val="auto"/>
                <w:w w:val="99"/>
                <w:vertAlign w:val="superscript"/>
              </w:rPr>
              <w:t>(2)</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8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2,211,886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14"/>
        </w:trPr>
        <w:tc>
          <w:tcPr>
            <w:tcW w:w="48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41" w:lineRule="exact"/>
        <w:rPr>
          <w:sz w:val="20"/>
          <w:szCs w:val="20"/>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9</w:t>
      </w:r>
      <w:r>
        <w:rPr>
          <w:rFonts w:ascii="Arial" w:cs="Arial" w:eastAsia="Arial" w:hAnsi="Arial"/>
          <w:sz w:val="14"/>
          <w:szCs w:val="14"/>
          <w:color w:val="auto"/>
        </w:rPr>
        <w:t xml:space="preserve"> of these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March 31, 2025 included our existing cash and cash equivalents of $53,391 and short-term investments of $105,376, our expected cash generated from operations, and the $ 75,000 of available funds under the Revolving Credit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 had restricted cash of $13,737 as of March 31, 2025, which generally consists of cash received as prepayment for chartered flights that is maintained in separate escrow accounts prior to the date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in accordance with DOT regulations. The restrictions are released once the charter transportation is provided.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unrestricted cash and cash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182"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our Liquidity and Capital Resources, see “Management’s Discussion and Analysis of Financial Condition and Results of Operations” in Part II, </w:t>
      </w:r>
      <w:hyperlink r:id="rId85">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We do not maintain an aircraft order book; instead, we enter into aircraft transactions on an opportunistic basis based on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our prevailing level of liquidity and capital market availability. As a result, we are not locked into large future capital expenditures. We have historically financed aircraft through debt and finance leases. As of March 31, 2025, our fleet consisted of 66 Boeing 737-NG aircraft. This includes 45 aircraft in the passenger fleet, 15 cargo aircraft operated or received pursuant to the A&amp;R ATSA, and six aircraft currently on lease to unaffiliated airlines.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three months ended March 31, 2025, the Company received three additional cargo aircraft under the A&amp;R ATSA, of which one aircraft was in-service. All eight additional aircraft are expected to be in-service by the end of the third quarter of 2025. For more information on our fleet,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for scheduled maintenance to act as collateral for the benefit of the lessors. Qualifying payments that are expected to be recovered from lessors are recorded as Lessor Maintenance Deposits on our Condensed Consolidated Balance Sheets. As of March 31, 2025, we had $56,858 of total Lessor Maintenance Deposits. All maintenance deposits as of March 31, 2025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 In March 2025, the Company executed a new $75,000 Revolving Credit Facility with a group of lenders. The new Revolving Credit Facility replaces the Company's previous $25,000 Revolving Credit Facility. The Company pledged certain assets, including certain previously unencumbered aircraft, to support the ability to efficiently utilize the Revolving Credit Facility. As of March 31, 2025, the Company had $75,000 of financing available through the Revolving Credit Facility. The Company was in compliance with its covenants within the Revolving Credit Facility as of March 31, 2025.</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in order to purchase, or refinance aircraft. The Company has not entered into any new debt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 during the three months ended March 31, 2025.</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three months ended March 31, 2025 and 2024, we made a payment of $10,525 and $3,350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Payments will be made in future periods as Pre-IPO Tax Attributes 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utilized. For more information on the TRA liability,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I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98,683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97,636</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63"/>
        </w:trPr>
        <w:tc>
          <w:tcPr>
            <w:tcW w:w="57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227,074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205,598</w:t>
            </w:r>
          </w:p>
        </w:tc>
        <w:tc>
          <w:tcPr>
            <w:tcW w:w="40" w:type="dxa"/>
            <w:vAlign w:val="bottom"/>
            <w:tcBorders>
              <w:top w:val="single" w:sz="8" w:color="auto"/>
              <w:bottom w:val="single" w:sz="8" w:color="auto"/>
            </w:tcBorders>
          </w:tcPr>
          <w:p>
            <w:pPr>
              <w:spacing w:after="0"/>
              <w:rPr>
                <w:sz w:val="22"/>
                <w:szCs w:val="22"/>
                <w:color w:val="auto"/>
              </w:rPr>
            </w:pPr>
          </w:p>
        </w:tc>
      </w:tr>
      <w:tr>
        <w:trPr>
          <w:trHeight w:val="46"/>
        </w:trPr>
        <w:tc>
          <w:tcPr>
            <w:tcW w:w="574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23"/>
        </w:trPr>
        <w:tc>
          <w:tcPr>
            <w:tcW w:w="5740" w:type="dxa"/>
            <w:vAlign w:val="bottom"/>
            <w:tcBorders>
              <w:top w:val="single" w:sz="8" w:color="CCEEFF"/>
              <w:bottom w:val="single" w:sz="8" w:color="CCEEFF"/>
            </w:tcBorders>
          </w:tcPr>
          <w:p>
            <w:pPr>
              <w:spacing w:after="0"/>
              <w:rPr>
                <w:sz w:val="19"/>
                <w:szCs w:val="19"/>
                <w:color w:val="auto"/>
              </w:rPr>
            </w:pPr>
          </w:p>
        </w:tc>
        <w:tc>
          <w:tcPr>
            <w:tcW w:w="1000" w:type="dxa"/>
            <w:vAlign w:val="bottom"/>
            <w:tcBorders>
              <w:top w:val="single" w:sz="8" w:color="CCEEFF"/>
              <w:bottom w:val="single" w:sz="8" w:color="CCEEFF"/>
            </w:tcBorders>
          </w:tcPr>
          <w:p>
            <w:pPr>
              <w:spacing w:after="0"/>
              <w:rPr>
                <w:sz w:val="19"/>
                <w:szCs w:val="19"/>
                <w:color w:val="auto"/>
              </w:rPr>
            </w:pPr>
          </w:p>
        </w:tc>
        <w:tc>
          <w:tcPr>
            <w:tcW w:w="46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520" w:type="dxa"/>
            <w:vAlign w:val="bottom"/>
            <w:tcBorders>
              <w:top w:val="single" w:sz="8" w:color="CCEEFF"/>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1740" w:type="dxa"/>
            <w:vAlign w:val="bottom"/>
            <w:tcBorders>
              <w:top w:val="single" w:sz="8" w:color="CCEEFF"/>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327,122</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7"/>
        </w:trPr>
        <w:tc>
          <w:tcPr>
            <w:tcW w:w="5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266,338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271,262</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0"/>
        </w:trPr>
        <w:tc>
          <w:tcPr>
            <w:tcW w:w="574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598,786</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619,034</w:t>
            </w:r>
          </w:p>
        </w:tc>
        <w:tc>
          <w:tcPr>
            <w:tcW w:w="40" w:type="dxa"/>
            <w:vAlign w:val="bottom"/>
            <w:tcBorders>
              <w:top w:val="single" w:sz="8" w:color="auto"/>
            </w:tcBorders>
          </w:tcPr>
          <w:p>
            <w:pPr>
              <w:spacing w:after="0"/>
              <w:rPr>
                <w:sz w:val="20"/>
                <w:szCs w:val="20"/>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603,017</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570,373</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64"/>
        </w:trPr>
        <w:tc>
          <w:tcPr>
            <w:tcW w:w="57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1,201,803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1,189,407</w:t>
            </w:r>
          </w:p>
        </w:tc>
        <w:tc>
          <w:tcPr>
            <w:tcW w:w="40" w:type="dxa"/>
            <w:vAlign w:val="bottom"/>
            <w:tcBorders>
              <w:top w:val="single" w:sz="8" w:color="auto"/>
              <w:bottom w:val="single" w:sz="8" w:color="auto"/>
            </w:tcBorders>
          </w:tcPr>
          <w:p>
            <w:pPr>
              <w:spacing w:after="0"/>
              <w:rPr>
                <w:sz w:val="22"/>
                <w:szCs w:val="22"/>
                <w:color w:val="auto"/>
              </w:rPr>
            </w:pPr>
          </w:p>
        </w:tc>
      </w:tr>
      <w:tr>
        <w:trPr>
          <w:trHeight w:val="46"/>
        </w:trPr>
        <w:tc>
          <w:tcPr>
            <w:tcW w:w="574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47"/>
        </w:trPr>
        <w:tc>
          <w:tcPr>
            <w:tcW w:w="57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10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0.52</w:t>
            </w:r>
          </w:p>
        </w:tc>
        <w:tc>
          <w:tcPr>
            <w:tcW w:w="40" w:type="dxa"/>
            <w:vAlign w:val="bottom"/>
            <w:tcBorders>
              <w:top w:val="single" w:sz="8" w:color="CCEEFF"/>
            </w:tcBorders>
          </w:tcPr>
          <w:p>
            <w:pPr>
              <w:spacing w:after="0"/>
              <w:rPr>
                <w:sz w:val="21"/>
                <w:szCs w:val="21"/>
                <w:color w:val="auto"/>
              </w:rPr>
            </w:pPr>
          </w:p>
        </w:tc>
      </w:tr>
      <w:tr>
        <w:trPr>
          <w:trHeight w:val="562"/>
        </w:trPr>
        <w:tc>
          <w:tcPr>
            <w:tcW w:w="5740" w:type="dxa"/>
            <w:vAlign w:val="bottom"/>
          </w:tcPr>
          <w:p>
            <w:pPr>
              <w:spacing w:after="0"/>
              <w:rPr>
                <w:sz w:val="20"/>
                <w:szCs w:val="20"/>
                <w:color w:val="auto"/>
              </w:rPr>
            </w:pPr>
            <w:r>
              <w:rPr>
                <w:rFonts w:ascii="Arial" w:cs="Arial" w:eastAsia="Arial" w:hAnsi="Arial"/>
                <w:sz w:val="18"/>
                <w:szCs w:val="18"/>
                <w:b w:val="1"/>
                <w:bCs w:val="1"/>
                <w:color w:val="auto"/>
              </w:rPr>
              <w:t>Sources and Uses of Liquidity</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4"/>
        </w:trPr>
        <w:tc>
          <w:tcPr>
            <w:tcW w:w="5740" w:type="dxa"/>
            <w:vAlign w:val="bottom"/>
          </w:tcPr>
          <w:p>
            <w:pPr>
              <w:spacing w:after="0"/>
              <w:rPr>
                <w:sz w:val="24"/>
                <w:szCs w:val="24"/>
                <w:color w:val="auto"/>
              </w:rPr>
            </w:pPr>
          </w:p>
        </w:tc>
        <w:tc>
          <w:tcPr>
            <w:tcW w:w="352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w:t>
            </w:r>
          </w:p>
        </w:tc>
        <w:tc>
          <w:tcPr>
            <w:tcW w:w="40" w:type="dxa"/>
            <w:vAlign w:val="bottom"/>
          </w:tcPr>
          <w:p>
            <w:pPr>
              <w:spacing w:after="0"/>
              <w:rPr>
                <w:sz w:val="24"/>
                <w:szCs w:val="24"/>
                <w:color w:val="auto"/>
              </w:rPr>
            </w:pPr>
          </w:p>
        </w:tc>
      </w:tr>
      <w:tr>
        <w:trPr>
          <w:trHeight w:val="201"/>
        </w:trPr>
        <w:tc>
          <w:tcPr>
            <w:tcW w:w="57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Change</w:t>
            </w:r>
          </w:p>
        </w:tc>
      </w:tr>
      <w:tr>
        <w:trPr>
          <w:trHeight w:val="265"/>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30,721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3"/>
                <w:szCs w:val="23"/>
                <w:color w:val="auto"/>
              </w:rPr>
            </w:pPr>
          </w:p>
        </w:tc>
      </w:tr>
      <w:tr>
        <w:trPr>
          <w:trHeight w:val="75"/>
        </w:trPr>
        <w:tc>
          <w:tcPr>
            <w:tcW w:w="574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10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(15,409)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(29,698)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(19,092)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10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39,500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3"/>
                <w:szCs w:val="23"/>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(10,572)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(20,307)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75"/>
        </w:trPr>
        <w:tc>
          <w:tcPr>
            <w:tcW w:w="57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247"/>
        </w:trPr>
        <w:tc>
          <w:tcPr>
            <w:tcW w:w="5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0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(5,847)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21"/>
                <w:szCs w:val="21"/>
                <w:color w:val="auto"/>
              </w:rPr>
            </w:pPr>
          </w:p>
        </w:tc>
      </w:tr>
      <w:tr>
        <w:trPr>
          <w:trHeight w:val="247"/>
        </w:trPr>
        <w:tc>
          <w:tcPr>
            <w:tcW w:w="5740" w:type="dxa"/>
            <w:vAlign w:val="bottom"/>
          </w:tcPr>
          <w:p>
            <w:pPr>
              <w:ind w:left="360"/>
              <w:spacing w:after="0"/>
              <w:rPr>
                <w:sz w:val="20"/>
                <w:szCs w:val="20"/>
                <w:color w:val="auto"/>
              </w:rPr>
            </w:pPr>
            <w:r>
              <w:rPr>
                <w:rFonts w:ascii="Arial" w:cs="Arial" w:eastAsia="Arial" w:hAnsi="Arial"/>
                <w:sz w:val="18"/>
                <w:szCs w:val="18"/>
                <w:color w:val="auto"/>
              </w:rPr>
              <w:t>Tax Receivable Agreement Payment</w:t>
            </w:r>
          </w:p>
        </w:tc>
        <w:tc>
          <w:tcPr>
            <w:tcW w:w="10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(10,525)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214 %</w:t>
            </w:r>
          </w:p>
        </w:tc>
        <w:tc>
          <w:tcPr>
            <w:tcW w:w="40" w:type="dxa"/>
            <w:vAlign w:val="bottom"/>
          </w:tcPr>
          <w:p>
            <w:pPr>
              <w:spacing w:after="0"/>
              <w:rPr>
                <w:sz w:val="21"/>
                <w:szCs w:val="21"/>
                <w:color w:val="auto"/>
              </w:rPr>
            </w:pPr>
          </w:p>
        </w:tc>
      </w:tr>
      <w:tr>
        <w:trPr>
          <w:trHeight w:val="23"/>
        </w:trPr>
        <w:tc>
          <w:tcPr>
            <w:tcW w:w="5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3"/>
                <w:szCs w:val="23"/>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(39,202)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(34,494)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40" w:type="dxa"/>
            <w:vAlign w:val="bottom"/>
          </w:tcPr>
          <w:p>
            <w:pPr>
              <w:spacing w:after="0"/>
              <w:rPr>
                <w:sz w:val="20"/>
                <w:szCs w:val="20"/>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8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(33,343)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40" w:type="dxa"/>
            <w:vAlign w:val="bottom"/>
          </w:tcPr>
          <w:p>
            <w:pPr>
              <w:spacing w:after="0"/>
              <w:rPr>
                <w:sz w:val="24"/>
                <w:szCs w:val="24"/>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"Cash" consists of Cash, Cash Equivalents and Restricted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three months ended March 31, 2025 provided $ 16,431, as compared to $ 30,721 during the three months ended March 31, 2024. During the three months ended March 31, 2025, our Net Income was $36,535, as compared to $35,313 during the three months ended March 31,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Most tickets can be purchased no more than 12 months in advance, therefore any revenue associated with tickets sold for future travel will be recognized within that timeframe. For the three months ended March 31, 2025, $133,807 of revenue recognized in Passenger revenue was included in the $160,686 of Air Traffic Liabilities as of December 31, 2024.</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24% and 27% of our total operating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2025 and 2024, respectively. The market price for jet fuel is volatile, which can impact the comparability of our periodic cash flows from operations. Fuel cost per gallon decreased by 12% year-over-year. Fuel consumption increased by 6% during the three months ended March 31, 2025, compared to the prior year as a result of the increase in fleet size and total operations. We expect continued volatility in Aircraft Fuel prices per gallon due to market conditions and global geopolitical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$15,409 and $29,698 for the three months ended March 31,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three months ended March 31, 2025 included the acquisition of one engine and other items not individually material. Our capital expenditures during the three months ended March 31, 2024 primarily included the acquisition of an aircraft and other items not individually material.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The Company's net investment activity resulted in cash outflows of $1,167 during the three months ended March 31, 2025,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inflows of $8,300 during the three months ended March 31, 2024. The year-over-year change is a result of a difference in timing of debt security maturities and a reduction in the Company's average investment balance year-over-year.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At our discretion, we obtain debt financing in order to purchase, or refinance aircraft. The Company has not entered into any new debt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financing arrangements during the periods presented above. For more information on our debt financings and future repayment schedules,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$4,923 and $5,847 for the three months ended March 31, 2025 and</w:t>
      </w:r>
      <w:r>
        <w:rPr>
          <w:rFonts w:ascii="Arial" w:cs="Arial" w:eastAsia="Arial" w:hAnsi="Arial"/>
          <w:sz w:val="18"/>
          <w:szCs w:val="18"/>
          <w:i w:val="1"/>
          <w:iCs w:val="1"/>
          <w:color w:val="auto"/>
        </w:rPr>
        <w:t xml:space="preserve"> </w:t>
      </w:r>
      <w:r>
        <w:rPr>
          <w:rFonts w:ascii="Arial" w:cs="Arial" w:eastAsia="Arial" w:hAnsi="Arial"/>
          <w:sz w:val="18"/>
          <w:szCs w:val="18"/>
          <w:color w:val="auto"/>
        </w:rPr>
        <w:t>2024, respectively. As of March 31, 2025 and 2024, the Company had 13 and 16 aircraft finance leases, respectively.</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three months ended March 31, 2025, the Company repurchased 630,914 shares of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$15.85 per share. During the three months ended March 31, 2024, the Company repurchased 755,284 shares of its Common Stock at $15.22 per share. For more information on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stock repurchase program,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Condensed Consolidated Financial Statements included in Part I, Item I of this report.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TRA Payment. </w:t>
      </w:r>
      <w:r>
        <w:rPr>
          <w:rFonts w:ascii="Arial" w:cs="Arial" w:eastAsia="Arial" w:hAnsi="Arial"/>
          <w:sz w:val="18"/>
          <w:szCs w:val="18"/>
          <w:color w:val="auto"/>
        </w:rPr>
        <w:t>During the three months ended March 31, 2025 and 2024, the Company made payments of $10,525 and $3,350 to the TRA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holders, respectively. For more information on the payment of the TRA,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Condensed Consolidated Financial Statements included in Part I, Item I of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For a detailed discussion on the nature of the Company's Off Balance Sheet Arrangements, see “Management’s Discussion and Analysis of Financial Condition and Results of Operations” in Part II, </w:t>
      </w:r>
      <w:hyperlink r:id="rId85">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2024 10-K. There have been no material changes to the Company's Off Balance Sheet Arrangements as compared to the 2024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to our Condensed Consolidated Financial Statements included elsewhere in this Quarterly Report on Form 10-Q for more information regarding commitments and 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2025, there were no recently adopted accounting standards that had a material impact to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Financial Condition and Results of Operations” sections within Part II, </w:t>
      </w:r>
      <w:hyperlink r:id="rId85">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2024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2024 10-K.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We are subject to market risks in the ordinary course of our business. These risks include commodity price risk, specifically with respect to aircraft fuel, as well as interest rate risk. The adverse effects of changes in these markets could pose a potential loss. There have been no material changes in market risk from those disclosed within "Item 7A. Quantitative and Qualitative Disclosures About Market Risk" included in Part II, </w:t>
      </w:r>
      <w:hyperlink r:id="rId93">
        <w:r>
          <w:rPr>
            <w:rFonts w:ascii="Arial" w:cs="Arial" w:eastAsia="Arial" w:hAnsi="Arial"/>
            <w:sz w:val="18"/>
            <w:szCs w:val="18"/>
            <w:u w:val="single" w:color="auto"/>
            <w:color w:val="0000FF"/>
          </w:rPr>
          <w:t>Item 7A</w:t>
        </w:r>
      </w:hyperlink>
      <w:r>
        <w:rPr>
          <w:rFonts w:ascii="Arial" w:cs="Arial" w:eastAsia="Arial" w:hAnsi="Arial"/>
          <w:sz w:val="18"/>
          <w:szCs w:val="18"/>
          <w:color w:val="auto"/>
        </w:rPr>
        <w:t>, of our 2024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represent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Interim Chief Financial Officer, to allow timely decisions regarding required disclosure.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preparation of this Form 10-Q, pursuant to Rule 13a-15(b) of the Exchange Act, our management, with the participation of our Chief Executive Officer and Interim Chief Financial Officer, has evaluated the effectiveness of the design and operation of our disclosure controls and procedures (as defined in Rules 13a-15(e) and 15d-15(e) under the Exchange Act) as of March 31,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evaluation of our disclosure controls and procedures as of March 31, 2025, our Chief Executive Officer and Interim Chief Financial Officer have concluded that our disclosure controls and procedures were effective as of March 31, 2025.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March 31, 2025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59">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2024 10-K the risk factors which materially affect our business, financial condition or results of operations. There have been no material changes from the risk factors previously disclosed. You should carefully consider the risk factors set forth in our 2024 10-K.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2025, the Company announced the commencement of a secondary public offering of 6,346,105</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shares of its Common Stock by the SCA Horus Stockholder. Upon completion of the secondary public offering, the SCA Horus Stockholder did not own any shares of the Company’s Common</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The Company did not receive any of the proceeds from the offering. The Company received authorization from its Board of Directors to repurchase up to $10,000 of its Common Stock in connection with this offering. The underwriters agreed to sell to the Company, and the Company agreed to purchase up to $10,000 of the Company's Common Stock from the underwriters equal to the price at which the underwriter purchased the shares from the SCA Horus Stockholder. As part of this transaction, the Company repurchased 630,914 shares of its Common Stock, for a total cost of $10,000, or an average price of $15.85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 the Company did not have any remaining authorization from its Board of Directors to repurchase its Common Stock.</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Subsequent to March 31, 2025, the Company's Board of Directors authorized $25,000 to be used to repurchase shares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Condensed Consolidated Financial Statements included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2025, our directors and executive officers did not adopt, terminate, or modify any instructions or written plans for the sale or purchase of our securities that would be intended to satisfy the affirmative defense conditions of Rule 10b5-1(c).</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2025, we announced that William Trousdale was appointed as Interim Chief Financial Officer and Principal Financial and Accounting Officer, effective as of April 17, 2025, following the resignation of Dave Davis, our former President and Chief Financial Officer. On April 30, 2025, the Compensation and Human Resources Committee of the Company’s Board of Directors approved a grant of time-based restricted stock units having a grant date value of $115,000 to Mr. Trousdale in connection with his appointment to the position of Interim Chief Financial Officer. The restricted stock units will vest in equal annual installments over three years and will otherwise be subject to the Company’s form of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gridSpan w:val="16"/>
          </w:tcPr>
          <w:p>
            <w:pPr>
              <w:spacing w:after="0"/>
              <w:rPr>
                <w:rFonts w:ascii="Arial" w:cs="Arial" w:eastAsia="Arial" w:hAnsi="Arial"/>
                <w:sz w:val="18"/>
                <w:szCs w:val="18"/>
                <w:color w:val="0000FF"/>
              </w:rPr>
            </w:pPr>
            <w:hyperlink r:id="rId96">
              <w:r>
                <w:rPr>
                  <w:rFonts w:ascii="Arial" w:cs="Arial" w:eastAsia="Arial" w:hAnsi="Arial"/>
                  <w:sz w:val="18"/>
                  <w:szCs w:val="18"/>
                  <w:color w:val="0000FF"/>
                </w:rPr>
                <w:t>Credit Card Program Agreement, dated as of March 17, 2025, between Sun Country, Inc. and Synchrony Bank (incorporated</w:t>
              </w:r>
            </w:hyperlink>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by reference to Exhibit 10.1 to Sun Country Airlines Holdings, Inc.'s Form 8-K filed with the Securities and Exchange</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6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Commission on March 20, 2025)</w:t>
              </w:r>
            </w:hyperlink>
          </w:p>
        </w:tc>
        <w:tc>
          <w:tcPr>
            <w:tcW w:w="6640" w:type="dxa"/>
            <w:vAlign w:val="bottom"/>
            <w:tcBorders>
              <w:top w:val="single" w:sz="8" w:color="0000FF"/>
            </w:tcBorders>
            <w:gridSpan w:val="6"/>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0020" w:type="dxa"/>
            <w:vAlign w:val="bottom"/>
            <w:gridSpan w:val="16"/>
          </w:tcPr>
          <w:p>
            <w:pPr>
              <w:spacing w:after="0"/>
              <w:rPr>
                <w:sz w:val="20"/>
                <w:szCs w:val="20"/>
                <w:color w:val="auto"/>
              </w:rPr>
            </w:pPr>
            <w:r>
              <w:rPr>
                <w:rFonts w:ascii="Arial" w:cs="Arial" w:eastAsia="Arial" w:hAnsi="Arial"/>
                <w:sz w:val="18"/>
                <w:szCs w:val="18"/>
                <w:color w:val="0000FF"/>
              </w:rPr>
              <w:t>Revolving Credit Facility, dated as of March 24, 2025, between Sun Country, Inc, and MUFG Bank, ltd and Sumitomo Mitsui</w:t>
            </w:r>
          </w:p>
        </w:tc>
      </w:tr>
      <w:tr>
        <w:trPr>
          <w:trHeight w:val="156"/>
        </w:trPr>
        <w:tc>
          <w:tcPr>
            <w:tcW w:w="114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Banking Corporation as lenders, and UMB Bank, National Association, as administrative Agent</w:t>
            </w:r>
          </w:p>
        </w:tc>
        <w:tc>
          <w:tcPr>
            <w:tcW w:w="23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0020" w:type="dxa"/>
            <w:vAlign w:val="bottom"/>
            <w:gridSpan w:val="16"/>
          </w:tcPr>
          <w:p>
            <w:pPr>
              <w:spacing w:after="0"/>
              <w:rPr>
                <w:rFonts w:ascii="Arial" w:cs="Arial" w:eastAsia="Arial" w:hAnsi="Arial"/>
                <w:sz w:val="18"/>
                <w:szCs w:val="18"/>
                <w:color w:val="0000FF"/>
              </w:rPr>
            </w:pPr>
            <w:hyperlink r:id="rId97">
              <w:r>
                <w:rPr>
                  <w:rFonts w:ascii="Arial" w:cs="Arial" w:eastAsia="Arial" w:hAnsi="Arial"/>
                  <w:sz w:val="18"/>
                  <w:szCs w:val="18"/>
                  <w:color w:val="0000FF"/>
                </w:rPr>
                <w:t>Underwriting Agreement, dated as of February 10, 2025, among Sun Country Airlines Holdings, Inc., SCA Horus Holdings,</w:t>
              </w:r>
            </w:hyperlink>
          </w:p>
        </w:tc>
      </w:tr>
      <w:tr>
        <w:trPr>
          <w:trHeight w:val="156"/>
        </w:trPr>
        <w:tc>
          <w:tcPr>
            <w:tcW w:w="11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8"/>
              </w:rPr>
            </w:pPr>
            <w:hyperlink r:id="rId97">
              <w:r>
                <w:rPr>
                  <w:rFonts w:ascii="Arial" w:cs="Arial" w:eastAsia="Arial" w:hAnsi="Arial"/>
                  <w:sz w:val="18"/>
                  <w:szCs w:val="18"/>
                  <w:color w:val="0000FF"/>
                  <w:w w:val="98"/>
                </w:rPr>
                <w:t>LLC as the selling stockholder, and the underwriters named therein (incorporated by reference to Exhibit 1.1 to Sun Country</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9860" w:type="dxa"/>
            <w:vAlign w:val="bottom"/>
            <w:gridSpan w:val="13"/>
          </w:tcPr>
          <w:p>
            <w:pPr>
              <w:spacing w:after="0" w:line="169" w:lineRule="exact"/>
              <w:rPr>
                <w:rFonts w:ascii="Arial" w:cs="Arial" w:eastAsia="Arial" w:hAnsi="Arial"/>
                <w:sz w:val="18"/>
                <w:szCs w:val="18"/>
                <w:color w:val="0000FF"/>
              </w:rPr>
            </w:pPr>
            <w:hyperlink r:id="rId97">
              <w:r>
                <w:rPr>
                  <w:rFonts w:ascii="Arial" w:cs="Arial" w:eastAsia="Arial" w:hAnsi="Arial"/>
                  <w:sz w:val="18"/>
                  <w:szCs w:val="18"/>
                  <w:color w:val="0000FF"/>
                </w:rPr>
                <w:t>Airlines Holdings, Inc.’s Form 8-K filed with the Securities and Exchange Commission on February 11, 2025)</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16"/>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5"/>
        </w:trPr>
        <w:tc>
          <w:tcPr>
            <w:tcW w:w="1140" w:type="dxa"/>
            <w:vAlign w:val="bottom"/>
          </w:tcPr>
          <w:p>
            <w:pPr>
              <w:spacing w:after="0"/>
              <w:rPr>
                <w:sz w:val="13"/>
                <w:szCs w:val="13"/>
                <w:color w:val="auto"/>
              </w:rPr>
            </w:pPr>
          </w:p>
        </w:tc>
        <w:tc>
          <w:tcPr>
            <w:tcW w:w="976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quarterly period ended March 31, 2025</w:t>
            </w:r>
          </w:p>
        </w:tc>
        <w:tc>
          <w:tcPr>
            <w:tcW w:w="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16"/>
          </w:tcPr>
          <w:p>
            <w:pPr>
              <w:spacing w:after="0"/>
              <w:rPr>
                <w:sz w:val="20"/>
                <w:szCs w:val="20"/>
                <w:color w:val="auto"/>
              </w:rPr>
            </w:pPr>
            <w:r>
              <w:rPr>
                <w:rFonts w:ascii="Arial" w:cs="Arial" w:eastAsia="Arial" w:hAnsi="Arial"/>
                <w:sz w:val="18"/>
                <w:szCs w:val="18"/>
                <w:color w:val="0000FF"/>
              </w:rPr>
              <w:t>Certification by Sun Country’s Interim Chief Financial Officer and Senior Vice President with respect to Sun Country's</w:t>
            </w:r>
          </w:p>
        </w:tc>
      </w:tr>
      <w:tr>
        <w:trPr>
          <w:trHeight w:val="155"/>
        </w:trPr>
        <w:tc>
          <w:tcPr>
            <w:tcW w:w="114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9"/>
              </w:rPr>
              <w:t>Quarterly Report on Form 10-Q for the quarterly period ended March 31, 2025</w:t>
            </w:r>
          </w:p>
        </w:tc>
        <w:tc>
          <w:tcPr>
            <w:tcW w:w="3080" w:type="dxa"/>
            <w:vAlign w:val="bottom"/>
            <w:tcBorders>
              <w:top w:val="single" w:sz="8" w:color="0000FF"/>
            </w:tcBorders>
            <w:gridSpan w:val="4"/>
          </w:tcPr>
          <w:p>
            <w:pPr>
              <w:spacing w:after="0"/>
              <w:rPr>
                <w:sz w:val="13"/>
                <w:szCs w:val="13"/>
                <w:color w:val="auto"/>
              </w:rPr>
            </w:pPr>
          </w:p>
        </w:tc>
        <w:tc>
          <w:tcPr>
            <w:tcW w:w="52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pursuant to Section 1350 of Chapter 63 of Title 18 of the United States Code by Sun Country Airlines Holdings,</w:t>
            </w:r>
          </w:p>
        </w:tc>
        <w:tc>
          <w:tcPr>
            <w:tcW w:w="200" w:type="dxa"/>
            <w:vAlign w:val="bottom"/>
            <w:gridSpan w:val="5"/>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10020" w:type="dxa"/>
            <w:vAlign w:val="bottom"/>
            <w:gridSpan w:val="16"/>
          </w:tcPr>
          <w:p>
            <w:pPr>
              <w:spacing w:after="0" w:line="156" w:lineRule="exact"/>
              <w:rPr>
                <w:sz w:val="20"/>
                <w:szCs w:val="20"/>
                <w:color w:val="auto"/>
              </w:rPr>
            </w:pPr>
            <w:r>
              <w:rPr>
                <w:rFonts w:ascii="Arial" w:cs="Arial" w:eastAsia="Arial" w:hAnsi="Arial"/>
                <w:sz w:val="18"/>
                <w:szCs w:val="18"/>
                <w:color w:val="0000FF"/>
                <w:w w:val="99"/>
              </w:rPr>
              <w:t>Inc.’s Chief Executive Officer and Interim Chief Financial Officer with respect to Sun Country's Quarterly Report on Form 10-Q</w:t>
            </w:r>
          </w:p>
        </w:tc>
      </w:tr>
      <w:tr>
        <w:trPr>
          <w:trHeight w:val="169"/>
        </w:trPr>
        <w:tc>
          <w:tcPr>
            <w:tcW w:w="1140" w:type="dxa"/>
            <w:vAlign w:val="bottom"/>
          </w:tcPr>
          <w:p>
            <w:pPr>
              <w:spacing w:after="0"/>
              <w:rPr>
                <w:sz w:val="14"/>
                <w:szCs w:val="14"/>
                <w:color w:val="auto"/>
              </w:rPr>
            </w:pPr>
          </w:p>
        </w:tc>
        <w:tc>
          <w:tcPr>
            <w:tcW w:w="1000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for the quarterly period ended March 31, 2025</w:t>
            </w: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9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86"/>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20" w:type="dxa"/>
            <w:vAlign w:val="bottom"/>
            <w:gridSpan w:val="16"/>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440" w:hanging="414"/>
        <w:spacing w:after="0"/>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40" w:hanging="414"/>
        <w:spacing w:after="0" w:line="285"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portions of this exhibit have been redacted pursuant to Item 601(b)(10)(iv) of Regulation S-K. The Company agrees to furnish supplementally an unredacted copy of the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Sun Country Airlines Holdings, Inc.</w:t>
      </w:r>
    </w:p>
    <w:p>
      <w:pPr>
        <w:ind w:left="5140"/>
        <w:spacing w:after="0"/>
        <w:rPr>
          <w:sz w:val="20"/>
          <w:szCs w:val="20"/>
          <w:color w:val="auto"/>
        </w:rPr>
      </w:pPr>
      <w:r>
        <w:rPr>
          <w:rFonts w:ascii="Arial" w:cs="Arial" w:eastAsia="Arial" w:hAnsi="Arial"/>
          <w:sz w:val="18"/>
          <w:szCs w:val="18"/>
          <w:color w:val="auto"/>
        </w:rPr>
        <w:t>(Registrant)</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William Trousdale</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Interim Chief Financial Officer and Senior Vice President</w:t>
      </w:r>
    </w:p>
    <w:p>
      <w:pPr>
        <w:ind w:left="5140"/>
        <w:spacing w:after="0"/>
        <w:rPr>
          <w:sz w:val="20"/>
          <w:szCs w:val="20"/>
          <w:color w:val="auto"/>
        </w:rPr>
      </w:pPr>
      <w:r>
        <w:rPr>
          <w:rFonts w:ascii="Arial" w:cs="Arial" w:eastAsia="Arial" w:hAnsi="Arial"/>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2"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708660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March 24, 2025</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3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SUN COUNTRY, INC. (d/b/a Sun Country Airlines),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UMB BANK, N.A.,</w:t>
      </w:r>
    </w:p>
    <w:p>
      <w:pPr>
        <w:spacing w:after="0" w:line="23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as Administrative Agent and as Security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MUFG BANK, LTD.,</w:t>
      </w:r>
    </w:p>
    <w:p>
      <w:pPr>
        <w:spacing w:after="0" w:line="2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200" w:lineRule="exact"/>
        <w:rPr>
          <w:sz w:val="20"/>
          <w:szCs w:val="20"/>
          <w:color w:val="auto"/>
        </w:rPr>
      </w:pP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MUFG BANK, LTD. and SUMITOMO MITSUI BANKING CORPORATION,</w:t>
      </w:r>
    </w:p>
    <w:p>
      <w:pPr>
        <w:spacing w:after="0" w:line="25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as Joint Lead Arrangers</w:t>
      </w:r>
    </w:p>
    <w:p>
      <w:pPr>
        <w:sectPr>
          <w:pgSz w:w="11900" w:h="16838" w:orient="portrait"/>
          <w:cols w:equalWidth="0" w:num="1">
            <w:col w:w="10120"/>
          </w:cols>
          <w:pgMar w:left="1440" w:top="9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86"/>
        </w:trPr>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40" w:type="dxa"/>
            <w:vAlign w:val="bottom"/>
            <w:gridSpan w:val="11"/>
          </w:tcPr>
          <w:p>
            <w:pPr>
              <w:jc w:val="center"/>
              <w:ind w:right="4472"/>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3"/>
              </w:rPr>
              <w:t>Section 1.01.</w:t>
            </w:r>
          </w:p>
        </w:tc>
        <w:tc>
          <w:tcPr>
            <w:tcW w:w="240" w:type="dxa"/>
            <w:vAlign w:val="bottom"/>
          </w:tcPr>
          <w:p>
            <w:pPr>
              <w:spacing w:after="0"/>
              <w:rPr>
                <w:sz w:val="24"/>
                <w:szCs w:val="24"/>
                <w:color w:val="auto"/>
              </w:rPr>
            </w:pPr>
          </w:p>
        </w:tc>
        <w:tc>
          <w:tcPr>
            <w:tcW w:w="2760" w:type="dxa"/>
            <w:vAlign w:val="bottom"/>
            <w:gridSpan w:val="17"/>
            <w:vMerge w:val="restart"/>
          </w:tcPr>
          <w:p>
            <w:pPr>
              <w:ind w:left="20"/>
              <w:spacing w:after="0"/>
              <w:rPr>
                <w:sz w:val="20"/>
                <w:szCs w:val="20"/>
                <w:color w:val="auto"/>
              </w:rPr>
            </w:pPr>
            <w:r>
              <w:rPr>
                <w:rFonts w:ascii="Times New Roman" w:cs="Times New Roman" w:eastAsia="Times New Roman" w:hAnsi="Times New Roman"/>
                <w:sz w:val="22"/>
                <w:szCs w:val="22"/>
                <w:color w:val="0000FF"/>
              </w:rPr>
              <w:t xml:space="preserve">Defined Terms  </w:t>
            </w:r>
            <w:r>
              <w:rPr>
                <w:rFonts w:ascii="Times New Roman" w:cs="Times New Roman" w:eastAsia="Times New Roman" w:hAnsi="Times New Roman"/>
                <w:sz w:val="22"/>
                <w:szCs w:val="22"/>
                <w:color w:val="000000"/>
              </w:rPr>
              <w:t>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204"/>
        </w:trPr>
        <w:tc>
          <w:tcPr>
            <w:tcW w:w="1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17"/>
            <w:vMerge w:val="continue"/>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1.02.</w:t>
            </w:r>
          </w:p>
        </w:tc>
        <w:tc>
          <w:tcPr>
            <w:tcW w:w="240" w:type="dxa"/>
            <w:vAlign w:val="bottom"/>
          </w:tcPr>
          <w:p>
            <w:pPr>
              <w:spacing w:after="0"/>
              <w:rPr>
                <w:sz w:val="22"/>
                <w:szCs w:val="22"/>
                <w:color w:val="auto"/>
              </w:rPr>
            </w:pPr>
          </w:p>
        </w:tc>
        <w:tc>
          <w:tcPr>
            <w:tcW w:w="15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0000FF"/>
                <w:w w:val="98"/>
              </w:rPr>
              <w:t>Terms Generally</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49</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1.03.</w:t>
            </w:r>
          </w:p>
        </w:tc>
        <w:tc>
          <w:tcPr>
            <w:tcW w:w="240" w:type="dxa"/>
            <w:vAlign w:val="bottom"/>
          </w:tcPr>
          <w:p>
            <w:pPr>
              <w:spacing w:after="0"/>
              <w:rPr>
                <w:sz w:val="21"/>
                <w:szCs w:val="21"/>
                <w:color w:val="auto"/>
              </w:rPr>
            </w:pPr>
          </w:p>
        </w:tc>
        <w:tc>
          <w:tcPr>
            <w:tcW w:w="2760" w:type="dxa"/>
            <w:vAlign w:val="bottom"/>
            <w:gridSpan w:val="17"/>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Accounting Terms; GAAP  </w:t>
            </w:r>
            <w:r>
              <w:rPr>
                <w:rFonts w:ascii="Times New Roman" w:cs="Times New Roman" w:eastAsia="Times New Roman" w:hAnsi="Times New Roman"/>
                <w:sz w:val="22"/>
                <w:szCs w:val="22"/>
                <w:color w:val="000000"/>
              </w:rPr>
              <w:t>50</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1.04.</w:t>
            </w:r>
          </w:p>
        </w:tc>
        <w:tc>
          <w:tcPr>
            <w:tcW w:w="240" w:type="dxa"/>
            <w:vAlign w:val="bottom"/>
          </w:tcPr>
          <w:p>
            <w:pPr>
              <w:spacing w:after="0"/>
              <w:rPr>
                <w:sz w:val="22"/>
                <w:szCs w:val="22"/>
                <w:color w:val="auto"/>
              </w:rPr>
            </w:pP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0000FF"/>
              </w:rPr>
              <w:t>Divisions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1.05.</w:t>
            </w:r>
          </w:p>
        </w:tc>
        <w:tc>
          <w:tcPr>
            <w:tcW w:w="240" w:type="dxa"/>
            <w:vAlign w:val="bottom"/>
          </w:tcPr>
          <w:p>
            <w:pPr>
              <w:spacing w:after="0"/>
              <w:rPr>
                <w:sz w:val="21"/>
                <w:szCs w:val="21"/>
                <w:color w:val="auto"/>
              </w:rPr>
            </w:pPr>
          </w:p>
        </w:tc>
        <w:tc>
          <w:tcPr>
            <w:tcW w:w="640" w:type="dxa"/>
            <w:vAlign w:val="bottom"/>
            <w:gridSpan w:val="4"/>
          </w:tcPr>
          <w:p>
            <w:pPr>
              <w:ind w:left="20"/>
              <w:spacing w:after="0" w:line="250" w:lineRule="exact"/>
              <w:rPr>
                <w:sz w:val="20"/>
                <w:szCs w:val="20"/>
                <w:color w:val="auto"/>
              </w:rPr>
            </w:pPr>
            <w:r>
              <w:rPr>
                <w:rFonts w:ascii="Times New Roman" w:cs="Times New Roman" w:eastAsia="Times New Roman" w:hAnsi="Times New Roman"/>
                <w:sz w:val="22"/>
                <w:szCs w:val="22"/>
                <w:color w:val="0000FF"/>
              </w:rPr>
              <w:t>Rates</w:t>
            </w:r>
          </w:p>
        </w:tc>
        <w:tc>
          <w:tcPr>
            <w:tcW w:w="380" w:type="dxa"/>
            <w:vAlign w:val="bottom"/>
            <w:gridSpan w:val="2"/>
          </w:tcPr>
          <w:p>
            <w:pPr>
              <w:jc w:val="right"/>
              <w:ind w:right="100"/>
              <w:spacing w:after="0" w:line="250" w:lineRule="exact"/>
              <w:rPr>
                <w:sz w:val="20"/>
                <w:szCs w:val="20"/>
                <w:color w:val="auto"/>
              </w:rPr>
            </w:pPr>
            <w:r>
              <w:rPr>
                <w:rFonts w:ascii="Times New Roman" w:cs="Times New Roman" w:eastAsia="Times New Roman" w:hAnsi="Times New Roman"/>
                <w:sz w:val="22"/>
                <w:szCs w:val="22"/>
                <w:color w:val="auto"/>
              </w:rPr>
              <w:t>50</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420" w:type="dxa"/>
            <w:vAlign w:val="bottom"/>
            <w:gridSpan w:val="20"/>
          </w:tcPr>
          <w:p>
            <w:pPr>
              <w:spacing w:after="0"/>
              <w:rPr>
                <w:sz w:val="20"/>
                <w:szCs w:val="20"/>
                <w:color w:val="auto"/>
              </w:rPr>
            </w:pPr>
            <w:r>
              <w:rPr>
                <w:rFonts w:ascii="Times New Roman" w:cs="Times New Roman" w:eastAsia="Times New Roman" w:hAnsi="Times New Roman"/>
                <w:sz w:val="22"/>
                <w:szCs w:val="22"/>
                <w:color w:val="0000FF"/>
              </w:rPr>
              <w:t xml:space="preserve">SECTION 2. AMOUNT AND TERMS OF CREDIT  </w:t>
            </w:r>
            <w:r>
              <w:rPr>
                <w:rFonts w:ascii="Times New Roman" w:cs="Times New Roman" w:eastAsia="Times New Roman" w:hAnsi="Times New Roman"/>
                <w:sz w:val="22"/>
                <w:szCs w:val="22"/>
                <w:color w:val="000000"/>
              </w:rPr>
              <w:t>51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11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93"/>
              </w:rPr>
              <w:t>Section 2.01.</w:t>
            </w:r>
          </w:p>
        </w:tc>
        <w:tc>
          <w:tcPr>
            <w:tcW w:w="240" w:type="dxa"/>
            <w:vAlign w:val="bottom"/>
          </w:tcPr>
          <w:p>
            <w:pPr>
              <w:spacing w:after="0"/>
              <w:rPr>
                <w:sz w:val="20"/>
                <w:szCs w:val="20"/>
                <w:color w:val="auto"/>
              </w:rPr>
            </w:pPr>
          </w:p>
        </w:tc>
        <w:tc>
          <w:tcPr>
            <w:tcW w:w="2760" w:type="dxa"/>
            <w:vAlign w:val="bottom"/>
            <w:gridSpan w:val="17"/>
          </w:tcPr>
          <w:p>
            <w:pPr>
              <w:ind w:left="20"/>
              <w:spacing w:after="0" w:line="237" w:lineRule="exact"/>
              <w:rPr>
                <w:sz w:val="20"/>
                <w:szCs w:val="20"/>
                <w:color w:val="auto"/>
              </w:rPr>
            </w:pPr>
            <w:r>
              <w:rPr>
                <w:rFonts w:ascii="Times New Roman" w:cs="Times New Roman" w:eastAsia="Times New Roman" w:hAnsi="Times New Roman"/>
                <w:sz w:val="22"/>
                <w:szCs w:val="22"/>
                <w:color w:val="0000FF"/>
              </w:rPr>
              <w:t>Commitments of the Lenders</w:t>
            </w:r>
          </w:p>
        </w:tc>
        <w:tc>
          <w:tcPr>
            <w:tcW w:w="680" w:type="dxa"/>
            <w:vAlign w:val="bottom"/>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w w:val="90"/>
              </w:rPr>
              <w:t>51</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2.02.</w:t>
            </w:r>
          </w:p>
        </w:tc>
        <w:tc>
          <w:tcPr>
            <w:tcW w:w="240" w:type="dxa"/>
            <w:vAlign w:val="bottom"/>
          </w:tcPr>
          <w:p>
            <w:pPr>
              <w:spacing w:after="0"/>
              <w:rPr>
                <w:sz w:val="21"/>
                <w:szCs w:val="21"/>
                <w:color w:val="auto"/>
              </w:rPr>
            </w:pPr>
          </w:p>
        </w:tc>
        <w:tc>
          <w:tcPr>
            <w:tcW w:w="1520" w:type="dxa"/>
            <w:vAlign w:val="bottom"/>
            <w:gridSpan w:val="10"/>
          </w:tcPr>
          <w:p>
            <w:pPr>
              <w:ind w:left="20"/>
              <w:spacing w:after="0" w:line="250" w:lineRule="exact"/>
              <w:rPr>
                <w:sz w:val="20"/>
                <w:szCs w:val="20"/>
                <w:color w:val="auto"/>
              </w:rPr>
            </w:pPr>
            <w:r>
              <w:rPr>
                <w:rFonts w:ascii="Times New Roman" w:cs="Times New Roman" w:eastAsia="Times New Roman" w:hAnsi="Times New Roman"/>
                <w:sz w:val="22"/>
                <w:szCs w:val="22"/>
                <w:color w:val="0000FF"/>
              </w:rPr>
              <w:t>Letters of Credit</w:t>
            </w:r>
          </w:p>
        </w:tc>
        <w:tc>
          <w:tcPr>
            <w:tcW w:w="420" w:type="dxa"/>
            <w:vAlign w:val="bottom"/>
            <w:gridSpan w:val="2"/>
          </w:tcPr>
          <w:p>
            <w:pPr>
              <w:jc w:val="right"/>
              <w:ind w:right="60"/>
              <w:spacing w:after="0" w:line="250" w:lineRule="exact"/>
              <w:rPr>
                <w:sz w:val="20"/>
                <w:szCs w:val="20"/>
                <w:color w:val="auto"/>
              </w:rPr>
            </w:pPr>
            <w:r>
              <w:rPr>
                <w:rFonts w:ascii="Times New Roman" w:cs="Times New Roman" w:eastAsia="Times New Roman" w:hAnsi="Times New Roman"/>
                <w:sz w:val="22"/>
                <w:szCs w:val="22"/>
                <w:color w:val="auto"/>
              </w:rPr>
              <w:t>51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2.03.</w:t>
            </w:r>
          </w:p>
        </w:tc>
        <w:tc>
          <w:tcPr>
            <w:tcW w:w="240" w:type="dxa"/>
            <w:vAlign w:val="bottom"/>
          </w:tcPr>
          <w:p>
            <w:pPr>
              <w:spacing w:after="0"/>
              <w:rPr>
                <w:sz w:val="22"/>
                <w:szCs w:val="22"/>
                <w:color w:val="auto"/>
              </w:rPr>
            </w:pPr>
          </w:p>
        </w:tc>
        <w:tc>
          <w:tcPr>
            <w:tcW w:w="2760" w:type="dxa"/>
            <w:vAlign w:val="bottom"/>
            <w:gridSpan w:val="17"/>
          </w:tcPr>
          <w:p>
            <w:pPr>
              <w:ind w:left="20"/>
              <w:spacing w:after="0"/>
              <w:rPr>
                <w:sz w:val="20"/>
                <w:szCs w:val="20"/>
                <w:color w:val="auto"/>
              </w:rPr>
            </w:pPr>
            <w:r>
              <w:rPr>
                <w:rFonts w:ascii="Times New Roman" w:cs="Times New Roman" w:eastAsia="Times New Roman" w:hAnsi="Times New Roman"/>
                <w:sz w:val="22"/>
                <w:szCs w:val="22"/>
                <w:color w:val="0000FF"/>
              </w:rPr>
              <w:t xml:space="preserve">Requests for Loans  </w:t>
            </w:r>
            <w:r>
              <w:rPr>
                <w:rFonts w:ascii="Times New Roman" w:cs="Times New Roman" w:eastAsia="Times New Roman" w:hAnsi="Times New Roman"/>
                <w:sz w:val="22"/>
                <w:szCs w:val="22"/>
                <w:color w:val="000000"/>
              </w:rPr>
              <w:t>57</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2.04.</w:t>
            </w:r>
          </w:p>
        </w:tc>
        <w:tc>
          <w:tcPr>
            <w:tcW w:w="240" w:type="dxa"/>
            <w:vAlign w:val="bottom"/>
          </w:tcPr>
          <w:p>
            <w:pPr>
              <w:spacing w:after="0"/>
              <w:rPr>
                <w:sz w:val="21"/>
                <w:szCs w:val="21"/>
                <w:color w:val="auto"/>
              </w:rPr>
            </w:pPr>
          </w:p>
        </w:tc>
        <w:tc>
          <w:tcPr>
            <w:tcW w:w="1520" w:type="dxa"/>
            <w:vAlign w:val="bottom"/>
            <w:gridSpan w:val="10"/>
          </w:tcPr>
          <w:p>
            <w:pPr>
              <w:ind w:left="20"/>
              <w:spacing w:after="0" w:line="250" w:lineRule="exact"/>
              <w:rPr>
                <w:sz w:val="20"/>
                <w:szCs w:val="20"/>
                <w:color w:val="auto"/>
              </w:rPr>
            </w:pPr>
            <w:r>
              <w:rPr>
                <w:rFonts w:ascii="Times New Roman" w:cs="Times New Roman" w:eastAsia="Times New Roman" w:hAnsi="Times New Roman"/>
                <w:sz w:val="22"/>
                <w:szCs w:val="22"/>
                <w:color w:val="0000FF"/>
                <w:w w:val="93"/>
              </w:rPr>
              <w:t>Funding of Loans</w:t>
            </w:r>
          </w:p>
        </w:tc>
        <w:tc>
          <w:tcPr>
            <w:tcW w:w="740" w:type="dxa"/>
            <w:vAlign w:val="bottom"/>
            <w:gridSpan w:val="3"/>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rPr>
              <w:t>57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2.05.</w:t>
            </w:r>
          </w:p>
        </w:tc>
        <w:tc>
          <w:tcPr>
            <w:tcW w:w="240" w:type="dxa"/>
            <w:vAlign w:val="bottom"/>
          </w:tcPr>
          <w:p>
            <w:pPr>
              <w:spacing w:after="0"/>
              <w:rPr>
                <w:sz w:val="22"/>
                <w:szCs w:val="22"/>
                <w:color w:val="auto"/>
              </w:rPr>
            </w:pPr>
          </w:p>
        </w:tc>
        <w:tc>
          <w:tcPr>
            <w:tcW w:w="2760" w:type="dxa"/>
            <w:vAlign w:val="bottom"/>
            <w:gridSpan w:val="17"/>
          </w:tcPr>
          <w:p>
            <w:pPr>
              <w:ind w:left="20"/>
              <w:spacing w:after="0"/>
              <w:rPr>
                <w:sz w:val="20"/>
                <w:szCs w:val="20"/>
                <w:color w:val="auto"/>
              </w:rPr>
            </w:pPr>
            <w:r>
              <w:rPr>
                <w:rFonts w:ascii="Times New Roman" w:cs="Times New Roman" w:eastAsia="Times New Roman" w:hAnsi="Times New Roman"/>
                <w:sz w:val="22"/>
                <w:szCs w:val="22"/>
                <w:color w:val="0000FF"/>
              </w:rPr>
              <w:t>Limitation on SOFR Tranches</w:t>
            </w:r>
          </w:p>
        </w:tc>
        <w:tc>
          <w:tcPr>
            <w:tcW w:w="68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58</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2.06.</w:t>
            </w:r>
          </w:p>
        </w:tc>
        <w:tc>
          <w:tcPr>
            <w:tcW w:w="240" w:type="dxa"/>
            <w:vAlign w:val="bottom"/>
          </w:tcPr>
          <w:p>
            <w:pPr>
              <w:spacing w:after="0"/>
              <w:rPr>
                <w:sz w:val="21"/>
                <w:szCs w:val="21"/>
                <w:color w:val="auto"/>
              </w:rPr>
            </w:pPr>
          </w:p>
        </w:tc>
        <w:tc>
          <w:tcPr>
            <w:tcW w:w="1520" w:type="dxa"/>
            <w:vAlign w:val="bottom"/>
            <w:gridSpan w:val="10"/>
          </w:tcPr>
          <w:p>
            <w:pPr>
              <w:ind w:left="20"/>
              <w:spacing w:after="0" w:line="250" w:lineRule="exact"/>
              <w:rPr>
                <w:sz w:val="20"/>
                <w:szCs w:val="20"/>
                <w:color w:val="auto"/>
              </w:rPr>
            </w:pPr>
            <w:r>
              <w:rPr>
                <w:rFonts w:ascii="Times New Roman" w:cs="Times New Roman" w:eastAsia="Times New Roman" w:hAnsi="Times New Roman"/>
                <w:sz w:val="22"/>
                <w:szCs w:val="22"/>
                <w:color w:val="0000FF"/>
                <w:w w:val="95"/>
              </w:rPr>
              <w:t>Interest on Loans</w:t>
            </w:r>
          </w:p>
        </w:tc>
        <w:tc>
          <w:tcPr>
            <w:tcW w:w="740" w:type="dxa"/>
            <w:vAlign w:val="bottom"/>
            <w:gridSpan w:val="3"/>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rPr>
              <w:t>58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2.07.</w:t>
            </w:r>
          </w:p>
        </w:tc>
        <w:tc>
          <w:tcPr>
            <w:tcW w:w="240" w:type="dxa"/>
            <w:vAlign w:val="bottom"/>
          </w:tcPr>
          <w:p>
            <w:pPr>
              <w:spacing w:after="0"/>
              <w:rPr>
                <w:sz w:val="22"/>
                <w:szCs w:val="22"/>
                <w:color w:val="auto"/>
              </w:rPr>
            </w:pPr>
          </w:p>
        </w:tc>
        <w:tc>
          <w:tcPr>
            <w:tcW w:w="15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0000FF"/>
              </w:rPr>
              <w:t>Default Interest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59</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2.08.</w:t>
            </w:r>
          </w:p>
        </w:tc>
        <w:tc>
          <w:tcPr>
            <w:tcW w:w="240" w:type="dxa"/>
            <w:vAlign w:val="bottom"/>
          </w:tcPr>
          <w:p>
            <w:pPr>
              <w:spacing w:after="0"/>
              <w:rPr>
                <w:sz w:val="21"/>
                <w:szCs w:val="21"/>
                <w:color w:val="auto"/>
              </w:rPr>
            </w:pPr>
          </w:p>
        </w:tc>
        <w:tc>
          <w:tcPr>
            <w:tcW w:w="858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Repayment of Loans; Evidence of Debt  </w:t>
            </w:r>
            <w:r>
              <w:rPr>
                <w:rFonts w:ascii="Times New Roman" w:cs="Times New Roman" w:eastAsia="Times New Roman" w:hAnsi="Times New Roman"/>
                <w:sz w:val="22"/>
                <w:szCs w:val="22"/>
                <w:color w:val="000000"/>
              </w:rPr>
              <w:t>59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994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 xml:space="preserve">Section 2.09.  Optional Termination or Reduction of Revolving Commitments.  </w:t>
            </w:r>
            <w:r>
              <w:rPr>
                <w:rFonts w:ascii="Times New Roman" w:cs="Times New Roman" w:eastAsia="Times New Roman" w:hAnsi="Times New Roman"/>
                <w:sz w:val="22"/>
                <w:szCs w:val="22"/>
                <w:color w:val="000000"/>
              </w:rPr>
              <w:t>60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2.10.</w:t>
            </w:r>
          </w:p>
        </w:tc>
        <w:tc>
          <w:tcPr>
            <w:tcW w:w="240" w:type="dxa"/>
            <w:vAlign w:val="bottom"/>
          </w:tcPr>
          <w:p>
            <w:pPr>
              <w:spacing w:after="0"/>
              <w:rPr>
                <w:sz w:val="21"/>
                <w:szCs w:val="21"/>
                <w:color w:val="auto"/>
              </w:rPr>
            </w:pPr>
          </w:p>
        </w:tc>
        <w:tc>
          <w:tcPr>
            <w:tcW w:w="858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Mandatory Prepayment of Loans; Commitment Termination; Change of Control Offer  </w:t>
            </w:r>
            <w:r>
              <w:rPr>
                <w:rFonts w:ascii="Times New Roman" w:cs="Times New Roman" w:eastAsia="Times New Roman" w:hAnsi="Times New Roman"/>
                <w:sz w:val="22"/>
                <w:szCs w:val="22"/>
                <w:color w:val="000000"/>
              </w:rPr>
              <w:t>60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994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 xml:space="preserve">Section 2.11.  Optional Prepayment of Loans.  </w:t>
            </w:r>
            <w:r>
              <w:rPr>
                <w:rFonts w:ascii="Times New Roman" w:cs="Times New Roman" w:eastAsia="Times New Roman" w:hAnsi="Times New Roman"/>
                <w:sz w:val="22"/>
                <w:szCs w:val="22"/>
                <w:color w:val="000000"/>
              </w:rPr>
              <w:t>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120" w:type="dxa"/>
            <w:vAlign w:val="bottom"/>
            <w:gridSpan w:val="19"/>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2.12.  Increased Costs.  </w:t>
            </w:r>
            <w:r>
              <w:rPr>
                <w:rFonts w:ascii="Times New Roman" w:cs="Times New Roman" w:eastAsia="Times New Roman" w:hAnsi="Times New Roman"/>
                <w:sz w:val="22"/>
                <w:szCs w:val="22"/>
                <w:color w:val="000000"/>
              </w:rPr>
              <w:t>64</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4120" w:type="dxa"/>
            <w:vAlign w:val="bottom"/>
            <w:gridSpan w:val="19"/>
          </w:tcPr>
          <w:p>
            <w:pPr>
              <w:spacing w:after="0"/>
              <w:rPr>
                <w:sz w:val="20"/>
                <w:szCs w:val="20"/>
                <w:color w:val="auto"/>
              </w:rPr>
            </w:pPr>
            <w:r>
              <w:rPr>
                <w:rFonts w:ascii="Times New Roman" w:cs="Times New Roman" w:eastAsia="Times New Roman" w:hAnsi="Times New Roman"/>
                <w:sz w:val="22"/>
                <w:szCs w:val="22"/>
                <w:color w:val="0000FF"/>
              </w:rPr>
              <w:t xml:space="preserve">Section 2.13.  Break Funding Payments.  </w:t>
            </w:r>
            <w:r>
              <w:rPr>
                <w:rFonts w:ascii="Times New Roman" w:cs="Times New Roman" w:eastAsia="Times New Roman" w:hAnsi="Times New Roman"/>
                <w:sz w:val="22"/>
                <w:szCs w:val="22"/>
                <w:color w:val="000000"/>
              </w:rPr>
              <w:t>65</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2.14.</w:t>
            </w:r>
          </w:p>
        </w:tc>
        <w:tc>
          <w:tcPr>
            <w:tcW w:w="240" w:type="dxa"/>
            <w:vAlign w:val="bottom"/>
          </w:tcPr>
          <w:p>
            <w:pPr>
              <w:spacing w:after="0"/>
              <w:rPr>
                <w:sz w:val="22"/>
                <w:szCs w:val="22"/>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0000FF"/>
              </w:rPr>
              <w:t>Taxes.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66</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78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994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2.15.  Payments Generally; Pro Rata Treatment.  </w:t>
            </w:r>
            <w:r>
              <w:rPr>
                <w:rFonts w:ascii="Times New Roman" w:cs="Times New Roman" w:eastAsia="Times New Roman" w:hAnsi="Times New Roman"/>
                <w:sz w:val="22"/>
                <w:szCs w:val="22"/>
                <w:color w:val="000000"/>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2.16.</w:t>
            </w:r>
          </w:p>
        </w:tc>
        <w:tc>
          <w:tcPr>
            <w:tcW w:w="240" w:type="dxa"/>
            <w:vAlign w:val="bottom"/>
          </w:tcPr>
          <w:p>
            <w:pPr>
              <w:spacing w:after="0"/>
              <w:rPr>
                <w:sz w:val="22"/>
                <w:szCs w:val="22"/>
                <w:color w:val="auto"/>
              </w:rPr>
            </w:pP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0000FF"/>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2.17.</w:t>
            </w:r>
          </w:p>
        </w:tc>
        <w:tc>
          <w:tcPr>
            <w:tcW w:w="240" w:type="dxa"/>
            <w:vAlign w:val="bottom"/>
          </w:tcPr>
          <w:p>
            <w:pPr>
              <w:spacing w:after="0"/>
              <w:rPr>
                <w:sz w:val="21"/>
                <w:szCs w:val="21"/>
                <w:color w:val="auto"/>
              </w:rPr>
            </w:pPr>
          </w:p>
        </w:tc>
        <w:tc>
          <w:tcPr>
            <w:tcW w:w="8580" w:type="dxa"/>
            <w:vAlign w:val="bottom"/>
            <w:gridSpan w:val="23"/>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Mitigation Obligations; Replacement of Lenders.  </w:t>
            </w:r>
            <w:r>
              <w:rPr>
                <w:rFonts w:ascii="Times New Roman" w:cs="Times New Roman" w:eastAsia="Times New Roman" w:hAnsi="Times New Roman"/>
                <w:sz w:val="22"/>
                <w:szCs w:val="22"/>
                <w:color w:val="000000"/>
              </w:rPr>
              <w:t>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300"/>
        <w:spacing w:after="0"/>
        <w:tabs>
          <w:tab w:leader="none" w:pos="2660" w:val="left"/>
          <w:tab w:leader="none" w:pos="4020" w:val="left"/>
        </w:tabs>
        <w:rPr>
          <w:sz w:val="20"/>
          <w:szCs w:val="20"/>
          <w:color w:val="auto"/>
        </w:rPr>
      </w:pPr>
      <w:r>
        <w:rPr>
          <w:rFonts w:ascii="Times New Roman" w:cs="Times New Roman" w:eastAsia="Times New Roman" w:hAnsi="Times New Roman"/>
          <w:sz w:val="22"/>
          <w:szCs w:val="22"/>
          <w:u w:val="single" w:color="auto"/>
          <w:color w:val="0000FF"/>
        </w:rPr>
        <w:t>Section 2.18.</w:t>
      </w:r>
      <w:r>
        <w:rPr>
          <w:sz w:val="20"/>
          <w:szCs w:val="20"/>
          <w:color w:val="auto"/>
        </w:rPr>
        <w:tab/>
      </w:r>
      <w:r>
        <w:rPr>
          <w:rFonts w:ascii="Times New Roman" w:cs="Times New Roman" w:eastAsia="Times New Roman" w:hAnsi="Times New Roman"/>
          <w:sz w:val="22"/>
          <w:szCs w:val="22"/>
          <w:u w:val="single" w:color="auto"/>
          <w:color w:val="0000FF"/>
        </w:rPr>
        <w:t>Certain Fees.</w:t>
      </w:r>
      <w:r>
        <w:rPr>
          <w:sz w:val="20"/>
          <w:szCs w:val="20"/>
          <w:color w:val="auto"/>
        </w:rPr>
        <w:tab/>
      </w:r>
      <w:r>
        <w:rPr>
          <w:rFonts w:ascii="Times New Roman" w:cs="Times New Roman" w:eastAsia="Times New Roman" w:hAnsi="Times New Roman"/>
          <w:sz w:val="19"/>
          <w:szCs w:val="19"/>
          <w:color w:val="auto"/>
        </w:rPr>
        <w:t>72</w:t>
      </w:r>
    </w:p>
    <w:p>
      <w:pPr>
        <w:spacing w:after="0" w:line="29" w:lineRule="exact"/>
        <w:rPr>
          <w:sz w:val="20"/>
          <w:szCs w:val="20"/>
          <w:color w:val="auto"/>
        </w:rPr>
      </w:pPr>
    </w:p>
    <w:p>
      <w:pPr>
        <w:ind w:left="1300"/>
        <w:spacing w:after="0"/>
        <w:tabs>
          <w:tab w:leader="none" w:pos="2660" w:val="left"/>
          <w:tab w:leader="none" w:pos="4440" w:val="left"/>
        </w:tabs>
        <w:rPr>
          <w:sz w:val="20"/>
          <w:szCs w:val="20"/>
          <w:color w:val="auto"/>
        </w:rPr>
      </w:pPr>
      <w:r>
        <w:rPr>
          <w:rFonts w:ascii="Times New Roman" w:cs="Times New Roman" w:eastAsia="Times New Roman" w:hAnsi="Times New Roman"/>
          <w:sz w:val="22"/>
          <w:szCs w:val="22"/>
          <w:u w:val="single" w:color="auto"/>
          <w:color w:val="0000FF"/>
        </w:rPr>
        <w:t>Section 2.19.</w:t>
      </w:r>
      <w:r>
        <w:rPr>
          <w:sz w:val="20"/>
          <w:szCs w:val="20"/>
          <w:color w:val="auto"/>
        </w:rPr>
        <w:tab/>
      </w:r>
      <w:r>
        <w:rPr>
          <w:rFonts w:ascii="Times New Roman" w:cs="Times New Roman" w:eastAsia="Times New Roman" w:hAnsi="Times New Roman"/>
          <w:sz w:val="22"/>
          <w:szCs w:val="22"/>
          <w:u w:val="single" w:color="auto"/>
          <w:color w:val="0000FF"/>
        </w:rPr>
        <w:t>Commitment Fee.</w:t>
      </w:r>
      <w:r>
        <w:rPr>
          <w:sz w:val="20"/>
          <w:szCs w:val="20"/>
          <w:color w:val="auto"/>
        </w:rPr>
        <w:tab/>
      </w:r>
      <w:r>
        <w:rPr>
          <w:rFonts w:ascii="Times New Roman" w:cs="Times New Roman" w:eastAsia="Times New Roman" w:hAnsi="Times New Roman"/>
          <w:sz w:val="19"/>
          <w:szCs w:val="19"/>
          <w:color w:val="auto"/>
        </w:rPr>
        <w:t>73</w:t>
      </w:r>
    </w:p>
    <w:p>
      <w:pPr>
        <w:spacing w:after="0" w:line="18" w:lineRule="exact"/>
        <w:rPr>
          <w:sz w:val="20"/>
          <w:szCs w:val="20"/>
          <w:color w:val="auto"/>
        </w:rPr>
      </w:pPr>
    </w:p>
    <w:p>
      <w:pPr>
        <w:ind w:left="1300"/>
        <w:spacing w:after="0"/>
        <w:tabs>
          <w:tab w:leader="none" w:pos="2660" w:val="left"/>
          <w:tab w:leader="none" w:pos="4720" w:val="left"/>
        </w:tabs>
        <w:rPr>
          <w:sz w:val="20"/>
          <w:szCs w:val="20"/>
          <w:color w:val="auto"/>
        </w:rPr>
      </w:pPr>
      <w:r>
        <w:rPr>
          <w:rFonts w:ascii="Times New Roman" w:cs="Times New Roman" w:eastAsia="Times New Roman" w:hAnsi="Times New Roman"/>
          <w:sz w:val="22"/>
          <w:szCs w:val="22"/>
          <w:u w:val="single" w:color="auto"/>
          <w:color w:val="0000FF"/>
        </w:rPr>
        <w:t>Section 2.20.</w:t>
      </w:r>
      <w:r>
        <w:rPr>
          <w:sz w:val="20"/>
          <w:szCs w:val="20"/>
          <w:color w:val="auto"/>
        </w:rPr>
        <w:tab/>
      </w:r>
      <w:r>
        <w:rPr>
          <w:rFonts w:ascii="Times New Roman" w:cs="Times New Roman" w:eastAsia="Times New Roman" w:hAnsi="Times New Roman"/>
          <w:sz w:val="22"/>
          <w:szCs w:val="22"/>
          <w:u w:val="single" w:color="auto"/>
          <w:color w:val="0000FF"/>
        </w:rPr>
        <w:t>Letter of Credit Fees.</w:t>
      </w:r>
      <w:r>
        <w:rPr>
          <w:sz w:val="20"/>
          <w:szCs w:val="20"/>
          <w:color w:val="auto"/>
        </w:rPr>
        <w:tab/>
      </w:r>
      <w:r>
        <w:rPr>
          <w:rFonts w:ascii="Times New Roman" w:cs="Times New Roman" w:eastAsia="Times New Roman" w:hAnsi="Times New Roman"/>
          <w:sz w:val="22"/>
          <w:szCs w:val="22"/>
          <w:color w:val="auto"/>
        </w:rPr>
        <w:t>73</w:t>
      </w:r>
    </w:p>
    <w:p>
      <w:pPr>
        <w:spacing w:after="0" w:line="29" w:lineRule="exact"/>
        <w:rPr>
          <w:sz w:val="20"/>
          <w:szCs w:val="20"/>
          <w:color w:val="auto"/>
        </w:rPr>
      </w:pPr>
    </w:p>
    <w:p>
      <w:pPr>
        <w:ind w:left="1300"/>
        <w:spacing w:after="0"/>
        <w:tabs>
          <w:tab w:leader="none" w:pos="2660" w:val="left"/>
          <w:tab w:leader="none" w:pos="4200" w:val="left"/>
        </w:tabs>
        <w:rPr>
          <w:sz w:val="20"/>
          <w:szCs w:val="20"/>
          <w:color w:val="auto"/>
        </w:rPr>
      </w:pPr>
      <w:r>
        <w:rPr>
          <w:rFonts w:ascii="Times New Roman" w:cs="Times New Roman" w:eastAsia="Times New Roman" w:hAnsi="Times New Roman"/>
          <w:sz w:val="22"/>
          <w:szCs w:val="22"/>
          <w:u w:val="single" w:color="auto"/>
          <w:color w:val="0000FF"/>
        </w:rPr>
        <w:t>Section 2.21.</w:t>
      </w:r>
      <w:r>
        <w:rPr>
          <w:sz w:val="20"/>
          <w:szCs w:val="20"/>
          <w:color w:val="auto"/>
        </w:rPr>
        <w:tab/>
      </w:r>
      <w:r>
        <w:rPr>
          <w:rFonts w:ascii="Times New Roman" w:cs="Times New Roman" w:eastAsia="Times New Roman" w:hAnsi="Times New Roman"/>
          <w:sz w:val="22"/>
          <w:szCs w:val="22"/>
          <w:u w:val="single" w:color="auto"/>
          <w:color w:val="0000FF"/>
        </w:rPr>
        <w:t>Nature of Fees.</w:t>
      </w:r>
      <w:r>
        <w:rPr>
          <w:sz w:val="20"/>
          <w:szCs w:val="20"/>
          <w:color w:val="auto"/>
        </w:rPr>
        <w:tab/>
      </w:r>
      <w:r>
        <w:rPr>
          <w:rFonts w:ascii="Times New Roman" w:cs="Times New Roman" w:eastAsia="Times New Roman" w:hAnsi="Times New Roman"/>
          <w:sz w:val="22"/>
          <w:szCs w:val="22"/>
          <w:color w:val="auto"/>
        </w:rPr>
        <w:t>73</w:t>
      </w:r>
    </w:p>
    <w:p>
      <w:pPr>
        <w:spacing w:after="0" w:line="18" w:lineRule="exact"/>
        <w:rPr>
          <w:sz w:val="20"/>
          <w:szCs w:val="20"/>
          <w:color w:val="auto"/>
        </w:rPr>
      </w:pPr>
    </w:p>
    <w:p>
      <w:pPr>
        <w:ind w:left="1300"/>
        <w:spacing w:after="0"/>
        <w:tabs>
          <w:tab w:leader="none" w:pos="2660" w:val="left"/>
          <w:tab w:leader="none" w:pos="4340" w:val="left"/>
        </w:tabs>
        <w:rPr>
          <w:sz w:val="20"/>
          <w:szCs w:val="20"/>
          <w:color w:val="auto"/>
        </w:rPr>
      </w:pPr>
      <w:r>
        <w:rPr>
          <w:rFonts w:ascii="Times New Roman" w:cs="Times New Roman" w:eastAsia="Times New Roman" w:hAnsi="Times New Roman"/>
          <w:sz w:val="22"/>
          <w:szCs w:val="22"/>
          <w:u w:val="single" w:color="auto"/>
          <w:color w:val="0000FF"/>
        </w:rPr>
        <w:t>Section 2.22.</w:t>
      </w:r>
      <w:r>
        <w:rPr>
          <w:sz w:val="20"/>
          <w:szCs w:val="20"/>
          <w:color w:val="auto"/>
        </w:rPr>
        <w:tab/>
      </w:r>
      <w:r>
        <w:rPr>
          <w:rFonts w:ascii="Times New Roman" w:cs="Times New Roman" w:eastAsia="Times New Roman" w:hAnsi="Times New Roman"/>
          <w:sz w:val="22"/>
          <w:szCs w:val="22"/>
          <w:u w:val="single" w:color="auto"/>
          <w:color w:val="0000FF"/>
        </w:rPr>
        <w:t>Right of Set-Off.</w:t>
      </w:r>
      <w:r>
        <w:rPr>
          <w:sz w:val="20"/>
          <w:szCs w:val="20"/>
          <w:color w:val="auto"/>
        </w:rPr>
        <w:tab/>
      </w:r>
      <w:r>
        <w:rPr>
          <w:rFonts w:ascii="Times New Roman" w:cs="Times New Roman" w:eastAsia="Times New Roman" w:hAnsi="Times New Roman"/>
          <w:sz w:val="22"/>
          <w:szCs w:val="22"/>
          <w:color w:val="auto"/>
        </w:rPr>
        <w:t>73</w:t>
      </w:r>
    </w:p>
    <w:p>
      <w:pPr>
        <w:spacing w:after="0" w:line="29" w:lineRule="exact"/>
        <w:rPr>
          <w:sz w:val="20"/>
          <w:szCs w:val="20"/>
          <w:color w:val="auto"/>
        </w:rPr>
      </w:pPr>
    </w:p>
    <w:p>
      <w:pPr>
        <w:ind w:left="1300"/>
        <w:spacing w:after="0"/>
        <w:tabs>
          <w:tab w:leader="none" w:pos="2660" w:val="left"/>
          <w:tab w:leader="none" w:pos="6760" w:val="left"/>
        </w:tabs>
        <w:rPr>
          <w:sz w:val="20"/>
          <w:szCs w:val="20"/>
          <w:color w:val="auto"/>
        </w:rPr>
      </w:pPr>
      <w:r>
        <w:rPr>
          <w:rFonts w:ascii="Times New Roman" w:cs="Times New Roman" w:eastAsia="Times New Roman" w:hAnsi="Times New Roman"/>
          <w:sz w:val="22"/>
          <w:szCs w:val="22"/>
          <w:u w:val="single" w:color="auto"/>
          <w:color w:val="0000FF"/>
        </w:rPr>
        <w:t>Section 2.23.</w:t>
      </w:r>
      <w:r>
        <w:rPr>
          <w:sz w:val="20"/>
          <w:szCs w:val="20"/>
          <w:color w:val="auto"/>
        </w:rPr>
        <w:tab/>
      </w:r>
      <w:r>
        <w:rPr>
          <w:rFonts w:ascii="Times New Roman" w:cs="Times New Roman" w:eastAsia="Times New Roman" w:hAnsi="Times New Roman"/>
          <w:sz w:val="22"/>
          <w:szCs w:val="22"/>
          <w:u w:val="single" w:color="auto"/>
          <w:color w:val="0000FF"/>
        </w:rPr>
        <w:t>Security Interest in Letter of Credit Account.</w:t>
      </w:r>
      <w:r>
        <w:rPr>
          <w:sz w:val="20"/>
          <w:szCs w:val="20"/>
          <w:color w:val="auto"/>
        </w:rPr>
        <w:tab/>
      </w:r>
      <w:r>
        <w:rPr>
          <w:rFonts w:ascii="Times New Roman" w:cs="Times New Roman" w:eastAsia="Times New Roman" w:hAnsi="Times New Roman"/>
          <w:sz w:val="22"/>
          <w:szCs w:val="22"/>
          <w:color w:val="auto"/>
        </w:rPr>
        <w:t>74</w:t>
      </w:r>
    </w:p>
    <w:p>
      <w:pPr>
        <w:spacing w:after="0" w:line="18" w:lineRule="exact"/>
        <w:rPr>
          <w:sz w:val="20"/>
          <w:szCs w:val="20"/>
          <w:color w:val="auto"/>
        </w:rPr>
      </w:pPr>
    </w:p>
    <w:p>
      <w:pPr>
        <w:ind w:left="1300"/>
        <w:spacing w:after="0"/>
        <w:tabs>
          <w:tab w:leader="none" w:pos="2660" w:val="left"/>
          <w:tab w:leader="none" w:pos="4980" w:val="left"/>
        </w:tabs>
        <w:rPr>
          <w:sz w:val="20"/>
          <w:szCs w:val="20"/>
          <w:color w:val="auto"/>
        </w:rPr>
      </w:pPr>
      <w:r>
        <w:rPr>
          <w:rFonts w:ascii="Times New Roman" w:cs="Times New Roman" w:eastAsia="Times New Roman" w:hAnsi="Times New Roman"/>
          <w:sz w:val="22"/>
          <w:szCs w:val="22"/>
          <w:u w:val="single" w:color="auto"/>
          <w:color w:val="0000FF"/>
        </w:rPr>
        <w:t>Section 2.24.</w:t>
      </w:r>
      <w:r>
        <w:rPr>
          <w:sz w:val="20"/>
          <w:szCs w:val="20"/>
          <w:color w:val="auto"/>
        </w:rPr>
        <w:tab/>
      </w:r>
      <w:r>
        <w:rPr>
          <w:rFonts w:ascii="Times New Roman" w:cs="Times New Roman" w:eastAsia="Times New Roman" w:hAnsi="Times New Roman"/>
          <w:sz w:val="22"/>
          <w:szCs w:val="22"/>
          <w:u w:val="single" w:color="auto"/>
          <w:color w:val="0000FF"/>
        </w:rPr>
        <w:t>Payment of Obligations.</w:t>
      </w:r>
      <w:r>
        <w:rPr>
          <w:sz w:val="20"/>
          <w:szCs w:val="20"/>
          <w:color w:val="auto"/>
        </w:rPr>
        <w:tab/>
      </w:r>
      <w:r>
        <w:rPr>
          <w:rFonts w:ascii="Times New Roman" w:cs="Times New Roman" w:eastAsia="Times New Roman" w:hAnsi="Times New Roman"/>
          <w:sz w:val="22"/>
          <w:szCs w:val="22"/>
          <w:color w:val="auto"/>
        </w:rPr>
        <w:t>74</w:t>
      </w:r>
    </w:p>
    <w:p>
      <w:pPr>
        <w:spacing w:after="0" w:line="29" w:lineRule="exact"/>
        <w:rPr>
          <w:sz w:val="20"/>
          <w:szCs w:val="20"/>
          <w:color w:val="auto"/>
        </w:rPr>
      </w:pPr>
    </w:p>
    <w:p>
      <w:pPr>
        <w:ind w:left="1300"/>
        <w:spacing w:after="0"/>
        <w:tabs>
          <w:tab w:leader="none" w:pos="2660" w:val="left"/>
          <w:tab w:leader="none" w:pos="4600" w:val="left"/>
        </w:tabs>
        <w:rPr>
          <w:sz w:val="20"/>
          <w:szCs w:val="20"/>
          <w:color w:val="auto"/>
        </w:rPr>
      </w:pPr>
      <w:r>
        <w:rPr>
          <w:rFonts w:ascii="Times New Roman" w:cs="Times New Roman" w:eastAsia="Times New Roman" w:hAnsi="Times New Roman"/>
          <w:sz w:val="22"/>
          <w:szCs w:val="22"/>
          <w:u w:val="single" w:color="auto"/>
          <w:color w:val="0000FF"/>
        </w:rPr>
        <w:t>Section 2.25.</w:t>
      </w:r>
      <w:r>
        <w:rPr>
          <w:sz w:val="20"/>
          <w:szCs w:val="20"/>
          <w:color w:val="auto"/>
        </w:rPr>
        <w:tab/>
      </w:r>
      <w:r>
        <w:rPr>
          <w:rFonts w:ascii="Times New Roman" w:cs="Times New Roman" w:eastAsia="Times New Roman" w:hAnsi="Times New Roman"/>
          <w:sz w:val="22"/>
          <w:szCs w:val="22"/>
          <w:u w:val="single" w:color="auto"/>
          <w:color w:val="0000FF"/>
        </w:rPr>
        <w:t>Defaulting Lenders.</w:t>
      </w:r>
      <w:r>
        <w:rPr>
          <w:sz w:val="20"/>
          <w:szCs w:val="20"/>
          <w:color w:val="auto"/>
        </w:rPr>
        <w:tab/>
      </w:r>
      <w:r>
        <w:rPr>
          <w:rFonts w:ascii="Times New Roman" w:cs="Times New Roman" w:eastAsia="Times New Roman" w:hAnsi="Times New Roman"/>
          <w:sz w:val="22"/>
          <w:szCs w:val="22"/>
          <w:color w:val="auto"/>
        </w:rPr>
        <w:t>74</w:t>
      </w:r>
    </w:p>
    <w:p>
      <w:pPr>
        <w:spacing w:after="0" w:line="18" w:lineRule="exact"/>
        <w:rPr>
          <w:sz w:val="20"/>
          <w:szCs w:val="20"/>
          <w:color w:val="auto"/>
        </w:rPr>
      </w:pPr>
    </w:p>
    <w:p>
      <w:pPr>
        <w:ind w:left="1300"/>
        <w:spacing w:after="0"/>
        <w:tabs>
          <w:tab w:leader="none" w:pos="2660" w:val="left"/>
          <w:tab w:leader="none" w:pos="6000" w:val="left"/>
        </w:tabs>
        <w:rPr>
          <w:sz w:val="20"/>
          <w:szCs w:val="20"/>
          <w:color w:val="auto"/>
        </w:rPr>
      </w:pPr>
      <w:r>
        <w:rPr>
          <w:rFonts w:ascii="Times New Roman" w:cs="Times New Roman" w:eastAsia="Times New Roman" w:hAnsi="Times New Roman"/>
          <w:sz w:val="22"/>
          <w:szCs w:val="22"/>
          <w:u w:val="single" w:color="auto"/>
          <w:color w:val="0000FF"/>
        </w:rPr>
        <w:t>Section 2.26.</w:t>
      </w:r>
      <w:r>
        <w:rPr>
          <w:sz w:val="20"/>
          <w:szCs w:val="20"/>
          <w:color w:val="auto"/>
        </w:rPr>
        <w:tab/>
      </w:r>
      <w:r>
        <w:rPr>
          <w:rFonts w:ascii="Times New Roman" w:cs="Times New Roman" w:eastAsia="Times New Roman" w:hAnsi="Times New Roman"/>
          <w:sz w:val="22"/>
          <w:szCs w:val="22"/>
          <w:u w:val="single" w:color="auto"/>
          <w:color w:val="0000FF"/>
        </w:rPr>
        <w:t>Extension of the Revolving Facility.</w:t>
      </w:r>
      <w:r>
        <w:rPr>
          <w:sz w:val="20"/>
          <w:szCs w:val="20"/>
          <w:color w:val="auto"/>
        </w:rPr>
        <w:tab/>
      </w:r>
      <w:r>
        <w:rPr>
          <w:rFonts w:ascii="Times New Roman" w:cs="Times New Roman" w:eastAsia="Times New Roman" w:hAnsi="Times New Roman"/>
          <w:sz w:val="22"/>
          <w:szCs w:val="22"/>
          <w:color w:val="auto"/>
        </w:rPr>
        <w:t>76</w:t>
      </w:r>
    </w:p>
    <w:p>
      <w:pPr>
        <w:spacing w:after="0" w:line="29" w:lineRule="exact"/>
        <w:rPr>
          <w:sz w:val="20"/>
          <w:szCs w:val="20"/>
          <w:color w:val="auto"/>
        </w:rPr>
      </w:pPr>
    </w:p>
    <w:p>
      <w:pPr>
        <w:ind w:left="1300"/>
        <w:spacing w:after="0"/>
        <w:tabs>
          <w:tab w:leader="none" w:pos="2660" w:val="left"/>
          <w:tab w:leader="none" w:pos="5780" w:val="left"/>
        </w:tabs>
        <w:rPr>
          <w:sz w:val="20"/>
          <w:szCs w:val="20"/>
          <w:color w:val="auto"/>
        </w:rPr>
      </w:pPr>
      <w:r>
        <w:rPr>
          <w:rFonts w:ascii="Times New Roman" w:cs="Times New Roman" w:eastAsia="Times New Roman" w:hAnsi="Times New Roman"/>
          <w:sz w:val="22"/>
          <w:szCs w:val="22"/>
          <w:u w:val="single" w:color="auto"/>
          <w:color w:val="0000FF"/>
        </w:rPr>
        <w:t>Section 2.27.</w:t>
      </w:r>
      <w:r>
        <w:rPr>
          <w:sz w:val="20"/>
          <w:szCs w:val="20"/>
          <w:color w:val="auto"/>
        </w:rPr>
        <w:tab/>
      </w:r>
      <w:r>
        <w:rPr>
          <w:rFonts w:ascii="Times New Roman" w:cs="Times New Roman" w:eastAsia="Times New Roman" w:hAnsi="Times New Roman"/>
          <w:sz w:val="22"/>
          <w:szCs w:val="22"/>
          <w:u w:val="single" w:color="auto"/>
          <w:color w:val="0000FF"/>
        </w:rPr>
        <w:t>Benchmark Replacement Setting.</w:t>
      </w:r>
      <w:r>
        <w:rPr>
          <w:sz w:val="20"/>
          <w:szCs w:val="20"/>
          <w:color w:val="auto"/>
        </w:rPr>
        <w:tab/>
      </w:r>
      <w:r>
        <w:rPr>
          <w:rFonts w:ascii="Times New Roman" w:cs="Times New Roman" w:eastAsia="Times New Roman" w:hAnsi="Times New Roman"/>
          <w:sz w:val="19"/>
          <w:szCs w:val="19"/>
          <w:color w:val="auto"/>
        </w:rPr>
        <w:t>79</w:t>
      </w:r>
    </w:p>
    <w:p>
      <w:pPr>
        <w:spacing w:after="0" w:line="18" w:lineRule="exact"/>
        <w:rPr>
          <w:sz w:val="20"/>
          <w:szCs w:val="20"/>
          <w:color w:val="auto"/>
        </w:rPr>
      </w:pPr>
    </w:p>
    <w:p>
      <w:pPr>
        <w:ind w:left="1300"/>
        <w:spacing w:after="0"/>
        <w:tabs>
          <w:tab w:leader="none" w:pos="2660" w:val="left"/>
          <w:tab w:leader="none" w:pos="5380" w:val="left"/>
        </w:tabs>
        <w:rPr>
          <w:sz w:val="20"/>
          <w:szCs w:val="20"/>
          <w:color w:val="auto"/>
        </w:rPr>
      </w:pPr>
      <w:r>
        <w:rPr>
          <w:rFonts w:ascii="Times New Roman" w:cs="Times New Roman" w:eastAsia="Times New Roman" w:hAnsi="Times New Roman"/>
          <w:sz w:val="22"/>
          <w:szCs w:val="22"/>
          <w:u w:val="single" w:color="auto"/>
          <w:color w:val="0000FF"/>
        </w:rPr>
        <w:t>Section 2.28.</w:t>
      </w:r>
      <w:r>
        <w:rPr>
          <w:sz w:val="20"/>
          <w:szCs w:val="20"/>
          <w:color w:val="auto"/>
        </w:rPr>
        <w:tab/>
      </w:r>
      <w:r>
        <w:rPr>
          <w:rFonts w:ascii="Times New Roman" w:cs="Times New Roman" w:eastAsia="Times New Roman" w:hAnsi="Times New Roman"/>
          <w:sz w:val="22"/>
          <w:szCs w:val="22"/>
          <w:u w:val="single" w:color="auto"/>
          <w:color w:val="0000FF"/>
        </w:rPr>
        <w:t>Inability to Determine Rates.</w:t>
      </w:r>
      <w:r>
        <w:rPr>
          <w:sz w:val="20"/>
          <w:szCs w:val="20"/>
          <w:color w:val="auto"/>
        </w:rPr>
        <w:tab/>
      </w:r>
      <w:r>
        <w:rPr>
          <w:rFonts w:ascii="Times New Roman" w:cs="Times New Roman" w:eastAsia="Times New Roman" w:hAnsi="Times New Roman"/>
          <w:sz w:val="22"/>
          <w:szCs w:val="22"/>
          <w:color w:val="auto"/>
        </w:rPr>
        <w:t>80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gridSpan w:val="6"/>
          </w:tcPr>
          <w:p>
            <w:pPr>
              <w:spacing w:after="0"/>
              <w:rPr>
                <w:sz w:val="20"/>
                <w:szCs w:val="20"/>
                <w:color w:val="auto"/>
              </w:rPr>
            </w:pPr>
            <w:r>
              <w:rPr>
                <w:rFonts w:ascii="Times New Roman" w:cs="Times New Roman" w:eastAsia="Times New Roman" w:hAnsi="Times New Roman"/>
                <w:sz w:val="22"/>
                <w:szCs w:val="22"/>
                <w:color w:val="0000FF"/>
                <w:w w:val="98"/>
              </w:rPr>
              <w:t>SECTION 3. REPRESENTATIONS AND WARRANTIES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36"/>
        </w:trPr>
        <w:tc>
          <w:tcPr>
            <w:tcW w:w="1300" w:type="dxa"/>
            <w:vAlign w:val="bottom"/>
            <w:tcBorders>
              <w:top w:val="single" w:sz="8" w:color="0000FF"/>
            </w:tcBorders>
          </w:tcPr>
          <w:p>
            <w:pPr>
              <w:spacing w:after="0"/>
              <w:rPr>
                <w:sz w:val="20"/>
                <w:szCs w:val="20"/>
                <w:color w:val="auto"/>
              </w:rPr>
            </w:pPr>
          </w:p>
        </w:tc>
        <w:tc>
          <w:tcPr>
            <w:tcW w:w="3820" w:type="dxa"/>
            <w:vAlign w:val="bottom"/>
            <w:tcBorders>
              <w:top w:val="single" w:sz="8" w:color="0000FF"/>
            </w:tcBorders>
            <w:gridSpan w:val="4"/>
          </w:tcPr>
          <w:p>
            <w:pPr>
              <w:spacing w:after="0" w:line="237" w:lineRule="exact"/>
              <w:rPr>
                <w:sz w:val="20"/>
                <w:szCs w:val="20"/>
                <w:color w:val="auto"/>
              </w:rPr>
            </w:pPr>
            <w:r>
              <w:rPr>
                <w:rFonts w:ascii="Times New Roman" w:cs="Times New Roman" w:eastAsia="Times New Roman" w:hAnsi="Times New Roman"/>
                <w:sz w:val="22"/>
                <w:szCs w:val="22"/>
                <w:color w:val="0000FF"/>
              </w:rPr>
              <w:t>Section 3.01.  Organization and Authority</w:t>
            </w:r>
          </w:p>
        </w:tc>
        <w:tc>
          <w:tcPr>
            <w:tcW w:w="80" w:type="dxa"/>
            <w:vAlign w:val="bottom"/>
          </w:tcPr>
          <w:p>
            <w:pPr>
              <w:spacing w:after="0"/>
              <w:rPr>
                <w:sz w:val="20"/>
                <w:szCs w:val="20"/>
                <w:color w:val="auto"/>
              </w:rPr>
            </w:pPr>
          </w:p>
        </w:tc>
        <w:tc>
          <w:tcPr>
            <w:tcW w:w="3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81</w:t>
            </w: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18"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3.02.</w:t>
            </w:r>
          </w:p>
        </w:tc>
        <w:tc>
          <w:tcPr>
            <w:tcW w:w="240" w:type="dxa"/>
            <w:vAlign w:val="bottom"/>
          </w:tcPr>
          <w:p>
            <w:pPr>
              <w:spacing w:after="0"/>
              <w:rPr>
                <w:sz w:val="22"/>
                <w:szCs w:val="22"/>
                <w:color w:val="auto"/>
              </w:rPr>
            </w:pPr>
          </w:p>
        </w:tc>
        <w:tc>
          <w:tcPr>
            <w:tcW w:w="164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0000FF"/>
              </w:rPr>
              <w:t>Air Carrier Status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3.03.</w:t>
            </w:r>
          </w:p>
        </w:tc>
        <w:tc>
          <w:tcPr>
            <w:tcW w:w="240" w:type="dxa"/>
            <w:vAlign w:val="bottom"/>
          </w:tcPr>
          <w:p>
            <w:pPr>
              <w:spacing w:after="0"/>
              <w:rPr>
                <w:sz w:val="22"/>
                <w:szCs w:val="22"/>
                <w:color w:val="auto"/>
              </w:rPr>
            </w:pPr>
          </w:p>
        </w:tc>
        <w:tc>
          <w:tcPr>
            <w:tcW w:w="132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0000FF"/>
                <w:w w:val="97"/>
              </w:rPr>
              <w:t>Due Execution</w:t>
            </w:r>
          </w:p>
        </w:tc>
        <w:tc>
          <w:tcPr>
            <w:tcW w:w="4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auto"/>
              </w:rPr>
              <w:t>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3.04.</w:t>
            </w:r>
          </w:p>
        </w:tc>
        <w:tc>
          <w:tcPr>
            <w:tcW w:w="240" w:type="dxa"/>
            <w:vAlign w:val="bottom"/>
          </w:tcPr>
          <w:p>
            <w:pPr>
              <w:spacing w:after="0"/>
              <w:rPr>
                <w:sz w:val="21"/>
                <w:szCs w:val="21"/>
                <w:color w:val="auto"/>
              </w:rPr>
            </w:pPr>
          </w:p>
        </w:tc>
        <w:tc>
          <w:tcPr>
            <w:tcW w:w="1640" w:type="dxa"/>
            <w:vAlign w:val="bottom"/>
            <w:gridSpan w:val="11"/>
          </w:tcPr>
          <w:p>
            <w:pPr>
              <w:ind w:left="20"/>
              <w:spacing w:after="0" w:line="250" w:lineRule="exact"/>
              <w:rPr>
                <w:sz w:val="20"/>
                <w:szCs w:val="20"/>
                <w:color w:val="auto"/>
              </w:rPr>
            </w:pPr>
            <w:r>
              <w:rPr>
                <w:rFonts w:ascii="Times New Roman" w:cs="Times New Roman" w:eastAsia="Times New Roman" w:hAnsi="Times New Roman"/>
                <w:sz w:val="22"/>
                <w:szCs w:val="22"/>
                <w:color w:val="0000FF"/>
              </w:rPr>
              <w:t>Statements Made</w:t>
            </w:r>
          </w:p>
        </w:tc>
        <w:tc>
          <w:tcPr>
            <w:tcW w:w="3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auto"/>
              </w:rPr>
              <w:t>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3.05.</w:t>
            </w:r>
          </w:p>
        </w:tc>
        <w:tc>
          <w:tcPr>
            <w:tcW w:w="240" w:type="dxa"/>
            <w:vAlign w:val="bottom"/>
          </w:tcPr>
          <w:p>
            <w:pPr>
              <w:spacing w:after="0"/>
              <w:rPr>
                <w:sz w:val="22"/>
                <w:szCs w:val="22"/>
                <w:color w:val="auto"/>
              </w:rPr>
            </w:pPr>
          </w:p>
        </w:tc>
        <w:tc>
          <w:tcPr>
            <w:tcW w:w="4220" w:type="dxa"/>
            <w:vAlign w:val="bottom"/>
            <w:gridSpan w:val="33"/>
          </w:tcPr>
          <w:p>
            <w:pPr>
              <w:ind w:left="20"/>
              <w:spacing w:after="0"/>
              <w:rPr>
                <w:sz w:val="20"/>
                <w:szCs w:val="20"/>
                <w:color w:val="auto"/>
              </w:rPr>
            </w:pPr>
            <w:r>
              <w:rPr>
                <w:rFonts w:ascii="Times New Roman" w:cs="Times New Roman" w:eastAsia="Times New Roman" w:hAnsi="Times New Roman"/>
                <w:sz w:val="22"/>
                <w:szCs w:val="22"/>
                <w:color w:val="0000FF"/>
                <w:w w:val="99"/>
              </w:rPr>
              <w:t>Financial Statements; Material Adverse Change</w:t>
            </w:r>
          </w:p>
        </w:tc>
        <w:tc>
          <w:tcPr>
            <w:tcW w:w="11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82</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3.06.</w:t>
            </w:r>
          </w:p>
        </w:tc>
        <w:tc>
          <w:tcPr>
            <w:tcW w:w="240" w:type="dxa"/>
            <w:vAlign w:val="bottom"/>
          </w:tcPr>
          <w:p>
            <w:pPr>
              <w:spacing w:after="0"/>
              <w:rPr>
                <w:sz w:val="21"/>
                <w:szCs w:val="21"/>
                <w:color w:val="auto"/>
              </w:rPr>
            </w:pPr>
          </w:p>
        </w:tc>
        <w:tc>
          <w:tcPr>
            <w:tcW w:w="2320" w:type="dxa"/>
            <w:vAlign w:val="bottom"/>
            <w:gridSpan w:val="19"/>
          </w:tcPr>
          <w:p>
            <w:pPr>
              <w:ind w:left="20"/>
              <w:spacing w:after="0" w:line="250" w:lineRule="exact"/>
              <w:rPr>
                <w:sz w:val="20"/>
                <w:szCs w:val="20"/>
                <w:color w:val="auto"/>
              </w:rPr>
            </w:pPr>
            <w:r>
              <w:rPr>
                <w:rFonts w:ascii="Times New Roman" w:cs="Times New Roman" w:eastAsia="Times New Roman" w:hAnsi="Times New Roman"/>
                <w:sz w:val="22"/>
                <w:szCs w:val="22"/>
                <w:color w:val="0000FF"/>
                <w:w w:val="97"/>
              </w:rPr>
              <w:t>Ownership of Subsidiaries</w:t>
            </w:r>
          </w:p>
        </w:tc>
        <w:tc>
          <w:tcPr>
            <w:tcW w:w="4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3.07.</w:t>
            </w:r>
          </w:p>
        </w:tc>
        <w:tc>
          <w:tcPr>
            <w:tcW w:w="240" w:type="dxa"/>
            <w:vAlign w:val="bottom"/>
          </w:tcPr>
          <w:p>
            <w:pPr>
              <w:spacing w:after="0"/>
              <w:rPr>
                <w:sz w:val="22"/>
                <w:szCs w:val="2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0000FF"/>
              </w:rPr>
              <w:t>Liens</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w w:val="90"/>
              </w:rPr>
              <w:t>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3.08.</w:t>
            </w:r>
          </w:p>
        </w:tc>
        <w:tc>
          <w:tcPr>
            <w:tcW w:w="240" w:type="dxa"/>
            <w:vAlign w:val="bottom"/>
          </w:tcPr>
          <w:p>
            <w:pPr>
              <w:spacing w:after="0"/>
              <w:rPr>
                <w:sz w:val="21"/>
                <w:szCs w:val="21"/>
                <w:color w:val="auto"/>
              </w:rPr>
            </w:pPr>
          </w:p>
        </w:tc>
        <w:tc>
          <w:tcPr>
            <w:tcW w:w="1640" w:type="dxa"/>
            <w:vAlign w:val="bottom"/>
            <w:gridSpan w:val="11"/>
          </w:tcPr>
          <w:p>
            <w:pPr>
              <w:ind w:left="20"/>
              <w:spacing w:after="0" w:line="250" w:lineRule="exact"/>
              <w:rPr>
                <w:sz w:val="20"/>
                <w:szCs w:val="20"/>
                <w:color w:val="auto"/>
              </w:rPr>
            </w:pPr>
            <w:r>
              <w:rPr>
                <w:rFonts w:ascii="Times New Roman" w:cs="Times New Roman" w:eastAsia="Times New Roman" w:hAnsi="Times New Roman"/>
                <w:sz w:val="22"/>
                <w:szCs w:val="22"/>
                <w:color w:val="0000FF"/>
              </w:rPr>
              <w:t>Use of Proceeds</w:t>
            </w:r>
          </w:p>
        </w:tc>
        <w:tc>
          <w:tcPr>
            <w:tcW w:w="240" w:type="dxa"/>
            <w:vAlign w:val="bottom"/>
            <w:gridSpan w:val="3"/>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w w:val="90"/>
              </w:rPr>
              <w:t>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3.09.</w:t>
            </w:r>
          </w:p>
        </w:tc>
        <w:tc>
          <w:tcPr>
            <w:tcW w:w="240" w:type="dxa"/>
            <w:vAlign w:val="bottom"/>
          </w:tcPr>
          <w:p>
            <w:pPr>
              <w:spacing w:after="0"/>
              <w:rPr>
                <w:sz w:val="22"/>
                <w:szCs w:val="22"/>
                <w:color w:val="auto"/>
              </w:rPr>
            </w:pPr>
          </w:p>
        </w:tc>
        <w:tc>
          <w:tcPr>
            <w:tcW w:w="3340" w:type="dxa"/>
            <w:vAlign w:val="bottom"/>
            <w:gridSpan w:val="29"/>
          </w:tcPr>
          <w:p>
            <w:pPr>
              <w:ind w:left="20"/>
              <w:spacing w:after="0"/>
              <w:rPr>
                <w:sz w:val="20"/>
                <w:szCs w:val="20"/>
                <w:color w:val="auto"/>
              </w:rPr>
            </w:pPr>
            <w:r>
              <w:rPr>
                <w:rFonts w:ascii="Times New Roman" w:cs="Times New Roman" w:eastAsia="Times New Roman" w:hAnsi="Times New Roman"/>
                <w:sz w:val="22"/>
                <w:szCs w:val="22"/>
                <w:color w:val="0000FF"/>
                <w:w w:val="98"/>
              </w:rPr>
              <w:t>Litigation and Compliance with Laws</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83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3.10.</w:t>
            </w:r>
          </w:p>
        </w:tc>
        <w:tc>
          <w:tcPr>
            <w:tcW w:w="240" w:type="dxa"/>
            <w:vAlign w:val="bottom"/>
          </w:tcPr>
          <w:p>
            <w:pPr>
              <w:spacing w:after="0"/>
              <w:rPr>
                <w:sz w:val="21"/>
                <w:szCs w:val="21"/>
                <w:color w:val="auto"/>
              </w:rPr>
            </w:pPr>
          </w:p>
        </w:tc>
        <w:tc>
          <w:tcPr>
            <w:tcW w:w="4220" w:type="dxa"/>
            <w:vAlign w:val="bottom"/>
            <w:gridSpan w:val="33"/>
          </w:tcPr>
          <w:p>
            <w:pPr>
              <w:ind w:left="20"/>
              <w:spacing w:after="0" w:line="250" w:lineRule="exact"/>
              <w:rPr>
                <w:sz w:val="20"/>
                <w:szCs w:val="20"/>
                <w:color w:val="auto"/>
              </w:rPr>
            </w:pPr>
            <w:r>
              <w:rPr>
                <w:rFonts w:ascii="Times New Roman" w:cs="Times New Roman" w:eastAsia="Times New Roman" w:hAnsi="Times New Roman"/>
                <w:sz w:val="22"/>
                <w:szCs w:val="22"/>
                <w:color w:val="0000FF"/>
              </w:rPr>
              <w:t>Margin Regulations; Investment Company Act</w:t>
            </w:r>
          </w:p>
        </w:tc>
        <w:tc>
          <w:tcPr>
            <w:tcW w:w="1100" w:type="dxa"/>
            <w:vAlign w:val="bottom"/>
          </w:tcPr>
          <w:p>
            <w:pPr>
              <w:jc w:val="right"/>
              <w:ind w:right="712"/>
              <w:spacing w:after="0" w:line="250" w:lineRule="exact"/>
              <w:rPr>
                <w:sz w:val="20"/>
                <w:szCs w:val="20"/>
                <w:color w:val="auto"/>
              </w:rPr>
            </w:pPr>
            <w:r>
              <w:rPr>
                <w:rFonts w:ascii="Times New Roman" w:cs="Times New Roman" w:eastAsia="Times New Roman" w:hAnsi="Times New Roman"/>
                <w:sz w:val="22"/>
                <w:szCs w:val="22"/>
                <w:color w:val="auto"/>
              </w:rPr>
              <w:t>83</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3.11.</w:t>
            </w:r>
          </w:p>
        </w:tc>
        <w:tc>
          <w:tcPr>
            <w:tcW w:w="2560" w:type="dxa"/>
            <w:vAlign w:val="bottom"/>
            <w:gridSpan w:val="20"/>
          </w:tcPr>
          <w:p>
            <w:pPr>
              <w:ind w:left="240"/>
              <w:spacing w:after="0"/>
              <w:rPr>
                <w:sz w:val="20"/>
                <w:szCs w:val="20"/>
                <w:color w:val="auto"/>
              </w:rPr>
            </w:pPr>
            <w:r>
              <w:rPr>
                <w:rFonts w:ascii="Times New Roman" w:cs="Times New Roman" w:eastAsia="Times New Roman" w:hAnsi="Times New Roman"/>
                <w:sz w:val="22"/>
                <w:szCs w:val="22"/>
                <w:color w:val="0000FF"/>
              </w:rPr>
              <w:t>Ownership of Collateral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w w:val="81"/>
              </w:rPr>
              <w:t>84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3.12.</w:t>
            </w:r>
          </w:p>
        </w:tc>
        <w:tc>
          <w:tcPr>
            <w:tcW w:w="240" w:type="dxa"/>
            <w:vAlign w:val="bottom"/>
          </w:tcPr>
          <w:p>
            <w:pPr>
              <w:spacing w:after="0"/>
              <w:rPr>
                <w:sz w:val="21"/>
                <w:szCs w:val="21"/>
                <w:color w:val="auto"/>
              </w:rPr>
            </w:pPr>
          </w:p>
        </w:tc>
        <w:tc>
          <w:tcPr>
            <w:tcW w:w="266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000FF"/>
              </w:rPr>
              <w:t>Perfected Security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3.13.</w:t>
            </w:r>
          </w:p>
        </w:tc>
        <w:tc>
          <w:tcPr>
            <w:tcW w:w="240" w:type="dxa"/>
            <w:vAlign w:val="bottom"/>
          </w:tcPr>
          <w:p>
            <w:pPr>
              <w:spacing w:after="0"/>
              <w:rPr>
                <w:sz w:val="22"/>
                <w:szCs w:val="22"/>
                <w:color w:val="auto"/>
              </w:rPr>
            </w:pPr>
          </w:p>
        </w:tc>
        <w:tc>
          <w:tcPr>
            <w:tcW w:w="164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0000FF"/>
              </w:rPr>
              <w:t>Payment of Taxes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3.14.</w:t>
            </w:r>
          </w:p>
        </w:tc>
        <w:tc>
          <w:tcPr>
            <w:tcW w:w="240" w:type="dxa"/>
            <w:vAlign w:val="bottom"/>
          </w:tcPr>
          <w:p>
            <w:pPr>
              <w:spacing w:after="0"/>
              <w:rPr>
                <w:sz w:val="21"/>
                <w:szCs w:val="21"/>
                <w:color w:val="auto"/>
              </w:rPr>
            </w:pPr>
          </w:p>
        </w:tc>
        <w:tc>
          <w:tcPr>
            <w:tcW w:w="3340" w:type="dxa"/>
            <w:vAlign w:val="bottom"/>
            <w:gridSpan w:val="29"/>
          </w:tcPr>
          <w:p>
            <w:pPr>
              <w:ind w:left="20"/>
              <w:spacing w:after="0" w:line="250" w:lineRule="exact"/>
              <w:rPr>
                <w:sz w:val="20"/>
                <w:szCs w:val="20"/>
                <w:color w:val="auto"/>
              </w:rPr>
            </w:pPr>
            <w:r>
              <w:rPr>
                <w:rFonts w:ascii="Times New Roman" w:cs="Times New Roman" w:eastAsia="Times New Roman" w:hAnsi="Times New Roman"/>
                <w:sz w:val="22"/>
                <w:szCs w:val="22"/>
                <w:color w:val="0000FF"/>
              </w:rPr>
              <w:t>Anti-Corruption Laws and Sanctions</w:t>
            </w:r>
          </w:p>
        </w:tc>
        <w:tc>
          <w:tcPr>
            <w:tcW w:w="3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3.15.</w:t>
            </w:r>
          </w:p>
        </w:tc>
        <w:tc>
          <w:tcPr>
            <w:tcW w:w="240" w:type="dxa"/>
            <w:vAlign w:val="bottom"/>
          </w:tcPr>
          <w:p>
            <w:pPr>
              <w:spacing w:after="0"/>
              <w:rPr>
                <w:sz w:val="22"/>
                <w:szCs w:val="2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0000FF"/>
                <w:w w:val="95"/>
              </w:rPr>
              <w:t>ERISA.</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700" w:type="dxa"/>
            <w:vAlign w:val="bottom"/>
            <w:gridSpan w:val="31"/>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3.16.  No Default or Event of Default.  </w:t>
            </w:r>
            <w:r>
              <w:rPr>
                <w:rFonts w:ascii="Times New Roman" w:cs="Times New Roman" w:eastAsia="Times New Roman" w:hAnsi="Times New Roman"/>
                <w:sz w:val="22"/>
                <w:szCs w:val="22"/>
                <w:color w:val="000000"/>
              </w:rPr>
              <w:t>85</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3.17.</w:t>
            </w:r>
          </w:p>
        </w:tc>
        <w:tc>
          <w:tcPr>
            <w:tcW w:w="240" w:type="dxa"/>
            <w:vAlign w:val="bottom"/>
          </w:tcPr>
          <w:p>
            <w:pPr>
              <w:spacing w:after="0"/>
              <w:rPr>
                <w:sz w:val="22"/>
                <w:szCs w:val="22"/>
                <w:color w:val="auto"/>
              </w:rPr>
            </w:pPr>
          </w:p>
        </w:tc>
        <w:tc>
          <w:tcPr>
            <w:tcW w:w="132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0000FF"/>
                <w:w w:val="99"/>
              </w:rPr>
              <w:t>UCC Location</w:t>
            </w:r>
          </w:p>
        </w:tc>
        <w:tc>
          <w:tcPr>
            <w:tcW w:w="46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85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020" w:type="dxa"/>
            <w:vAlign w:val="bottom"/>
            <w:gridSpan w:val="24"/>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3.18.  Location of Spare Parts.  </w:t>
            </w:r>
            <w:r>
              <w:rPr>
                <w:rFonts w:ascii="Times New Roman" w:cs="Times New Roman" w:eastAsia="Times New Roman" w:hAnsi="Times New Roman"/>
                <w:sz w:val="22"/>
                <w:szCs w:val="22"/>
                <w:color w:val="000000"/>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3.19.</w:t>
            </w:r>
          </w:p>
        </w:tc>
        <w:tc>
          <w:tcPr>
            <w:tcW w:w="240" w:type="dxa"/>
            <w:vAlign w:val="bottom"/>
          </w:tcPr>
          <w:p>
            <w:pPr>
              <w:spacing w:after="0"/>
              <w:rPr>
                <w:sz w:val="22"/>
                <w:szCs w:val="22"/>
                <w:color w:val="auto"/>
              </w:rPr>
            </w:pPr>
          </w:p>
        </w:tc>
        <w:tc>
          <w:tcPr>
            <w:tcW w:w="132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0000FF"/>
              </w:rPr>
              <w:t>Section 1110.</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85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3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8"/>
              </w:rPr>
              <w:t>SECTION 4. CONDITIONS OF LENDING</w:t>
            </w:r>
          </w:p>
        </w:tc>
        <w:tc>
          <w:tcPr>
            <w:tcW w:w="120" w:type="dxa"/>
            <w:vAlign w:val="bottom"/>
            <w:gridSpan w:val="2"/>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85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7"/>
        </w:trPr>
        <w:tc>
          <w:tcPr>
            <w:tcW w:w="1300" w:type="dxa"/>
            <w:vAlign w:val="bottom"/>
          </w:tcPr>
          <w:p>
            <w:pPr>
              <w:spacing w:after="0"/>
              <w:rPr>
                <w:sz w:val="20"/>
                <w:szCs w:val="20"/>
                <w:color w:val="auto"/>
              </w:rPr>
            </w:pPr>
          </w:p>
        </w:tc>
        <w:tc>
          <w:tcPr>
            <w:tcW w:w="11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93"/>
              </w:rPr>
              <w:t>Section 4.01.</w:t>
            </w:r>
          </w:p>
        </w:tc>
        <w:tc>
          <w:tcPr>
            <w:tcW w:w="240" w:type="dxa"/>
            <w:vAlign w:val="bottom"/>
          </w:tcPr>
          <w:p>
            <w:pPr>
              <w:spacing w:after="0"/>
              <w:rPr>
                <w:sz w:val="20"/>
                <w:szCs w:val="20"/>
                <w:color w:val="auto"/>
              </w:rPr>
            </w:pPr>
          </w:p>
        </w:tc>
        <w:tc>
          <w:tcPr>
            <w:tcW w:w="4220" w:type="dxa"/>
            <w:vAlign w:val="bottom"/>
            <w:gridSpan w:val="33"/>
          </w:tcPr>
          <w:p>
            <w:pPr>
              <w:ind w:left="20"/>
              <w:spacing w:after="0" w:line="237" w:lineRule="exact"/>
              <w:rPr>
                <w:sz w:val="20"/>
                <w:szCs w:val="20"/>
                <w:color w:val="auto"/>
              </w:rPr>
            </w:pPr>
            <w:r>
              <w:rPr>
                <w:rFonts w:ascii="Times New Roman" w:cs="Times New Roman" w:eastAsia="Times New Roman" w:hAnsi="Times New Roman"/>
                <w:sz w:val="22"/>
                <w:szCs w:val="22"/>
                <w:color w:val="0000FF"/>
              </w:rPr>
              <w:t xml:space="preserve">Conditions Precedent to the Effective Date  </w:t>
            </w:r>
            <w:r>
              <w:rPr>
                <w:rFonts w:ascii="Times New Roman" w:cs="Times New Roman" w:eastAsia="Times New Roman" w:hAnsi="Times New Roman"/>
                <w:sz w:val="22"/>
                <w:szCs w:val="22"/>
                <w:color w:val="000000"/>
              </w:rPr>
              <w:t>85</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4.02.</w:t>
            </w:r>
          </w:p>
        </w:tc>
        <w:tc>
          <w:tcPr>
            <w:tcW w:w="240" w:type="dxa"/>
            <w:vAlign w:val="bottom"/>
          </w:tcPr>
          <w:p>
            <w:pPr>
              <w:spacing w:after="0"/>
              <w:rPr>
                <w:sz w:val="22"/>
                <w:szCs w:val="22"/>
                <w:color w:val="auto"/>
              </w:rPr>
            </w:pPr>
          </w:p>
        </w:tc>
        <w:tc>
          <w:tcPr>
            <w:tcW w:w="6480" w:type="dxa"/>
            <w:vAlign w:val="bottom"/>
            <w:gridSpan w:val="36"/>
          </w:tcPr>
          <w:p>
            <w:pPr>
              <w:ind w:left="20"/>
              <w:spacing w:after="0"/>
              <w:rPr>
                <w:sz w:val="20"/>
                <w:szCs w:val="20"/>
                <w:color w:val="auto"/>
              </w:rPr>
            </w:pPr>
            <w:r>
              <w:rPr>
                <w:rFonts w:ascii="Times New Roman" w:cs="Times New Roman" w:eastAsia="Times New Roman" w:hAnsi="Times New Roman"/>
                <w:sz w:val="22"/>
                <w:szCs w:val="22"/>
                <w:color w:val="0000FF"/>
              </w:rPr>
              <w:t xml:space="preserve">Conditions Precedent to Each Loan and Each Letter of Credit  </w:t>
            </w:r>
            <w:r>
              <w:rPr>
                <w:rFonts w:ascii="Times New Roman" w:cs="Times New Roman" w:eastAsia="Times New Roman" w:hAnsi="Times New Roman"/>
                <w:sz w:val="22"/>
                <w:szCs w:val="22"/>
                <w:color w:val="000000"/>
              </w:rPr>
              <w:t>87</w:t>
            </w: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3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7"/>
              </w:rPr>
              <w:t>SECTION 5. AFFIRMATIVE COVENANTS</w:t>
            </w:r>
          </w:p>
        </w:tc>
        <w:tc>
          <w:tcPr>
            <w:tcW w:w="46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1300" w:type="dxa"/>
            <w:vAlign w:val="bottom"/>
          </w:tcPr>
          <w:p>
            <w:pPr>
              <w:spacing w:after="0"/>
              <w:rPr>
                <w:sz w:val="20"/>
                <w:szCs w:val="20"/>
                <w:color w:val="auto"/>
              </w:rPr>
            </w:pPr>
          </w:p>
        </w:tc>
        <w:tc>
          <w:tcPr>
            <w:tcW w:w="5580" w:type="dxa"/>
            <w:vAlign w:val="bottom"/>
            <w:gridSpan w:val="35"/>
          </w:tcPr>
          <w:p>
            <w:pPr>
              <w:spacing w:after="0" w:line="237" w:lineRule="exact"/>
              <w:rPr>
                <w:sz w:val="20"/>
                <w:szCs w:val="20"/>
                <w:color w:val="auto"/>
              </w:rPr>
            </w:pPr>
            <w:r>
              <w:rPr>
                <w:rFonts w:ascii="Times New Roman" w:cs="Times New Roman" w:eastAsia="Times New Roman" w:hAnsi="Times New Roman"/>
                <w:sz w:val="22"/>
                <w:szCs w:val="22"/>
                <w:color w:val="0000FF"/>
              </w:rPr>
              <w:t xml:space="preserve">Section 5.01.  Financial Statements, Reports, etc.  </w:t>
            </w:r>
            <w:r>
              <w:rPr>
                <w:rFonts w:ascii="Times New Roman" w:cs="Times New Roman" w:eastAsia="Times New Roman" w:hAnsi="Times New Roman"/>
                <w:sz w:val="22"/>
                <w:szCs w:val="22"/>
                <w:color w:val="000000"/>
              </w:rPr>
              <w:t>89</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5.02.</w:t>
            </w:r>
          </w:p>
        </w:tc>
        <w:tc>
          <w:tcPr>
            <w:tcW w:w="240" w:type="dxa"/>
            <w:vAlign w:val="bottom"/>
          </w:tcPr>
          <w:p>
            <w:pPr>
              <w:spacing w:after="0"/>
              <w:rPr>
                <w:sz w:val="22"/>
                <w:szCs w:val="2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0000FF"/>
              </w:rPr>
              <w:t>Taxes</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5.03.</w:t>
            </w:r>
          </w:p>
        </w:tc>
        <w:tc>
          <w:tcPr>
            <w:tcW w:w="240" w:type="dxa"/>
            <w:vAlign w:val="bottom"/>
          </w:tcPr>
          <w:p>
            <w:pPr>
              <w:spacing w:after="0"/>
              <w:rPr>
                <w:sz w:val="21"/>
                <w:szCs w:val="21"/>
                <w:color w:val="auto"/>
              </w:rPr>
            </w:pPr>
          </w:p>
        </w:tc>
        <w:tc>
          <w:tcPr>
            <w:tcW w:w="3040" w:type="dxa"/>
            <w:vAlign w:val="bottom"/>
            <w:gridSpan w:val="26"/>
          </w:tcPr>
          <w:p>
            <w:pPr>
              <w:ind w:left="20"/>
              <w:spacing w:after="0" w:line="250" w:lineRule="exact"/>
              <w:rPr>
                <w:sz w:val="20"/>
                <w:szCs w:val="20"/>
                <w:color w:val="auto"/>
              </w:rPr>
            </w:pPr>
            <w:r>
              <w:rPr>
                <w:rFonts w:ascii="Times New Roman" w:cs="Times New Roman" w:eastAsia="Times New Roman" w:hAnsi="Times New Roman"/>
                <w:sz w:val="22"/>
                <w:szCs w:val="22"/>
                <w:color w:val="0000FF"/>
              </w:rPr>
              <w:t>Stay, Extension and Usury Laws</w:t>
            </w:r>
          </w:p>
        </w:tc>
        <w:tc>
          <w:tcPr>
            <w:tcW w:w="260" w:type="dxa"/>
            <w:vAlign w:val="bottom"/>
            <w:gridSpan w:val="2"/>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w w:val="90"/>
              </w:rPr>
              <w:t>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5.04.</w:t>
            </w:r>
          </w:p>
        </w:tc>
        <w:tc>
          <w:tcPr>
            <w:tcW w:w="240" w:type="dxa"/>
            <w:vAlign w:val="bottom"/>
          </w:tcPr>
          <w:p>
            <w:pPr>
              <w:spacing w:after="0"/>
              <w:rPr>
                <w:sz w:val="22"/>
                <w:szCs w:val="22"/>
                <w:color w:val="auto"/>
              </w:rPr>
            </w:pPr>
          </w:p>
        </w:tc>
        <w:tc>
          <w:tcPr>
            <w:tcW w:w="190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rPr>
              <w:t>Corporate Existence</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5.05.</w:t>
            </w:r>
          </w:p>
        </w:tc>
        <w:tc>
          <w:tcPr>
            <w:tcW w:w="240" w:type="dxa"/>
            <w:vAlign w:val="bottom"/>
          </w:tcPr>
          <w:p>
            <w:pPr>
              <w:spacing w:after="0"/>
              <w:rPr>
                <w:sz w:val="21"/>
                <w:szCs w:val="21"/>
                <w:color w:val="auto"/>
              </w:rPr>
            </w:pPr>
          </w:p>
        </w:tc>
        <w:tc>
          <w:tcPr>
            <w:tcW w:w="266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Compliance with Laws  </w:t>
            </w:r>
            <w:r>
              <w:rPr>
                <w:rFonts w:ascii="Times New Roman" w:cs="Times New Roman" w:eastAsia="Times New Roman" w:hAnsi="Times New Roman"/>
                <w:sz w:val="22"/>
                <w:szCs w:val="22"/>
                <w:color w:val="000000"/>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5.06.</w:t>
            </w:r>
          </w:p>
        </w:tc>
        <w:tc>
          <w:tcPr>
            <w:tcW w:w="240" w:type="dxa"/>
            <w:vAlign w:val="bottom"/>
          </w:tcPr>
          <w:p>
            <w:pPr>
              <w:spacing w:after="0"/>
              <w:rPr>
                <w:sz w:val="22"/>
                <w:szCs w:val="22"/>
                <w:color w:val="auto"/>
              </w:rPr>
            </w:pPr>
          </w:p>
        </w:tc>
        <w:tc>
          <w:tcPr>
            <w:tcW w:w="3040" w:type="dxa"/>
            <w:vAlign w:val="bottom"/>
            <w:gridSpan w:val="26"/>
          </w:tcPr>
          <w:p>
            <w:pPr>
              <w:ind w:left="20"/>
              <w:spacing w:after="0"/>
              <w:rPr>
                <w:sz w:val="20"/>
                <w:szCs w:val="20"/>
                <w:color w:val="auto"/>
              </w:rPr>
            </w:pPr>
            <w:r>
              <w:rPr>
                <w:rFonts w:ascii="Times New Roman" w:cs="Times New Roman" w:eastAsia="Times New Roman" w:hAnsi="Times New Roman"/>
                <w:sz w:val="22"/>
                <w:szCs w:val="22"/>
                <w:color w:val="0000FF"/>
              </w:rPr>
              <w:t>Delivery of Quarterly Certificate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9"/>
              </w:rPr>
              <w:t>93</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5.07.</w:t>
            </w:r>
          </w:p>
        </w:tc>
        <w:tc>
          <w:tcPr>
            <w:tcW w:w="240" w:type="dxa"/>
            <w:vAlign w:val="bottom"/>
          </w:tcPr>
          <w:p>
            <w:pPr>
              <w:spacing w:after="0"/>
              <w:rPr>
                <w:sz w:val="21"/>
                <w:szCs w:val="21"/>
                <w:color w:val="auto"/>
              </w:rPr>
            </w:pPr>
          </w:p>
        </w:tc>
        <w:tc>
          <w:tcPr>
            <w:tcW w:w="3340" w:type="dxa"/>
            <w:vAlign w:val="bottom"/>
            <w:gridSpan w:val="29"/>
          </w:tcPr>
          <w:p>
            <w:pPr>
              <w:ind w:left="20"/>
              <w:spacing w:after="0" w:line="250" w:lineRule="exact"/>
              <w:rPr>
                <w:sz w:val="20"/>
                <w:szCs w:val="20"/>
                <w:color w:val="auto"/>
              </w:rPr>
            </w:pPr>
            <w:r>
              <w:rPr>
                <w:rFonts w:ascii="Times New Roman" w:cs="Times New Roman" w:eastAsia="Times New Roman" w:hAnsi="Times New Roman"/>
                <w:sz w:val="22"/>
                <w:szCs w:val="22"/>
                <w:color w:val="0000FF"/>
              </w:rPr>
              <w:t>Delivery of Appraisals; Field Audits</w:t>
            </w:r>
          </w:p>
        </w:tc>
        <w:tc>
          <w:tcPr>
            <w:tcW w:w="380" w:type="dxa"/>
            <w:vAlign w:val="bottom"/>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93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5.08.</w:t>
            </w:r>
          </w:p>
        </w:tc>
        <w:tc>
          <w:tcPr>
            <w:tcW w:w="240" w:type="dxa"/>
            <w:vAlign w:val="bottom"/>
          </w:tcPr>
          <w:p>
            <w:pPr>
              <w:spacing w:after="0"/>
              <w:rPr>
                <w:sz w:val="22"/>
                <w:szCs w:val="22"/>
                <w:color w:val="auto"/>
              </w:rPr>
            </w:pPr>
          </w:p>
        </w:tc>
        <w:tc>
          <w:tcPr>
            <w:tcW w:w="2320" w:type="dxa"/>
            <w:vAlign w:val="bottom"/>
            <w:gridSpan w:val="19"/>
          </w:tcPr>
          <w:p>
            <w:pPr>
              <w:ind w:left="20"/>
              <w:spacing w:after="0"/>
              <w:rPr>
                <w:sz w:val="20"/>
                <w:szCs w:val="20"/>
                <w:color w:val="auto"/>
              </w:rPr>
            </w:pPr>
            <w:r>
              <w:rPr>
                <w:rFonts w:ascii="Times New Roman" w:cs="Times New Roman" w:eastAsia="Times New Roman" w:hAnsi="Times New Roman"/>
                <w:sz w:val="22"/>
                <w:szCs w:val="22"/>
                <w:color w:val="0000FF"/>
              </w:rPr>
              <w:t>Regulatory Cooperation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w w:val="90"/>
              </w:rPr>
              <w:t>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5.09.</w:t>
            </w:r>
          </w:p>
        </w:tc>
        <w:tc>
          <w:tcPr>
            <w:tcW w:w="240" w:type="dxa"/>
            <w:vAlign w:val="bottom"/>
          </w:tcPr>
          <w:p>
            <w:pPr>
              <w:spacing w:after="0"/>
              <w:rPr>
                <w:sz w:val="21"/>
                <w:szCs w:val="21"/>
                <w:color w:val="auto"/>
              </w:rPr>
            </w:pPr>
          </w:p>
        </w:tc>
        <w:tc>
          <w:tcPr>
            <w:tcW w:w="6480" w:type="dxa"/>
            <w:vAlign w:val="bottom"/>
            <w:gridSpan w:val="36"/>
          </w:tcPr>
          <w:p>
            <w:pPr>
              <w:ind w:left="20"/>
              <w:spacing w:after="0" w:line="250" w:lineRule="exact"/>
              <w:rPr>
                <w:sz w:val="20"/>
                <w:szCs w:val="20"/>
                <w:color w:val="auto"/>
              </w:rPr>
            </w:pPr>
            <w:r>
              <w:rPr>
                <w:rFonts w:ascii="Times New Roman" w:cs="Times New Roman" w:eastAsia="Times New Roman" w:hAnsi="Times New Roman"/>
                <w:sz w:val="22"/>
                <w:szCs w:val="22"/>
                <w:color w:val="0000FF"/>
                <w:w w:val="99"/>
              </w:rPr>
              <w:t xml:space="preserve">Regulatory Matters; Citizenship; Utilization; Collateral Requirements  </w:t>
            </w:r>
            <w:r>
              <w:rPr>
                <w:rFonts w:ascii="Times New Roman" w:cs="Times New Roman" w:eastAsia="Times New Roman" w:hAnsi="Times New Roman"/>
                <w:sz w:val="22"/>
                <w:szCs w:val="22"/>
                <w:color w:val="000000"/>
                <w:w w:val="99"/>
              </w:rPr>
              <w:t>94</w:t>
            </w: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5.10.</w:t>
            </w:r>
          </w:p>
        </w:tc>
        <w:tc>
          <w:tcPr>
            <w:tcW w:w="240" w:type="dxa"/>
            <w:vAlign w:val="bottom"/>
          </w:tcPr>
          <w:p>
            <w:pPr>
              <w:spacing w:after="0"/>
              <w:rPr>
                <w:sz w:val="22"/>
                <w:szCs w:val="22"/>
                <w:color w:val="auto"/>
              </w:rPr>
            </w:pPr>
          </w:p>
        </w:tc>
        <w:tc>
          <w:tcPr>
            <w:tcW w:w="190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w w:val="98"/>
              </w:rPr>
              <w:t>Collateral Ownership</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5.11.</w:t>
            </w:r>
          </w:p>
        </w:tc>
        <w:tc>
          <w:tcPr>
            <w:tcW w:w="1560" w:type="dxa"/>
            <w:vAlign w:val="bottom"/>
            <w:gridSpan w:val="9"/>
          </w:tcPr>
          <w:p>
            <w:pPr>
              <w:ind w:left="240"/>
              <w:spacing w:after="0" w:line="250" w:lineRule="exact"/>
              <w:rPr>
                <w:sz w:val="20"/>
                <w:szCs w:val="20"/>
                <w:color w:val="auto"/>
              </w:rPr>
            </w:pPr>
            <w:r>
              <w:rPr>
                <w:rFonts w:ascii="Times New Roman" w:cs="Times New Roman" w:eastAsia="Times New Roman" w:hAnsi="Times New Roman"/>
                <w:sz w:val="22"/>
                <w:szCs w:val="22"/>
                <w:color w:val="0000FF"/>
              </w:rPr>
              <w:t xml:space="preserve">Insurance  </w:t>
            </w:r>
            <w:r>
              <w:rPr>
                <w:rFonts w:ascii="Times New Roman" w:cs="Times New Roman" w:eastAsia="Times New Roman" w:hAnsi="Times New Roman"/>
                <w:sz w:val="22"/>
                <w:szCs w:val="22"/>
                <w:color w:val="000000"/>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4020" w:type="dxa"/>
            <w:vAlign w:val="bottom"/>
            <w:gridSpan w:val="24"/>
          </w:tcPr>
          <w:p>
            <w:pPr>
              <w:spacing w:after="0"/>
              <w:rPr>
                <w:sz w:val="20"/>
                <w:szCs w:val="20"/>
                <w:color w:val="auto"/>
              </w:rPr>
            </w:pPr>
            <w:r>
              <w:rPr>
                <w:rFonts w:ascii="Times New Roman" w:cs="Times New Roman" w:eastAsia="Times New Roman" w:hAnsi="Times New Roman"/>
                <w:sz w:val="22"/>
                <w:szCs w:val="22"/>
                <w:color w:val="0000FF"/>
              </w:rPr>
              <w:t xml:space="preserve">Section 5.12.  Additional Collateral.  </w:t>
            </w:r>
            <w:r>
              <w:rPr>
                <w:rFonts w:ascii="Times New Roman" w:cs="Times New Roman" w:eastAsia="Times New Roman" w:hAnsi="Times New Roman"/>
                <w:sz w:val="22"/>
                <w:szCs w:val="22"/>
                <w:color w:val="000000"/>
              </w:rPr>
              <w:t>95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5.13.</w:t>
            </w:r>
          </w:p>
        </w:tc>
        <w:tc>
          <w:tcPr>
            <w:tcW w:w="240" w:type="dxa"/>
            <w:vAlign w:val="bottom"/>
          </w:tcPr>
          <w:p>
            <w:pPr>
              <w:spacing w:after="0"/>
              <w:rPr>
                <w:sz w:val="21"/>
                <w:szCs w:val="21"/>
                <w:color w:val="auto"/>
              </w:rPr>
            </w:pPr>
          </w:p>
        </w:tc>
        <w:tc>
          <w:tcPr>
            <w:tcW w:w="2660" w:type="dxa"/>
            <w:vAlign w:val="bottom"/>
            <w:gridSpan w:val="22"/>
          </w:tcPr>
          <w:p>
            <w:pPr>
              <w:ind w:left="20"/>
              <w:spacing w:after="0" w:line="250" w:lineRule="exact"/>
              <w:rPr>
                <w:sz w:val="20"/>
                <w:szCs w:val="20"/>
                <w:color w:val="auto"/>
              </w:rPr>
            </w:pPr>
            <w:r>
              <w:rPr>
                <w:rFonts w:ascii="Times New Roman" w:cs="Times New Roman" w:eastAsia="Times New Roman" w:hAnsi="Times New Roman"/>
                <w:sz w:val="22"/>
                <w:szCs w:val="22"/>
                <w:color w:val="0000FF"/>
                <w:w w:val="99"/>
              </w:rPr>
              <w:t>Access to Books and Records</w:t>
            </w:r>
          </w:p>
        </w:tc>
        <w:tc>
          <w:tcPr>
            <w:tcW w:w="38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rPr>
              <w:t>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5.14.</w:t>
            </w:r>
          </w:p>
        </w:tc>
        <w:tc>
          <w:tcPr>
            <w:tcW w:w="240" w:type="dxa"/>
            <w:vAlign w:val="bottom"/>
          </w:tcPr>
          <w:p>
            <w:pPr>
              <w:spacing w:after="0"/>
              <w:rPr>
                <w:sz w:val="22"/>
                <w:szCs w:val="22"/>
                <w:color w:val="auto"/>
              </w:rPr>
            </w:pPr>
          </w:p>
        </w:tc>
        <w:tc>
          <w:tcPr>
            <w:tcW w:w="190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rPr>
              <w:t>Further Assurances</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w w:val="90"/>
              </w:rPr>
              <w:t>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700" w:type="dxa"/>
            <w:vAlign w:val="bottom"/>
            <w:gridSpan w:val="31"/>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5.15.  Notice of Change of Location.  </w:t>
            </w:r>
            <w:r>
              <w:rPr>
                <w:rFonts w:ascii="Times New Roman" w:cs="Times New Roman" w:eastAsia="Times New Roman" w:hAnsi="Times New Roman"/>
                <w:sz w:val="22"/>
                <w:szCs w:val="22"/>
                <w:color w:val="000000"/>
              </w:rPr>
              <w:t>97</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2"/>
                <w:szCs w:val="22"/>
                <w:color w:val="0000FF"/>
                <w:w w:val="93"/>
              </w:rPr>
              <w:t>Section 5.16.</w:t>
            </w:r>
          </w:p>
        </w:tc>
        <w:tc>
          <w:tcPr>
            <w:tcW w:w="240" w:type="dxa"/>
            <w:vAlign w:val="bottom"/>
          </w:tcPr>
          <w:p>
            <w:pPr>
              <w:spacing w:after="0"/>
              <w:rPr>
                <w:sz w:val="22"/>
                <w:szCs w:val="22"/>
                <w:color w:val="auto"/>
              </w:rPr>
            </w:pPr>
          </w:p>
        </w:tc>
        <w:tc>
          <w:tcPr>
            <w:tcW w:w="190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rPr>
              <w:t>Collateral Perfection</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3"/>
              </w:rPr>
              <w:t>Section 5.17.</w:t>
            </w:r>
          </w:p>
        </w:tc>
        <w:tc>
          <w:tcPr>
            <w:tcW w:w="240" w:type="dxa"/>
            <w:vAlign w:val="bottom"/>
          </w:tcPr>
          <w:p>
            <w:pPr>
              <w:spacing w:after="0"/>
              <w:rPr>
                <w:sz w:val="21"/>
                <w:szCs w:val="21"/>
                <w:color w:val="auto"/>
              </w:rPr>
            </w:pPr>
          </w:p>
        </w:tc>
        <w:tc>
          <w:tcPr>
            <w:tcW w:w="70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0000FF"/>
              </w:rPr>
              <w:t>KYC.</w:t>
            </w:r>
          </w:p>
        </w:tc>
        <w:tc>
          <w:tcPr>
            <w:tcW w:w="480" w:type="dxa"/>
            <w:vAlign w:val="bottom"/>
            <w:gridSpan w:val="2"/>
          </w:tcPr>
          <w:p>
            <w:pPr>
              <w:jc w:val="right"/>
              <w:ind w:right="220"/>
              <w:spacing w:after="0" w:line="250" w:lineRule="exact"/>
              <w:rPr>
                <w:sz w:val="20"/>
                <w:szCs w:val="20"/>
                <w:color w:val="auto"/>
              </w:rPr>
            </w:pPr>
            <w:r>
              <w:rPr>
                <w:rFonts w:ascii="Times New Roman" w:cs="Times New Roman" w:eastAsia="Times New Roman" w:hAnsi="Times New Roman"/>
                <w:sz w:val="22"/>
                <w:szCs w:val="22"/>
                <w:color w:val="auto"/>
              </w:rPr>
              <w:t>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99" w:right="1440" w:bottom="1440" w:gutter="0" w:footer="0" w:header="0"/>
          <w:type w:val="continuous"/>
        </w:sectPr>
      </w:pPr>
    </w:p>
    <w:bookmarkStart w:id="43" w:name="page44"/>
    <w:bookmarkEnd w:id="43"/>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7"/>
              </w:rPr>
              <w:t>SECTION 6. NEGATIVE COVENANTS</w:t>
            </w:r>
          </w:p>
        </w:tc>
        <w:tc>
          <w:tcPr>
            <w:tcW w:w="20" w:type="dxa"/>
            <w:vAlign w:val="bottom"/>
          </w:tcPr>
          <w:p>
            <w:pPr>
              <w:spacing w:after="0"/>
              <w:rPr>
                <w:sz w:val="22"/>
                <w:szCs w:val="22"/>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7"/>
        </w:trPr>
        <w:tc>
          <w:tcPr>
            <w:tcW w:w="1300" w:type="dxa"/>
            <w:vAlign w:val="bottom"/>
          </w:tcPr>
          <w:p>
            <w:pPr>
              <w:spacing w:after="0"/>
              <w:rPr>
                <w:sz w:val="20"/>
                <w:szCs w:val="20"/>
                <w:color w:val="auto"/>
              </w:rPr>
            </w:pPr>
          </w:p>
        </w:tc>
        <w:tc>
          <w:tcPr>
            <w:tcW w:w="124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0000FF"/>
              </w:rPr>
              <w:t>Section 6.01.</w:t>
            </w:r>
          </w:p>
        </w:tc>
        <w:tc>
          <w:tcPr>
            <w:tcW w:w="120" w:type="dxa"/>
            <w:vAlign w:val="bottom"/>
          </w:tcPr>
          <w:p>
            <w:pPr>
              <w:spacing w:after="0"/>
              <w:rPr>
                <w:sz w:val="20"/>
                <w:szCs w:val="20"/>
                <w:color w:val="auto"/>
              </w:rPr>
            </w:pPr>
          </w:p>
        </w:tc>
        <w:tc>
          <w:tcPr>
            <w:tcW w:w="2340" w:type="dxa"/>
            <w:vAlign w:val="bottom"/>
            <w:gridSpan w:val="24"/>
          </w:tcPr>
          <w:p>
            <w:pPr>
              <w:ind w:left="20"/>
              <w:spacing w:after="0" w:line="237" w:lineRule="exact"/>
              <w:rPr>
                <w:sz w:val="20"/>
                <w:szCs w:val="20"/>
                <w:color w:val="auto"/>
              </w:rPr>
            </w:pPr>
            <w:r>
              <w:rPr>
                <w:rFonts w:ascii="Times New Roman" w:cs="Times New Roman" w:eastAsia="Times New Roman" w:hAnsi="Times New Roman"/>
                <w:sz w:val="22"/>
                <w:szCs w:val="22"/>
                <w:color w:val="0000FF"/>
              </w:rPr>
              <w:t>Disposition of Collateral</w:t>
            </w:r>
          </w:p>
        </w:tc>
        <w:tc>
          <w:tcPr>
            <w:tcW w:w="48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22"/>
                <w:szCs w:val="22"/>
                <w:color w:val="auto"/>
              </w:rPr>
              <w:t>97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6.02.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0000FF"/>
              </w:rPr>
              <w:t>Liens</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6.03.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16"/>
          </w:tcPr>
          <w:p>
            <w:pPr>
              <w:ind w:left="20"/>
              <w:spacing w:after="0" w:line="250" w:lineRule="exact"/>
              <w:rPr>
                <w:sz w:val="20"/>
                <w:szCs w:val="20"/>
                <w:color w:val="auto"/>
              </w:rPr>
            </w:pPr>
            <w:r>
              <w:rPr>
                <w:rFonts w:ascii="Times New Roman" w:cs="Times New Roman" w:eastAsia="Times New Roman" w:hAnsi="Times New Roman"/>
                <w:sz w:val="22"/>
                <w:szCs w:val="22"/>
                <w:color w:val="0000FF"/>
                <w:w w:val="94"/>
              </w:rPr>
              <w:t>Business Activities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3"/>
          </w:tcPr>
          <w:p>
            <w:pPr>
              <w:ind w:left="40"/>
              <w:spacing w:after="0" w:line="250" w:lineRule="exact"/>
              <w:rPr>
                <w:sz w:val="20"/>
                <w:szCs w:val="20"/>
                <w:color w:val="auto"/>
              </w:rPr>
            </w:pPr>
            <w:r>
              <w:rPr>
                <w:rFonts w:ascii="Times New Roman" w:cs="Times New Roman" w:eastAsia="Times New Roman" w:hAnsi="Times New Roman"/>
                <w:sz w:val="22"/>
                <w:szCs w:val="22"/>
                <w:color w:val="auto"/>
                <w:w w:val="81"/>
              </w:rPr>
              <w:t>98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6.04.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0000FF"/>
              </w:rPr>
              <w:t>Liquidity</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0"/>
              </w:rPr>
              <w:t>98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960" w:type="dxa"/>
            <w:vAlign w:val="bottom"/>
            <w:gridSpan w:val="33"/>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Section 6.05.  Minimum EBITDAR.  </w:t>
            </w:r>
            <w:r>
              <w:rPr>
                <w:rFonts w:ascii="Times New Roman" w:cs="Times New Roman" w:eastAsia="Times New Roman" w:hAnsi="Times New Roman"/>
                <w:sz w:val="22"/>
                <w:szCs w:val="22"/>
                <w:color w:val="000000"/>
              </w:rPr>
              <w:t>98</w:t>
            </w: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6.06.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0" w:type="dxa"/>
            <w:vAlign w:val="bottom"/>
            <w:gridSpan w:val="30"/>
          </w:tcPr>
          <w:p>
            <w:pPr>
              <w:ind w:left="20"/>
              <w:spacing w:after="0"/>
              <w:rPr>
                <w:sz w:val="20"/>
                <w:szCs w:val="20"/>
                <w:color w:val="auto"/>
              </w:rPr>
            </w:pPr>
            <w:r>
              <w:rPr>
                <w:rFonts w:ascii="Times New Roman" w:cs="Times New Roman" w:eastAsia="Times New Roman" w:hAnsi="Times New Roman"/>
                <w:sz w:val="22"/>
                <w:szCs w:val="22"/>
                <w:color w:val="0000FF"/>
                <w:w w:val="99"/>
              </w:rPr>
              <w:t>Merger, Consolidation, or Sale of Assets</w:t>
            </w:r>
          </w:p>
        </w:tc>
        <w:tc>
          <w:tcPr>
            <w:tcW w:w="170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98</w:t>
            </w: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6.07.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000FF"/>
              </w:rPr>
              <w:t>Use of Proceeds</w:t>
            </w:r>
          </w:p>
        </w:tc>
        <w:tc>
          <w:tcPr>
            <w:tcW w:w="24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2"/>
                <w:szCs w:val="22"/>
                <w:color w:val="auto"/>
                <w:w w:val="90"/>
              </w:rPr>
              <w:t>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6.08.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24"/>
          </w:tcPr>
          <w:p>
            <w:pPr>
              <w:ind w:left="20"/>
              <w:spacing w:after="0"/>
              <w:rPr>
                <w:sz w:val="20"/>
                <w:szCs w:val="20"/>
                <w:color w:val="auto"/>
              </w:rPr>
            </w:pPr>
            <w:r>
              <w:rPr>
                <w:rFonts w:ascii="Times New Roman" w:cs="Times New Roman" w:eastAsia="Times New Roman" w:hAnsi="Times New Roman"/>
                <w:sz w:val="22"/>
                <w:szCs w:val="22"/>
                <w:color w:val="0000FF"/>
              </w:rPr>
              <w:t>Collateral Coverage Ratio</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3920" w:type="dxa"/>
            <w:vAlign w:val="bottom"/>
            <w:gridSpan w:val="15"/>
          </w:tcPr>
          <w:p>
            <w:pPr>
              <w:spacing w:after="0"/>
              <w:rPr>
                <w:sz w:val="20"/>
                <w:szCs w:val="20"/>
                <w:color w:val="auto"/>
              </w:rPr>
            </w:pPr>
            <w:r>
              <w:rPr>
                <w:rFonts w:ascii="Times New Roman" w:cs="Times New Roman" w:eastAsia="Times New Roman" w:hAnsi="Times New Roman"/>
                <w:sz w:val="22"/>
                <w:szCs w:val="22"/>
                <w:color w:val="0000FF"/>
              </w:rPr>
              <w:t xml:space="preserve">SECTION 7. EVENTS OF DEFAULT  </w:t>
            </w:r>
            <w:r>
              <w:rPr>
                <w:rFonts w:ascii="Times New Roman" w:cs="Times New Roman" w:eastAsia="Times New Roman" w:hAnsi="Times New Roman"/>
                <w:sz w:val="22"/>
                <w:szCs w:val="22"/>
                <w:color w:val="000000"/>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11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91"/>
              </w:rPr>
              <w:t>Section 7.01.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15"/>
          </w:tcPr>
          <w:p>
            <w:pPr>
              <w:ind w:left="20"/>
              <w:spacing w:after="0" w:line="237" w:lineRule="exact"/>
              <w:rPr>
                <w:sz w:val="20"/>
                <w:szCs w:val="20"/>
                <w:color w:val="auto"/>
              </w:rPr>
            </w:pPr>
            <w:r>
              <w:rPr>
                <w:rFonts w:ascii="Times New Roman" w:cs="Times New Roman" w:eastAsia="Times New Roman" w:hAnsi="Times New Roman"/>
                <w:sz w:val="22"/>
                <w:szCs w:val="22"/>
                <w:color w:val="0000FF"/>
              </w:rPr>
              <w:t>Events of Default</w:t>
            </w:r>
          </w:p>
        </w:tc>
        <w:tc>
          <w:tcPr>
            <w:tcW w:w="40" w:type="dxa"/>
            <w:vAlign w:val="bottom"/>
          </w:tcPr>
          <w:p>
            <w:pPr>
              <w:spacing w:after="0"/>
              <w:rPr>
                <w:sz w:val="20"/>
                <w:szCs w:val="20"/>
                <w:color w:val="auto"/>
              </w:rPr>
            </w:pPr>
          </w:p>
        </w:tc>
        <w:tc>
          <w:tcPr>
            <w:tcW w:w="460" w:type="dxa"/>
            <w:vAlign w:val="bottom"/>
            <w:gridSpan w:val="5"/>
          </w:tcPr>
          <w:p>
            <w:pPr>
              <w:jc w:val="right"/>
              <w:ind w:right="40"/>
              <w:spacing w:after="0" w:line="237" w:lineRule="exact"/>
              <w:rPr>
                <w:sz w:val="20"/>
                <w:szCs w:val="20"/>
                <w:color w:val="auto"/>
              </w:rPr>
            </w:pPr>
            <w:r>
              <w:rPr>
                <w:rFonts w:ascii="Times New Roman" w:cs="Times New Roman" w:eastAsia="Times New Roman" w:hAnsi="Times New Roman"/>
                <w:sz w:val="22"/>
                <w:szCs w:val="22"/>
                <w:color w:val="auto"/>
              </w:rPr>
              <w:t>101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7.02.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0000FF"/>
              </w:rPr>
              <w:t>Right to Cure</w:t>
            </w:r>
          </w:p>
        </w:tc>
        <w:tc>
          <w:tcPr>
            <w:tcW w:w="5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2400" w:type="dxa"/>
            <w:vAlign w:val="bottom"/>
            <w:gridSpan w:val="2"/>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SECTION 8. THE AGENTS</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6"/>
        </w:trPr>
        <w:tc>
          <w:tcPr>
            <w:tcW w:w="1300" w:type="dxa"/>
            <w:vAlign w:val="bottom"/>
          </w:tcPr>
          <w:p>
            <w:pPr>
              <w:spacing w:after="0"/>
              <w:rPr>
                <w:sz w:val="20"/>
                <w:szCs w:val="20"/>
                <w:color w:val="auto"/>
              </w:rPr>
            </w:pPr>
          </w:p>
        </w:tc>
        <w:tc>
          <w:tcPr>
            <w:tcW w:w="11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0000FF"/>
                <w:w w:val="91"/>
              </w:rPr>
              <w:t>Section 8.01.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4"/>
          </w:tcPr>
          <w:p>
            <w:pPr>
              <w:ind w:left="20"/>
              <w:spacing w:after="0" w:line="237" w:lineRule="exact"/>
              <w:rPr>
                <w:sz w:val="20"/>
                <w:szCs w:val="20"/>
                <w:color w:val="auto"/>
              </w:rPr>
            </w:pPr>
            <w:r>
              <w:rPr>
                <w:rFonts w:ascii="Times New Roman" w:cs="Times New Roman" w:eastAsia="Times New Roman" w:hAnsi="Times New Roman"/>
                <w:sz w:val="22"/>
                <w:szCs w:val="22"/>
                <w:color w:val="0000FF"/>
              </w:rPr>
              <w:t>Administration by Agents</w:t>
            </w:r>
          </w:p>
        </w:tc>
        <w:tc>
          <w:tcPr>
            <w:tcW w:w="48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2"/>
                <w:szCs w:val="22"/>
                <w:color w:val="auto"/>
              </w:rPr>
              <w:t>105</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8.02.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rPr>
              <w:t>Rights of Agents</w:t>
            </w:r>
          </w:p>
        </w:tc>
        <w:tc>
          <w:tcPr>
            <w:tcW w:w="40" w:type="dxa"/>
            <w:vAlign w:val="bottom"/>
          </w:tcPr>
          <w:p>
            <w:pPr>
              <w:spacing w:after="0"/>
              <w:rPr>
                <w:sz w:val="22"/>
                <w:szCs w:val="22"/>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105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2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rPr>
              <w:t>Section 8.03.</w:t>
            </w:r>
          </w:p>
        </w:tc>
        <w:tc>
          <w:tcPr>
            <w:tcW w:w="120" w:type="dxa"/>
            <w:vAlign w:val="bottom"/>
          </w:tcPr>
          <w:p>
            <w:pPr>
              <w:spacing w:after="0"/>
              <w:rPr>
                <w:sz w:val="21"/>
                <w:szCs w:val="21"/>
                <w:color w:val="auto"/>
              </w:rPr>
            </w:pPr>
          </w:p>
        </w:tc>
        <w:tc>
          <w:tcPr>
            <w:tcW w:w="1660" w:type="dxa"/>
            <w:vAlign w:val="bottom"/>
            <w:gridSpan w:val="16"/>
          </w:tcPr>
          <w:p>
            <w:pPr>
              <w:ind w:left="20"/>
              <w:spacing w:after="0" w:line="250" w:lineRule="exact"/>
              <w:rPr>
                <w:sz w:val="20"/>
                <w:szCs w:val="20"/>
                <w:color w:val="auto"/>
              </w:rPr>
            </w:pPr>
            <w:r>
              <w:rPr>
                <w:rFonts w:ascii="Times New Roman" w:cs="Times New Roman" w:eastAsia="Times New Roman" w:hAnsi="Times New Roman"/>
                <w:sz w:val="22"/>
                <w:szCs w:val="22"/>
                <w:color w:val="0000FF"/>
                <w:w w:val="95"/>
              </w:rPr>
              <w:t>Liability of Agents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2"/>
                <w:szCs w:val="22"/>
                <w:color w:val="auto"/>
              </w:rPr>
              <w:t>105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8.04.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40" w:type="dxa"/>
            <w:vAlign w:val="bottom"/>
            <w:gridSpan w:val="32"/>
          </w:tcPr>
          <w:p>
            <w:pPr>
              <w:ind w:left="20"/>
              <w:spacing w:after="0"/>
              <w:rPr>
                <w:sz w:val="20"/>
                <w:szCs w:val="20"/>
                <w:color w:val="auto"/>
              </w:rPr>
            </w:pPr>
            <w:r>
              <w:rPr>
                <w:rFonts w:ascii="Times New Roman" w:cs="Times New Roman" w:eastAsia="Times New Roman" w:hAnsi="Times New Roman"/>
                <w:sz w:val="22"/>
                <w:szCs w:val="22"/>
                <w:color w:val="0000FF"/>
              </w:rPr>
              <w:t xml:space="preserve">Reimbursement and Indemnification  </w:t>
            </w:r>
            <w:r>
              <w:rPr>
                <w:rFonts w:ascii="Times New Roman" w:cs="Times New Roman" w:eastAsia="Times New Roman" w:hAnsi="Times New Roman"/>
                <w:sz w:val="22"/>
                <w:szCs w:val="22"/>
                <w:color w:val="000000"/>
              </w:rPr>
              <w:t>107</w:t>
            </w: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8.05.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15"/>
          </w:tcPr>
          <w:p>
            <w:pPr>
              <w:ind w:left="20"/>
              <w:spacing w:after="0" w:line="250" w:lineRule="exact"/>
              <w:rPr>
                <w:sz w:val="20"/>
                <w:szCs w:val="20"/>
                <w:color w:val="auto"/>
              </w:rPr>
            </w:pPr>
            <w:r>
              <w:rPr>
                <w:rFonts w:ascii="Times New Roman" w:cs="Times New Roman" w:eastAsia="Times New Roman" w:hAnsi="Times New Roman"/>
                <w:sz w:val="22"/>
                <w:szCs w:val="22"/>
                <w:color w:val="0000FF"/>
              </w:rPr>
              <w:t>Successor Agents</w:t>
            </w:r>
          </w:p>
        </w:tc>
        <w:tc>
          <w:tcPr>
            <w:tcW w:w="40" w:type="dxa"/>
            <w:vAlign w:val="bottom"/>
          </w:tcPr>
          <w:p>
            <w:pPr>
              <w:spacing w:after="0"/>
              <w:rPr>
                <w:sz w:val="21"/>
                <w:szCs w:val="21"/>
                <w:color w:val="auto"/>
              </w:rPr>
            </w:pPr>
          </w:p>
        </w:tc>
        <w:tc>
          <w:tcPr>
            <w:tcW w:w="460" w:type="dxa"/>
            <w:vAlign w:val="bottom"/>
            <w:gridSpan w:val="5"/>
          </w:tcPr>
          <w:p>
            <w:pPr>
              <w:jc w:val="right"/>
              <w:ind w:right="40"/>
              <w:spacing w:after="0" w:line="250" w:lineRule="exact"/>
              <w:rPr>
                <w:sz w:val="20"/>
                <w:szCs w:val="20"/>
                <w:color w:val="auto"/>
              </w:rPr>
            </w:pPr>
            <w:r>
              <w:rPr>
                <w:rFonts w:ascii="Times New Roman" w:cs="Times New Roman" w:eastAsia="Times New Roman" w:hAnsi="Times New Roman"/>
                <w:sz w:val="22"/>
                <w:szCs w:val="22"/>
                <w:color w:val="auto"/>
              </w:rPr>
              <w:t>107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8.06.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18"/>
          </w:tcPr>
          <w:p>
            <w:pPr>
              <w:ind w:left="20"/>
              <w:spacing w:after="0"/>
              <w:rPr>
                <w:sz w:val="20"/>
                <w:szCs w:val="20"/>
                <w:color w:val="auto"/>
              </w:rPr>
            </w:pPr>
            <w:r>
              <w:rPr>
                <w:rFonts w:ascii="Times New Roman" w:cs="Times New Roman" w:eastAsia="Times New Roman" w:hAnsi="Times New Roman"/>
                <w:sz w:val="22"/>
                <w:szCs w:val="22"/>
                <w:color w:val="0000FF"/>
                <w:w w:val="98"/>
              </w:rPr>
              <w:t>Independent Lenders</w:t>
            </w:r>
          </w:p>
        </w:tc>
        <w:tc>
          <w:tcPr>
            <w:tcW w:w="580" w:type="dxa"/>
            <w:vAlign w:val="bottom"/>
            <w:gridSpan w:val="7"/>
          </w:tcPr>
          <w:p>
            <w:pPr>
              <w:ind w:left="200"/>
              <w:spacing w:after="0"/>
              <w:rPr>
                <w:sz w:val="20"/>
                <w:szCs w:val="20"/>
                <w:color w:val="auto"/>
              </w:rPr>
            </w:pPr>
            <w:r>
              <w:rPr>
                <w:rFonts w:ascii="Times New Roman" w:cs="Times New Roman" w:eastAsia="Times New Roman" w:hAnsi="Times New Roman"/>
                <w:sz w:val="22"/>
                <w:szCs w:val="22"/>
                <w:color w:val="auto"/>
              </w:rPr>
              <w:t>108</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8.07.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24"/>
          </w:tcPr>
          <w:p>
            <w:pPr>
              <w:ind w:left="20"/>
              <w:spacing w:after="0" w:line="250" w:lineRule="exact"/>
              <w:rPr>
                <w:sz w:val="20"/>
                <w:szCs w:val="20"/>
                <w:color w:val="auto"/>
              </w:rPr>
            </w:pPr>
            <w:r>
              <w:rPr>
                <w:rFonts w:ascii="Times New Roman" w:cs="Times New Roman" w:eastAsia="Times New Roman" w:hAnsi="Times New Roman"/>
                <w:sz w:val="22"/>
                <w:szCs w:val="22"/>
                <w:color w:val="0000FF"/>
              </w:rPr>
              <w:t>Advances and Payments</w:t>
            </w:r>
          </w:p>
        </w:tc>
        <w:tc>
          <w:tcPr>
            <w:tcW w:w="4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108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8.08.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0000FF"/>
                <w:w w:val="98"/>
              </w:rPr>
              <w:t>Sharing of Setoffs</w:t>
            </w:r>
          </w:p>
        </w:tc>
        <w:tc>
          <w:tcPr>
            <w:tcW w:w="40" w:type="dxa"/>
            <w:vAlign w:val="bottom"/>
          </w:tcPr>
          <w:p>
            <w:pPr>
              <w:spacing w:after="0"/>
              <w:rPr>
                <w:sz w:val="22"/>
                <w:szCs w:val="22"/>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8.09.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16"/>
          </w:tcPr>
          <w:p>
            <w:pPr>
              <w:ind w:left="20"/>
              <w:spacing w:after="0" w:line="250" w:lineRule="exact"/>
              <w:rPr>
                <w:sz w:val="20"/>
                <w:szCs w:val="20"/>
                <w:color w:val="auto"/>
              </w:rPr>
            </w:pPr>
            <w:r>
              <w:rPr>
                <w:rFonts w:ascii="Times New Roman" w:cs="Times New Roman" w:eastAsia="Times New Roman" w:hAnsi="Times New Roman"/>
                <w:sz w:val="22"/>
                <w:szCs w:val="22"/>
                <w:color w:val="0000FF"/>
                <w:w w:val="94"/>
              </w:rPr>
              <w:t>Withholding Taxes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2"/>
                <w:szCs w:val="22"/>
                <w:color w:val="auto"/>
              </w:rPr>
              <w:t>109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2"/>
                <w:szCs w:val="22"/>
                <w:color w:val="0000FF"/>
                <w:w w:val="91"/>
              </w:rPr>
              <w:t>Section 8.10.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0" w:type="dxa"/>
            <w:vAlign w:val="bottom"/>
            <w:gridSpan w:val="30"/>
          </w:tcPr>
          <w:p>
            <w:pPr>
              <w:ind w:left="20"/>
              <w:spacing w:after="0"/>
              <w:rPr>
                <w:sz w:val="20"/>
                <w:szCs w:val="20"/>
                <w:color w:val="auto"/>
              </w:rPr>
            </w:pPr>
            <w:r>
              <w:rPr>
                <w:rFonts w:ascii="Times New Roman" w:cs="Times New Roman" w:eastAsia="Times New Roman" w:hAnsi="Times New Roman"/>
                <w:sz w:val="22"/>
                <w:szCs w:val="22"/>
                <w:color w:val="0000FF"/>
              </w:rPr>
              <w:t xml:space="preserve">Appointment by Secured Parties  </w:t>
            </w:r>
            <w:r>
              <w:rPr>
                <w:rFonts w:ascii="Times New Roman" w:cs="Times New Roman" w:eastAsia="Times New Roman" w:hAnsi="Times New Roman"/>
                <w:sz w:val="22"/>
                <w:szCs w:val="22"/>
                <w:color w:val="000000"/>
              </w:rPr>
              <w:t>110</w:t>
            </w: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8.11.</w:t>
            </w:r>
          </w:p>
        </w:tc>
        <w:tc>
          <w:tcPr>
            <w:tcW w:w="140" w:type="dxa"/>
            <w:vAlign w:val="bottom"/>
          </w:tcPr>
          <w:p>
            <w:pPr>
              <w:spacing w:after="0"/>
              <w:rPr>
                <w:sz w:val="21"/>
                <w:szCs w:val="21"/>
                <w:color w:val="auto"/>
              </w:rPr>
            </w:pPr>
          </w:p>
        </w:tc>
        <w:tc>
          <w:tcPr>
            <w:tcW w:w="1980" w:type="dxa"/>
            <w:vAlign w:val="bottom"/>
            <w:gridSpan w:val="19"/>
          </w:tcPr>
          <w:p>
            <w:pPr>
              <w:ind w:left="120"/>
              <w:spacing w:after="0" w:line="250" w:lineRule="exact"/>
              <w:rPr>
                <w:sz w:val="20"/>
                <w:szCs w:val="20"/>
                <w:color w:val="auto"/>
              </w:rPr>
            </w:pPr>
            <w:r>
              <w:rPr>
                <w:rFonts w:ascii="Times New Roman" w:cs="Times New Roman" w:eastAsia="Times New Roman" w:hAnsi="Times New Roman"/>
                <w:sz w:val="22"/>
                <w:szCs w:val="22"/>
                <w:color w:val="0000FF"/>
              </w:rPr>
              <w:t>Erroneous Payments</w:t>
            </w:r>
          </w:p>
        </w:tc>
        <w:tc>
          <w:tcPr>
            <w:tcW w:w="480" w:type="dxa"/>
            <w:vAlign w:val="bottom"/>
            <w:gridSpan w:val="6"/>
          </w:tcPr>
          <w:p>
            <w:pPr>
              <w:ind w:left="140"/>
              <w:spacing w:after="0" w:line="250" w:lineRule="exact"/>
              <w:rPr>
                <w:sz w:val="20"/>
                <w:szCs w:val="20"/>
                <w:color w:val="auto"/>
              </w:rPr>
            </w:pPr>
            <w:r>
              <w:rPr>
                <w:rFonts w:ascii="Times New Roman" w:cs="Times New Roman" w:eastAsia="Times New Roman" w:hAnsi="Times New Roman"/>
                <w:sz w:val="22"/>
                <w:szCs w:val="22"/>
                <w:color w:val="auto"/>
                <w:w w:val="96"/>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254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SECTION 9. GUARANTY</w:t>
            </w:r>
          </w:p>
        </w:tc>
        <w:tc>
          <w:tcPr>
            <w:tcW w:w="620" w:type="dxa"/>
            <w:vAlign w:val="bottom"/>
            <w:gridSpan w:val="4"/>
          </w:tcPr>
          <w:p>
            <w:pPr>
              <w:jc w:val="right"/>
              <w:ind w:right="112"/>
              <w:spacing w:after="0"/>
              <w:rPr>
                <w:sz w:val="20"/>
                <w:szCs w:val="20"/>
                <w:color w:val="auto"/>
              </w:rPr>
            </w:pPr>
            <w:r>
              <w:rPr>
                <w:rFonts w:ascii="Times New Roman" w:cs="Times New Roman" w:eastAsia="Times New Roman" w:hAnsi="Times New Roman"/>
                <w:sz w:val="22"/>
                <w:szCs w:val="22"/>
                <w:color w:val="auto"/>
              </w:rPr>
              <w:t>112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9.01.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8"/>
          </w:tcPr>
          <w:p>
            <w:pPr>
              <w:ind w:left="20"/>
              <w:spacing w:after="0" w:line="250" w:lineRule="exact"/>
              <w:rPr>
                <w:sz w:val="20"/>
                <w:szCs w:val="20"/>
                <w:color w:val="auto"/>
              </w:rPr>
            </w:pPr>
            <w:r>
              <w:rPr>
                <w:rFonts w:ascii="Times New Roman" w:cs="Times New Roman" w:eastAsia="Times New Roman" w:hAnsi="Times New Roman"/>
                <w:sz w:val="22"/>
                <w:szCs w:val="22"/>
                <w:color w:val="0000FF"/>
              </w:rPr>
              <w:t>Guaranty</w:t>
            </w:r>
          </w:p>
        </w:tc>
        <w:tc>
          <w:tcPr>
            <w:tcW w:w="44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2"/>
                <w:szCs w:val="22"/>
                <w:color w:val="auto"/>
              </w:rPr>
              <w:t>112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9.02.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0" w:type="dxa"/>
            <w:vAlign w:val="bottom"/>
            <w:gridSpan w:val="30"/>
          </w:tcPr>
          <w:p>
            <w:pPr>
              <w:ind w:left="20"/>
              <w:spacing w:after="0" w:line="250" w:lineRule="exact"/>
              <w:rPr>
                <w:sz w:val="20"/>
                <w:szCs w:val="20"/>
                <w:color w:val="auto"/>
              </w:rPr>
            </w:pPr>
            <w:r>
              <w:rPr>
                <w:rFonts w:ascii="Times New Roman" w:cs="Times New Roman" w:eastAsia="Times New Roman" w:hAnsi="Times New Roman"/>
                <w:sz w:val="22"/>
                <w:szCs w:val="22"/>
                <w:color w:val="0000FF"/>
              </w:rPr>
              <w:t xml:space="preserve">No Impairment of Guaranty  </w:t>
            </w:r>
            <w:r>
              <w:rPr>
                <w:rFonts w:ascii="Times New Roman" w:cs="Times New Roman" w:eastAsia="Times New Roman" w:hAnsi="Times New Roman"/>
                <w:sz w:val="22"/>
                <w:szCs w:val="22"/>
                <w:color w:val="000000"/>
              </w:rPr>
              <w:t>113</w:t>
            </w: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7200" w:type="dxa"/>
            <w:vAlign w:val="bottom"/>
            <w:gridSpan w:val="35"/>
          </w:tcPr>
          <w:p>
            <w:pPr>
              <w:spacing w:after="0"/>
              <w:rPr>
                <w:sz w:val="20"/>
                <w:szCs w:val="20"/>
                <w:color w:val="auto"/>
              </w:rPr>
            </w:pPr>
            <w:r>
              <w:rPr>
                <w:rFonts w:ascii="Times New Roman" w:cs="Times New Roman" w:eastAsia="Times New Roman" w:hAnsi="Times New Roman"/>
                <w:sz w:val="22"/>
                <w:szCs w:val="22"/>
                <w:color w:val="0000FF"/>
              </w:rPr>
              <w:t xml:space="preserve">Section 9.03.  Continuation and Reinstatement, etc.  </w:t>
            </w:r>
            <w:r>
              <w:rPr>
                <w:rFonts w:ascii="Times New Roman" w:cs="Times New Roman" w:eastAsia="Times New Roman" w:hAnsi="Times New Roman"/>
                <w:sz w:val="22"/>
                <w:szCs w:val="22"/>
                <w:color w:val="000000"/>
              </w:rPr>
              <w:t>113</w:t>
            </w: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1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1"/>
              </w:rPr>
              <w:t>Section 9.04.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11"/>
          </w:tcPr>
          <w:p>
            <w:pPr>
              <w:ind w:left="20"/>
              <w:spacing w:after="0" w:line="250" w:lineRule="exact"/>
              <w:rPr>
                <w:sz w:val="20"/>
                <w:szCs w:val="20"/>
                <w:color w:val="auto"/>
              </w:rPr>
            </w:pPr>
            <w:r>
              <w:rPr>
                <w:rFonts w:ascii="Times New Roman" w:cs="Times New Roman" w:eastAsia="Times New Roman" w:hAnsi="Times New Roman"/>
                <w:sz w:val="22"/>
                <w:szCs w:val="22"/>
                <w:color w:val="0000FF"/>
              </w:rPr>
              <w:t>Subrogation</w:t>
            </w:r>
          </w:p>
        </w:tc>
        <w:tc>
          <w:tcPr>
            <w:tcW w:w="36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w w:val="96"/>
              </w:rPr>
              <w:t>114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3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2"/>
                <w:szCs w:val="22"/>
                <w:color w:val="0000FF"/>
                <w:w w:val="99"/>
              </w:rPr>
              <w:t>SECTION 10. MISCELLANEOUS</w:t>
            </w:r>
          </w:p>
        </w:tc>
        <w:tc>
          <w:tcPr>
            <w:tcW w:w="80" w:type="dxa"/>
            <w:vAlign w:val="bottom"/>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12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4"/>
              </w:rPr>
              <w:t>Section 10.01.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6"/>
          </w:tcPr>
          <w:p>
            <w:pPr>
              <w:spacing w:after="0" w:line="250" w:lineRule="exact"/>
              <w:rPr>
                <w:sz w:val="20"/>
                <w:szCs w:val="20"/>
                <w:color w:val="auto"/>
              </w:rPr>
            </w:pPr>
            <w:r>
              <w:rPr>
                <w:rFonts w:ascii="Times New Roman" w:cs="Times New Roman" w:eastAsia="Times New Roman" w:hAnsi="Times New Roman"/>
                <w:sz w:val="22"/>
                <w:szCs w:val="22"/>
                <w:color w:val="0000FF"/>
              </w:rPr>
              <w:t>Notices</w:t>
            </w:r>
          </w:p>
        </w:tc>
        <w:tc>
          <w:tcPr>
            <w:tcW w:w="4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auto"/>
                <w:w w:val="96"/>
              </w:rPr>
              <w:t>114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2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4"/>
              </w:rPr>
              <w:t>Section 10.02.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bottom w:val="single" w:sz="8" w:color="0000FF"/>
            </w:tcBorders>
            <w:gridSpan w:val="20"/>
          </w:tcPr>
          <w:p>
            <w:pPr>
              <w:spacing w:after="0" w:line="250" w:lineRule="exact"/>
              <w:rPr>
                <w:sz w:val="20"/>
                <w:szCs w:val="20"/>
                <w:color w:val="auto"/>
              </w:rPr>
            </w:pPr>
            <w:r>
              <w:rPr>
                <w:rFonts w:ascii="Times New Roman" w:cs="Times New Roman" w:eastAsia="Times New Roman" w:hAnsi="Times New Roman"/>
                <w:sz w:val="22"/>
                <w:szCs w:val="22"/>
                <w:color w:val="0000FF"/>
                <w:w w:val="97"/>
              </w:rPr>
              <w:t>Successors and Assigns</w:t>
            </w:r>
          </w:p>
        </w:tc>
        <w:tc>
          <w:tcPr>
            <w:tcW w:w="160" w:type="dxa"/>
            <w:vAlign w:val="bottom"/>
            <w:gridSpan w:val="2"/>
          </w:tcPr>
          <w:p>
            <w:pPr>
              <w:spacing w:after="0"/>
              <w:rPr>
                <w:sz w:val="21"/>
                <w:szCs w:val="21"/>
                <w:color w:val="auto"/>
              </w:rPr>
            </w:pPr>
          </w:p>
        </w:tc>
        <w:tc>
          <w:tcPr>
            <w:tcW w:w="48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22"/>
                <w:szCs w:val="22"/>
                <w:color w:val="auto"/>
              </w:rPr>
              <w:t>115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4"/>
        </w:trPr>
        <w:tc>
          <w:tcPr>
            <w:tcW w:w="1300" w:type="dxa"/>
            <w:vAlign w:val="bottom"/>
          </w:tcPr>
          <w:p>
            <w:pPr>
              <w:spacing w:after="0"/>
              <w:rPr>
                <w:sz w:val="22"/>
                <w:szCs w:val="22"/>
                <w:color w:val="auto"/>
              </w:rPr>
            </w:pPr>
          </w:p>
        </w:tc>
        <w:tc>
          <w:tcPr>
            <w:tcW w:w="1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4"/>
              </w:rPr>
              <w:t>Section 10.03.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9"/>
              </w:rPr>
              <w:t>Confidentiality</w:t>
            </w:r>
          </w:p>
        </w:tc>
        <w:tc>
          <w:tcPr>
            <w:tcW w:w="140" w:type="dxa"/>
            <w:vAlign w:val="bottom"/>
            <w:gridSpan w:val="2"/>
          </w:tcPr>
          <w:p>
            <w:pPr>
              <w:spacing w:after="0"/>
              <w:rPr>
                <w:sz w:val="22"/>
                <w:szCs w:val="22"/>
                <w:color w:val="auto"/>
              </w:rPr>
            </w:pPr>
          </w:p>
        </w:tc>
        <w:tc>
          <w:tcPr>
            <w:tcW w:w="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119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12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4"/>
              </w:rPr>
              <w:t>Section 10.04.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gridSpan w:val="28"/>
          </w:tcPr>
          <w:p>
            <w:pPr>
              <w:spacing w:after="0" w:line="250" w:lineRule="exact"/>
              <w:rPr>
                <w:sz w:val="20"/>
                <w:szCs w:val="20"/>
                <w:color w:val="auto"/>
              </w:rPr>
            </w:pPr>
            <w:r>
              <w:rPr>
                <w:rFonts w:ascii="Times New Roman" w:cs="Times New Roman" w:eastAsia="Times New Roman" w:hAnsi="Times New Roman"/>
                <w:sz w:val="22"/>
                <w:szCs w:val="22"/>
                <w:color w:val="0000FF"/>
              </w:rPr>
              <w:t>Expenses; Indemnity; Damage Waiver</w:t>
            </w:r>
          </w:p>
        </w:tc>
        <w:tc>
          <w:tcPr>
            <w:tcW w:w="1700" w:type="dxa"/>
            <w:vAlign w:val="bottom"/>
          </w:tcPr>
          <w:p>
            <w:pPr>
              <w:jc w:val="right"/>
              <w:ind w:right="1212"/>
              <w:spacing w:after="0" w:line="250" w:lineRule="exact"/>
              <w:rPr>
                <w:sz w:val="20"/>
                <w:szCs w:val="20"/>
                <w:color w:val="auto"/>
              </w:rPr>
            </w:pPr>
            <w:r>
              <w:rPr>
                <w:rFonts w:ascii="Times New Roman" w:cs="Times New Roman" w:eastAsia="Times New Roman" w:hAnsi="Times New Roman"/>
                <w:sz w:val="22"/>
                <w:szCs w:val="22"/>
                <w:color w:val="auto"/>
              </w:rPr>
              <w:t>120</w:t>
            </w: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4"/>
              </w:rPr>
              <w:t>Section 10.05.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2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w w:val="99"/>
              </w:rPr>
              <w:t xml:space="preserve">Governing Law; Jurisdiction; Consent to Service of Process  </w:t>
            </w:r>
            <w:r>
              <w:rPr>
                <w:rFonts w:ascii="Times New Roman" w:cs="Times New Roman" w:eastAsia="Times New Roman" w:hAnsi="Times New Roman"/>
                <w:sz w:val="22"/>
                <w:szCs w:val="22"/>
                <w:color w:val="000000"/>
                <w:w w:val="99"/>
              </w:rPr>
              <w:t>123</w:t>
            </w:r>
          </w:p>
        </w:tc>
      </w:tr>
      <w:tr>
        <w:trPr>
          <w:trHeight w:val="250"/>
        </w:trPr>
        <w:tc>
          <w:tcPr>
            <w:tcW w:w="1300" w:type="dxa"/>
            <w:vAlign w:val="bottom"/>
          </w:tcPr>
          <w:p>
            <w:pPr>
              <w:spacing w:after="0"/>
              <w:rPr>
                <w:sz w:val="21"/>
                <w:szCs w:val="21"/>
                <w:color w:val="auto"/>
              </w:rPr>
            </w:pPr>
          </w:p>
        </w:tc>
        <w:tc>
          <w:tcPr>
            <w:tcW w:w="1240" w:type="dxa"/>
            <w:vAlign w:val="bottom"/>
            <w:tcBorders>
              <w:top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4"/>
              </w:rPr>
              <w:t>Section 10.06.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0000FF"/>
            </w:tcBorders>
            <w:gridSpan w:val="9"/>
          </w:tcPr>
          <w:p>
            <w:pPr>
              <w:spacing w:after="0" w:line="250" w:lineRule="exact"/>
              <w:rPr>
                <w:sz w:val="20"/>
                <w:szCs w:val="20"/>
                <w:color w:val="auto"/>
              </w:rPr>
            </w:pPr>
            <w:r>
              <w:rPr>
                <w:rFonts w:ascii="Times New Roman" w:cs="Times New Roman" w:eastAsia="Times New Roman" w:hAnsi="Times New Roman"/>
                <w:sz w:val="22"/>
                <w:szCs w:val="22"/>
                <w:color w:val="0000FF"/>
              </w:rPr>
              <w:t>No Waiver</w:t>
            </w:r>
          </w:p>
        </w:tc>
        <w:tc>
          <w:tcPr>
            <w:tcW w:w="360" w:type="dxa"/>
            <w:vAlign w:val="bottom"/>
            <w:tcBorders>
              <w:top w:val="single" w:sz="8" w:color="0000FF"/>
            </w:tcBorders>
            <w:gridSpan w:val="4"/>
          </w:tcPr>
          <w:p>
            <w:pPr>
              <w:jc w:val="right"/>
              <w:ind w:right="20"/>
              <w:spacing w:after="0" w:line="250" w:lineRule="exact"/>
              <w:rPr>
                <w:sz w:val="20"/>
                <w:szCs w:val="20"/>
                <w:color w:val="auto"/>
              </w:rPr>
            </w:pPr>
            <w:r>
              <w:rPr>
                <w:rFonts w:ascii="Times New Roman" w:cs="Times New Roman" w:eastAsia="Times New Roman" w:hAnsi="Times New Roman"/>
                <w:sz w:val="22"/>
                <w:szCs w:val="22"/>
                <w:color w:val="auto"/>
                <w:w w:val="96"/>
              </w:rPr>
              <w:t>123</w:t>
            </w: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70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4"/>
              </w:rPr>
              <w:t>Section 10.07.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 xml:space="preserve">Extension of Maturity  </w:t>
            </w:r>
            <w:r>
              <w:rPr>
                <w:rFonts w:ascii="Times New Roman" w:cs="Times New Roman" w:eastAsia="Times New Roman" w:hAnsi="Times New Roman"/>
                <w:sz w:val="22"/>
                <w:szCs w:val="22"/>
                <w:color w:val="000000"/>
              </w:rPr>
              <w:t>123</w:t>
            </w: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124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4"/>
              </w:rPr>
              <w:t>Section 10.08.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0000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000FF"/>
                <w:w w:val="94"/>
              </w:rPr>
              <w:t>Amendments, etc.</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5"/>
          </w:tcPr>
          <w:p>
            <w:pPr>
              <w:ind w:left="40"/>
              <w:spacing w:after="0" w:line="250" w:lineRule="exact"/>
              <w:rPr>
                <w:sz w:val="20"/>
                <w:szCs w:val="20"/>
                <w:color w:val="auto"/>
              </w:rPr>
            </w:pPr>
            <w:r>
              <w:rPr>
                <w:rFonts w:ascii="Times New Roman" w:cs="Times New Roman" w:eastAsia="Times New Roman" w:hAnsi="Times New Roman"/>
                <w:sz w:val="22"/>
                <w:szCs w:val="22"/>
                <w:color w:val="auto"/>
                <w:w w:val="96"/>
              </w:rPr>
              <w:t>123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44" w:name="page45"/>
    <w:bookmarkEnd w:id="44"/>
    <w:tbl>
      <w:tblPr>
        <w:tblLayout w:type="fixed"/>
        <w:tblInd w:w="108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0000FF"/>
                <w:w w:val="96"/>
              </w:rPr>
              <w:t>Section 10.09.</w:t>
            </w:r>
          </w:p>
        </w:tc>
        <w:tc>
          <w:tcPr>
            <w:tcW w:w="240" w:type="dxa"/>
            <w:vAlign w:val="bottom"/>
          </w:tcPr>
          <w:p>
            <w:pPr>
              <w:spacing w:after="0"/>
              <w:rPr>
                <w:sz w:val="22"/>
                <w:szCs w:val="22"/>
                <w:color w:val="auto"/>
              </w:rPr>
            </w:pPr>
          </w:p>
        </w:tc>
        <w:tc>
          <w:tcPr>
            <w:tcW w:w="1840" w:type="dxa"/>
            <w:vAlign w:val="bottom"/>
            <w:gridSpan w:val="8"/>
          </w:tcPr>
          <w:p>
            <w:pPr>
              <w:spacing w:after="0"/>
              <w:rPr>
                <w:sz w:val="20"/>
                <w:szCs w:val="20"/>
                <w:color w:val="auto"/>
              </w:rPr>
            </w:pPr>
            <w:r>
              <w:rPr>
                <w:rFonts w:ascii="Times New Roman" w:cs="Times New Roman" w:eastAsia="Times New Roman" w:hAnsi="Times New Roman"/>
                <w:sz w:val="22"/>
                <w:szCs w:val="22"/>
                <w:color w:val="0000FF"/>
              </w:rPr>
              <w:t xml:space="preserve">Severability  </w:t>
            </w:r>
            <w:r>
              <w:rPr>
                <w:rFonts w:ascii="Times New Roman" w:cs="Times New Roman" w:eastAsia="Times New Roman" w:hAnsi="Times New Roman"/>
                <w:sz w:val="22"/>
                <w:szCs w:val="22"/>
                <w:color w:val="000000"/>
              </w:rPr>
              <w:t>126</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0000FF"/>
                <w:w w:val="96"/>
              </w:rPr>
              <w:t>Section 10.10.</w:t>
            </w:r>
          </w:p>
        </w:tc>
        <w:tc>
          <w:tcPr>
            <w:tcW w:w="24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22"/>
                <w:szCs w:val="22"/>
                <w:color w:val="0000FF"/>
              </w:rPr>
              <w:t>Headings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10.11.</w:t>
            </w:r>
          </w:p>
        </w:tc>
        <w:tc>
          <w:tcPr>
            <w:tcW w:w="2080" w:type="dxa"/>
            <w:vAlign w:val="bottom"/>
            <w:gridSpan w:val="9"/>
          </w:tcPr>
          <w:p>
            <w:pPr>
              <w:ind w:left="240"/>
              <w:spacing w:after="0" w:line="250" w:lineRule="exact"/>
              <w:rPr>
                <w:sz w:val="20"/>
                <w:szCs w:val="20"/>
                <w:color w:val="auto"/>
              </w:rPr>
            </w:pPr>
            <w:r>
              <w:rPr>
                <w:rFonts w:ascii="Times New Roman" w:cs="Times New Roman" w:eastAsia="Times New Roman" w:hAnsi="Times New Roman"/>
                <w:sz w:val="22"/>
                <w:szCs w:val="22"/>
                <w:color w:val="0000FF"/>
              </w:rPr>
              <w:t xml:space="preserve">Survival  </w:t>
            </w:r>
            <w:r>
              <w:rPr>
                <w:rFonts w:ascii="Times New Roman" w:cs="Times New Roman" w:eastAsia="Times New Roman" w:hAnsi="Times New Roman"/>
                <w:sz w:val="22"/>
                <w:szCs w:val="22"/>
                <w:color w:val="000000"/>
              </w:rPr>
              <w:t>126</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0000FF"/>
                <w:w w:val="96"/>
              </w:rPr>
              <w:t>Section 10.12.</w:t>
            </w:r>
          </w:p>
        </w:tc>
        <w:tc>
          <w:tcPr>
            <w:tcW w:w="240" w:type="dxa"/>
            <w:vAlign w:val="bottom"/>
          </w:tcPr>
          <w:p>
            <w:pPr>
              <w:spacing w:after="0"/>
              <w:rPr>
                <w:sz w:val="22"/>
                <w:szCs w:val="22"/>
                <w:color w:val="auto"/>
              </w:rPr>
            </w:pPr>
          </w:p>
        </w:tc>
        <w:tc>
          <w:tcPr>
            <w:tcW w:w="4620" w:type="dxa"/>
            <w:vAlign w:val="bottom"/>
            <w:gridSpan w:val="14"/>
          </w:tcPr>
          <w:p>
            <w:pPr>
              <w:spacing w:after="0"/>
              <w:rPr>
                <w:sz w:val="20"/>
                <w:szCs w:val="20"/>
                <w:color w:val="auto"/>
              </w:rPr>
            </w:pPr>
            <w:r>
              <w:rPr>
                <w:rFonts w:ascii="Times New Roman" w:cs="Times New Roman" w:eastAsia="Times New Roman" w:hAnsi="Times New Roman"/>
                <w:sz w:val="22"/>
                <w:szCs w:val="22"/>
                <w:color w:val="0000FF"/>
                <w:w w:val="98"/>
              </w:rPr>
              <w:t>Execution in Counterparts; Integration; Effectiveness</w:t>
            </w: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126</w:t>
            </w:r>
          </w:p>
        </w:tc>
        <w:tc>
          <w:tcPr>
            <w:tcW w:w="540" w:type="dxa"/>
            <w:vAlign w:val="bottom"/>
          </w:tcPr>
          <w:p>
            <w:pPr>
              <w:spacing w:after="0"/>
              <w:rPr>
                <w:sz w:val="22"/>
                <w:szCs w:val="22"/>
                <w:color w:val="auto"/>
              </w:rPr>
            </w:pPr>
          </w:p>
        </w:tc>
      </w:tr>
      <w:tr>
        <w:trPr>
          <w:trHeight w:val="250"/>
        </w:trPr>
        <w:tc>
          <w:tcPr>
            <w:tcW w:w="1240" w:type="dxa"/>
            <w:vAlign w:val="bottom"/>
            <w:tcBorders>
              <w:top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10.13.</w:t>
            </w:r>
          </w:p>
        </w:tc>
        <w:tc>
          <w:tcPr>
            <w:tcW w:w="240" w:type="dxa"/>
            <w:vAlign w:val="bottom"/>
          </w:tcPr>
          <w:p>
            <w:pPr>
              <w:spacing w:after="0"/>
              <w:rPr>
                <w:sz w:val="21"/>
                <w:szCs w:val="21"/>
                <w:color w:val="auto"/>
              </w:rPr>
            </w:pPr>
          </w:p>
        </w:tc>
        <w:tc>
          <w:tcPr>
            <w:tcW w:w="4600" w:type="dxa"/>
            <w:vAlign w:val="bottom"/>
            <w:tcBorders>
              <w:top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USA Patriot Act  </w:t>
            </w:r>
            <w:r>
              <w:rPr>
                <w:rFonts w:ascii="Times New Roman" w:cs="Times New Roman" w:eastAsia="Times New Roman" w:hAnsi="Times New Roman"/>
                <w:sz w:val="22"/>
                <w:szCs w:val="22"/>
                <w:color w:val="000000"/>
              </w:rPr>
              <w:t>127</w:t>
            </w: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6"/>
              </w:rPr>
              <w:t>Section 10.14.</w:t>
            </w:r>
          </w:p>
        </w:tc>
        <w:tc>
          <w:tcPr>
            <w:tcW w:w="240" w:type="dxa"/>
            <w:vAlign w:val="bottom"/>
          </w:tcPr>
          <w:p>
            <w:pPr>
              <w:spacing w:after="0"/>
              <w:rPr>
                <w:sz w:val="22"/>
                <w:szCs w:val="22"/>
                <w:color w:val="auto"/>
              </w:rPr>
            </w:pPr>
          </w:p>
        </w:tc>
        <w:tc>
          <w:tcPr>
            <w:tcW w:w="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4"/>
              </w:rPr>
              <w:t>New Value</w:t>
            </w:r>
          </w:p>
        </w:tc>
        <w:tc>
          <w:tcPr>
            <w:tcW w:w="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127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10.15.</w:t>
            </w:r>
          </w:p>
        </w:tc>
        <w:tc>
          <w:tcPr>
            <w:tcW w:w="240" w:type="dxa"/>
            <w:vAlign w:val="bottom"/>
          </w:tcPr>
          <w:p>
            <w:pPr>
              <w:spacing w:after="0"/>
              <w:rPr>
                <w:sz w:val="21"/>
                <w:szCs w:val="21"/>
                <w:color w:val="auto"/>
              </w:rPr>
            </w:pPr>
          </w:p>
        </w:tc>
        <w:tc>
          <w:tcPr>
            <w:tcW w:w="462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WAIVER OF JURY TRIAL  </w:t>
            </w:r>
            <w:r>
              <w:rPr>
                <w:rFonts w:ascii="Times New Roman" w:cs="Times New Roman" w:eastAsia="Times New Roman" w:hAnsi="Times New Roman"/>
                <w:sz w:val="22"/>
                <w:szCs w:val="22"/>
                <w:color w:val="000000"/>
              </w:rPr>
              <w:t>127</w:t>
            </w: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1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6"/>
              </w:rPr>
              <w:t>Section 10.16.</w:t>
            </w:r>
          </w:p>
        </w:tc>
        <w:tc>
          <w:tcPr>
            <w:tcW w:w="240" w:type="dxa"/>
            <w:vAlign w:val="bottom"/>
          </w:tcPr>
          <w:p>
            <w:pPr>
              <w:spacing w:after="0"/>
              <w:rPr>
                <w:sz w:val="22"/>
                <w:szCs w:val="22"/>
                <w:color w:val="auto"/>
              </w:rPr>
            </w:pPr>
          </w:p>
        </w:tc>
        <w:tc>
          <w:tcPr>
            <w:tcW w:w="1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97"/>
              </w:rPr>
              <w:t>No Fiduciary Duty</w:t>
            </w:r>
          </w:p>
        </w:tc>
        <w:tc>
          <w:tcPr>
            <w:tcW w:w="200" w:type="dxa"/>
            <w:vAlign w:val="bottom"/>
            <w:tcBorders>
              <w:top w:val="single" w:sz="8" w:color="0000FF"/>
            </w:tcBorders>
            <w:gridSpan w:val="2"/>
          </w:tcPr>
          <w:p>
            <w:pPr>
              <w:spacing w:after="0"/>
              <w:rPr>
                <w:sz w:val="22"/>
                <w:szCs w:val="22"/>
                <w:color w:val="auto"/>
              </w:rPr>
            </w:pPr>
          </w:p>
        </w:tc>
        <w:tc>
          <w:tcPr>
            <w:tcW w:w="3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auto"/>
                <w:w w:val="96"/>
              </w:rPr>
              <w:t>127</w:t>
            </w:r>
          </w:p>
        </w:tc>
        <w:tc>
          <w:tcPr>
            <w:tcW w:w="260" w:type="dxa"/>
            <w:vAlign w:val="bottom"/>
            <w:tcBorders>
              <w:top w:val="single" w:sz="8" w:color="0000FF"/>
            </w:tcBorders>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10.17.</w:t>
            </w:r>
          </w:p>
        </w:tc>
        <w:tc>
          <w:tcPr>
            <w:tcW w:w="240" w:type="dxa"/>
            <w:vAlign w:val="bottom"/>
          </w:tcPr>
          <w:p>
            <w:pPr>
              <w:spacing w:after="0"/>
              <w:rPr>
                <w:sz w:val="21"/>
                <w:szCs w:val="21"/>
                <w:color w:val="auto"/>
              </w:rPr>
            </w:pPr>
          </w:p>
        </w:tc>
        <w:tc>
          <w:tcPr>
            <w:tcW w:w="462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Intercreditor Agreements  </w:t>
            </w:r>
            <w:r>
              <w:rPr>
                <w:rFonts w:ascii="Times New Roman" w:cs="Times New Roman" w:eastAsia="Times New Roman" w:hAnsi="Times New Roman"/>
                <w:sz w:val="22"/>
                <w:szCs w:val="22"/>
                <w:color w:val="000000"/>
              </w:rPr>
              <w:t>128</w:t>
            </w: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0000FF"/>
                <w:w w:val="96"/>
              </w:rPr>
              <w:t>Section 10.18.</w:t>
            </w:r>
          </w:p>
        </w:tc>
        <w:tc>
          <w:tcPr>
            <w:tcW w:w="240" w:type="dxa"/>
            <w:vAlign w:val="bottom"/>
          </w:tcPr>
          <w:p>
            <w:pPr>
              <w:spacing w:after="0"/>
              <w:rPr>
                <w:sz w:val="22"/>
                <w:szCs w:val="22"/>
                <w:color w:val="auto"/>
              </w:rPr>
            </w:pPr>
          </w:p>
        </w:tc>
        <w:tc>
          <w:tcPr>
            <w:tcW w:w="4620" w:type="dxa"/>
            <w:vAlign w:val="bottom"/>
            <w:gridSpan w:val="14"/>
          </w:tcPr>
          <w:p>
            <w:pPr>
              <w:spacing w:after="0"/>
              <w:rPr>
                <w:sz w:val="20"/>
                <w:szCs w:val="20"/>
                <w:color w:val="auto"/>
              </w:rPr>
            </w:pPr>
            <w:r>
              <w:rPr>
                <w:rFonts w:ascii="Times New Roman" w:cs="Times New Roman" w:eastAsia="Times New Roman" w:hAnsi="Times New Roman"/>
                <w:sz w:val="22"/>
                <w:szCs w:val="22"/>
                <w:color w:val="0000FF"/>
              </w:rPr>
              <w:t xml:space="preserve">Registrations with International Registry  </w:t>
            </w:r>
            <w:r>
              <w:rPr>
                <w:rFonts w:ascii="Times New Roman" w:cs="Times New Roman" w:eastAsia="Times New Roman" w:hAnsi="Times New Roman"/>
                <w:sz w:val="22"/>
                <w:szCs w:val="22"/>
                <w:color w:val="000000"/>
              </w:rPr>
              <w:t>128</w:t>
            </w: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240" w:type="dxa"/>
            <w:vAlign w:val="bottom"/>
            <w:tcBorders>
              <w:top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10.19.</w:t>
            </w:r>
          </w:p>
        </w:tc>
        <w:tc>
          <w:tcPr>
            <w:tcW w:w="240" w:type="dxa"/>
            <w:vAlign w:val="bottom"/>
          </w:tcPr>
          <w:p>
            <w:pPr>
              <w:spacing w:after="0"/>
              <w:rPr>
                <w:sz w:val="21"/>
                <w:szCs w:val="21"/>
                <w:color w:val="auto"/>
              </w:rPr>
            </w:pPr>
          </w:p>
        </w:tc>
        <w:tc>
          <w:tcPr>
            <w:tcW w:w="1840" w:type="dxa"/>
            <w:vAlign w:val="bottom"/>
            <w:tcBorders>
              <w:top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7"/>
              </w:rPr>
              <w:t>No Other Duties, Etc</w:t>
            </w:r>
          </w:p>
        </w:tc>
        <w:tc>
          <w:tcPr>
            <w:tcW w:w="600" w:type="dxa"/>
            <w:vAlign w:val="bottom"/>
            <w:tcBorders>
              <w:top w:val="single" w:sz="8" w:color="0000FF"/>
            </w:tcBorders>
            <w:gridSpan w:val="2"/>
          </w:tcPr>
          <w:p>
            <w:pPr>
              <w:jc w:val="right"/>
              <w:ind w:right="80"/>
              <w:spacing w:after="0" w:line="250" w:lineRule="exact"/>
              <w:rPr>
                <w:sz w:val="20"/>
                <w:szCs w:val="20"/>
                <w:color w:val="auto"/>
              </w:rPr>
            </w:pPr>
            <w:r>
              <w:rPr>
                <w:rFonts w:ascii="Times New Roman" w:cs="Times New Roman" w:eastAsia="Times New Roman" w:hAnsi="Times New Roman"/>
                <w:sz w:val="22"/>
                <w:szCs w:val="22"/>
                <w:color w:val="auto"/>
              </w:rPr>
              <w:t>128</w:t>
            </w:r>
          </w:p>
        </w:tc>
        <w:tc>
          <w:tcPr>
            <w:tcW w:w="1080" w:type="dxa"/>
            <w:vAlign w:val="bottom"/>
            <w:tcBorders>
              <w:top w:val="single" w:sz="8" w:color="0000FF"/>
            </w:tcBorders>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0000FF"/>
                <w:w w:val="96"/>
              </w:rPr>
              <w:t>Section 10.20.</w:t>
            </w:r>
          </w:p>
        </w:tc>
        <w:tc>
          <w:tcPr>
            <w:tcW w:w="240" w:type="dxa"/>
            <w:vAlign w:val="bottom"/>
          </w:tcPr>
          <w:p>
            <w:pPr>
              <w:spacing w:after="0"/>
              <w:rPr>
                <w:sz w:val="22"/>
                <w:szCs w:val="22"/>
                <w:color w:val="auto"/>
              </w:rPr>
            </w:pPr>
          </w:p>
        </w:tc>
        <w:tc>
          <w:tcPr>
            <w:tcW w:w="7020" w:type="dxa"/>
            <w:vAlign w:val="bottom"/>
            <w:gridSpan w:val="16"/>
          </w:tcPr>
          <w:p>
            <w:pPr>
              <w:spacing w:after="0"/>
              <w:rPr>
                <w:sz w:val="20"/>
                <w:szCs w:val="20"/>
                <w:color w:val="auto"/>
              </w:rPr>
            </w:pPr>
            <w:r>
              <w:rPr>
                <w:rFonts w:ascii="Times New Roman" w:cs="Times New Roman" w:eastAsia="Times New Roman" w:hAnsi="Times New Roman"/>
                <w:sz w:val="22"/>
                <w:szCs w:val="22"/>
                <w:color w:val="0000FF"/>
                <w:w w:val="99"/>
              </w:rPr>
              <w:t xml:space="preserve">Acknowledgment and Consent to Bail-In of Affected Financial Institutions  </w:t>
            </w:r>
            <w:r>
              <w:rPr>
                <w:rFonts w:ascii="Times New Roman" w:cs="Times New Roman" w:eastAsia="Times New Roman" w:hAnsi="Times New Roman"/>
                <w:sz w:val="22"/>
                <w:szCs w:val="22"/>
                <w:color w:val="000000"/>
                <w:w w:val="99"/>
              </w:rPr>
              <w:t>128</w:t>
            </w:r>
          </w:p>
        </w:tc>
      </w:tr>
      <w:tr>
        <w:trPr>
          <w:trHeight w:val="250"/>
        </w:trPr>
        <w:tc>
          <w:tcPr>
            <w:tcW w:w="1240" w:type="dxa"/>
            <w:vAlign w:val="bottom"/>
            <w:tcBorders>
              <w:top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10.20.</w:t>
            </w:r>
          </w:p>
        </w:tc>
        <w:tc>
          <w:tcPr>
            <w:tcW w:w="240" w:type="dxa"/>
            <w:vAlign w:val="bottom"/>
          </w:tcPr>
          <w:p>
            <w:pPr>
              <w:spacing w:after="0"/>
              <w:rPr>
                <w:sz w:val="21"/>
                <w:szCs w:val="21"/>
                <w:color w:val="auto"/>
              </w:rPr>
            </w:pPr>
          </w:p>
        </w:tc>
        <w:tc>
          <w:tcPr>
            <w:tcW w:w="4620" w:type="dxa"/>
            <w:vAlign w:val="bottom"/>
            <w:tcBorders>
              <w:top w:val="single" w:sz="8" w:color="0000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000FF"/>
              </w:rPr>
              <w:t>Acknowledgment Regarding Any Supported QFCs</w:t>
            </w:r>
          </w:p>
        </w:tc>
        <w:tc>
          <w:tcPr>
            <w:tcW w:w="1860" w:type="dxa"/>
            <w:vAlign w:val="bottom"/>
            <w:tcBorders>
              <w:top w:val="single" w:sz="8" w:color="0000FF"/>
            </w:tcBorders>
          </w:tcPr>
          <w:p>
            <w:pPr>
              <w:jc w:val="right"/>
              <w:ind w:right="1412"/>
              <w:spacing w:after="0" w:line="250" w:lineRule="exact"/>
              <w:rPr>
                <w:sz w:val="20"/>
                <w:szCs w:val="20"/>
                <w:color w:val="auto"/>
              </w:rPr>
            </w:pPr>
            <w:r>
              <w:rPr>
                <w:rFonts w:ascii="Times New Roman" w:cs="Times New Roman" w:eastAsia="Times New Roman" w:hAnsi="Times New Roman"/>
                <w:sz w:val="22"/>
                <w:szCs w:val="22"/>
                <w:color w:val="auto"/>
                <w:w w:val="96"/>
              </w:rPr>
              <w:t>129</w:t>
            </w:r>
          </w:p>
        </w:tc>
        <w:tc>
          <w:tcPr>
            <w:tcW w:w="540" w:type="dxa"/>
            <w:vAlign w:val="bottom"/>
          </w:tcPr>
          <w:p>
            <w:pPr>
              <w:spacing w:after="0"/>
              <w:rPr>
                <w:sz w:val="21"/>
                <w:szCs w:val="2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919"/>
          </w:cols>
          <w:pgMar w:left="540" w:top="1399"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INDEX OF APPENDICES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ANNEX A</w:t>
            </w:r>
          </w:p>
        </w:tc>
        <w:tc>
          <w:tcPr>
            <w:tcW w:w="4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  Lenders and Commitments</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of Assignment and Acceptance</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of Loan Request</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Form of Spare Parts Security Agreement</w:t>
            </w:r>
          </w:p>
        </w:tc>
      </w:t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Form of Aircraft and Spare Engine Mortgage</w:t>
            </w:r>
          </w:p>
        </w:tc>
      </w:t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4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Form of Flight Simulator Security Agreement</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4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3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Receivables Security Agreement</w:t>
            </w:r>
          </w:p>
        </w:tc>
      </w:tr>
      <w:tr>
        <w:trPr>
          <w:trHeight w:val="487"/>
        </w:trPr>
        <w:tc>
          <w:tcPr>
            <w:tcW w:w="1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SCHEDULE 3.06</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Subsidiaries of the Borrower</w:t>
            </w:r>
          </w:p>
        </w:tc>
      </w:tr>
      <w:tr>
        <w:trPr>
          <w:trHeight w:val="282"/>
        </w:trPr>
        <w:tc>
          <w:tcPr>
            <w:tcW w:w="1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SCHEDULE 3.19</w:t>
            </w:r>
          </w:p>
        </w:tc>
        <w:tc>
          <w:tcPr>
            <w:tcW w:w="3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Designated Locations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18" w:right="1440"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22"/>
          <w:szCs w:val="22"/>
          <w:color w:val="auto"/>
        </w:rPr>
        <w:t>CREDIT AND GUARANTY AGREEMENT, dated as of March 24, 2025, among SUN COUNTRY, INC. (d/b/a Sun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Country Airlines), a Minnesota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SUN COUNTRY AIRLINES HOLDINGS, INC., as Guarantor,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of the several banks and other financial institutions or entities from time to time party hereto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UMB BANK,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 (“</w:t>
      </w:r>
      <w:r>
        <w:rPr>
          <w:rFonts w:ascii="Times New Roman" w:cs="Times New Roman" w:eastAsia="Times New Roman" w:hAnsi="Times New Roman"/>
          <w:sz w:val="22"/>
          <w:szCs w:val="22"/>
          <w:u w:val="single" w:color="auto"/>
          <w:color w:val="auto"/>
        </w:rPr>
        <w:t>UMB</w:t>
      </w:r>
      <w:r>
        <w:rPr>
          <w:rFonts w:ascii="Times New Roman" w:cs="Times New Roman" w:eastAsia="Times New Roman" w:hAnsi="Times New Roman"/>
          <w:sz w:val="22"/>
          <w:szCs w:val="22"/>
          <w:color w:val="auto"/>
        </w:rPr>
        <w:t>”), as administrative agent for the Lenders (together with its permitted successors in such capacity,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UMB, not in its individual capacity but solely as security trustee for the Secured Parties (together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its permitted successors in such capacity, the “</w:t>
      </w:r>
      <w:r>
        <w:rPr>
          <w:rFonts w:ascii="Times New Roman" w:cs="Times New Roman" w:eastAsia="Times New Roman" w:hAnsi="Times New Roman"/>
          <w:sz w:val="22"/>
          <w:szCs w:val="22"/>
          <w:u w:val="single" w:color="auto"/>
          <w:color w:val="auto"/>
        </w:rPr>
        <w:t>Security Trustee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INTRODUCTORY STATEMENT</w:t>
      </w:r>
    </w:p>
    <w:p>
      <w:pPr>
        <w:spacing w:after="0" w:line="22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22"/>
          <w:szCs w:val="22"/>
          <w:color w:val="auto"/>
        </w:rPr>
        <w:t>The Borrower has applied to the Lenders for a revolving credit and revolving letter of credit facility in an aggregate principal amount not to exceed $75,000,000.00 as set forth herein.</w:t>
      </w:r>
    </w:p>
    <w:p>
      <w:pPr>
        <w:spacing w:after="0" w:line="14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The proceeds of the Loans will be used for working capital and other general corporate purposes of the Borrower and its Subsidiaries.</w:t>
      </w:r>
    </w:p>
    <w:p>
      <w:pPr>
        <w:spacing w:after="0" w:line="15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To provide guarantees and security for the repayment of the Loans, the reimbursement of any draft drawn under a Letter of Credit and the payment of the other obligations of the Borrower and the Guarantor hereunder and under the other Loan Documents, the Borrower and the Guarantor will, among other things, provide to the Security Trustee, the Administrative Agent and the Lenders the following (each as more fully described herein):</w:t>
      </w:r>
    </w:p>
    <w:p>
      <w:pPr>
        <w:spacing w:after="0" w:line="149" w:lineRule="exact"/>
        <w:rPr>
          <w:sz w:val="20"/>
          <w:szCs w:val="20"/>
          <w:color w:val="auto"/>
        </w:rPr>
      </w:pPr>
    </w:p>
    <w:p>
      <w:pPr>
        <w:ind w:right="740" w:firstLine="656"/>
        <w:spacing w:after="0" w:line="236"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guaranty from the Guarantor of the due and punctual payment and performance of the Obligations of the Borrower pursuant to Section 9 hereof; and</w:t>
      </w:r>
    </w:p>
    <w:p>
      <w:pPr>
        <w:spacing w:after="0" w:line="150" w:lineRule="exact"/>
        <w:rPr>
          <w:rFonts w:ascii="Times New Roman" w:cs="Times New Roman" w:eastAsia="Times New Roman" w:hAnsi="Times New Roman"/>
          <w:sz w:val="22"/>
          <w:szCs w:val="22"/>
          <w:color w:val="auto"/>
        </w:rPr>
      </w:pPr>
    </w:p>
    <w:p>
      <w:pPr>
        <w:ind w:right="100" w:firstLine="656"/>
        <w:spacing w:after="0" w:line="236"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security interest in or mortgages (or comparable Liens) with respect to the Collateral from the Borrower and the Guarantor pursuant to the Collateral Documents.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the parties hereto hereby agree as follows:</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shall mean all “accounts” as defined in the UCC and all rights to payment for interest.</w:t>
      </w:r>
    </w:p>
    <w:p>
      <w:pPr>
        <w:spacing w:after="0" w:line="22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Agreements</w:t>
      </w:r>
      <w:r>
        <w:rPr>
          <w:rFonts w:ascii="Times New Roman" w:cs="Times New Roman" w:eastAsia="Times New Roman" w:hAnsi="Times New Roman"/>
          <w:sz w:val="22"/>
          <w:szCs w:val="22"/>
          <w:color w:val="auto"/>
        </w:rPr>
        <w:t>” shall mean each three-party security and control agreement entered into by the Borrower, the Security Trustee and a financial institution which maintains one or more deposit accounts or securities accounts that have been pledged to the Security Trustee as Collateral hereunder or under any other Loan Document, in each case giving the Security Trustee exclusive control over the applicable account and in form and substance reasonably satisfactory to the Administrative Agent and the Security Trustee and as the same may be amended, restated, modified, supplemented, extended or amended and restated from time to time.</w:t>
      </w:r>
    </w:p>
    <w:p>
      <w:pPr>
        <w:sectPr>
          <w:pgSz w:w="11900" w:h="16838" w:orient="portrait"/>
          <w:cols w:equalWidth="0" w:num="1">
            <w:col w:w="11220"/>
          </w:cols>
          <w:pgMar w:left="320" w:top="1422" w:right="35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shall mean the Person obligated on an Account.</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Collateral</w:t>
      </w:r>
      <w:r>
        <w:rPr>
          <w:rFonts w:ascii="Times New Roman" w:cs="Times New Roman" w:eastAsia="Times New Roman" w:hAnsi="Times New Roman"/>
          <w:sz w:val="22"/>
          <w:szCs w:val="22"/>
          <w:color w:val="auto"/>
        </w:rPr>
        <w:t xml:space="preserve">” shall mean (a) cash that is denominated in Dollars and Cash Equivalents pledged to the Security Trustee (and subject to an Account Control Agreement), (b) any Eligible Aircraft, Eligible Engines and Eligible Spare Parts of the Borrower, (c) Eligible Inventory, (d) Eligible Receivables and (e) with the consent of all the Lenders, certain landing slots and gate leaseholds,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Lenders' consent, if given for the purposes of this clause (e), will be subject to such conditions as the Lenders may require, including (without limitation) conditions as to (x) the eligibility criteria for such assets to be included as Additional Collateral, (y) the maximum percentage of the total Borrowing Base that may be comprised of such assets and (z) the method and frequency of determining the value of such assets; and all of which assets in any of the foregoing clauses (a) through (e) shall: (i) (other than Additional Collateral of the type described in clause (a) above and in clause (e) above to the extent inconsistent with clause (z) of the proviso to clause (e)) be valued by a new Appraisal at the time the Borrower designates such assets as Additional Collateral; and (ii) as of any date of addition of such assets as Collateral, be subject, to the extent purported to be created by the applicable Collateral Document, to a perfected first priority Lien in favor of the Security Trustee and otherwise subject only to Permitted Liens (excluding those referred to in clause (5) of the definition of “Permitted Lien” and, until the time such assets actually become subject to such Lien on such date, clause (2) of the definition of “Permitted Liens”).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shall have the meaning set forth in the first paragraph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shall have the meaning given it in the Regulations and Procedures for the International Registry.</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as to any Person, any other Person which, directly or indirectly, is in control of, is controlled by, or is under common control with, such Person. For purposes of this definition, a Person (a “</w:t>
      </w:r>
      <w:r>
        <w:rPr>
          <w:rFonts w:ascii="Times New Roman" w:cs="Times New Roman" w:eastAsia="Times New Roman" w:hAnsi="Times New Roman"/>
          <w:sz w:val="22"/>
          <w:szCs w:val="22"/>
          <w:u w:val="single" w:color="auto"/>
          <w:color w:val="auto"/>
        </w:rPr>
        <w:t>Controlled Person</w:t>
      </w:r>
      <w:r>
        <w:rPr>
          <w:rFonts w:ascii="Times New Roman" w:cs="Times New Roman" w:eastAsia="Times New Roman" w:hAnsi="Times New Roman"/>
          <w:sz w:val="22"/>
          <w:szCs w:val="22"/>
          <w:color w:val="auto"/>
        </w:rPr>
        <w:t>”) shall be deemed to be “controlled by” another Person (a “</w:t>
      </w:r>
      <w:r>
        <w:rPr>
          <w:rFonts w:ascii="Times New Roman" w:cs="Times New Roman" w:eastAsia="Times New Roman" w:hAnsi="Times New Roman"/>
          <w:sz w:val="22"/>
          <w:szCs w:val="22"/>
          <w:u w:val="single" w:color="auto"/>
          <w:color w:val="auto"/>
        </w:rPr>
        <w:t>Controlling Person</w:t>
      </w:r>
      <w:r>
        <w:rPr>
          <w:rFonts w:ascii="Times New Roman" w:cs="Times New Roman" w:eastAsia="Times New Roman" w:hAnsi="Times New Roman"/>
          <w:sz w:val="22"/>
          <w:szCs w:val="22"/>
          <w:color w:val="auto"/>
        </w:rPr>
        <w:t>”) if the Controlling Person possesses, directly or indirectly, power to direct or cause the direction of the management and policies of the Controlled Person whether by contract or otherwise.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collectively, the Administrative Agent and the Security Trustee.</w:t>
      </w:r>
    </w:p>
    <w:p>
      <w:pPr>
        <w:spacing w:after="0" w:line="233"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Exposure</w:t>
      </w:r>
      <w:r>
        <w:rPr>
          <w:rFonts w:ascii="Times New Roman" w:cs="Times New Roman" w:eastAsia="Times New Roman" w:hAnsi="Times New Roman"/>
          <w:sz w:val="22"/>
          <w:szCs w:val="22"/>
          <w:color w:val="auto"/>
        </w:rPr>
        <w:t>” shall mean, with respect to any Lender at any time, an amount equal to the amount of such Lender’s Revolving Commitment then in effect or, if the Revolving Commitments have been terminated, the amount of such Lender’s Revolving Extensions of Credit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2" w:right="399" w:bottom="1440" w:gutter="0" w:footer="0" w:header="0"/>
        </w:sectPr>
      </w:pPr>
    </w:p>
    <w:bookmarkStart w:id="48" w:name="page49"/>
    <w:bookmarkEnd w:id="48"/>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Exposure Percentage</w:t>
      </w:r>
      <w:r>
        <w:rPr>
          <w:rFonts w:ascii="Times New Roman" w:cs="Times New Roman" w:eastAsia="Times New Roman" w:hAnsi="Times New Roman"/>
          <w:sz w:val="22"/>
          <w:szCs w:val="22"/>
          <w:color w:val="auto"/>
        </w:rPr>
        <w:t>” shall mean, with respect to any Lender at any time, the ratio (expressed as a percentage) of such Lender’s Aggregate Exposure at such time to the Aggregate Exposure of all Lenders at such time.</w:t>
      </w:r>
    </w:p>
    <w:p>
      <w:pPr>
        <w:spacing w:after="0" w:line="158" w:lineRule="exact"/>
        <w:rPr>
          <w:sz w:val="20"/>
          <w:szCs w:val="20"/>
          <w:color w:val="auto"/>
        </w:rPr>
      </w:pPr>
    </w:p>
    <w:p>
      <w:pPr>
        <w:ind w:right="2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mean this Credit and Guaranty Agreement, as the same may be amended, restated, modified, supplemented, extended or amended and restated from time to time.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Aircraft</w:t>
      </w:r>
      <w:r>
        <w:rPr>
          <w:rFonts w:ascii="Times New Roman" w:cs="Times New Roman" w:eastAsia="Times New Roman" w:hAnsi="Times New Roman"/>
          <w:sz w:val="22"/>
          <w:szCs w:val="22"/>
          <w:color w:val="auto"/>
        </w:rPr>
        <w:t>” means any contrivance invented, used, or designed to navigate, or fly in, the air.</w:t>
      </w:r>
    </w:p>
    <w:p>
      <w:pPr>
        <w:spacing w:after="0" w:line="22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Aircraft and Spare Engine Mortgage</w:t>
      </w:r>
      <w:r>
        <w:rPr>
          <w:rFonts w:ascii="Times New Roman" w:cs="Times New Roman" w:eastAsia="Times New Roman" w:hAnsi="Times New Roman"/>
          <w:sz w:val="22"/>
          <w:szCs w:val="22"/>
          <w:color w:val="auto"/>
        </w:rPr>
        <w:t>” means the Mortgage and Security Agreement, entered into or to be entered into, as the case may be, by the Borrower and the Security Trustee in substantially the form attached as Exhibit D (or in such other form as may be reasonably acceptable to the Security Trustee and the Borrower), as it may be amended, restated, modified, supplemented, extended or amended and restated from time to time.</w:t>
      </w:r>
    </w:p>
    <w:p>
      <w:pPr>
        <w:spacing w:after="0" w:line="176" w:lineRule="exact"/>
        <w:rPr>
          <w:sz w:val="20"/>
          <w:szCs w:val="20"/>
          <w:color w:val="auto"/>
        </w:rPr>
      </w:pPr>
    </w:p>
    <w:p>
      <w:pPr>
        <w:jc w:val="both"/>
        <w:ind w:right="28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Aircraft Appraiser</w:t>
      </w:r>
      <w:r>
        <w:rPr>
          <w:rFonts w:ascii="Times New Roman" w:cs="Times New Roman" w:eastAsia="Times New Roman" w:hAnsi="Times New Roman"/>
          <w:sz w:val="21"/>
          <w:szCs w:val="21"/>
          <w:color w:val="auto"/>
        </w:rPr>
        <w:t>” shall mean (i) with respect to Aircraft or Engines, Ascend, (ii) with respect to Spare Parts, ICF or (iii) any other independent appraisal firm appointed by the Borrower and reasonably satisfactory to the Administrative Agent acting at the direction of the Required Lenders and, without duplication, each Appraiser Directing Lender.</w:t>
      </w:r>
    </w:p>
    <w:p>
      <w:pPr>
        <w:spacing w:after="0" w:line="155" w:lineRule="exact"/>
        <w:rPr>
          <w:sz w:val="20"/>
          <w:szCs w:val="20"/>
          <w:color w:val="auto"/>
        </w:rPr>
      </w:pPr>
    </w:p>
    <w:p>
      <w:pPr>
        <w:ind w:right="2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Aircraft Protocol</w:t>
      </w:r>
      <w:r>
        <w:rPr>
          <w:rFonts w:ascii="Times New Roman" w:cs="Times New Roman" w:eastAsia="Times New Roman" w:hAnsi="Times New Roman"/>
          <w:sz w:val="21"/>
          <w:szCs w:val="21"/>
          <w:color w:val="auto"/>
        </w:rPr>
        <w:t>” means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as in effect in the United States.</w:t>
      </w:r>
    </w:p>
    <w:p>
      <w:pPr>
        <w:spacing w:after="0" w:line="151" w:lineRule="exact"/>
        <w:rPr>
          <w:sz w:val="20"/>
          <w:szCs w:val="20"/>
          <w:color w:val="auto"/>
        </w:rPr>
      </w:pPr>
    </w:p>
    <w:p>
      <w:pPr>
        <w:jc w:val="both"/>
        <w:ind w:right="1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Airport Authority</w:t>
      </w:r>
      <w:r>
        <w:rPr>
          <w:rFonts w:ascii="Times New Roman" w:cs="Times New Roman" w:eastAsia="Times New Roman" w:hAnsi="Times New Roman"/>
          <w:sz w:val="22"/>
          <w:szCs w:val="22"/>
          <w:color w:val="auto"/>
        </w:rPr>
        <w:t>” 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spacing w:after="0" w:line="173" w:lineRule="exact"/>
        <w:rPr>
          <w:sz w:val="20"/>
          <w:szCs w:val="20"/>
          <w:color w:val="auto"/>
        </w:rPr>
      </w:pPr>
    </w:p>
    <w:p>
      <w:pPr>
        <w:ind w:right="4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Amazon Account</w:t>
      </w:r>
      <w:r>
        <w:rPr>
          <w:rFonts w:ascii="Times New Roman" w:cs="Times New Roman" w:eastAsia="Times New Roman" w:hAnsi="Times New Roman"/>
          <w:sz w:val="22"/>
          <w:szCs w:val="22"/>
          <w:color w:val="auto"/>
        </w:rPr>
        <w:t>” means any Account pursuant to that certain Amended and Restated Air Transportation Services Agreement dated as of June 18, 2024 between the Borrower and Amazon.com Services LLC (as amended, restated, amended and restated, replaced, supplemented or modified from time to time) in which Amazon.com Services LLC is an Account Debtor.</w:t>
      </w:r>
    </w:p>
    <w:p>
      <w:pPr>
        <w:spacing w:after="0" w:line="176"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of 1977, as amended, the UK Bribery Act 2010, as amended, and any similar anti-bribery or anti-corruption laws or regulations.</w:t>
      </w:r>
    </w:p>
    <w:p>
      <w:pPr>
        <w:spacing w:after="0" w:line="17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all laws and regulations relating to the prevention or prohibition of money laundering or terrorist financing, including, without limitation, the Bank Secrecy Act, the Patriot Act, and the Anti-Money Laundering Act of 2020, each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49" w:name="page50"/>
    <w:bookmarkEnd w:id="49"/>
    <w:p>
      <w:pPr>
        <w:ind w:right="2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Appliance</w:t>
      </w:r>
      <w:r>
        <w:rPr>
          <w:rFonts w:ascii="Times New Roman" w:cs="Times New Roman" w:eastAsia="Times New Roman" w:hAnsi="Times New Roman"/>
          <w:sz w:val="22"/>
          <w:szCs w:val="22"/>
          <w:color w:val="auto"/>
        </w:rPr>
        <w:t>” shall mean any instrument, equipment, apparatus, part, appurtenance, or accessory used, capable of being used, or intended to be used, in operating or controlling Aircraft in flight, including a parachute, communication equipment, and another mechanism installed in or attached to Aircraft during flight, and not a part of an Aircraft, Engine, or Propeller.</w:t>
      </w:r>
    </w:p>
    <w:p>
      <w:pPr>
        <w:spacing w:after="0" w:line="176"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for each Lender, the “</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of such Lender (or of an Affiliate of such Lender) specified by such Lender in writing to the Administrative Agent or such other office of such Lender (or of an Affiliate of such Lender) as such Lender may from time to time specify in writing to the Administrative Agent and the Borrower as the office by which its Loan is to be made and maintained.</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shall mean 2.50%.</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w:t>
      </w:r>
      <w:r>
        <w:rPr>
          <w:rFonts w:ascii="Times New Roman" w:cs="Times New Roman" w:eastAsia="Times New Roman" w:hAnsi="Times New Roman"/>
          <w:sz w:val="22"/>
          <w:szCs w:val="22"/>
          <w:color w:val="auto"/>
        </w:rPr>
        <w:t>” means any appraisal, dated the date of delivery thereof, prepared by (a) in the case of Aircraft or Engines, the relevant Aircraft Appraiser and which is a “desk-top” appraisal that certifies, at the time of determination, in reasonable detail the Appraised Value of such Aircraft or Engine, as applicable, (b) in the case of Pledged Spare Parts, the relevant Aircraft Appraiser and which is a “desk-top” appraisal that certifies, at the time of determination, in reasonable detail the Appraised Value of such Pledged Spare Parts and (c) in the case of any other type of Collateral (other than Pledged Cash and Cash Equivalents), an independent appraisal firm appointed by the Borrower and reasonably satisfactory to the Administrative Agent (acting at the direction of the Required Lenders) which appraisal is addressed to the Administrative Agent and certifies, at the time of determination, in reasonable detail the Appraised Value of such Collateral and is otherwise in form and substance reasonably satisfactory to the Administrative Agent (acting at the direction of the Required Lenders).</w:t>
      </w:r>
    </w:p>
    <w:p>
      <w:pPr>
        <w:spacing w:after="0" w:line="185"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Appraisal Date</w:t>
      </w:r>
      <w:r>
        <w:rPr>
          <w:rFonts w:ascii="Times New Roman" w:cs="Times New Roman" w:eastAsia="Times New Roman" w:hAnsi="Times New Roman"/>
          <w:sz w:val="22"/>
          <w:szCs w:val="22"/>
          <w:color w:val="auto"/>
        </w:rPr>
        <w:t>” means the day on which a Quarterly Certificate is required to be delivered (or, if earlier, is delivered) pursuant to the requirements of Section 5.06 in respect of the second and fourth fiscal quarter of each fiscal year of the Borrower.</w:t>
      </w:r>
    </w:p>
    <w:p>
      <w:pPr>
        <w:spacing w:after="0" w:line="167"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Appraiser Directing Lender</w:t>
      </w:r>
      <w:r>
        <w:rPr>
          <w:rFonts w:ascii="Times New Roman" w:cs="Times New Roman" w:eastAsia="Times New Roman" w:hAnsi="Times New Roman"/>
          <w:sz w:val="22"/>
          <w:szCs w:val="22"/>
          <w:color w:val="auto"/>
        </w:rPr>
        <w:t>” means each Joint Lead Arranger (or Affiliate thereof) holding at least the lower of $20,000,000 or 25% of the Total Revolving Commitments then in effect or, if the Revolving Commitments have been terminated in full, the lower of $20,000,000 or 25% of the Total Revolving Extensions of Credit then outstanding.</w:t>
      </w:r>
    </w:p>
    <w:p>
      <w:pPr>
        <w:spacing w:after="0" w:line="186"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Appraised Value</w:t>
      </w:r>
      <w:r>
        <w:rPr>
          <w:rFonts w:ascii="Times New Roman" w:cs="Times New Roman" w:eastAsia="Times New Roman" w:hAnsi="Times New Roman"/>
          <w:sz w:val="22"/>
          <w:szCs w:val="22"/>
          <w:color w:val="auto"/>
        </w:rPr>
        <w:t>” shall mean, as of any date of determination, (a) with respect to Eligible Aircraft and Eligible Engines, the maintenance adjusted current market value, (b) with respect to Pledged Spare Parts, the Current Market Value (as defined in the relevant Appraisal of the Spare Parts) or any similar term and (c) with respect to any other Collateral (other than Pledged Cash and Cash Equivalents), the fair market value of such Collateral as reflected in the most recent Appraisal or Appraisals, as the case may be, delivered to the Administrative Agent in respect of such Collateral in accordance with this Agreement as of that date (for the avoidance of doubt, except in the case of Pledged Spare Parts, calculated after giving effect to any additions to or eliminations from the Collateral since the date of delivery of such Appraisal).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shall have the meaning given such term in Section 10.02(b).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Ascend</w:t>
      </w:r>
      <w:r>
        <w:rPr>
          <w:rFonts w:ascii="Times New Roman" w:cs="Times New Roman" w:eastAsia="Times New Roman" w:hAnsi="Times New Roman"/>
          <w:sz w:val="22"/>
          <w:szCs w:val="22"/>
          <w:color w:val="auto"/>
        </w:rPr>
        <w:t>” shall mean Cirium Ascend Consultancy.</w:t>
      </w:r>
    </w:p>
    <w:p>
      <w:pPr>
        <w:spacing w:after="0" w:line="220"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shall mean an assignment and acceptance entered into by a Lender and an assignee (with the consent of any party whose consent is required by Section 10.02), and accepted by the Administrative Agent, substantially in the form of Exhibit A.</w:t>
      </w:r>
    </w:p>
    <w:p>
      <w:pPr>
        <w:spacing w:after="0" w:line="167" w:lineRule="exact"/>
        <w:rPr>
          <w:sz w:val="20"/>
          <w:szCs w:val="20"/>
          <w:color w:val="auto"/>
        </w:rPr>
      </w:pPr>
    </w:p>
    <w:p>
      <w:pPr>
        <w:ind w:right="28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2.27(d).</w:t>
      </w:r>
    </w:p>
    <w:p>
      <w:pPr>
        <w:spacing w:after="0" w:line="161" w:lineRule="exact"/>
        <w:rPr>
          <w:sz w:val="20"/>
          <w:szCs w:val="20"/>
          <w:color w:val="auto"/>
        </w:rPr>
      </w:pPr>
    </w:p>
    <w:p>
      <w:pPr>
        <w:ind w:right="4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right="26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Banking Product Obligations</w:t>
      </w:r>
      <w:r>
        <w:rPr>
          <w:rFonts w:ascii="Times New Roman" w:cs="Times New Roman" w:eastAsia="Times New Roman" w:hAnsi="Times New Roman"/>
          <w:sz w:val="22"/>
          <w:szCs w:val="22"/>
          <w:color w:val="auto"/>
        </w:rPr>
        <w:t>” means,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w:t>
      </w:r>
    </w:p>
    <w:p>
      <w:pPr>
        <w:spacing w:after="0" w:line="176"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shall mean The Bankruptcy Reform Act of 1978, as heretofore and hereafter amended, and codified as 11 U.S.C. Section 101 et seq.</w:t>
      </w:r>
    </w:p>
    <w:p>
      <w:pPr>
        <w:spacing w:after="0" w:line="171"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Bankruptcy Event shall not result solely by virtue of any ownership interest, or the acquisition of any ownership interest, in such Person by a Governmental Authority or instrumentality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51" w:name="page52"/>
    <w:bookmarkEnd w:id="51"/>
    <w:p>
      <w:pPr>
        <w:ind w:right="120"/>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the Bankruptcy Code or any similar federal or state law for the relief of debtors.</w:t>
      </w:r>
    </w:p>
    <w:p>
      <w:pPr>
        <w:spacing w:after="0" w:line="22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2.27(a).</w:t>
      </w:r>
    </w:p>
    <w:p>
      <w:pPr>
        <w:spacing w:after="0" w:line="176"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73"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5" w:lineRule="exact"/>
        <w:rPr>
          <w:sz w:val="20"/>
          <w:szCs w:val="20"/>
          <w:color w:val="auto"/>
        </w:rPr>
      </w:pPr>
    </w:p>
    <w:p>
      <w:pPr>
        <w:ind w:right="5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 Benchmark:</w:t>
      </w:r>
    </w:p>
    <w:p>
      <w:pPr>
        <w:spacing w:after="0" w:line="158" w:lineRule="exact"/>
        <w:rPr>
          <w:sz w:val="20"/>
          <w:szCs w:val="20"/>
          <w:color w:val="auto"/>
        </w:rPr>
      </w:pPr>
    </w:p>
    <w:p>
      <w:pPr>
        <w:ind w:right="220" w:firstLine="1304"/>
        <w:spacing w:after="0" w:line="257" w:lineRule="auto"/>
        <w:tabs>
          <w:tab w:leader="none" w:pos="17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52" w:name="page53"/>
    <w:bookmarkEnd w:id="52"/>
    <w:p>
      <w:pPr>
        <w:ind w:right="260"/>
        <w:spacing w:after="0" w:line="271" w:lineRule="auto"/>
        <w:rPr>
          <w:sz w:val="20"/>
          <w:szCs w:val="20"/>
          <w:color w:val="auto"/>
        </w:rPr>
      </w:pPr>
      <w:r>
        <w:rPr>
          <w:rFonts w:ascii="Times New Roman" w:cs="Times New Roman" w:eastAsia="Times New Roman" w:hAnsi="Times New Roman"/>
          <w:sz w:val="22"/>
          <w:szCs w:val="22"/>
          <w:color w:val="auto"/>
        </w:rPr>
        <w:t>Benchmark (or such component thereof) or, if such Benchmark is a term rate, all Available Tenors of such Benchmark (or such component thereof); or</w:t>
      </w:r>
    </w:p>
    <w:p>
      <w:pPr>
        <w:spacing w:after="0" w:line="158" w:lineRule="exact"/>
        <w:rPr>
          <w:sz w:val="20"/>
          <w:szCs w:val="20"/>
          <w:color w:val="auto"/>
        </w:rPr>
      </w:pPr>
    </w:p>
    <w:p>
      <w:pPr>
        <w:ind w:right="180" w:firstLine="1304"/>
        <w:spacing w:after="0" w:line="252" w:lineRule="auto"/>
        <w:tabs>
          <w:tab w:leader="none" w:pos="176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79"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44" w:lineRule="exact"/>
        <w:rPr>
          <w:sz w:val="20"/>
          <w:szCs w:val="20"/>
          <w:color w:val="auto"/>
        </w:rPr>
      </w:pPr>
    </w:p>
    <w:p>
      <w:pPr>
        <w:ind w:right="180" w:firstLine="1304"/>
        <w:spacing w:after="0" w:line="251" w:lineRule="auto"/>
        <w:tabs>
          <w:tab w:leader="none" w:pos="17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ind w:firstLine="1304"/>
        <w:spacing w:after="0" w:line="249" w:lineRule="auto"/>
        <w:tabs>
          <w:tab w:leader="none" w:pos="17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53" w:name="page54"/>
    <w:bookmarkEnd w:id="53"/>
    <w:p>
      <w:pPr>
        <w:ind w:right="140" w:firstLine="1304"/>
        <w:spacing w:after="0" w:line="256" w:lineRule="auto"/>
        <w:tabs>
          <w:tab w:leader="none" w:pos="1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76" w:lineRule="exact"/>
        <w:rPr>
          <w:sz w:val="20"/>
          <w:szCs w:val="20"/>
          <w:color w:val="auto"/>
        </w:rPr>
      </w:pPr>
    </w:p>
    <w:p>
      <w:pPr>
        <w:ind w:right="140" w:firstLine="1296"/>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3"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1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2.27 and (b) ending at the time that a Benchmark Replacement has replaced the then-current Benchmark for all purposes hereunder and under any Loan Document in accordance with Section 2.27.</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9"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ind w:right="1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54" w:name="page55"/>
    <w:bookmarkEnd w:id="54"/>
    <w:p>
      <w:pPr>
        <w:ind w:left="1300" w:right="60" w:firstLine="652"/>
        <w:spacing w:after="0" w:line="271" w:lineRule="auto"/>
        <w:tabs>
          <w:tab w:leader="none" w:pos="24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corporation, the board of directors of the corporation or any committee thereof duly authorized to act on behalf of such board;</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partnership, the Board of Directors of the general partner of the partnership;</w:t>
      </w:r>
    </w:p>
    <w:p>
      <w:pPr>
        <w:spacing w:after="0" w:line="23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limited liability company, the managing member or members, manager or managers or any controlling committee of managing members or managers thereof; and</w:t>
      </w:r>
    </w:p>
    <w:p>
      <w:pPr>
        <w:spacing w:after="0" w:line="157" w:lineRule="exact"/>
        <w:rPr>
          <w:rFonts w:ascii="Times New Roman" w:cs="Times New Roman" w:eastAsia="Times New Roman" w:hAnsi="Times New Roman"/>
          <w:sz w:val="22"/>
          <w:szCs w:val="22"/>
          <w:color w:val="auto"/>
        </w:rPr>
      </w:pPr>
    </w:p>
    <w:p>
      <w:pPr>
        <w:ind w:left="1300" w:right="220" w:firstLine="652"/>
        <w:spacing w:after="0" w:line="448" w:lineRule="auto"/>
        <w:tabs>
          <w:tab w:leader="none" w:pos="24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committee of such Person serving a similar function.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shall have the meaning set forth in the first paragraph of this Agreement.</w:t>
      </w:r>
    </w:p>
    <w:p>
      <w:pPr>
        <w:spacing w:after="0" w:line="1"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shall mean the incurrence or continuation of SOFR Loans made from all the Revolving Lenders on a single date and having a single Interest Period.</w:t>
      </w:r>
    </w:p>
    <w:p>
      <w:pPr>
        <w:spacing w:after="0" w:line="144"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Availability</w:t>
      </w:r>
      <w:r>
        <w:rPr>
          <w:rFonts w:ascii="Times New Roman" w:cs="Times New Roman" w:eastAsia="Times New Roman" w:hAnsi="Times New Roman"/>
          <w:sz w:val="22"/>
          <w:szCs w:val="22"/>
          <w:color w:val="auto"/>
        </w:rPr>
        <w:t xml:space="preserve">” means, with respect to each Lender and as determined as of the date of and immediately prior to the making of the relevant Borrowing, the lesser amount of (x) the Borrowing Base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total amount of the Revolving Extensions of Credit and (y) the Revolving Commitment of such Revolving Lender.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shall mean, as of any date of determination, the sum of:</w:t>
      </w:r>
    </w:p>
    <w:p>
      <w:pPr>
        <w:spacing w:after="0" w:line="216" w:lineRule="exact"/>
        <w:rPr>
          <w:sz w:val="20"/>
          <w:szCs w:val="20"/>
          <w:color w:val="auto"/>
        </w:rPr>
      </w:pPr>
    </w:p>
    <w:p>
      <w:pPr>
        <w:ind w:left="1820" w:hanging="516"/>
        <w:spacing w:after="0"/>
        <w:tabs>
          <w:tab w:leader="none" w:pos="1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Pledged Aircraft BB Contribution of the Pledged Aircraft, </w:t>
      </w:r>
      <w:r>
        <w:rPr>
          <w:rFonts w:ascii="Times New Roman" w:cs="Times New Roman" w:eastAsia="Times New Roman" w:hAnsi="Times New Roman"/>
          <w:sz w:val="22"/>
          <w:szCs w:val="22"/>
          <w:i w:val="1"/>
          <w:iCs w:val="1"/>
          <w:color w:val="auto"/>
        </w:rPr>
        <w:t>plus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Pledged Engine BB Contribution of the Pledged Engines, </w:t>
      </w:r>
      <w:r>
        <w:rPr>
          <w:rFonts w:ascii="Times New Roman" w:cs="Times New Roman" w:eastAsia="Times New Roman" w:hAnsi="Times New Roman"/>
          <w:sz w:val="22"/>
          <w:szCs w:val="22"/>
          <w:i w:val="1"/>
          <w:iCs w:val="1"/>
          <w:color w:val="auto"/>
        </w:rPr>
        <w:t>plus</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Pledged Inventory BB Contribution of the Pledged Inventory, </w:t>
      </w:r>
      <w:r>
        <w:rPr>
          <w:rFonts w:ascii="Times New Roman" w:cs="Times New Roman" w:eastAsia="Times New Roman" w:hAnsi="Times New Roman"/>
          <w:sz w:val="22"/>
          <w:szCs w:val="22"/>
          <w:i w:val="1"/>
          <w:iCs w:val="1"/>
          <w:color w:val="auto"/>
        </w:rPr>
        <w:t>plus</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Pledged Spare Parts BB Contribution of the Pledged Spare Parts, </w:t>
      </w:r>
      <w:r>
        <w:rPr>
          <w:rFonts w:ascii="Times New Roman" w:cs="Times New Roman" w:eastAsia="Times New Roman" w:hAnsi="Times New Roman"/>
          <w:sz w:val="22"/>
          <w:szCs w:val="22"/>
          <w:i w:val="1"/>
          <w:iCs w:val="1"/>
          <w:color w:val="auto"/>
        </w:rPr>
        <w:t>plus</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Pledged Receivables BB Contribution of the Pledged Receivables, </w:t>
      </w:r>
      <w:r>
        <w:rPr>
          <w:rFonts w:ascii="Times New Roman" w:cs="Times New Roman" w:eastAsia="Times New Roman" w:hAnsi="Times New Roman"/>
          <w:sz w:val="22"/>
          <w:szCs w:val="22"/>
          <w:i w:val="1"/>
          <w:iCs w:val="1"/>
          <w:color w:val="auto"/>
        </w:rPr>
        <w:t>plus</w:t>
      </w:r>
    </w:p>
    <w:p>
      <w:pPr>
        <w:spacing w:after="0" w:line="223" w:lineRule="exact"/>
        <w:rPr>
          <w:rFonts w:ascii="Times New Roman" w:cs="Times New Roman" w:eastAsia="Times New Roman" w:hAnsi="Times New Roman"/>
          <w:sz w:val="22"/>
          <w:szCs w:val="22"/>
          <w:color w:val="auto"/>
        </w:rPr>
      </w:pPr>
    </w:p>
    <w:p>
      <w:pPr>
        <w:jc w:val="both"/>
        <w:ind w:right="260" w:firstLine="1304"/>
        <w:spacing w:after="0" w:line="256" w:lineRule="auto"/>
        <w:tabs>
          <w:tab w:leader="none" w:pos="178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100% of the amount of cash and Cash Equivalents of the type described in clause (1) of the definition thereof pledged at such time as Collateral and (ii) 62.5% of the amount of Cash Equivalents of the type described in clauses (2) through (11) of the definition thereof pledged at such time as Collateral (excluding any cash used to Cash Collateralize LC Exposure pursuant to Section 2.02(k)),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80"/>
          </w:cols>
          <w:pgMar w:left="320" w:top="1422" w:right="399" w:bottom="1440" w:gutter="0" w:footer="0" w:header="0"/>
        </w:sectPr>
      </w:pPr>
    </w:p>
    <w:bookmarkStart w:id="55" w:name="page56"/>
    <w:bookmarkEnd w:id="55"/>
    <w:p>
      <w:pPr>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determined (i) in the case of clauses (a)-(e) above, using the most recent Appraisals delivered to the Administrative Agent in respect of the applicable Collateral and (ii) in each case, excluding the Appraised Value of any Collateral that is not Eligible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calculating the Borrowing Base as of any date of determination, (1) the aggregate Pledged Engine BB Contribution of the Pledged Engines included in the Borrowing Base on such date shall be capped at 33% of the total Borrowing Base on such date, (2) the aggregate Pledged Inventory BB Contribution included in the Borrowing Base on such date shall be capped at 20% of the total Borrowing Base on such date, (3) the aggregate Pledged Spare Parts BB Contribution included in the Borrowing Base on such date shall be capped at 20% of the total Borrowing Base on such date, (4) the aggregate Pledged Receivables BB Contribution included in the Borrowing Base on such date shall be capped at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of the total Borrowing Base on such date, (5) the sum of the aggregate Pledged Aircraft BB Contribution of the Pledged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Aircraft that are on lease from the Borrower to any Person and included in the Borrowing Base plus the aggregate Pledged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Engine BB Contribution of the Pledged Engines that are on lease from the Borrower to any Person and included in the Borrowing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on such date shall be capped at 50% of the total Borrowing Base on such date; (6) if a Pledged Aircraft or a Pledged Engine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has been leased by the Borrower to a Permitted Foreign Air Carrier and such lease has been terminated or such Permitted Foreign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Air Carrier becomes subject to any bankruptcy, insolvency, liquidation, reorganization, dissolution or similar proceeding or has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substantially all of its property in the possession of any liquidator, trustee, receiver or similar person (any such event,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Repossession Trigger Event</w:t>
      </w:r>
      <w:r>
        <w:rPr>
          <w:rFonts w:ascii="Times New Roman" w:cs="Times New Roman" w:eastAsia="Times New Roman" w:hAnsi="Times New Roman"/>
          <w:sz w:val="22"/>
          <w:szCs w:val="22"/>
          <w:color w:val="auto"/>
        </w:rPr>
        <w:t>"), if the Borrower has not obtained possession of such Pledged Aircraft or Pledged Engine,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(x) within 120 days after the first such Repossession Trigger Event, the contribution of such Pledged Aircraft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Pledged Engine to the Borrower Base will be reduced to 50% of what it would otherwise be, (y) within 210 days after the first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Repossession Trigger Event, the contribution of such Pledged Aircraft or Pledged Engine to the Borrower Base will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reduced to 25% of what it would otherwise be, and (z) within 300 days after the first such Repossession Trigger Event,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contribution of such Pledged Aircraft or Pledged Engine to the Borrower Base will be reduced to zero; and (7) the aggregate sum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amounts in clauses (c)-(f) above included in the Borrowing Base on such date shall be capped at 25% of the total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at any time the Borrowing Base is being calculated to determine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Availability used to determine the LC Commitment of any Issuing Lender at such time, the contribution of Pledged</w:t>
      </w:r>
    </w:p>
    <w:p>
      <w:pPr>
        <w:spacing w:after="0" w:line="203" w:lineRule="auto"/>
        <w:rPr>
          <w:sz w:val="20"/>
          <w:szCs w:val="20"/>
          <w:color w:val="auto"/>
        </w:rPr>
      </w:pPr>
      <w:r>
        <w:rPr>
          <w:rFonts w:ascii="Times New Roman" w:cs="Times New Roman" w:eastAsia="Times New Roman" w:hAnsi="Times New Roman"/>
          <w:sz w:val="22"/>
          <w:szCs w:val="22"/>
          <w:color w:val="auto"/>
        </w:rPr>
        <w:t>Other Assets to the Borrowing Base shall be capped at 33</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22"/>
          <w:szCs w:val="22"/>
          <w:color w:val="auto"/>
        </w:rPr>
        <w:t>% of the Appraised Value of all Pledged Other Assets at such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(y) for the avoidance of doubt, clause (7) of the preceding proviso will not apply.</w:t>
      </w:r>
    </w:p>
    <w:p>
      <w:pPr>
        <w:spacing w:after="0" w:line="196" w:lineRule="exact"/>
        <w:rPr>
          <w:sz w:val="20"/>
          <w:szCs w:val="20"/>
          <w:color w:val="auto"/>
        </w:rPr>
      </w:pPr>
    </w:p>
    <w:p>
      <w:pPr>
        <w:ind w:right="2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at any date of determination, the amount, if greater than zero, equal to the sum of any SOFR Breakage. If such sum is zero or a negative number, no Breakage Costs shall be payable.</w:t>
      </w:r>
    </w:p>
    <w:p>
      <w:pPr>
        <w:spacing w:after="0" w:line="158" w:lineRule="exact"/>
        <w:rPr>
          <w:sz w:val="20"/>
          <w:szCs w:val="20"/>
          <w:color w:val="auto"/>
        </w:rPr>
      </w:pPr>
    </w:p>
    <w:p>
      <w:pPr>
        <w:jc w:val="both"/>
        <w:ind w:right="3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other than a Saturday, Sunday or other day on which commercial banks in New York City are required or authorized to remain closed (and, for a Letter of Credit, other than a day on which the Issuing Lender issuing such Letter of Credit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56" w:name="page57"/>
    <w:bookmarkEnd w:id="56"/>
    <w:p>
      <w:pPr>
        <w:ind w:right="2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 Town Convention</w:t>
      </w:r>
      <w:r>
        <w:rPr>
          <w:rFonts w:ascii="Times New Roman" w:cs="Times New Roman" w:eastAsia="Times New Roman" w:hAnsi="Times New Roman"/>
          <w:sz w:val="22"/>
          <w:szCs w:val="22"/>
          <w:color w:val="auto"/>
        </w:rPr>
        <w:t>” shall mean the official English language text of the Convention on International Interests in Mobile Equipment, adopted on November 16, 2001 at a diplomatic conference in Cape Town, South Africa, and all amendments, supplements and revisions thereto, as in effect in the United States.</w:t>
      </w:r>
    </w:p>
    <w:p>
      <w:pPr>
        <w:spacing w:after="0" w:line="186"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 Town Treaty</w:t>
      </w:r>
      <w:r>
        <w:rPr>
          <w:rFonts w:ascii="Times New Roman" w:cs="Times New Roman" w:eastAsia="Times New Roman" w:hAnsi="Times New Roman"/>
          <w:sz w:val="22"/>
          <w:szCs w:val="22"/>
          <w:color w:val="auto"/>
        </w:rPr>
        <w:t>” shall mean, collectively, (a) the Cape Town Convention, (b) the Aircraft Protocol, and (c) all rules and regulations (including but not limited to the Regulations and Procedures for the International Registry) adopted pursuant thereto and all amendments, supplements and revisions thereto.</w:t>
      </w:r>
    </w:p>
    <w:p>
      <w:pPr>
        <w:spacing w:after="0" w:line="17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Markets Offering</w:t>
      </w:r>
      <w:r>
        <w:rPr>
          <w:rFonts w:ascii="Times New Roman" w:cs="Times New Roman" w:eastAsia="Times New Roman" w:hAnsi="Times New Roman"/>
          <w:sz w:val="22"/>
          <w:szCs w:val="22"/>
          <w:color w:val="auto"/>
        </w:rPr>
        <w:t>” means any offering of “securities” (as defined under the Securities Act)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2420" w:hanging="468"/>
        <w:spacing w:after="0"/>
        <w:tabs>
          <w:tab w:leader="none" w:pos="2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corporation, corporate stock;</w:t>
      </w:r>
    </w:p>
    <w:p>
      <w:pPr>
        <w:spacing w:after="0" w:line="219" w:lineRule="exact"/>
        <w:rPr>
          <w:rFonts w:ascii="Times New Roman" w:cs="Times New Roman" w:eastAsia="Times New Roman" w:hAnsi="Times New Roman"/>
          <w:sz w:val="22"/>
          <w:szCs w:val="22"/>
          <w:color w:val="auto"/>
        </w:rPr>
      </w:pPr>
    </w:p>
    <w:p>
      <w:pPr>
        <w:ind w:left="1300" w:right="240" w:firstLine="652"/>
        <w:spacing w:after="0" w:line="271" w:lineRule="auto"/>
        <w:tabs>
          <w:tab w:leader="none" w:pos="24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association or business entity, any and all shares, interests, participations, rights or other equivalents (however designated) of corporate stock;</w:t>
      </w:r>
    </w:p>
    <w:p>
      <w:pPr>
        <w:spacing w:after="0" w:line="171" w:lineRule="exact"/>
        <w:rPr>
          <w:rFonts w:ascii="Times New Roman" w:cs="Times New Roman" w:eastAsia="Times New Roman" w:hAnsi="Times New Roman"/>
          <w:sz w:val="22"/>
          <w:szCs w:val="22"/>
          <w:color w:val="auto"/>
        </w:rPr>
      </w:pPr>
    </w:p>
    <w:p>
      <w:pPr>
        <w:ind w:left="1300" w:right="420" w:firstLine="652"/>
        <w:spacing w:after="0" w:line="271" w:lineRule="auto"/>
        <w:tabs>
          <w:tab w:leader="none" w:pos="24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partnership or limited liability company, partnership interests (whether general or limited) or membership interests; and</w:t>
      </w:r>
    </w:p>
    <w:p>
      <w:pPr>
        <w:spacing w:after="0" w:line="157" w:lineRule="exact"/>
        <w:rPr>
          <w:rFonts w:ascii="Times New Roman" w:cs="Times New Roman" w:eastAsia="Times New Roman" w:hAnsi="Times New Roman"/>
          <w:sz w:val="22"/>
          <w:szCs w:val="22"/>
          <w:color w:val="auto"/>
        </w:rPr>
      </w:pPr>
    </w:p>
    <w:p>
      <w:pPr>
        <w:ind w:left="1300" w:right="280" w:firstLine="652"/>
        <w:spacing w:after="0" w:line="271" w:lineRule="auto"/>
        <w:tabs>
          <w:tab w:leader="none" w:pos="24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interest or participation that confers on a Person the right to receive a share of the profits and losses of, or distributions of assets of, the issuing Person,</w:t>
      </w:r>
    </w:p>
    <w:p>
      <w:pPr>
        <w:spacing w:after="0" w:line="158" w:lineRule="exact"/>
        <w:rPr>
          <w:sz w:val="20"/>
          <w:szCs w:val="20"/>
          <w:color w:val="auto"/>
        </w:rPr>
      </w:pPr>
    </w:p>
    <w:p>
      <w:pPr>
        <w:ind w:left="1300" w:right="220" w:firstLine="648"/>
        <w:spacing w:after="0" w:line="284" w:lineRule="auto"/>
        <w:rPr>
          <w:sz w:val="20"/>
          <w:szCs w:val="20"/>
          <w:color w:val="auto"/>
        </w:rPr>
      </w:pPr>
      <w:r>
        <w:rPr>
          <w:rFonts w:ascii="Times New Roman" w:cs="Times New Roman" w:eastAsia="Times New Roman" w:hAnsi="Times New Roman"/>
          <w:sz w:val="22"/>
          <w:szCs w:val="22"/>
          <w:color w:val="auto"/>
        </w:rPr>
        <w:t>but excluding from all of the foregoing any debt securities convertible into Capital Stock, whether or not such debt securities include any right of participation with Capital Stock.</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Software Expenditures</w:t>
      </w:r>
      <w:r>
        <w:rPr>
          <w:rFonts w:ascii="Times New Roman" w:cs="Times New Roman" w:eastAsia="Times New Roman" w:hAnsi="Times New Roman"/>
          <w:sz w:val="22"/>
          <w:szCs w:val="22"/>
          <w:color w:val="auto"/>
        </w:rPr>
        <w:t>” shall mean, for any period, the aggregate of all expenditures (whether paid in cash or accrued as liabilities) by a person during such period in respect of licensed or purchased software or internally-developed software and software enhancements that, in accordance with GAAP, are or are required to be reflected as capitalized costs on the consolidated balance sheet of such person and its Subsidiaries.</w:t>
      </w:r>
    </w:p>
    <w:p>
      <w:pPr>
        <w:spacing w:after="0" w:line="193"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Cash Collateralized</w:t>
      </w:r>
      <w:r>
        <w:rPr>
          <w:rFonts w:ascii="Times New Roman" w:cs="Times New Roman" w:eastAsia="Times New Roman" w:hAnsi="Times New Roman"/>
          <w:sz w:val="22"/>
          <w:szCs w:val="22"/>
          <w:color w:val="auto"/>
        </w:rPr>
        <w:t>” shall have the meaning given such term in Section 2.02(k), and "Cash Collateralize" shall be construed accordingly.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2" w:right="359" w:bottom="1440" w:gutter="0" w:footer="0" w:header="0"/>
        </w:sectPr>
      </w:pPr>
    </w:p>
    <w:bookmarkStart w:id="57" w:name="page58"/>
    <w:bookmarkEnd w:id="57"/>
    <w:p>
      <w:pPr>
        <w:ind w:left="1080" w:right="200" w:firstLine="652"/>
        <w:spacing w:after="0" w:line="275" w:lineRule="auto"/>
        <w:tabs>
          <w:tab w:leader="none" w:pos="219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68" w:lineRule="exact"/>
        <w:rPr>
          <w:rFonts w:ascii="Times New Roman" w:cs="Times New Roman" w:eastAsia="Times New Roman" w:hAnsi="Times New Roman"/>
          <w:sz w:val="21"/>
          <w:szCs w:val="21"/>
          <w:color w:val="auto"/>
        </w:rPr>
      </w:pPr>
    </w:p>
    <w:p>
      <w:pPr>
        <w:ind w:left="1080" w:right="120" w:firstLine="652"/>
        <w:spacing w:after="0" w:line="257"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state and local government entities, in each case maturing within one year from the date of acquisition thereof, which have a rating of at least A- (or the equivalent thereof) from S&amp;P or A3 (or the equivalent thereof) from Moody’s;</w:t>
      </w:r>
    </w:p>
    <w:p>
      <w:pPr>
        <w:spacing w:after="0" w:line="172" w:lineRule="exact"/>
        <w:rPr>
          <w:rFonts w:ascii="Times New Roman" w:cs="Times New Roman" w:eastAsia="Times New Roman" w:hAnsi="Times New Roman"/>
          <w:sz w:val="22"/>
          <w:szCs w:val="22"/>
          <w:color w:val="auto"/>
        </w:rPr>
      </w:pPr>
    </w:p>
    <w:p>
      <w:pPr>
        <w:ind w:left="1080" w:right="80" w:firstLine="652"/>
        <w:spacing w:after="0" w:line="256"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in each case maturing within one year from the date of acquisition thereof;</w:t>
      </w:r>
    </w:p>
    <w:p>
      <w:pPr>
        <w:spacing w:after="0" w:line="176" w:lineRule="exact"/>
        <w:rPr>
          <w:rFonts w:ascii="Times New Roman" w:cs="Times New Roman" w:eastAsia="Times New Roman" w:hAnsi="Times New Roman"/>
          <w:sz w:val="22"/>
          <w:szCs w:val="22"/>
          <w:color w:val="auto"/>
        </w:rPr>
      </w:pPr>
    </w:p>
    <w:p>
      <w:pPr>
        <w:ind w:left="1080" w:right="160" w:firstLine="652"/>
        <w:spacing w:after="0" w:line="257"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365 days from the date of acquisition thereof and having, at such date of acquisition, a rating of at least A-2 (or the equivalent thereof) from S&amp;P or P-2 (or the equivalent thereof) from Moody’s;</w:t>
      </w:r>
    </w:p>
    <w:p>
      <w:pPr>
        <w:spacing w:after="0" w:line="172" w:lineRule="exact"/>
        <w:rPr>
          <w:rFonts w:ascii="Times New Roman" w:cs="Times New Roman" w:eastAsia="Times New Roman" w:hAnsi="Times New Roman"/>
          <w:sz w:val="22"/>
          <w:szCs w:val="22"/>
          <w:color w:val="auto"/>
        </w:rPr>
      </w:pPr>
    </w:p>
    <w:p>
      <w:pPr>
        <w:ind w:left="1080" w:firstLine="652"/>
        <w:spacing w:after="0" w:line="251"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(including Investments made through an intermediary, such as the certificated deposit account registry service), banker’s acceptances, time deposits, eurodollar time deposits and overnight bank deposits maturing within one year from the date of acquisition thereof issued or guaranteed by or placed with, and money market deposit accounts issued or offered by, any domestic office of any other commercial bank of recognized standing organized under the laws of the United States or any State thereof that has a combined capital and surplus and undivided profits of not less than $250.0 million;</w:t>
      </w:r>
    </w:p>
    <w:p>
      <w:pPr>
        <w:spacing w:after="0" w:line="194" w:lineRule="exact"/>
        <w:rPr>
          <w:rFonts w:ascii="Times New Roman" w:cs="Times New Roman" w:eastAsia="Times New Roman" w:hAnsi="Times New Roman"/>
          <w:sz w:val="22"/>
          <w:szCs w:val="22"/>
          <w:color w:val="auto"/>
        </w:rPr>
      </w:pPr>
    </w:p>
    <w:p>
      <w:pPr>
        <w:ind w:left="1080" w:right="300" w:firstLine="652"/>
        <w:spacing w:after="0" w:line="271"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six months for underlying securities that would otherwise be eligible for investment;</w:t>
      </w:r>
    </w:p>
    <w:p>
      <w:pPr>
        <w:spacing w:after="0" w:line="157" w:lineRule="exact"/>
        <w:rPr>
          <w:rFonts w:ascii="Times New Roman" w:cs="Times New Roman" w:eastAsia="Times New Roman" w:hAnsi="Times New Roman"/>
          <w:sz w:val="22"/>
          <w:szCs w:val="22"/>
          <w:color w:val="auto"/>
        </w:rPr>
      </w:pPr>
    </w:p>
    <w:p>
      <w:pPr>
        <w:jc w:val="both"/>
        <w:ind w:left="1080" w:right="20" w:firstLine="652"/>
        <w:spacing w:after="0" w:line="256"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This could include, but not be limited to, money market funds or short-term and intermediate bonds funds;</w:t>
      </w:r>
    </w:p>
    <w:p>
      <w:pPr>
        <w:spacing w:after="0" w:line="176" w:lineRule="exact"/>
        <w:rPr>
          <w:rFonts w:ascii="Times New Roman" w:cs="Times New Roman" w:eastAsia="Times New Roman" w:hAnsi="Times New Roman"/>
          <w:sz w:val="22"/>
          <w:szCs w:val="22"/>
          <w:color w:val="auto"/>
        </w:rPr>
      </w:pPr>
    </w:p>
    <w:p>
      <w:pPr>
        <w:ind w:left="1080" w:right="940" w:firstLine="652"/>
        <w:spacing w:after="0" w:line="271" w:lineRule="auto"/>
        <w:tabs>
          <w:tab w:leader="none" w:pos="21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(A) comply with the criteria set forth in SEC Rule 2a-7 under the Investment Company Act of 1940, as amended, (B)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980"/>
          </w:cols>
          <w:pgMar w:left="540" w:top="1422" w:right="379" w:bottom="1440" w:gutter="0" w:footer="0" w:header="0"/>
        </w:sectPr>
      </w:pPr>
    </w:p>
    <w:bookmarkStart w:id="58" w:name="page59"/>
    <w:bookmarkEnd w:id="58"/>
    <w:p>
      <w:pPr>
        <w:ind w:left="1300" w:right="600"/>
        <w:spacing w:after="0" w:line="271" w:lineRule="auto"/>
        <w:rPr>
          <w:sz w:val="20"/>
          <w:szCs w:val="20"/>
          <w:color w:val="auto"/>
        </w:rPr>
      </w:pPr>
      <w:r>
        <w:rPr>
          <w:rFonts w:ascii="Times New Roman" w:cs="Times New Roman" w:eastAsia="Times New Roman" w:hAnsi="Times New Roman"/>
          <w:sz w:val="22"/>
          <w:szCs w:val="22"/>
          <w:color w:val="auto"/>
        </w:rPr>
        <w:t>rated AAA (or the equivalent thereof) by S&amp;P and Aaa (or the equivalent thereof) by Moody’s and (C) have portfolio assets of at least $5.0 billion;</w:t>
      </w:r>
    </w:p>
    <w:p>
      <w:pPr>
        <w:spacing w:after="0" w:line="158" w:lineRule="exact"/>
        <w:rPr>
          <w:sz w:val="20"/>
          <w:szCs w:val="20"/>
          <w:color w:val="auto"/>
        </w:rPr>
      </w:pPr>
    </w:p>
    <w:p>
      <w:pPr>
        <w:ind w:left="1300" w:right="220" w:firstLine="652"/>
        <w:spacing w:after="0" w:line="284" w:lineRule="auto"/>
        <w:tabs>
          <w:tab w:leader="none" w:pos="24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available for withdrawal on demand with commercial banks organized in the United States having capital and surplus in excess of $100.0 million;</w:t>
      </w:r>
    </w:p>
    <w:p>
      <w:pPr>
        <w:spacing w:after="0" w:line="143" w:lineRule="exact"/>
        <w:rPr>
          <w:rFonts w:ascii="Times New Roman" w:cs="Times New Roman" w:eastAsia="Times New Roman" w:hAnsi="Times New Roman"/>
          <w:sz w:val="22"/>
          <w:szCs w:val="22"/>
          <w:color w:val="auto"/>
        </w:rPr>
      </w:pPr>
    </w:p>
    <w:p>
      <w:pPr>
        <w:ind w:left="1300" w:right="160" w:firstLine="652"/>
        <w:spacing w:after="0" w:line="253" w:lineRule="auto"/>
        <w:tabs>
          <w:tab w:leader="none" w:pos="252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A3 by Moody’s; and</w:t>
      </w:r>
    </w:p>
    <w:p>
      <w:pPr>
        <w:spacing w:after="0" w:line="178" w:lineRule="exact"/>
        <w:rPr>
          <w:rFonts w:ascii="Times New Roman" w:cs="Times New Roman" w:eastAsia="Times New Roman" w:hAnsi="Times New Roman"/>
          <w:sz w:val="22"/>
          <w:szCs w:val="22"/>
          <w:color w:val="auto"/>
        </w:rPr>
      </w:pPr>
    </w:p>
    <w:p>
      <w:pPr>
        <w:ind w:left="1300" w:right="480" w:firstLine="652"/>
        <w:spacing w:after="0" w:line="271" w:lineRule="auto"/>
        <w:tabs>
          <w:tab w:leader="none" w:pos="251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or pools of securities that are classified under GAAP as cash equivalents or short-term investments on a balance sheet.</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Certified Value</w:t>
      </w:r>
      <w:r>
        <w:rPr>
          <w:rFonts w:ascii="Times New Roman" w:cs="Times New Roman" w:eastAsia="Times New Roman" w:hAnsi="Times New Roman"/>
          <w:sz w:val="22"/>
          <w:szCs w:val="22"/>
          <w:color w:val="auto"/>
        </w:rPr>
        <w:t>” means, with respect to any Pledged Receivable, the computed value of such Pledged Receivable as set forth in the most recent Officer’s Certificate delivered by the Borrower pursuant to Section 5.01(f) with respect to such Pledged Receivable.</w:t>
      </w:r>
    </w:p>
    <w:p>
      <w:pPr>
        <w:spacing w:after="0" w:line="18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shall mean the occurrence, after the Effective Date, of any of the following: (a) the adoption or taking effect of any law, rule, regulation or treaty, (b) any change in any law, rule, regulation or treaty or in the administration, interpretation or application thereof by any Governmental Authority, (c) compliance by the relevant Lender with any request, guideline or directive (whether or not having the force of law) by any Governmental Authority or (d) the implementation of any requirements of the Dodd-Frank Wall Street Reform and Consumer Protection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2480" w:hanging="528"/>
        <w:spacing w:after="0"/>
        <w:tabs>
          <w:tab w:leader="none" w:pos="24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ceasing to be wholly owned and controlled, directly or indirectly, by the Guarantor;</w:t>
      </w:r>
    </w:p>
    <w:p>
      <w:pPr>
        <w:spacing w:after="0" w:line="233" w:lineRule="exact"/>
        <w:rPr>
          <w:rFonts w:ascii="Times New Roman" w:cs="Times New Roman" w:eastAsia="Times New Roman" w:hAnsi="Times New Roman"/>
          <w:sz w:val="22"/>
          <w:szCs w:val="22"/>
          <w:color w:val="auto"/>
        </w:rPr>
      </w:pPr>
    </w:p>
    <w:p>
      <w:pPr>
        <w:ind w:left="1300" w:right="140" w:firstLine="652"/>
        <w:spacing w:after="0" w:line="252" w:lineRule="auto"/>
        <w:tabs>
          <w:tab w:leader="none" w:pos="24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transfer, conveyance or other disposition (other than by way of merger or consolidation), in one or a series of related transactions, of all or substantially all of the properties or assets of the Guarantor and its Subsidiaries taken as a whole to any Person (including any “person” (as that term is used in Section 13(d)(3) of the Exchange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59" w:name="page60"/>
    <w:bookmarkEnd w:id="59"/>
    <w:p>
      <w:pPr>
        <w:ind w:left="1300" w:firstLine="652"/>
        <w:spacing w:after="0" w:line="248" w:lineRule="auto"/>
        <w:tabs>
          <w:tab w:leader="none" w:pos="24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the Borrower (measured by voting power rather than number of shares), other than (A) any such transaction where the Voting Stock of the Borrower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(B) any merger or consolidation of the Borrower with or into any Person (including any “person” (as defined above)) which owns or operates (directly or indirectly through a contractual arrangement) a Permitted Business (a “</w:t>
      </w:r>
      <w:r>
        <w:rPr>
          <w:rFonts w:ascii="Times New Roman" w:cs="Times New Roman" w:eastAsia="Times New Roman" w:hAnsi="Times New Roman"/>
          <w:sz w:val="22"/>
          <w:szCs w:val="22"/>
          <w:u w:val="single" w:color="auto"/>
          <w:color w:val="auto"/>
        </w:rPr>
        <w:t>Permitted Person</w:t>
      </w:r>
      <w:r>
        <w:rPr>
          <w:rFonts w:ascii="Times New Roman" w:cs="Times New Roman" w:eastAsia="Times New Roman" w:hAnsi="Times New Roman"/>
          <w:sz w:val="22"/>
          <w:szCs w:val="22"/>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 shall have the meaning given such term in Section 2.10(g)(i).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w:t>
      </w:r>
    </w:p>
    <w:p>
      <w:pPr>
        <w:spacing w:after="0" w:line="233"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(i) the assets and properties of the Borrower upon which Liens have been granted to the Security Trustee to secure the Obligations, including without limitation any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w:t>
      </w:r>
    </w:p>
    <w:p>
      <w:pPr>
        <w:spacing w:after="0" w:line="194"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Coverage Ratio</w:t>
      </w:r>
      <w:r>
        <w:rPr>
          <w:rFonts w:ascii="Times New Roman" w:cs="Times New Roman" w:eastAsia="Times New Roman" w:hAnsi="Times New Roman"/>
          <w:sz w:val="21"/>
          <w:szCs w:val="21"/>
          <w:color w:val="auto"/>
        </w:rPr>
        <w:t>” shall mean, as of any date, the ratio of (i) the Borrowing Base of the Eligible Collateral as of such date to (ii) the sum, without duplication, of (x) the Total Revolving Extensions of Credit then outstanding (other than LC Exposure that has been Cash Collateralized in accordance with Section 2.02(k)), plus (y) the aggregate amount of all Designated Hedging Obligations that constitute “Obligations” then outstanding (such sum, the “</w:t>
      </w:r>
      <w:r>
        <w:rPr>
          <w:rFonts w:ascii="Times New Roman" w:cs="Times New Roman" w:eastAsia="Times New Roman" w:hAnsi="Times New Roman"/>
          <w:sz w:val="21"/>
          <w:szCs w:val="21"/>
          <w:u w:val="single" w:color="auto"/>
          <w:color w:val="auto"/>
        </w:rPr>
        <w:t>Total Obligations</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right="20"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1"/>
          <w:szCs w:val="21"/>
          <w:color w:val="auto"/>
        </w:rPr>
        <w:t>” shall mean, collectively, each Aircraft and Spare Engine Mortgage, each Account Control Agreement (if executed and delivered by the Borrower hereunder), the Security Agreement (if executed and delivered by the Borrower hereunder), the Spare Parts Security Agreement (if executed and delivered by the Borrower hereunder), any Flight Simulator Security Agreement (if executed and delivered by the Borrower hereunder) and other agreements, instruments or documents that create or purport to create a Lien in favor of the Security Trustee for the benefit of the Secured Parties, in each case so long as such agreement, instrument or document shall not have been terminated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422" w:right="379"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Material Adverse Effect</w:t>
      </w:r>
      <w:r>
        <w:rPr>
          <w:rFonts w:ascii="Times New Roman" w:cs="Times New Roman" w:eastAsia="Times New Roman" w:hAnsi="Times New Roman"/>
          <w:sz w:val="21"/>
          <w:szCs w:val="21"/>
          <w:color w:val="auto"/>
        </w:rPr>
        <w:t>” shall mean a material adverse effect on the value of the Collateral, taken as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whole.</w:t>
      </w:r>
    </w:p>
    <w:p>
      <w:pPr>
        <w:spacing w:after="0" w:line="196" w:lineRule="exact"/>
        <w:rPr>
          <w:sz w:val="20"/>
          <w:szCs w:val="20"/>
          <w:color w:val="auto"/>
        </w:rPr>
      </w:pPr>
    </w:p>
    <w:p>
      <w:pPr>
        <w:ind w:right="1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Proceeds Account</w:t>
      </w:r>
      <w:r>
        <w:rPr>
          <w:rFonts w:ascii="Times New Roman" w:cs="Times New Roman" w:eastAsia="Times New Roman" w:hAnsi="Times New Roman"/>
          <w:sz w:val="22"/>
          <w:szCs w:val="22"/>
          <w:color w:val="auto"/>
        </w:rPr>
        <w:t>” shall mean a segregated account or accounts held by or under the control of the Security Trustee into which the Net Proceeds of any Collateral Sale or Recovery Event may be deposited in accordance with the provisions of this Agreement.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Sale</w:t>
      </w:r>
      <w:r>
        <w:rPr>
          <w:rFonts w:ascii="Times New Roman" w:cs="Times New Roman" w:eastAsia="Times New Roman" w:hAnsi="Times New Roman"/>
          <w:sz w:val="22"/>
          <w:szCs w:val="22"/>
          <w:color w:val="auto"/>
        </w:rPr>
        <w:t>” shall mean any sale of Collateral or series of related sales of Collateral.</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shall mean, as to any Revolving Lender or Issuing Lender at any time, the Revolving Commitment of such Revolving Lender or Issuing Lender, as the case may be, at such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shall have the meaning set forth in Section 2.19.</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 Rate</w:t>
      </w:r>
      <w:r>
        <w:rPr>
          <w:rFonts w:ascii="Times New Roman" w:cs="Times New Roman" w:eastAsia="Times New Roman" w:hAnsi="Times New Roman"/>
          <w:sz w:val="22"/>
          <w:szCs w:val="22"/>
          <w:color w:val="auto"/>
        </w:rPr>
        <w:t>” shall mean 0.60% per annum.</w:t>
      </w:r>
    </w:p>
    <w:p>
      <w:pPr>
        <w:spacing w:after="0" w:line="220"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§1 et seq.), as amended from time to time, and any successor statute.</w:t>
      </w:r>
    </w:p>
    <w:p>
      <w:pPr>
        <w:spacing w:after="0" w:line="158"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means any (i) airline, commercial air freight carrier, air freight forwarder or entity engaged in the business of parcel transport by air and (ii) Affiliate of any Person described in clause (i) (other than any Affiliate of such Person as a result of common control by a Governmental Authority or instrumentality thereof, any Affiliate of such Person who becomes a Lender with the consent of the Borrower in accordance with Section 10.02(b), and any Affiliate of such Person under common control with such Person which Affiliate is not actively involved in the management and/or operations of such Person).</w:t>
      </w:r>
    </w:p>
    <w:p>
      <w:pPr>
        <w:spacing w:after="0" w:line="164"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Administrative Agent and the Borrower decide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61" w:name="page62"/>
    <w:bookmarkEnd w:id="61"/>
    <w:p>
      <w:pPr>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xml:space="preserve">” shall mean, with respect to any person for any period, the aggregate of the Net Income of such person and its Subsidiaries for such period, on a consolidated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without duplication,</w:t>
      </w:r>
    </w:p>
    <w:p>
      <w:pPr>
        <w:spacing w:after="0" w:line="135" w:lineRule="exact"/>
        <w:rPr>
          <w:sz w:val="20"/>
          <w:szCs w:val="20"/>
          <w:color w:val="auto"/>
        </w:rPr>
      </w:pPr>
    </w:p>
    <w:p>
      <w:pPr>
        <w:ind w:firstLine="1304"/>
        <w:spacing w:after="0" w:line="248" w:lineRule="auto"/>
        <w:tabs>
          <w:tab w:leader="none" w:pos="177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after-tax extraordinary, nonrecurring or unusual gains or losses or income or expense or charge, including any Special Item, (less all fees and expenses relating thereto), any severance, relocation or other restructuring expenses, any expenses related to any reconstruction, decommissioning, recommissioning or reconfiguration of fixed assets for alternative uses, fees, expenses or charges relating to facilities closing costs, curtailments or modifications to pension and post-retirement employee benefit plans, excess pension charges, acquisition integration costs, facilities opening and integration costs, signing, retention or completion bonuses, and expenses or charges related to any offering of Equity Interests or debt securities of the Borrower, the Guarantor or any Parent Entity, any Investments, acquisition, Disposition, recapitalization or issuance, repayment, refinancing, amendment or modification of Indebtedness (in each case, whether or not successful), and any fees, expenses, charges or change in control payments related to the Transactions (including any costs relating to auditing prior periods, any transition or startup-related expenses, and Transaction Expenses incurred before, on or after the Effective Date), in each case, shall be excluded,</w:t>
      </w:r>
    </w:p>
    <w:p>
      <w:pPr>
        <w:spacing w:after="0" w:line="188" w:lineRule="exact"/>
        <w:rPr>
          <w:rFonts w:ascii="Times New Roman" w:cs="Times New Roman" w:eastAsia="Times New Roman" w:hAnsi="Times New Roman"/>
          <w:sz w:val="22"/>
          <w:szCs w:val="22"/>
          <w:color w:val="auto"/>
        </w:rPr>
      </w:pPr>
    </w:p>
    <w:p>
      <w:pPr>
        <w:ind w:right="320" w:firstLine="1304"/>
        <w:spacing w:after="0" w:line="263" w:lineRule="auto"/>
        <w:tabs>
          <w:tab w:leader="none" w:pos="183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after-tax income or loss from Disposed of, abandoned, closed or discontinued operations or fixed assets and any net after-tax gain or loss on the Dispositions of, Disposed of, abandoned, closed or discontinued operations or fixed assets shall be excluded,</w:t>
      </w:r>
    </w:p>
    <w:p>
      <w:pPr>
        <w:spacing w:after="0" w:line="167" w:lineRule="exact"/>
        <w:rPr>
          <w:rFonts w:ascii="Times New Roman" w:cs="Times New Roman" w:eastAsia="Times New Roman" w:hAnsi="Times New Roman"/>
          <w:sz w:val="22"/>
          <w:szCs w:val="22"/>
          <w:color w:val="auto"/>
        </w:rPr>
      </w:pPr>
    </w:p>
    <w:p>
      <w:pPr>
        <w:jc w:val="both"/>
        <w:ind w:right="120" w:firstLine="1304"/>
        <w:spacing w:after="0" w:line="257" w:lineRule="auto"/>
        <w:tabs>
          <w:tab w:leader="none" w:pos="189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after-tax gain or loss (less all fees and expenses or charges relating thereto) attributable to business Dispositions or asset Dispositions other than in the ordinary course of business (as determined in good faith by the management of the Borrower) shall be excluded,</w:t>
      </w:r>
    </w:p>
    <w:p>
      <w:pPr>
        <w:spacing w:after="0" w:line="186" w:lineRule="exact"/>
        <w:rPr>
          <w:rFonts w:ascii="Times New Roman" w:cs="Times New Roman" w:eastAsia="Times New Roman" w:hAnsi="Times New Roman"/>
          <w:sz w:val="22"/>
          <w:szCs w:val="22"/>
          <w:color w:val="auto"/>
        </w:rPr>
      </w:pPr>
    </w:p>
    <w:p>
      <w:pPr>
        <w:ind w:right="320" w:firstLine="1304"/>
        <w:spacing w:after="0" w:line="271" w:lineRule="auto"/>
        <w:tabs>
          <w:tab w:leader="none" w:pos="18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after-tax income or loss (less all fees and expenses or charges relating thereto) attributable to the early extinguishment of indebtedness, Hedging Agreements or other derivative instruments shall be excluded,</w:t>
      </w:r>
    </w:p>
    <w:p>
      <w:pPr>
        <w:spacing w:after="0" w:line="157" w:lineRule="exact"/>
        <w:rPr>
          <w:rFonts w:ascii="Times New Roman" w:cs="Times New Roman" w:eastAsia="Times New Roman" w:hAnsi="Times New Roman"/>
          <w:sz w:val="22"/>
          <w:szCs w:val="22"/>
          <w:color w:val="auto"/>
        </w:rPr>
      </w:pPr>
    </w:p>
    <w:p>
      <w:pPr>
        <w:ind w:right="20" w:firstLine="1304"/>
        <w:spacing w:after="0" w:line="251" w:lineRule="auto"/>
        <w:tabs>
          <w:tab w:leader="none" w:pos="18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Net Income for such period of any person that is not a Subsidiary of such person, or that is accounted for by the equity method of accounting, shall be included only to the extent of the amount of dividends or distributions or other payments paid in cash (or to the extent converted into cash) to the referent person or a Subsidiary thereof in respect of such period and (B) the Net Income for such period shall include any dividend, distribution or other payment in cash (or to the extent converted into cash) received by the referent person or a Subsidiary thereof from any person in excess of, but without duplication of, the amounts included in subclause (A),</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during such period shall be excluded,</w:t>
      </w:r>
    </w:p>
    <w:p>
      <w:pPr>
        <w:spacing w:after="0" w:line="219" w:lineRule="exact"/>
        <w:rPr>
          <w:rFonts w:ascii="Times New Roman" w:cs="Times New Roman" w:eastAsia="Times New Roman" w:hAnsi="Times New Roman"/>
          <w:sz w:val="22"/>
          <w:szCs w:val="22"/>
          <w:color w:val="auto"/>
        </w:rPr>
      </w:pPr>
    </w:p>
    <w:p>
      <w:pPr>
        <w:ind w:right="40" w:firstLine="1304"/>
        <w:spacing w:after="0" w:line="271" w:lineRule="auto"/>
        <w:tabs>
          <w:tab w:leader="none" w:pos="193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purchase accounting adjustments (including the effects of such adjustments pushed down to such person and its Subsidiaries) in component amounts required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22" w:right="359" w:bottom="1440" w:gutter="0" w:footer="0" w:header="0"/>
        </w:sectPr>
      </w:pPr>
    </w:p>
    <w:bookmarkStart w:id="62" w:name="page63"/>
    <w:bookmarkEnd w:id="62"/>
    <w:p>
      <w:pPr>
        <w:ind w:right="620"/>
        <w:spacing w:after="0" w:line="271" w:lineRule="auto"/>
        <w:rPr>
          <w:sz w:val="20"/>
          <w:szCs w:val="20"/>
          <w:color w:val="auto"/>
        </w:rPr>
      </w:pPr>
      <w:r>
        <w:rPr>
          <w:rFonts w:ascii="Times New Roman" w:cs="Times New Roman" w:eastAsia="Times New Roman" w:hAnsi="Times New Roman"/>
          <w:sz w:val="22"/>
          <w:szCs w:val="22"/>
          <w:color w:val="auto"/>
        </w:rPr>
        <w:t>permitted by GAAP, resulting from the application of purchase accounting or the amortization or write-off of any amounts thereof, net of taxes, shall be excluded,</w:t>
      </w:r>
    </w:p>
    <w:p>
      <w:pPr>
        <w:spacing w:after="0" w:line="158" w:lineRule="exact"/>
        <w:rPr>
          <w:sz w:val="20"/>
          <w:szCs w:val="20"/>
          <w:color w:val="auto"/>
        </w:rPr>
      </w:pPr>
    </w:p>
    <w:p>
      <w:pPr>
        <w:ind w:right="600" w:firstLine="1304"/>
        <w:spacing w:after="0" w:line="284" w:lineRule="auto"/>
        <w:tabs>
          <w:tab w:leader="none" w:pos="199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impairment charges or asset write-offs, in each case pursuant to GAAP, and the amortization of intangibles and other fair value adjustments arising pursuant to GAAP, shall be excluded,</w:t>
      </w:r>
    </w:p>
    <w:p>
      <w:pPr>
        <w:spacing w:after="0" w:line="143" w:lineRule="exact"/>
        <w:rPr>
          <w:rFonts w:ascii="Times New Roman" w:cs="Times New Roman" w:eastAsia="Times New Roman" w:hAnsi="Times New Roman"/>
          <w:sz w:val="22"/>
          <w:szCs w:val="22"/>
          <w:color w:val="auto"/>
        </w:rPr>
      </w:pPr>
    </w:p>
    <w:p>
      <w:pPr>
        <w:jc w:val="both"/>
        <w:ind w:right="360" w:firstLine="1304"/>
        <w:spacing w:after="0" w:line="257" w:lineRule="auto"/>
        <w:tabs>
          <w:tab w:leader="none" w:pos="18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expenses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72" w:lineRule="exact"/>
        <w:rPr>
          <w:rFonts w:ascii="Times New Roman" w:cs="Times New Roman" w:eastAsia="Times New Roman" w:hAnsi="Times New Roman"/>
          <w:sz w:val="22"/>
          <w:szCs w:val="22"/>
          <w:color w:val="auto"/>
        </w:rPr>
      </w:pPr>
    </w:p>
    <w:p>
      <w:pPr>
        <w:ind w:right="80" w:firstLine="1304"/>
        <w:spacing w:after="0" w:line="263" w:lineRule="auto"/>
        <w:tabs>
          <w:tab w:leader="none" w:pos="18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accruals and reserves that are established or adjusted within twelve months after the Effective Date and that are so required to be established or adjusted in accordance with GAAP or as a result of adoption or modification of accounting policies shall be excluded,</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gains, losses, income and expenses resulting from fair value accounting required by the applicable standard under GAAP and related interpretation shall be excluded,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gain, loss, income, expense or charge resulting from the application of any LIFO shall be excluded,</w:t>
      </w:r>
    </w:p>
    <w:p>
      <w:pPr>
        <w:spacing w:after="0" w:line="21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charges for deferred tax asset valuation allowances and deferred tax liabilities shall be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excluded,</w:t>
      </w:r>
    </w:p>
    <w:p>
      <w:pPr>
        <w:spacing w:after="0" w:line="207" w:lineRule="exact"/>
        <w:rPr>
          <w:rFonts w:ascii="Times New Roman" w:cs="Times New Roman" w:eastAsia="Times New Roman" w:hAnsi="Times New Roman"/>
          <w:sz w:val="22"/>
          <w:szCs w:val="22"/>
          <w:color w:val="auto"/>
        </w:rPr>
      </w:pPr>
    </w:p>
    <w:p>
      <w:pPr>
        <w:ind w:right="20" w:firstLine="1304"/>
        <w:spacing w:after="0" w:line="271" w:lineRule="auto"/>
        <w:tabs>
          <w:tab w:leader="none" w:pos="19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currency translation gains and losses related to currency remeasurements of Indebtedness, and any net loss or gain resulting from Hedging Agreements for currency exchange risk, shall be excluded,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deductions attributable to minority interests shall be excluded,</w:t>
      </w:r>
    </w:p>
    <w:p>
      <w:pPr>
        <w:spacing w:after="0" w:line="219" w:lineRule="exact"/>
        <w:rPr>
          <w:rFonts w:ascii="Times New Roman" w:cs="Times New Roman" w:eastAsia="Times New Roman" w:hAnsi="Times New Roman"/>
          <w:sz w:val="22"/>
          <w:szCs w:val="22"/>
          <w:color w:val="auto"/>
        </w:rPr>
      </w:pPr>
    </w:p>
    <w:p>
      <w:pPr>
        <w:ind w:right="480" w:firstLine="1304"/>
        <w:spacing w:after="0" w:line="284" w:lineRule="auto"/>
        <w:tabs>
          <w:tab w:leader="none" w:pos="19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non-cash portion of “straight-line” rent expense shall be excluded and (B) the cash portion of “straight-line” rent expense which exceeds the amount expensed in respect of such rent expense shall be included,</w:t>
      </w:r>
    </w:p>
    <w:p>
      <w:pPr>
        <w:spacing w:after="0" w:line="143" w:lineRule="exact"/>
        <w:rPr>
          <w:rFonts w:ascii="Times New Roman" w:cs="Times New Roman" w:eastAsia="Times New Roman" w:hAnsi="Times New Roman"/>
          <w:sz w:val="22"/>
          <w:szCs w:val="22"/>
          <w:color w:val="auto"/>
        </w:rPr>
      </w:pPr>
    </w:p>
    <w:p>
      <w:pPr>
        <w:ind w:right="260" w:firstLine="1304"/>
        <w:spacing w:after="0" w:line="249" w:lineRule="auto"/>
        <w:tabs>
          <w:tab w:leader="none" w:pos="20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 the extent covered by insurance and actually reimbursed, or, so long as such person has made a determination that there exists reasonable evidence that such amount will in fact be reimbursed by the insurer and only to the extent that such amount is (x) not denied by the applicable carrier in writing within 180 days and (y) in fact reimbursed within 365 days following the date of such evidence (with a deduction for any amount so added back to the extent not so reimbursed within such 365 days), expenses with respect to liability or casualty events or business interruption shall be excluded; and (B) amounts estimated in good faith to be received from insurance in respect of lost revenues or earnings in respect of liability or casualty events or business interruption shall be included (with a deduction for amounts actually received up to such estimated amount to the extent included in Net Income in a future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422" w:right="37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(xviii) without duplication, any distribution pursuant to the Tax Receivable Agreement Obligations shall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33" w:lineRule="exact"/>
        <w:rPr>
          <w:sz w:val="20"/>
          <w:szCs w:val="20"/>
          <w:color w:val="auto"/>
        </w:rPr>
      </w:pPr>
    </w:p>
    <w:p>
      <w:pPr>
        <w:ind w:left="1720" w:hanging="416"/>
        <w:spacing w:after="0"/>
        <w:tabs>
          <w:tab w:leader="none" w:pos="17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219" w:lineRule="exact"/>
        <w:rPr>
          <w:rFonts w:ascii="Times New Roman" w:cs="Times New Roman" w:eastAsia="Times New Roman" w:hAnsi="Times New Roman"/>
          <w:sz w:val="22"/>
          <w:szCs w:val="22"/>
          <w:color w:val="auto"/>
        </w:rPr>
      </w:pPr>
    </w:p>
    <w:p>
      <w:pPr>
        <w:ind w:left="1300" w:right="760" w:firstLine="4"/>
        <w:spacing w:after="0" w:line="448" w:lineRule="auto"/>
        <w:tabs>
          <w:tab w:leader="none" w:pos="18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 “</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shall have the meaning assigned to such term in Section 7.02.</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shall have the meaning assigned to such term in Section 7.02.</w:t>
      </w:r>
    </w:p>
    <w:p>
      <w:pPr>
        <w:spacing w:after="0" w:line="233" w:lineRule="exact"/>
        <w:rPr>
          <w:sz w:val="20"/>
          <w:szCs w:val="20"/>
          <w:color w:val="auto"/>
        </w:rPr>
      </w:pPr>
    </w:p>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that, unless cured or waived, is, or with the passage of time or the giving of notice or both would be, an Event of Default.</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shall mean, at any time, any Revolving Lender that (a) has failed, within two (2) Business Day of the date required to be funded or paid by it hereunder, to fund or pay (x) any portion of the Revolving Loans or (y) any other amount required to be paid by it hereunder to the Administrative Agent or any other Lender (or its banking Affiliates), unless, in the case of clause (x)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or any other Lender in writing, or has made a public statement to the effect, that it does not intend or expect to comply with any of its funding obligations (i)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(ii) generally under other agreements in which it commits to extend credit, (c) has failed, within three (3) Business Days after request by the Administrative Agent,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under this Agreement, which request shall only have been made after the conditions precedent to borrowings have been met,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the Administrative Agent’s, such other Lender’s or the Borrower’s, as applicable, receipt of such confirmation in form and substance satisfactory to it and the Administrative Agent, (d) has become, or has had its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22" w:right="359" w:bottom="1440" w:gutter="0" w:footer="0" w:header="0"/>
        </w:sectPr>
      </w:pPr>
    </w:p>
    <w:bookmarkStart w:id="64" w:name="page65"/>
    <w:bookmarkEnd w:id="64"/>
    <w:p>
      <w:pPr>
        <w:ind w:right="100"/>
        <w:spacing w:after="0" w:line="250" w:lineRule="auto"/>
        <w:rPr>
          <w:sz w:val="20"/>
          <w:szCs w:val="20"/>
          <w:color w:val="auto"/>
        </w:rPr>
      </w:pPr>
      <w:r>
        <w:rPr>
          <w:rFonts w:ascii="Times New Roman" w:cs="Times New Roman" w:eastAsia="Times New Roman" w:hAnsi="Times New Roman"/>
          <w:sz w:val="22"/>
          <w:szCs w:val="22"/>
          <w:color w:val="auto"/>
        </w:rPr>
        <w:t xml:space="preserve">become, the subject of a Bankruptcy Event or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Revolving Lender shall not be a Defaulting Lender solely by virtue of the ownership or acquisition of any equity interest in that Revolving Lender or any direct or indirect parent company thereof by a Governmental Authority so long as such ownership interest does not result in or provide such Revolving Lender with immunity from the jurisdiction of courts within the United States or from the enforcement of judgments or writs of attachment on its assets or permit such Revolving Lender (or such Governmental Authority) to reject, repudiate, disavow or disaffirm any contracts or agreements made with such Revolving Lender. If the Administrative Agent (acting on the instructions of the Required Lenders) determines that a Revolving Lender is a Defaulting Lender under any of clauses (a) through (d) above, such Revolving Lender will be deemed to be a Defaulting Lender upon notification of such determination by the Administrative Agent to the Borrower, and the Revolving Lenders.</w:t>
      </w:r>
    </w:p>
    <w:p>
      <w:pPr>
        <w:spacing w:after="0" w:line="180"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Banking Product Agreement</w:t>
      </w:r>
      <w:r>
        <w:rPr>
          <w:rFonts w:ascii="Times New Roman" w:cs="Times New Roman" w:eastAsia="Times New Roman" w:hAnsi="Times New Roman"/>
          <w:sz w:val="22"/>
          <w:szCs w:val="22"/>
          <w:color w:val="auto"/>
        </w:rPr>
        <w:t xml:space="preserve">” means any agreement evidencing Designated Banking Product Obligations entered into by the Borrower and any Person that, at the time such Person entered into such agreement, was a Lender or a banking Affiliate of a Lender, in each case designated by the relevant Lender and the Borrower, by written notice to the Administrative Agent, as a “Designated Banking Product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any Revolving Lender is a Defaulting Lender, such Revolving Lender shall not have any rights hereunder with respect to any Designated Banking Product Agreement entered into while such Revolving Lender was a Defaulting Lender.</w:t>
      </w:r>
    </w:p>
    <w:p>
      <w:pPr>
        <w:spacing w:after="0" w:line="181"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Banking Product Obligations</w:t>
      </w:r>
      <w:r>
        <w:rPr>
          <w:rFonts w:ascii="Times New Roman" w:cs="Times New Roman" w:eastAsia="Times New Roman" w:hAnsi="Times New Roman"/>
          <w:sz w:val="21"/>
          <w:szCs w:val="21"/>
          <w:color w:val="auto"/>
        </w:rPr>
        <w:t>” means any Banking Product Obligations, in each case as designated by any Lender (or a banking Affiliate thereof) and the Borrower from time to time and agreed to by the Administrative Agent (acting on the instructions of the Required Lenders) as constituting “Designated Banking Product Obligations”, which notice shall include (i) a copy of an agreement providing an agreed-upon maximum amount of Designated Banking Product Obligations that can be included as Obligations, and (ii) the acknowledgment of such Lender (or such banking Affiliate) that its security interest in the Collateral securing such Designated Banking Product Obligations shall be subject to the Loan Documents.</w:t>
      </w:r>
    </w:p>
    <w:p>
      <w:pPr>
        <w:spacing w:after="0" w:line="169"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Hedging Agreement</w:t>
      </w:r>
      <w:r>
        <w:rPr>
          <w:rFonts w:ascii="Times New Roman" w:cs="Times New Roman" w:eastAsia="Times New Roman" w:hAnsi="Times New Roman"/>
          <w:sz w:val="22"/>
          <w:szCs w:val="22"/>
          <w:color w:val="auto"/>
        </w:rPr>
        <w:t xml:space="preserve">” means any Hedging Agreement entered into by the Borrower and any Person that, at the time such Person entered into such Hedging Agreement, was a Lender or an Affiliate of a Lender, as designated by the relevant Lender (or Affiliate of a Lender) and the Borrower, by written notice to the Administrative Agent, as a “Designated Hedging Agreement”, which notice shall include a copy of an agreement providing for (i) a methodology agreed to by the Borrower, such Lender or Affiliate of a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Lender or Affiliate of a Lender that its security interest in the Collateral securing such Designated Hedging Obligations shall be subject to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designation, the aggregate agreed-upon maximum amount of all “Designated Hedging Obligations” included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65" w:name="page66"/>
    <w:bookmarkEnd w:id="65"/>
    <w:p>
      <w:pPr>
        <w:ind w:right="260"/>
        <w:spacing w:after="0" w:line="256" w:lineRule="auto"/>
        <w:rPr>
          <w:sz w:val="20"/>
          <w:szCs w:val="20"/>
          <w:color w:val="auto"/>
        </w:rPr>
      </w:pPr>
      <w:r>
        <w:rPr>
          <w:rFonts w:ascii="Times New Roman" w:cs="Times New Roman" w:eastAsia="Times New Roman" w:hAnsi="Times New Roman"/>
          <w:sz w:val="22"/>
          <w:szCs w:val="22"/>
          <w:color w:val="auto"/>
        </w:rPr>
        <w:t xml:space="preserve">Obligations shall not exceed 10% of the original Total Revolving Commitment in effect on the Effective Date in the aggregate;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 long as any Revolving Lender is a Defaulting Lender, such Revolving Lender shall not have any rights hereunder with respect to any Designated Hedging Agreement entered into while such Revolving Lender was a Defaulting Lender.</w:t>
      </w:r>
    </w:p>
    <w:p>
      <w:pPr>
        <w:spacing w:after="0" w:line="176"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Hedging Obligations</w:t>
      </w:r>
      <w:r>
        <w:rPr>
          <w:rFonts w:ascii="Times New Roman" w:cs="Times New Roman" w:eastAsia="Times New Roman" w:hAnsi="Times New Roman"/>
          <w:sz w:val="21"/>
          <w:szCs w:val="21"/>
          <w:color w:val="auto"/>
        </w:rPr>
        <w:t>” means,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173"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Location</w:t>
      </w:r>
      <w:r>
        <w:rPr>
          <w:rFonts w:ascii="Times New Roman" w:cs="Times New Roman" w:eastAsia="Times New Roman" w:hAnsi="Times New Roman"/>
          <w:sz w:val="22"/>
          <w:szCs w:val="22"/>
          <w:color w:val="auto"/>
        </w:rPr>
        <w:t>” means the locations as set forth in Schedule 3.19 or any other location in the United States designated by the Borrower from time to time in accordance with the Collateral Documents.</w:t>
      </w:r>
    </w:p>
    <w:p>
      <w:pPr>
        <w:spacing w:after="0" w:line="158"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shall mean, with respect to any property, any sale, lease, sale and leaseback, conveyance, transfer or other disposition thereof. The terms “Dispose” and “Disposed of” shall have correlative meanings.</w:t>
      </w:r>
    </w:p>
    <w:p>
      <w:pPr>
        <w:spacing w:after="0" w:line="14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w:t>
      </w:r>
      <w:r>
        <w:rPr>
          <w:rFonts w:ascii="Times New Roman" w:cs="Times New Roman" w:eastAsia="Times New Roman" w:hAnsi="Times New Roman"/>
          <w:sz w:val="22"/>
          <w:szCs w:val="22"/>
          <w:color w:val="auto"/>
        </w:rPr>
        <w:t>” means any (a) Competitor or (b) any financial institution, investment manager, fund, Person and any of their affiliates that, in each case, (i) that has a substantial engagement in the business of originating commercial loans in distressed assets or investing in distressed assets or (ii) is a distressed fund or a fund with a significant portion of its aggregate investment being represented by distressed assets.</w:t>
      </w:r>
    </w:p>
    <w:p>
      <w:pPr>
        <w:spacing w:after="0" w:line="193"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of any Person means any Capital Stock of such Person that, by its terms (or by the terms of any security into which it is convertible, or for which it is exchangeable, in each case at the option of the holder of the Capital Stock), or upon the happening of any event (other than as a result of a Change of Control or other similar event or asset sale or Disposition), (i) matures or is mandatorily redeemable, pursuant to a sinking fund obligation or otherwise (other than as a result of a Change of Control or other similar event or asset sale or Disposition), (ii) is convertible or exchangeable for Indebtedness or Disqualified Stock, or (iii) is redeemable at the option of the holder of the Capital Stock, in whole or in part (other than as a result of a Change of Control or other similar event or asset sale or Disposition), on or prior to the date that is 91 days after the Revolving Facility Maturity Date (determined as of the date of its issuance). Notwithstanding the preceding sentence, any Capital Stock of the Borrower that would constitute Disqualified Stock of the Borrower solely because the holders of the Capital Stock have the right to require the Borrower to repurchase such Capital Stock upon the occurrence of a Change of Control or other similar event or asset sale or Disposition will not constitute Disqualified Stock if the terms of such Capital Stock provide that the Borrower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66" w:name="page67"/>
    <w:bookmarkEnd w:id="66"/>
    <w:p>
      <w:pPr>
        <w:ind w:right="540"/>
        <w:spacing w:after="0" w:line="271" w:lineRule="auto"/>
        <w:rPr>
          <w:sz w:val="20"/>
          <w:szCs w:val="20"/>
          <w:color w:val="auto"/>
        </w:rPr>
      </w:pPr>
      <w:r>
        <w:rPr>
          <w:rFonts w:ascii="Times New Roman" w:cs="Times New Roman" w:eastAsia="Times New Roman" w:hAnsi="Times New Roman"/>
          <w:sz w:val="22"/>
          <w:szCs w:val="22"/>
          <w:color w:val="auto"/>
        </w:rPr>
        <w:t>not repurchase or redeem any such Capital Stock pursuant to such provisions on or prior to the date that is 91 days after the Revolving Facility Maturity Date (determined as of the date of its issuance).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mean lawful money of the United States of America.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DOT</w:t>
      </w:r>
      <w:r>
        <w:rPr>
          <w:rFonts w:ascii="Times New Roman" w:cs="Times New Roman" w:eastAsia="Times New Roman" w:hAnsi="Times New Roman"/>
          <w:sz w:val="22"/>
          <w:szCs w:val="22"/>
          <w:color w:val="auto"/>
        </w:rPr>
        <w:t>” shall mean the United States Department of Transportation and any successor thereto.</w:t>
      </w:r>
    </w:p>
    <w:p>
      <w:pPr>
        <w:spacing w:after="0" w:line="220"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EBITDAR</w:t>
      </w:r>
      <w:r>
        <w:rPr>
          <w:rFonts w:ascii="Times New Roman" w:cs="Times New Roman" w:eastAsia="Times New Roman" w:hAnsi="Times New Roman"/>
          <w:sz w:val="21"/>
          <w:szCs w:val="21"/>
          <w:color w:val="auto"/>
        </w:rPr>
        <w:t xml:space="preserve">” shall mean, with respect to the Borrower and the Subsidiaries on a consolidated basis for any period, the Consolidated Net Income of the Borrower and the Subsidiaries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 the sum of (in each case without duplication and to the extent the respective amounts described in subclauses (i) through (xi) of this clause (a) reduced such Consolidated Net Income (and were not excluded therefrom) for the respective period for which EBITDAR is being determined):</w:t>
      </w:r>
    </w:p>
    <w:p>
      <w:pPr>
        <w:spacing w:after="0" w:line="177" w:lineRule="exact"/>
        <w:rPr>
          <w:sz w:val="20"/>
          <w:szCs w:val="20"/>
          <w:color w:val="auto"/>
        </w:rPr>
      </w:pPr>
    </w:p>
    <w:p>
      <w:pPr>
        <w:ind w:right="60" w:firstLine="1304"/>
        <w:spacing w:after="0" w:line="257" w:lineRule="auto"/>
        <w:tabs>
          <w:tab w:leader="none" w:pos="177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 for Taxes based on income, profits or capital of the Borrower and the Subsidiaries for such period, including state, franchise and similar taxes and foreign withholding taxes (including penalties and interest related to taxes or arising from tax examinations),</w:t>
      </w:r>
    </w:p>
    <w:p>
      <w:pPr>
        <w:spacing w:after="0" w:line="172" w:lineRule="exact"/>
        <w:rPr>
          <w:rFonts w:ascii="Times New Roman" w:cs="Times New Roman" w:eastAsia="Times New Roman" w:hAnsi="Times New Roman"/>
          <w:sz w:val="22"/>
          <w:szCs w:val="22"/>
          <w:color w:val="auto"/>
        </w:rPr>
      </w:pPr>
    </w:p>
    <w:p>
      <w:pPr>
        <w:ind w:right="60" w:firstLine="1304"/>
        <w:spacing w:after="0" w:line="256" w:lineRule="auto"/>
        <w:tabs>
          <w:tab w:leader="none" w:pos="183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Expense (and to the extent not included in Interest Expense, (x) all cash dividend payments (excluding items eliminated in consolidation) on any series of preferred stock or Disqualified Stock and (y) costs of surety bonds in connection with financing activities) of the Borrower and the Subsidiaries for such period (net of interest income of the Borrower and the Subsidiaries for such period),</w:t>
      </w:r>
    </w:p>
    <w:p>
      <w:pPr>
        <w:spacing w:after="0" w:line="176" w:lineRule="exact"/>
        <w:rPr>
          <w:rFonts w:ascii="Times New Roman" w:cs="Times New Roman" w:eastAsia="Times New Roman" w:hAnsi="Times New Roman"/>
          <w:sz w:val="22"/>
          <w:szCs w:val="22"/>
          <w:color w:val="auto"/>
        </w:rPr>
      </w:pPr>
    </w:p>
    <w:p>
      <w:pPr>
        <w:ind w:right="120" w:firstLine="1304"/>
        <w:spacing w:after="0" w:line="257" w:lineRule="auto"/>
        <w:tabs>
          <w:tab w:leader="none" w:pos="18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expenses of the Borrower and the Subsidiaries for such period including the amortization of intangible assets, deferred financing fees and Capitalized Software Expenditures and amortization of unrecognized prior service costs and actuarial gains and losses related to pensions and other post-employment benefits,</w:t>
      </w:r>
    </w:p>
    <w:p>
      <w:pPr>
        <w:spacing w:after="0" w:line="172" w:lineRule="exact"/>
        <w:rPr>
          <w:rFonts w:ascii="Times New Roman" w:cs="Times New Roman" w:eastAsia="Times New Roman" w:hAnsi="Times New Roman"/>
          <w:sz w:val="22"/>
          <w:szCs w:val="22"/>
          <w:color w:val="auto"/>
        </w:rPr>
      </w:pPr>
    </w:p>
    <w:p>
      <w:pPr>
        <w:jc w:val="both"/>
        <w:ind w:right="360" w:firstLine="1304"/>
        <w:spacing w:after="0" w:line="256" w:lineRule="auto"/>
        <w:tabs>
          <w:tab w:leader="none" w:pos="187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optimization expenses and other restructuring charges or reserves (which, for the avoidance of doubt, shall include the effect of inventory, marketing or sales optimization programs, facility closure, facility consolidations, retention, severance, systems establishment costs, contract termination costs, future lease commitments and excess pension charges),</w:t>
      </w:r>
    </w:p>
    <w:p>
      <w:pPr>
        <w:spacing w:after="0" w:line="176" w:lineRule="exact"/>
        <w:rPr>
          <w:rFonts w:ascii="Times New Roman" w:cs="Times New Roman" w:eastAsia="Times New Roman" w:hAnsi="Times New Roman"/>
          <w:sz w:val="22"/>
          <w:szCs w:val="22"/>
          <w:color w:val="auto"/>
        </w:rPr>
      </w:pPr>
    </w:p>
    <w:p>
      <w:pPr>
        <w:jc w:val="both"/>
        <w:ind w:right="20" w:firstLine="1304"/>
        <w:spacing w:after="0" w:line="281" w:lineRule="auto"/>
        <w:tabs>
          <w:tab w:leader="none" w:pos="181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non-cash charges;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purposes of this subclause (v) of this clause (a), any non-cash charges or losses shall be treated as cash charges or losses in any subsequent period during which cash disbursements attributable thereto are made (but excluding, for the avoidance of doubt, amortization of a prepaid cash item that was paid in a prior period),</w:t>
      </w:r>
    </w:p>
    <w:p>
      <w:pPr>
        <w:spacing w:after="0" w:line="150" w:lineRule="exact"/>
        <w:rPr>
          <w:rFonts w:ascii="Times New Roman" w:cs="Times New Roman" w:eastAsia="Times New Roman" w:hAnsi="Times New Roman"/>
          <w:sz w:val="21"/>
          <w:szCs w:val="21"/>
          <w:color w:val="auto"/>
        </w:rPr>
      </w:pPr>
    </w:p>
    <w:p>
      <w:pPr>
        <w:ind w:right="20" w:firstLine="1304"/>
        <w:spacing w:after="0" w:line="271" w:lineRule="auto"/>
        <w:tabs>
          <w:tab w:leader="none" w:pos="187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or charges (other than depreciation or amortization expense as described in clause (iii) above) related to any issuance of Equity Interests,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22" w:right="379" w:bottom="1440" w:gutter="0" w:footer="0" w:header="0"/>
        </w:sectPr>
      </w:pPr>
    </w:p>
    <w:bookmarkStart w:id="67" w:name="page68"/>
    <w:bookmarkEnd w:id="67"/>
    <w:p>
      <w:pPr>
        <w:ind w:right="220"/>
        <w:spacing w:after="0" w:line="257" w:lineRule="auto"/>
        <w:rPr>
          <w:sz w:val="20"/>
          <w:szCs w:val="20"/>
          <w:color w:val="auto"/>
        </w:rPr>
      </w:pPr>
      <w:r>
        <w:rPr>
          <w:rFonts w:ascii="Times New Roman" w:cs="Times New Roman" w:eastAsia="Times New Roman" w:hAnsi="Times New Roman"/>
          <w:sz w:val="22"/>
          <w:szCs w:val="22"/>
          <w:color w:val="auto"/>
        </w:rPr>
        <w:t>acquisition, Disposition, recapitalization or the incurrence, modification or repayment of Indebtedness (including a refinancing thereof) (whether or not successful), including (x) such fees, expenses or charges related to this Agreement and (y) any amendment or other modification of the Obligations or other Indebtedness,</w:t>
      </w:r>
    </w:p>
    <w:p>
      <w:pPr>
        <w:spacing w:after="0" w:line="186" w:lineRule="exact"/>
        <w:rPr>
          <w:sz w:val="20"/>
          <w:szCs w:val="20"/>
          <w:color w:val="auto"/>
        </w:rPr>
      </w:pPr>
    </w:p>
    <w:p>
      <w:pPr>
        <w:ind w:right="220" w:firstLine="1304"/>
        <w:spacing w:after="0" w:line="250" w:lineRule="auto"/>
        <w:tabs>
          <w:tab w:leader="none" w:pos="193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or expense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Borrower or a Subsidiary (other than contributions received from the Borrower or another Subsidiary) or net cash proceeds of an issuance of Equity Interests of the Borrower (other than Disqualified Stock),</w:t>
      </w:r>
    </w:p>
    <w:p>
      <w:pPr>
        <w:spacing w:after="0" w:line="194"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non-operating expenses,</w:t>
      </w:r>
    </w:p>
    <w:p>
      <w:pPr>
        <w:spacing w:after="0" w:line="219" w:lineRule="exact"/>
        <w:rPr>
          <w:rFonts w:ascii="Times New Roman" w:cs="Times New Roman" w:eastAsia="Times New Roman" w:hAnsi="Times New Roman"/>
          <w:sz w:val="22"/>
          <w:szCs w:val="22"/>
          <w:color w:val="auto"/>
        </w:rPr>
      </w:pPr>
    </w:p>
    <w:p>
      <w:pPr>
        <w:ind w:right="120" w:firstLine="1304"/>
        <w:spacing w:after="0" w:line="268" w:lineRule="auto"/>
        <w:tabs>
          <w:tab w:leader="none" w:pos="187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joint venture that is not a Subsidiary and solely to the extent relating to any net income referred to in clause (v) of the definition of “Consolidated Net Income”, an amount equal to the proportion of those items described in clauses (i) and (ii) above relating to such joint venture corresponding to the Borrower’s and the Subsidiaries’ proportionate share of such joint venture’s Consolidated Net Income (determined as if such joint venture were a Subsidiary),</w:t>
      </w:r>
    </w:p>
    <w:p>
      <w:pPr>
        <w:spacing w:after="0" w:line="163" w:lineRule="exact"/>
        <w:rPr>
          <w:rFonts w:ascii="Times New Roman" w:cs="Times New Roman" w:eastAsia="Times New Roman" w:hAnsi="Times New Roman"/>
          <w:sz w:val="21"/>
          <w:szCs w:val="21"/>
          <w:color w:val="auto"/>
        </w:rPr>
      </w:pPr>
    </w:p>
    <w:p>
      <w:pPr>
        <w:ind w:right="80" w:firstLine="1304"/>
        <w:spacing w:after="0" w:line="284" w:lineRule="auto"/>
        <w:tabs>
          <w:tab w:leader="none" w:pos="18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rent expense, which for the avoidance of doubt shall include engine rent expense otherwise reported as a component of maintenance expense, and</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Item;</w:t>
      </w:r>
    </w:p>
    <w:p>
      <w:pPr>
        <w:spacing w:after="0" w:line="22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sum of (without duplication and to the extent the amounts described in this clause (b) increased such Consolidated Net Income for the respective period for which EBITDAR is being determined) non-cash items increasing Consolidated Net Income of the Borrower and the Subsidiaries for such period, (but excluding any such items (A) in respect of which cash was received in a prior period or will be received in a future period or (B) which represent the reversal of any accrual of, or cash reserve for, anticipated cash charges that reduced EBITDAR in any prior period).</w:t>
      </w:r>
    </w:p>
    <w:p>
      <w:pPr>
        <w:spacing w:after="0" w:line="17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422" w:right="379" w:bottom="1440" w:gutter="0" w:footer="0" w:header="0"/>
        </w:sectPr>
      </w:pPr>
    </w:p>
    <w:bookmarkStart w:id="68" w:name="page69"/>
    <w:bookmarkEnd w:id="68"/>
    <w:p>
      <w:pPr>
        <w:ind w:right="4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March 24, 2025.</w:t>
      </w:r>
    </w:p>
    <w:p>
      <w:pPr>
        <w:spacing w:after="0" w:line="22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Aircraft</w:t>
      </w:r>
      <w:r>
        <w:rPr>
          <w:rFonts w:ascii="Times New Roman" w:cs="Times New Roman" w:eastAsia="Times New Roman" w:hAnsi="Times New Roman"/>
          <w:sz w:val="22"/>
          <w:szCs w:val="22"/>
          <w:color w:val="auto"/>
        </w:rPr>
        <w:t>” shall mean any Boeing model B737-800 or B737-900ER aircraft that (a) is owned by the Borrower free and clear of Liens (other than Permitted Liens), (b) is eligible for the benefits of Section 1110, and (c) (i) if it was owned by Borrower on the Effective Date, is less than twenty-five (25) years old at the time it becomes a Pledged Aircraft or (ii) if it was not owned by Borrower on the Effective Date, is less than fifteen (15) years old at the time it becomes a Pledged Aircraft. For the avoidance of doubt, the age of each Eligible Aircraft shall be determined by the date of the manufacturer's bill of sale.</w:t>
      </w:r>
    </w:p>
    <w:p>
      <w:pPr>
        <w:spacing w:after="0" w:line="181" w:lineRule="exact"/>
        <w:rPr>
          <w:sz w:val="20"/>
          <w:szCs w:val="20"/>
          <w:color w:val="auto"/>
        </w:rPr>
      </w:pPr>
    </w:p>
    <w:p>
      <w:pPr>
        <w:ind w:right="8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Affiliate has total assets in excess of $200,000,000, (d) an Approved Fund of any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Approved Fund has total assets in excess of $200,000,000, and (e) any other financial institution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financial institution has total assets in excess of $200,000,000;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 long as no Event of Default has occurred and is continuing, no Disqualified Institution shall constitute an Eligible Assignee;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none of the Borrower, the Guarantor or any Affiliate of the Borrower or the Guarantor, or any natural person (or a holding company, investment vehicle or trust for, or owned and operated by or for the primary benefit of any natural person) shall constitute an Eligible Assignee.</w:t>
      </w:r>
    </w:p>
    <w:p>
      <w:pPr>
        <w:spacing w:after="0" w:line="18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Collateral</w:t>
      </w:r>
      <w:r>
        <w:rPr>
          <w:rFonts w:ascii="Times New Roman" w:cs="Times New Roman" w:eastAsia="Times New Roman" w:hAnsi="Times New Roman"/>
          <w:sz w:val="22"/>
          <w:szCs w:val="22"/>
          <w:color w:val="auto"/>
        </w:rPr>
        <w:t xml:space="preserve">” shall mean, on any date of determination, all Collateral on which the Security Trustee shall, as of such date, have, to the extent purported to be created by the applicable Collateral Document, a valid and perfected first priority Lien and/or mortgage (or comparable Lien) and which is otherwise subject only to Permitted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Eligible Aircraft or Eligible Engine or Eligible Spare Parts shall not be deemed to Eligible Collateral until the Administrative Agent has received a copy of the applicable Appraisal for the relevant Eligible Aircraft or Eligible Engine or Eligible Spare Parts, as applicable, and such Appraisal shall be dated (with a valuation date) of no more than 45 days prior to the relevant date the Eligible Aircraft or Eligible Engine or Eligible Spare Parts, as applicable, is deemed to be Eligible Collateral.</w:t>
      </w:r>
    </w:p>
    <w:p>
      <w:pPr>
        <w:spacing w:after="0" w:line="180"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Engine</w:t>
      </w:r>
      <w:r>
        <w:rPr>
          <w:rFonts w:ascii="Times New Roman" w:cs="Times New Roman" w:eastAsia="Times New Roman" w:hAnsi="Times New Roman"/>
          <w:sz w:val="22"/>
          <w:szCs w:val="22"/>
          <w:color w:val="auto"/>
        </w:rPr>
        <w:t>” shall mean any CFM International, Inc. model CFM56-7B engine that (a) is owned by the Borrower free and clear of Liens (other than Permitted Liens), (b) is eligible for the benefits of Section 1110, and (c) at the time it becomes a Pledged Engine, has more than 2,000 cycles remaining until its next required overhaul. An engine shall cease to be an Eligible Engine when it has less than 2,000 cycles remaining until its next required overhaul.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22" w:right="359" w:bottom="1440" w:gutter="0" w:footer="0" w:header="0"/>
        </w:sectPr>
      </w:pPr>
    </w:p>
    <w:bookmarkStart w:id="69" w:name="page70"/>
    <w:bookmarkEnd w:id="69"/>
    <w:p>
      <w:pPr>
        <w:ind w:right="18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Ground Support Equipment</w:t>
      </w:r>
      <w:r>
        <w:rPr>
          <w:rFonts w:ascii="Times New Roman" w:cs="Times New Roman" w:eastAsia="Times New Roman" w:hAnsi="Times New Roman"/>
          <w:sz w:val="21"/>
          <w:szCs w:val="21"/>
          <w:color w:val="auto"/>
        </w:rPr>
        <w:t>” means the ground service equipment, de-icers, ground support equipment (including cargo loaders, tow tractors, passenger steps and dollies), aircraft cleaning devices, materials handling equipment, passenger walkways and other similar equipment owned by the Borrower free and clear of Liens (other than Permitted Liens).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Inventory</w:t>
      </w:r>
      <w:r>
        <w:rPr>
          <w:rFonts w:ascii="Times New Roman" w:cs="Times New Roman" w:eastAsia="Times New Roman" w:hAnsi="Times New Roman"/>
          <w:sz w:val="22"/>
          <w:szCs w:val="22"/>
          <w:color w:val="auto"/>
        </w:rPr>
        <w:t>” means Eligible Ground Support Equipment and Flight Simulators.</w:t>
      </w:r>
    </w:p>
    <w:p>
      <w:pPr>
        <w:spacing w:after="0" w:line="220"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Receivable</w:t>
      </w:r>
      <w:r>
        <w:rPr>
          <w:rFonts w:ascii="Times New Roman" w:cs="Times New Roman" w:eastAsia="Times New Roman" w:hAnsi="Times New Roman"/>
          <w:sz w:val="21"/>
          <w:szCs w:val="21"/>
          <w:color w:val="auto"/>
        </w:rPr>
        <w:t>” means, as of any date of determination, any Account designated in the Field Auditor Receivables List (a) that is owned by the Borrower free and clear of Liens (other than Permitted Liens) and (b) that is shown on the most recent Officer’s Certificate delivered by the Borrower to the Administrative Agent pursuant to Section 5.01(f), net of, without duplication, all reserves against such Account, except, without duplication, any Account of the Borrower, as of such date:</w:t>
      </w:r>
    </w:p>
    <w:p>
      <w:pPr>
        <w:spacing w:after="0" w:line="177" w:lineRule="exact"/>
        <w:rPr>
          <w:sz w:val="20"/>
          <w:szCs w:val="20"/>
          <w:color w:val="auto"/>
        </w:rPr>
      </w:pPr>
    </w:p>
    <w:p>
      <w:pPr>
        <w:ind w:right="240" w:firstLine="1304"/>
        <w:spacing w:after="0" w:line="275" w:lineRule="auto"/>
        <w:tabs>
          <w:tab w:leader="none" w:pos="181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which (a) an invoice has not been sent to the applicable Account Debtor or (b) the relevant Account has not been posted to the Airlines Clearing House or an international clearing house or (c) such Account has not theretofore been reported for compensation purposes to the Borrower in respect of a Borrower co-branded credit card;</w:t>
      </w:r>
    </w:p>
    <w:p>
      <w:pPr>
        <w:spacing w:after="0" w:line="155" w:lineRule="exact"/>
        <w:rPr>
          <w:rFonts w:ascii="Times New Roman" w:cs="Times New Roman" w:eastAsia="Times New Roman" w:hAnsi="Times New Roman"/>
          <w:sz w:val="21"/>
          <w:szCs w:val="21"/>
          <w:color w:val="auto"/>
        </w:rPr>
      </w:pPr>
    </w:p>
    <w:p>
      <w:pPr>
        <w:ind w:right="140" w:firstLine="1304"/>
        <w:spacing w:after="0" w:line="250" w:lineRule="auto"/>
        <w:tabs>
          <w:tab w:leader="none" w:pos="18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is in default and such default is reasonably likely to result in such Account Debtor’s failure to make payment with respect to such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 limiting the generality of the foregoing, an Account shall be deemed in default upon the occurrence of any of the following: (i) the Account is not paid within ninety (90) days following its original invoice date (and in determining the aggregate amount from the same Account Debtor that is unpaid hereunder there shall be excluded the amount of any notes receivable held by an Account Debtor which are unpaid more than 90 days after the due date for payment), (ii) the Account Debtor obligated upon such Account suspends business, makes a general assignment for the benefit of creditors or fails to pay its debts generally as they come due or (iii) a petition is filed by or against any Account Debtor obligated upon such Account under any bankruptcy law or any other federal, state or foreign (including any provincial) receivership, insolvency relief or other law or laws for the relief of debtors;</w:t>
      </w:r>
    </w:p>
    <w:p>
      <w:pPr>
        <w:spacing w:after="0" w:line="17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represents customer-level credit balances greater than ninety (90) days following its original invoice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195" w:lineRule="exact"/>
        <w:rPr>
          <w:rFonts w:ascii="Times New Roman" w:cs="Times New Roman" w:eastAsia="Times New Roman" w:hAnsi="Times New Roman"/>
          <w:sz w:val="22"/>
          <w:szCs w:val="22"/>
          <w:color w:val="auto"/>
        </w:rPr>
      </w:pPr>
    </w:p>
    <w:p>
      <w:pPr>
        <w:ind w:right="620" w:firstLine="1304"/>
        <w:spacing w:after="0" w:line="271" w:lineRule="auto"/>
        <w:tabs>
          <w:tab w:leader="none" w:pos="18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Lien of the Security Trustee for the benefit of the Secured Parties is not a first priority perfected Lien (subject to Permitted Liens);</w:t>
      </w:r>
    </w:p>
    <w:p>
      <w:pPr>
        <w:spacing w:after="0" w:line="171" w:lineRule="exact"/>
        <w:rPr>
          <w:rFonts w:ascii="Times New Roman" w:cs="Times New Roman" w:eastAsia="Times New Roman" w:hAnsi="Times New Roman"/>
          <w:sz w:val="22"/>
          <w:szCs w:val="22"/>
          <w:color w:val="auto"/>
        </w:rPr>
      </w:pPr>
    </w:p>
    <w:p>
      <w:pPr>
        <w:ind w:right="180" w:firstLine="1304"/>
        <w:spacing w:after="0" w:line="257" w:lineRule="auto"/>
        <w:tabs>
          <w:tab w:leader="none" w:pos="18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Account, together with all other Accounts owing to the Borrower by such Account Debtor and its Affiliates exceeds (a) to the extent such Account is an Amazon Account, 67% and (b) to the extent such Account is not an Amazon Account, 10% of all Accounts owing to the Borrower; and</w:t>
      </w:r>
    </w:p>
    <w:p>
      <w:pPr>
        <w:spacing w:after="0" w:line="172"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such Account is subject to any netting arrangements, set-off or offsets by the Account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22" w:right="359" w:bottom="1440" w:gutter="0" w:footer="0" w:header="0"/>
        </w:sectPr>
      </w:pPr>
    </w:p>
    <w:bookmarkStart w:id="70" w:name="page71"/>
    <w:bookmarkEnd w:id="70"/>
    <w:p>
      <w:pPr>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Spare Parts</w:t>
      </w:r>
      <w:r>
        <w:rPr>
          <w:rFonts w:ascii="Times New Roman" w:cs="Times New Roman" w:eastAsia="Times New Roman" w:hAnsi="Times New Roman"/>
          <w:sz w:val="22"/>
          <w:szCs w:val="22"/>
          <w:color w:val="auto"/>
        </w:rPr>
        <w:t>” means all accessories, appurtenances or parts of an Eligible Aircraft (except the relevant engines attached to such Aircraft) or accessories, appurtenances or parts of an Eligible Engine, in each case that are (a) owned by the Borrower, (b) to be installed at a later time in an Eligible Aircraft or an Eligible Engine, and (c) eligible for the benefits of Section 1110.</w:t>
      </w:r>
    </w:p>
    <w:p>
      <w:pPr>
        <w:spacing w:after="0" w:line="176"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Engine</w:t>
      </w:r>
      <w:r>
        <w:rPr>
          <w:rFonts w:ascii="Times New Roman" w:cs="Times New Roman" w:eastAsia="Times New Roman" w:hAnsi="Times New Roman"/>
          <w:sz w:val="22"/>
          <w:szCs w:val="22"/>
          <w:color w:val="auto"/>
        </w:rPr>
        <w:t>” shall mean an engine used, or intended to be used, to propel an Aircraft, including a part, appurtenance, and accessory of such Engine, except a Propeller.</w:t>
      </w:r>
    </w:p>
    <w:p>
      <w:pPr>
        <w:spacing w:after="0" w:line="158"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mean all applicable laws (including common law), statutes, rules, regulations, codes, ordinances, orders, decrees, judgments, injunctions or legally binding agreements issued, promulgated or entered into by or with any Governmental Authority, relating to the environment, preservation or reclamation of natural resources, the handling, treatment, storage, disposal, Release or threatened Release of, or the exposure of any Person (including employees) to, any Hazardous Materials.</w:t>
      </w:r>
    </w:p>
    <w:p>
      <w:pPr>
        <w:spacing w:after="0" w:line="179"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81"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shall mean Capital Stock and all warrants, options or other rights to acquire Capital Stock (but excluding any debt security that is convertible into, or exchangeable for, Capital Stock).</w:t>
      </w:r>
    </w:p>
    <w:p>
      <w:pPr>
        <w:spacing w:after="0" w:line="171"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158" w:lineRule="exact"/>
        <w:rPr>
          <w:sz w:val="20"/>
          <w:szCs w:val="20"/>
          <w:color w:val="auto"/>
        </w:rPr>
      </w:pPr>
    </w:p>
    <w:p>
      <w:pPr>
        <w:ind w:right="3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that would be deemed at any relevant time to be a single employer with a Borrower or Guarantor, pursuant to Section 414(b), (c), (m) or (o) of the Code or under common control with a Borrower or Guarantor under Section 4001 of ERISA.</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shall have the meaning given such term in Section 8.11(a).</w:t>
      </w:r>
    </w:p>
    <w:p>
      <w:pPr>
        <w:spacing w:after="0" w:line="220"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Accounts</w:t>
      </w:r>
      <w:r>
        <w:rPr>
          <w:rFonts w:ascii="Times New Roman" w:cs="Times New Roman" w:eastAsia="Times New Roman" w:hAnsi="Times New Roman"/>
          <w:sz w:val="22"/>
          <w:szCs w:val="22"/>
          <w:color w:val="auto"/>
        </w:rPr>
        <w:t>” shall mean (1) accounts of the Borrower or any Subsidiary, solely to the extent any such accounts hold funds set aside by the Borrower or any Subsidiary to manage the collection and payment of amounts collected, withheld or incurred by the Borrower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80"/>
          </w:cols>
          <w:pgMar w:left="320" w:top="1422" w:right="399" w:bottom="1440" w:gutter="0" w:footer="0" w:header="0"/>
        </w:sectPr>
      </w:pPr>
    </w:p>
    <w:bookmarkStart w:id="71" w:name="page72"/>
    <w:bookmarkEnd w:id="71"/>
    <w:p>
      <w:pPr>
        <w:ind w:right="60"/>
        <w:spacing w:after="0" w:line="250" w:lineRule="auto"/>
        <w:rPr>
          <w:sz w:val="20"/>
          <w:szCs w:val="20"/>
          <w:color w:val="auto"/>
        </w:rPr>
      </w:pPr>
      <w:r>
        <w:rPr>
          <w:rFonts w:ascii="Times New Roman" w:cs="Times New Roman" w:eastAsia="Times New Roman" w:hAnsi="Times New Roman"/>
          <w:sz w:val="22"/>
          <w:szCs w:val="22"/>
          <w:color w:val="auto"/>
        </w:rPr>
        <w:t>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w:t>
      </w:r>
    </w:p>
    <w:p>
      <w:pPr>
        <w:spacing w:after="0" w:line="180"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have the meaning given such term in Section 7.</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 any Subsidiary of the Borrower that is a captive insurance company.</w:t>
      </w:r>
    </w:p>
    <w:p>
      <w:pPr>
        <w:spacing w:after="0" w:line="22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any Swap Obligation if, and to the extent that, all or a portion of the Guarantee of the Guarantor of, or the grant by the Guarantor of a security interest to secure, such Swap Obligation (or the Guarantee thereof) is or becomes illegal under the Commodity Exchange Act or any rule, regulation or order of the Commodity Futures Trading Commission (or the application or official interpretation of any thereof) by virtue of the Guarantor’s failure for any reason to constitute an “eligible contract participant” as defined in the Commodity Exchange Act and the regulations thereunder at the time the Guarantee of the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0"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shall mean, with respect to any Agent, any Lender or any other recipient of any payment to be made by or on account of any obligation of the Borrower or the Guarantor under the Loan Documents: (a) Taxes imposed on or measured by its overall net income (however denominated), franchise Taxes, and branch profits Taxes, in each case, imposed by the jurisdiction (or any political subdivision thereof) under the laws of which such recipient is organized, in which it is resident for tax purposes or in which its principal office is located or, in the case of any Lender, in which its Applicable Lending Office is located or that are Other Connection Taxes; (b) any branch profits taxes imposed by the United States of America or any similar Tax imposed by any other jurisdiction in which the Borrower or the Guarantor is located; (c) in the case of a Lender, any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22" w:right="379" w:bottom="1440" w:gutter="0" w:footer="0" w:header="0"/>
        </w:sectPr>
      </w:pPr>
    </w:p>
    <w:bookmarkStart w:id="72" w:name="page73"/>
    <w:bookmarkEnd w:id="72"/>
    <w:p>
      <w:pPr>
        <w:ind w:right="60"/>
        <w:spacing w:after="0" w:line="253" w:lineRule="auto"/>
        <w:rPr>
          <w:sz w:val="20"/>
          <w:szCs w:val="20"/>
          <w:color w:val="auto"/>
        </w:rPr>
      </w:pPr>
      <w:r>
        <w:rPr>
          <w:rFonts w:ascii="Times New Roman" w:cs="Times New Roman" w:eastAsia="Times New Roman" w:hAnsi="Times New Roman"/>
          <w:sz w:val="22"/>
          <w:szCs w:val="22"/>
          <w:color w:val="auto"/>
        </w:rPr>
        <w:t>Borrower under Section 2.17) or (ii) such Lender changes its lending office, except in each case to the extent that, pursuant to Section 2.14(a), amounts with respect to such Taxes were payable either to such Lender’s assignor immediately before such Lender became a party hereto or to such Lender immediately before it changed its lending office; (d) in the case of a Lender, any withholding Tax that is attributable to such Lender’s failure to deliver the documentation described in Section 2.14(e); and (e) U.S. federal withholding Taxes imposed under FATCA.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Commitment</w:t>
      </w:r>
      <w:r>
        <w:rPr>
          <w:rFonts w:ascii="Times New Roman" w:cs="Times New Roman" w:eastAsia="Times New Roman" w:hAnsi="Times New Roman"/>
          <w:sz w:val="22"/>
          <w:szCs w:val="22"/>
          <w:color w:val="auto"/>
        </w:rPr>
        <w:t>” shall have the meaning given to such term in Section 2.26(a).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shall have the meaning given to such term in Section 2.26(a).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shall have the meaning given to such term in Section 2.26(c).</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Offer</w:t>
      </w:r>
      <w:r>
        <w:rPr>
          <w:rFonts w:ascii="Times New Roman" w:cs="Times New Roman" w:eastAsia="Times New Roman" w:hAnsi="Times New Roman"/>
          <w:sz w:val="22"/>
          <w:szCs w:val="22"/>
          <w:color w:val="auto"/>
        </w:rPr>
        <w:t>” shall have the meaning given to such term in Section 2.26(a).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Offer Date</w:t>
      </w:r>
      <w:r>
        <w:rPr>
          <w:rFonts w:ascii="Times New Roman" w:cs="Times New Roman" w:eastAsia="Times New Roman" w:hAnsi="Times New Roman"/>
          <w:sz w:val="22"/>
          <w:szCs w:val="22"/>
          <w:color w:val="auto"/>
        </w:rPr>
        <w:t>” shall have the meaning given to such term in Section 2.26(a).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FAA</w:t>
      </w:r>
      <w:r>
        <w:rPr>
          <w:rFonts w:ascii="Times New Roman" w:cs="Times New Roman" w:eastAsia="Times New Roman" w:hAnsi="Times New Roman"/>
          <w:sz w:val="21"/>
          <w:szCs w:val="21"/>
          <w:color w:val="auto"/>
        </w:rPr>
        <w:t>” shall mean the Federal Aviation Administration of the United States of America and any successor thereto.</w:t>
      </w:r>
    </w:p>
    <w:p>
      <w:pPr>
        <w:spacing w:after="0" w:line="231"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Revolving Facility</w:t>
      </w:r>
      <w:r>
        <w:rPr>
          <w:rFonts w:ascii="Times New Roman" w:cs="Times New Roman" w:eastAsia="Times New Roman" w:hAnsi="Times New Roman"/>
          <w:sz w:val="22"/>
          <w:szCs w:val="22"/>
          <w:color w:val="auto"/>
        </w:rPr>
        <w:t>” shall mean the Revolving Commitments and the Revolving Loans made and Letters of Credit issued thereunder.</w:t>
      </w:r>
    </w:p>
    <w:p>
      <w:pPr>
        <w:spacing w:after="0" w:line="15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provisions that are substantively comparable thereto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shall mean,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the Upfront Fee Letter and the Structuring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00"/>
          </w:cols>
          <w:pgMar w:left="320" w:top="1422" w:right="379" w:bottom="1440" w:gutter="0" w:footer="0" w:header="0"/>
        </w:sectPr>
      </w:pPr>
    </w:p>
    <w:bookmarkStart w:id="73" w:name="page74"/>
    <w:bookmarkEnd w:id="73"/>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Schedule</w:t>
      </w:r>
      <w:r>
        <w:rPr>
          <w:rFonts w:ascii="Times New Roman" w:cs="Times New Roman" w:eastAsia="Times New Roman" w:hAnsi="Times New Roman"/>
          <w:sz w:val="22"/>
          <w:szCs w:val="22"/>
          <w:color w:val="auto"/>
        </w:rPr>
        <w:t>” means that certain UMB Bank, National Association Proposal to Serve as: Administrative Agent &amp; Security Trustee for Sun Country Airlines $75MM Revolving Credit Facility Schedule dated as of March 6, 2025.</w:t>
      </w:r>
    </w:p>
    <w:p>
      <w:pPr>
        <w:spacing w:after="0" w:line="158" w:lineRule="exact"/>
        <w:rPr>
          <w:sz w:val="20"/>
          <w:szCs w:val="20"/>
          <w:color w:val="auto"/>
        </w:rPr>
      </w:pPr>
    </w:p>
    <w:p>
      <w:pPr>
        <w:ind w:right="400" w:firstLine="1296"/>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shall collectively mean the Commitment Fees, the fees payable under the Fee Letters, any fees payable pursuant to the Fee Schedule, any Letter of Credit Fees (if applicable) and other fees referred to in Sections 2.19 and 2.20.</w:t>
      </w:r>
    </w:p>
    <w:p>
      <w:pPr>
        <w:spacing w:after="0" w:line="121" w:lineRule="exact"/>
        <w:rPr>
          <w:sz w:val="20"/>
          <w:szCs w:val="20"/>
          <w:color w:val="auto"/>
        </w:rPr>
      </w:pPr>
    </w:p>
    <w:p>
      <w:pPr>
        <w:ind w:right="4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Audit</w:t>
      </w:r>
      <w:r>
        <w:rPr>
          <w:rFonts w:ascii="Times New Roman" w:cs="Times New Roman" w:eastAsia="Times New Roman" w:hAnsi="Times New Roman"/>
          <w:sz w:val="22"/>
          <w:szCs w:val="22"/>
          <w:color w:val="auto"/>
        </w:rPr>
        <w:t>” shall mean a field examination conducted by a Field Auditor pursuant to Section 5.07(b) of the applicable accounts receivable constituting Collateral and books and records related thereto, the results of which shall be substantially similar to the initial Field Audit performed by the Field Auditor or in such other form as shall be reasonably satisfactory to the Administrative Agent in all material respects.</w:t>
      </w:r>
    </w:p>
    <w:p>
      <w:pPr>
        <w:spacing w:after="0" w:line="193"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Auditor</w:t>
      </w:r>
      <w:r>
        <w:rPr>
          <w:rFonts w:ascii="Times New Roman" w:cs="Times New Roman" w:eastAsia="Times New Roman" w:hAnsi="Times New Roman"/>
          <w:sz w:val="22"/>
          <w:szCs w:val="22"/>
          <w:color w:val="auto"/>
        </w:rPr>
        <w:t>” shall mean an appraiser from any of Deloitte, Ernst &amp; Young, KPMG or PricewaterhouseCoopers or other advisors who may be retained by the Borrower and reasonably satisfactory to the Administrative Agent, acting at the direction of the Required Lenders, to conduct a Field Audit.</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Auditor Receivables List</w:t>
      </w:r>
      <w:r>
        <w:rPr>
          <w:rFonts w:ascii="Times New Roman" w:cs="Times New Roman" w:eastAsia="Times New Roman" w:hAnsi="Times New Roman"/>
          <w:sz w:val="22"/>
          <w:szCs w:val="22"/>
          <w:color w:val="auto"/>
        </w:rPr>
        <w:t>” shall mean a list of Accounts agreed between the Administrative Agent (acting at the direction of the Required Lenders) and the Borrower that may be supplemented or otherwise updated from time to time by the Borrower with the consent of the Administrative Agent (acting at the direction of the Required Lenders).</w:t>
      </w:r>
    </w:p>
    <w:p>
      <w:pPr>
        <w:spacing w:after="0" w:line="186"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shall mean, as applied to any person, any lease of any property (whether real, personal or mixed) by that person as lessee that, in conformity with GAAP, is, or is required to be, accounted for as a capital lease on the balance sheet of that person.</w:t>
      </w:r>
    </w:p>
    <w:p>
      <w:pPr>
        <w:spacing w:after="0" w:line="173" w:lineRule="exact"/>
        <w:rPr>
          <w:sz w:val="20"/>
          <w:szCs w:val="20"/>
          <w:color w:val="auto"/>
        </w:rPr>
      </w:pPr>
    </w:p>
    <w:p>
      <w:pPr>
        <w:ind w:right="18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 Obligations</w:t>
      </w:r>
      <w:r>
        <w:rPr>
          <w:rFonts w:ascii="Times New Roman" w:cs="Times New Roman" w:eastAsia="Times New Roman" w:hAnsi="Times New Roman"/>
          <w:sz w:val="21"/>
          <w:szCs w:val="21"/>
          <w:color w:val="auto"/>
        </w:rPr>
        <w:t>” shall mean, as applied to any person, all obligations under Finance Leases of such person or any of its Subsidiaries, in each case taken at the amount thereof accounted for as liabilities in accordance with GAAP.</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Performance Covenant</w:t>
      </w:r>
      <w:r>
        <w:rPr>
          <w:rFonts w:ascii="Times New Roman" w:cs="Times New Roman" w:eastAsia="Times New Roman" w:hAnsi="Times New Roman"/>
          <w:sz w:val="22"/>
          <w:szCs w:val="22"/>
          <w:color w:val="auto"/>
        </w:rPr>
        <w:t>” shall mean the covenant of the Borrower set forth in Section 6.05.</w:t>
      </w:r>
    </w:p>
    <w:p>
      <w:pPr>
        <w:spacing w:after="0" w:line="220" w:lineRule="exact"/>
        <w:rPr>
          <w:sz w:val="20"/>
          <w:szCs w:val="20"/>
          <w:color w:val="auto"/>
        </w:rPr>
      </w:pPr>
    </w:p>
    <w:p>
      <w:pPr>
        <w:ind w:right="26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Flight Simulator Security Agreement</w:t>
      </w:r>
      <w:r>
        <w:rPr>
          <w:rFonts w:ascii="Times New Roman" w:cs="Times New Roman" w:eastAsia="Times New Roman" w:hAnsi="Times New Roman"/>
          <w:sz w:val="22"/>
          <w:szCs w:val="22"/>
          <w:color w:val="auto"/>
        </w:rPr>
        <w:t>” means the Security Agreement, entered into or to be entered into, as the case may be, by the Borrower and the Security Trustee in substantially the form attached as Exhibit E (or in such other form as may be reasonably acceptable to the Security Trustee and the Borrower), as it may be amended, restated, modified, supplemented, extended or amended and restated from time to time.</w:t>
      </w:r>
    </w:p>
    <w:p>
      <w:pPr>
        <w:spacing w:after="0" w:line="193"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Flight Simulators</w:t>
      </w:r>
      <w:r>
        <w:rPr>
          <w:rFonts w:ascii="Times New Roman" w:cs="Times New Roman" w:eastAsia="Times New Roman" w:hAnsi="Times New Roman"/>
          <w:sz w:val="22"/>
          <w:szCs w:val="22"/>
          <w:color w:val="auto"/>
        </w:rPr>
        <w:t>” shall mean flight simulators and flight training devices owned by the Borrower free and clear of Liens (other than Permitted Liens).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1422" w:right="359" w:bottom="1440" w:gutter="0" w:footer="0" w:header="0"/>
        </w:sectPr>
      </w:pPr>
    </w:p>
    <w:bookmarkStart w:id="74" w:name="page75"/>
    <w:bookmarkEnd w:id="74"/>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80" w:lineRule="exact"/>
        <w:rPr>
          <w:sz w:val="20"/>
          <w:szCs w:val="20"/>
          <w:color w:val="auto"/>
        </w:rPr>
      </w:pPr>
    </w:p>
    <w:p>
      <w:pPr>
        <w:ind w:right="24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shall mean the government of the United States of America, any other nation or any political subdivision thereof, whether state or local, and any 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spacing w:after="0" w:line="16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shall have the meaning given such term in Section 9.01(a).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shall mean Sun Country Airlines Holdings,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 Obligations</w:t>
      </w:r>
      <w:r>
        <w:rPr>
          <w:rFonts w:ascii="Times New Roman" w:cs="Times New Roman" w:eastAsia="Times New Roman" w:hAnsi="Times New Roman"/>
          <w:sz w:val="22"/>
          <w:szCs w:val="22"/>
          <w:color w:val="auto"/>
        </w:rPr>
        <w:t>” shall have the meaning given such term in Section 9.01(a).</w:t>
      </w:r>
    </w:p>
    <w:p>
      <w:pPr>
        <w:spacing w:after="0" w:line="233" w:lineRule="exact"/>
        <w:rPr>
          <w:sz w:val="20"/>
          <w:szCs w:val="20"/>
          <w:color w:val="auto"/>
        </w:rPr>
      </w:pPr>
    </w:p>
    <w:p>
      <w:pPr>
        <w:ind w:right="30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shall mean any agreement evidencing Hedging Obligations.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means, with respect to any Person, all obligations and liabilities of such Person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60"/>
          </w:cols>
          <w:pgMar w:left="320" w:top="1422" w:right="419" w:bottom="1440" w:gutter="0" w:footer="0" w:header="0"/>
        </w:sectPr>
      </w:pPr>
    </w:p>
    <w:bookmarkStart w:id="75" w:name="page76"/>
    <w:bookmarkEnd w:id="75"/>
    <w:p>
      <w:pPr>
        <w:ind w:left="1300" w:right="300" w:firstLine="652"/>
        <w:spacing w:after="0" w:line="271" w:lineRule="auto"/>
        <w:tabs>
          <w:tab w:leader="none" w:pos="22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rate swap agreements (whether from fixed to floating or from floating to fixed), interest rate cap agreements and interest rate collar agreements;</w:t>
      </w:r>
    </w:p>
    <w:p>
      <w:pPr>
        <w:spacing w:after="0" w:line="157"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manage interest rates or interest rate risk; and</w:t>
      </w:r>
    </w:p>
    <w:p>
      <w:pPr>
        <w:spacing w:after="0" w:line="233" w:lineRule="exact"/>
        <w:rPr>
          <w:rFonts w:ascii="Times New Roman" w:cs="Times New Roman" w:eastAsia="Times New Roman" w:hAnsi="Times New Roman"/>
          <w:sz w:val="22"/>
          <w:szCs w:val="22"/>
          <w:color w:val="auto"/>
        </w:rPr>
      </w:pPr>
    </w:p>
    <w:p>
      <w:pPr>
        <w:ind w:left="1300" w:right="440" w:firstLine="652"/>
        <w:spacing w:after="0" w:line="271" w:lineRule="auto"/>
        <w:tabs>
          <w:tab w:leader="none" w:pos="22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 or arrangements designed to protect such Person against fluctuations in currency exchange rates, fuel prices or other commodity prices.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ICF</w:t>
      </w:r>
      <w:r>
        <w:rPr>
          <w:rFonts w:ascii="Times New Roman" w:cs="Times New Roman" w:eastAsia="Times New Roman" w:hAnsi="Times New Roman"/>
          <w:sz w:val="22"/>
          <w:szCs w:val="22"/>
          <w:color w:val="auto"/>
        </w:rPr>
        <w:t>” shall mean ICF International,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Illegality Event</w:t>
      </w:r>
      <w:r>
        <w:rPr>
          <w:rFonts w:ascii="Times New Roman" w:cs="Times New Roman" w:eastAsia="Times New Roman" w:hAnsi="Times New Roman"/>
          <w:sz w:val="22"/>
          <w:szCs w:val="22"/>
          <w:color w:val="auto"/>
        </w:rPr>
        <w:t>” shall have the meaning set forth in Section 2.16.</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shall mean any Subsidiary of the Borrower for which (a) the assets of such Subsidiary constitute no more than 7.0% of the total assets of the Borrower and its Subsidiaries on a consolidated basis (determined as of the last day of the most recent fiscal quarter of the Borrower for which financial statements are available to the Administrative Agent pursuant to Section 5.01) and (b) the revenues of such Subsidiary account for no more than 7.0% of the total revenues of the Borrower and its Subsidiaries on a consolidated basis for the twelve-month period ending on the last day of the most recent fiscal quarter of the Borrower for which financial statements are available to the Administrative Agent pursuant to Section 5.01;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total assets of all Immaterial Subsidiaries shall not exceed, in the aggregate, (x) 12.0% of the total assets of the Borrower and its Subsidiaries on a consolidated basis (determined as of the last day of the most recent fiscal quarter of the Borrower for which financial statements are available to the Administrative Agent pursuant to Section 5.01) or (y) 12.0% of the total revenues of the Borrower and its Subsidiaries on a consolidated basis for the twelve-month period ending on the last day of the most recent fiscal quarter of the Borrower for which financial statements are available to the Administrative Agent pursuant to Section 5.01.</w:t>
      </w:r>
    </w:p>
    <w:p>
      <w:pPr>
        <w:spacing w:after="0" w:line="198"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specified Person, any indebtedness of such Person (excluding accrued expenses and trade payables), whether or not contingent:</w:t>
      </w:r>
    </w:p>
    <w:p>
      <w:pPr>
        <w:spacing w:after="0" w:line="158" w:lineRule="exact"/>
        <w:rPr>
          <w:sz w:val="20"/>
          <w:szCs w:val="20"/>
          <w:color w:val="auto"/>
        </w:rPr>
      </w:pPr>
    </w:p>
    <w:p>
      <w:pPr>
        <w:ind w:left="2420" w:hanging="468"/>
        <w:spacing w:after="0"/>
        <w:tabs>
          <w:tab w:leader="none" w:pos="2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borrowed money;</w:t>
      </w:r>
    </w:p>
    <w:p>
      <w:pPr>
        <w:spacing w:after="0" w:line="219" w:lineRule="exact"/>
        <w:rPr>
          <w:rFonts w:ascii="Times New Roman" w:cs="Times New Roman" w:eastAsia="Times New Roman" w:hAnsi="Times New Roman"/>
          <w:sz w:val="22"/>
          <w:szCs w:val="22"/>
          <w:color w:val="auto"/>
        </w:rPr>
      </w:pPr>
    </w:p>
    <w:p>
      <w:pPr>
        <w:ind w:left="1300" w:right="260" w:firstLine="652"/>
        <w:spacing w:after="0" w:line="271" w:lineRule="auto"/>
        <w:tabs>
          <w:tab w:leader="none" w:pos="24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evidenced by bonds, notes, debentures or similar instruments or letters of credit (or reimbursement agreements in respect thereof);</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banker’s acceptances;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Finance Lease Obligations;</w:t>
      </w:r>
    </w:p>
    <w:p>
      <w:pPr>
        <w:spacing w:after="0" w:line="219" w:lineRule="exact"/>
        <w:rPr>
          <w:rFonts w:ascii="Times New Roman" w:cs="Times New Roman" w:eastAsia="Times New Roman" w:hAnsi="Times New Roman"/>
          <w:sz w:val="22"/>
          <w:szCs w:val="22"/>
          <w:color w:val="auto"/>
        </w:rPr>
      </w:pPr>
    </w:p>
    <w:p>
      <w:pPr>
        <w:jc w:val="both"/>
        <w:ind w:left="1300" w:right="240" w:firstLine="652"/>
        <w:spacing w:after="0" w:line="257" w:lineRule="auto"/>
        <w:tabs>
          <w:tab w:leader="none" w:pos="24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00"/>
          </w:cols>
          <w:pgMar w:left="320" w:top="1422" w:right="379" w:bottom="1440" w:gutter="0" w:footer="0" w:header="0"/>
        </w:sectPr>
      </w:pPr>
    </w:p>
    <w:bookmarkStart w:id="76" w:name="page77"/>
    <w:bookmarkEnd w:id="76"/>
    <w:p>
      <w:pPr>
        <w:ind w:left="2420" w:hanging="468"/>
        <w:spacing w:after="0"/>
        <w:tabs>
          <w:tab w:leader="none" w:pos="2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any Hedging Obligations,</w:t>
      </w:r>
    </w:p>
    <w:p>
      <w:pPr>
        <w:spacing w:after="0" w:line="22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the avoidance of doubt, Banking Product Obligations do not constitute Indebtedness.</w:t>
      </w:r>
    </w:p>
    <w:p>
      <w:pPr>
        <w:spacing w:after="0" w:line="22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shall mean (a) Taxes, other than Excluded Taxes, imposed on or with respect to any payment made by or on account of any obligation of the Borrower or the Guarantor under any Loan Document and (b) to the extent not otherwise described in (a), Other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shall have the meaning given such term in Section 10.04(b).</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have the meaning given such term in Section 10.17.</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shall mean, with respect to any person for any period, the sum of (a) gross interest expense of such person for such period on a consolidated basis, including (i) the amortization of debt discounts, (ii) the amortization of all fees (including fees with respect to Hedging Agreements) payable in connection with the incurrence of Indebtedness to the extent included in interest expense and (iii) the portion of any payments or accruals with respect to Finance Lease Obligations allocable to interest expense and (b) capitalized interest of such person. For purposes of the foregoing, gross interest expense shall be determined after giving effect to any net payments made or received and costs incurred by the Borrower and the Subsidiaries with respect to Hedging Agreements, and interest on a Finance Lease Obligations shall be deemed to accrue at an interest rate reasonably determined by the Borrower to be the rate of interest implicit in such Finance Lease Obligations in accordance with GAAP.</w:t>
      </w:r>
    </w:p>
    <w:p>
      <w:pPr>
        <w:spacing w:after="0" w:line="199" w:lineRule="exact"/>
        <w:rPr>
          <w:sz w:val="20"/>
          <w:szCs w:val="20"/>
          <w:color w:val="auto"/>
        </w:rPr>
      </w:pPr>
    </w:p>
    <w:p>
      <w:pPr>
        <w:ind w:right="4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shall mean (a) as to any SOFR Loan having an Interest Period of one or three months, the last day of such Interest Period and (b) as to any SOFR Loan having an Interest Period of more than three months, each day that is three months, or a whole multiple thereof, after the first day of such Interest Period and the last day of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77" w:name="page78"/>
    <w:bookmarkEnd w:id="77"/>
    <w:p>
      <w:pPr>
        <w:ind w:right="1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shall mean, as to any Borrowing of SOFR Loans, the period commencing on the date of such Borrowing or on the last day of the preceding Interest Period applicable to such Borrowing and ending on (but excluding) the numerically corresponding day (or if there is no corresponding day, the last day) in the calendar month that is one, three or six months thereafter, as the Borrower may elect in the related notice delivered pursuant to Section 2.03;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no Interest Period shall end later than the applicable Termination Date, and (iii) no tenor that has been removed from this definition pursuant to Section 2.27(d) shall be available for specification in the notice delivered pursuant to Section 2.03.</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Interest</w:t>
      </w:r>
      <w:r>
        <w:rPr>
          <w:rFonts w:ascii="Times New Roman" w:cs="Times New Roman" w:eastAsia="Times New Roman" w:hAnsi="Times New Roman"/>
          <w:sz w:val="22"/>
          <w:szCs w:val="22"/>
          <w:color w:val="auto"/>
        </w:rPr>
        <w:t>” shall mean an “international interest” as defined in the Cape Town Treaty.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Registry</w:t>
      </w:r>
      <w:r>
        <w:rPr>
          <w:rFonts w:ascii="Times New Roman" w:cs="Times New Roman" w:eastAsia="Times New Roman" w:hAnsi="Times New Roman"/>
          <w:sz w:val="22"/>
          <w:szCs w:val="22"/>
          <w:color w:val="auto"/>
        </w:rPr>
        <w:t>” shall mean the “International Registry” as defined in the Cape Town Treaty.</w:t>
      </w:r>
    </w:p>
    <w:p>
      <w:pPr>
        <w:spacing w:after="0" w:line="220"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means, with respect to any Person, all direct or indirect investments made by such Person in other Persons (including Affiliates) in the forms of loans (including Guarantees or other obligations), advances (but excluding advance payments and deposits for goods and services in the ordinary course of business) or capital contributions (excluding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w:t>
      </w:r>
    </w:p>
    <w:p>
      <w:pPr>
        <w:spacing w:after="0" w:line="181"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Lender</w:t>
      </w:r>
      <w:r>
        <w:rPr>
          <w:rFonts w:ascii="Times New Roman" w:cs="Times New Roman" w:eastAsia="Times New Roman" w:hAnsi="Times New Roman"/>
          <w:sz w:val="21"/>
          <w:szCs w:val="21"/>
          <w:color w:val="auto"/>
        </w:rPr>
        <w:t>” shall mean, in respect of any Letter of Credit, any Lender agreeing to act in the capacity as issuer of such Letter of Credit hereunder, which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to be bound by the provisions of the Loan Documents applicable to an Issuing Lender, in which case the term “Issuing Lender” shall include any such Affiliate with respect to Letters of Credit issued by such Affiliate.</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Lead Arrangers</w:t>
      </w:r>
      <w:r>
        <w:rPr>
          <w:rFonts w:ascii="Times New Roman" w:cs="Times New Roman" w:eastAsia="Times New Roman" w:hAnsi="Times New Roman"/>
          <w:sz w:val="22"/>
          <w:szCs w:val="22"/>
          <w:color w:val="auto"/>
        </w:rPr>
        <w:t>” means MUFG Bank, Ltd. and Sumitomo Mitsui Banking Corporation.</w:t>
      </w:r>
    </w:p>
    <w:p>
      <w:pPr>
        <w:spacing w:after="0" w:line="233" w:lineRule="exact"/>
        <w:rPr>
          <w:sz w:val="20"/>
          <w:szCs w:val="20"/>
          <w:color w:val="auto"/>
        </w:rPr>
      </w:pPr>
    </w:p>
    <w:p>
      <w:pPr>
        <w:jc w:val="both"/>
        <w:ind w:right="1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Lien Cap</w:t>
      </w:r>
      <w:r>
        <w:rPr>
          <w:rFonts w:ascii="Times New Roman" w:cs="Times New Roman" w:eastAsia="Times New Roman" w:hAnsi="Times New Roman"/>
          <w:sz w:val="22"/>
          <w:szCs w:val="22"/>
          <w:color w:val="auto"/>
        </w:rPr>
        <w:t>” means, as of any date of determination, the aggregate amount of Junior Secured Debt that may be incurred by the Borrower and the Guarantor such that, after giving pro forma effect to such incurrence and the application of the net proceeds therefrom the Total Collateral Coverage Ratio shall be no less than 1.0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22" w:right="359" w:bottom="1440" w:gutter="0" w:footer="0" w:header="0"/>
        </w:sectPr>
      </w:pPr>
    </w:p>
    <w:bookmarkStart w:id="78" w:name="page79"/>
    <w:bookmarkEnd w:id="78"/>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Secured Debt</w:t>
      </w:r>
      <w:r>
        <w:rPr>
          <w:rFonts w:ascii="Times New Roman" w:cs="Times New Roman" w:eastAsia="Times New Roman" w:hAnsi="Times New Roman"/>
          <w:sz w:val="22"/>
          <w:szCs w:val="22"/>
          <w:color w:val="auto"/>
        </w:rPr>
        <w:t>” shall mean Indebtedness that is secured by a Lien on Collateral that is junior to the Liens securing the Obligations and permitted to be secured by a Lien on Collateral under Section 6.02 and clause (2) of the definition of “Permitted Liens”.</w:t>
      </w:r>
    </w:p>
    <w:p>
      <w:pPr>
        <w:spacing w:after="0" w:line="186" w:lineRule="exact"/>
        <w:rPr>
          <w:sz w:val="20"/>
          <w:szCs w:val="20"/>
          <w:color w:val="auto"/>
        </w:rPr>
      </w:pPr>
    </w:p>
    <w:p>
      <w:pPr>
        <w:jc w:val="both"/>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shall mean, with respect to any Issuing Lender, an amount equal to the Borrowing Availability of such Issuing Lender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the aggregate LC Commitment of the Issuing Lenders shall not exceed the amount of the LC Sublimit.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shall mean a payment made by an Issuing Lender pursuant to a Letter of Credit.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shall mean, at any time, with respect to any Revolving Lender</w:t>
      </w:r>
    </w:p>
    <w:p>
      <w:pPr>
        <w:spacing w:after="0" w:line="206" w:lineRule="exact"/>
        <w:rPr>
          <w:sz w:val="20"/>
          <w:szCs w:val="20"/>
          <w:color w:val="auto"/>
        </w:rPr>
      </w:pPr>
    </w:p>
    <w:p>
      <w:pPr>
        <w:ind w:left="1300" w:right="40" w:firstLine="652"/>
        <w:spacing w:after="0" w:line="215" w:lineRule="auto"/>
        <w:tabs>
          <w:tab w:leader="none" w:pos="25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an Issuing Lender, the sum of (i) the aggregate maximum undrawn amount of all outstanding Letters of Credit issued by it at such time, less the aggregate amount of all participations in such Letters of Credit held by the other Revolving Lenders in accordance with Section 2.02(e), plus (ii) the aggregate amount of all LC Disbursements made by it that have not yet been reimbursed by or on behalf of the Borrower at such time less the aggregate amount of all payments made to it by the other Revolving Lenders in respect of such LC Disbursement in accordance with Section 2.02(e); or</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acquired a participation in any outstanding Letter of Credit in accordance with Section</w:t>
      </w:r>
    </w:p>
    <w:p>
      <w:pPr>
        <w:ind w:left="1300" w:right="140"/>
        <w:spacing w:after="0" w:line="214" w:lineRule="auto"/>
        <w:rPr>
          <w:sz w:val="20"/>
          <w:szCs w:val="20"/>
          <w:color w:val="auto"/>
        </w:rPr>
      </w:pPr>
      <w:r>
        <w:rPr>
          <w:rFonts w:ascii="Times New Roman" w:cs="Times New Roman" w:eastAsia="Times New Roman" w:hAnsi="Times New Roman"/>
          <w:sz w:val="22"/>
          <w:szCs w:val="22"/>
          <w:color w:val="auto"/>
        </w:rPr>
        <w:t>2.02(e), the sum of (i) its share (based on the participation then held by it) of the aggregate maximum undrawn amount of all such outstanding Letters of Credit at such time plus (ii) the aggregate amount of all payments made by it to the relevant Issuing Lender pursuant to Section 2.02(e) in respect of LC Disbursements made by the relevant Issuing Bank that have not yet been reimbursed by or on behalf of the Borrower at such time;</w:t>
      </w:r>
    </w:p>
    <w:p>
      <w:pPr>
        <w:spacing w:after="0" w:line="181" w:lineRule="exact"/>
        <w:rPr>
          <w:sz w:val="20"/>
          <w:szCs w:val="20"/>
          <w:color w:val="auto"/>
        </w:rPr>
      </w:pPr>
    </w:p>
    <w:p>
      <w:pPr>
        <w:ind w:left="1300" w:right="180" w:firstLine="4"/>
        <w:spacing w:after="0" w:line="257"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escalating Letter of Credit where the face amount thereof is subject to escalation with no conditions, the applicable Lender’s LC Exposure with respect to such Letter of Credit shall be determined by referring to the maximum face amount to which such Letter of Credit may be so escalated.</w:t>
      </w:r>
    </w:p>
    <w:p>
      <w:pPr>
        <w:spacing w:after="0" w:line="17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means, at any time, the sum of (a) the aggregate undrawn amount of all outstanding Letters of Credit at such time, determined without regard to whether any conditions to drawing could be met at that time, plus (b) the aggregate amount of all LC Disbursements that have not yet been reimbursed by or on behalf of the Borrower at such time. The LC Obligations of any Lender at any time shall be its Revolving Commitment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in the governing rules or laws or of the Letter of Credit itself, or if compliant documents have been presented but not yet honored, such Letter of Credit shall be deemed to be “outstanding” and “undrawn” in the amount so remaining available to be paid,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79" w:name="page80"/>
    <w:bookmarkEnd w:id="79"/>
    <w:p>
      <w:pPr>
        <w:ind w:right="240"/>
        <w:spacing w:after="0" w:line="257" w:lineRule="auto"/>
        <w:rPr>
          <w:sz w:val="20"/>
          <w:szCs w:val="20"/>
          <w:color w:val="auto"/>
        </w:rPr>
      </w:pPr>
      <w:r>
        <w:rPr>
          <w:rFonts w:ascii="Times New Roman" w:cs="Times New Roman" w:eastAsia="Times New Roman" w:hAnsi="Times New Roman"/>
          <w:sz w:val="22"/>
          <w:szCs w:val="22"/>
          <w:color w:val="auto"/>
        </w:rPr>
        <w:t>the obligations of the Borrower and each Lender shall remain in full force and effect until the Issuing Lender and the Lenders shall have no further obligations to make any payments or disbursements under any circumstances with respect to any Letter of Credit.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Sublimit</w:t>
      </w:r>
      <w:r>
        <w:rPr>
          <w:rFonts w:ascii="Times New Roman" w:cs="Times New Roman" w:eastAsia="Times New Roman" w:hAnsi="Times New Roman"/>
          <w:sz w:val="22"/>
          <w:szCs w:val="22"/>
          <w:color w:val="auto"/>
        </w:rPr>
        <w:t>” shall mean $5,000,000. The LC Sublimit is part of, and not in addition to, the Revolving Facility.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 set forth in the first paragraph of this Agreement.</w:t>
      </w:r>
    </w:p>
    <w:p>
      <w:pPr>
        <w:spacing w:after="0" w:line="220"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xml:space="preserve">” shall mean any irrevocable letter of credit issued pursuant to Section 2.02, which letter of credit shall be (i) a standby letter of credit, (ii) issued for general corporate purposes of the Borrower or any Subsidiary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any case the account party of a Letter of Credit must be the Borrower, (iii) denominated in Dollars and</w:t>
      </w:r>
    </w:p>
    <w:p>
      <w:pPr>
        <w:spacing w:after="0" w:line="2" w:lineRule="exact"/>
        <w:rPr>
          <w:sz w:val="20"/>
          <w:szCs w:val="20"/>
          <w:color w:val="auto"/>
        </w:rPr>
      </w:pPr>
    </w:p>
    <w:p>
      <w:pPr>
        <w:ind w:right="400" w:firstLine="8"/>
        <w:spacing w:after="0" w:line="259" w:lineRule="auto"/>
        <w:tabs>
          <w:tab w:leader="none" w:pos="36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in such form as may be reasonably approved from time to time by the Administrative Agent and the applicable Issuing Lender.</w:t>
      </w:r>
    </w:p>
    <w:p>
      <w:pPr>
        <w:spacing w:after="0" w:line="171" w:lineRule="exact"/>
        <w:rPr>
          <w:sz w:val="20"/>
          <w:szCs w:val="20"/>
          <w:color w:val="auto"/>
        </w:rPr>
      </w:pPr>
    </w:p>
    <w:p>
      <w:pPr>
        <w:ind w:right="20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Account</w:t>
      </w:r>
      <w:r>
        <w:rPr>
          <w:rFonts w:ascii="Times New Roman" w:cs="Times New Roman" w:eastAsia="Times New Roman" w:hAnsi="Times New Roman"/>
          <w:sz w:val="21"/>
          <w:szCs w:val="21"/>
          <w:color w:val="auto"/>
        </w:rPr>
        <w:t>” shall mean the account established by the Borrower under the sole and exclusive control of the Security Trustee primarily administered at the office of the Security Trustee at 6440 S. Millrock Drive, Suite 400, Salt Lake City, UT 84121, designated as the “Pledge Account” that shall be used solely for the purposes set forth herein.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shall mean the fees payable in respect of Letters of Credit pursuant to Section 2.20.</w:t>
      </w:r>
    </w:p>
    <w:p>
      <w:pPr>
        <w:spacing w:after="0" w:line="233" w:lineRule="exact"/>
        <w:rPr>
          <w:sz w:val="20"/>
          <w:szCs w:val="20"/>
          <w:color w:val="auto"/>
        </w:rPr>
      </w:pPr>
    </w:p>
    <w:p>
      <w:pPr>
        <w:ind w:right="2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94" w:lineRule="exact"/>
        <w:rPr>
          <w:sz w:val="20"/>
          <w:szCs w:val="20"/>
          <w:color w:val="auto"/>
        </w:rPr>
      </w:pPr>
    </w:p>
    <w:p>
      <w:pPr>
        <w:ind w:right="40"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xml:space="preserve">” shall mean the sum of (i) all unrestricted cash and Cash Equivalents of the Borrower (excluding, for the avoidance of doubt, any cash or Cash Equivalents held in accounts subject to Account Control Agreements or otherwise then pledged to secure any Indebtedness other than the Obligations), (ii) the aggregate principal amount committed and available to be drawn by the Borrower (taking into account all borrowing base limitations, collateral coverage requirements or other restrictions on borrowing availability) under all revolving credit facilities (excluding this Facility) of the Borrower and (iii) to the extent not being used to repay other Indebtedness, the scheduled net proceeds of any Capital Markets Offering of the Borrower that has priced but has not yet closed (until the earliest of the closing thereof, the termination thereof without closing or the date that falls five (5) Business Days after the initial scheduled closing date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Liquidity contributed by Immaterial Subsidiaries that is in excess of 10% of the total Liquidity, and any amounts described in clauses (i) through (iii) that are held by any Receivables Subsidiary or Excluded Subsidiary, shall be excluded from the calculation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80" w:name="page81"/>
    <w:bookmarkEnd w:id="80"/>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shall mean this Agreement, the Collateral Documents, each Fee Letter, any Intercreditor Agreement and any other instrument or agreement (which is designated as a Loan Document therein) executed and delivered by the Borrower or the Guarantor to the Administrative Agent, the Security Trustee, any Issuing Lender or any Lender, in each case, as the same may be amended, restated, modified, supplemented, extended or amended and restated from time to time in accordance with the terms hereof.</w:t>
      </w:r>
    </w:p>
    <w:p>
      <w:pPr>
        <w:spacing w:after="0" w:line="179"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Request</w:t>
      </w:r>
      <w:r>
        <w:rPr>
          <w:rFonts w:ascii="Times New Roman" w:cs="Times New Roman" w:eastAsia="Times New Roman" w:hAnsi="Times New Roman"/>
          <w:sz w:val="22"/>
          <w:szCs w:val="22"/>
          <w:color w:val="auto"/>
        </w:rPr>
        <w:t>” shall mean a request by the Borrower, executed by a Responsible Officer of the Borrower, for a Loan in accordance with Section 2.03 in substantially the form of Exhibit B.</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shall mean the Revolving Loans.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shall have the meaning given such term in Section 3.10(a).</w:t>
      </w:r>
    </w:p>
    <w:p>
      <w:pPr>
        <w:spacing w:after="0" w:line="220"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Disruption Affected Lender</w:t>
      </w:r>
      <w:r>
        <w:rPr>
          <w:rFonts w:ascii="Times New Roman" w:cs="Times New Roman" w:eastAsia="Times New Roman" w:hAnsi="Times New Roman"/>
          <w:sz w:val="22"/>
          <w:szCs w:val="22"/>
          <w:color w:val="auto"/>
        </w:rPr>
        <w:t>” means (a) all Lenders in the case of a Market Disruption Event described in Section 2.28(a), and (b) each Lender giving notice to the Administrative Agent certifying the matters in Sections 2.28(b)(i) through (iii), in the case of a Market Disruption Event described in Section 2.28(b).</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Disruption Event</w:t>
      </w:r>
      <w:r>
        <w:rPr>
          <w:rFonts w:ascii="Times New Roman" w:cs="Times New Roman" w:eastAsia="Times New Roman" w:hAnsi="Times New Roman"/>
          <w:sz w:val="22"/>
          <w:szCs w:val="22"/>
          <w:color w:val="auto"/>
        </w:rPr>
        <w:t>” means any event described in Section 2.28(a) or (b).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Disruption Notice</w:t>
      </w:r>
      <w:r>
        <w:rPr>
          <w:rFonts w:ascii="Times New Roman" w:cs="Times New Roman" w:eastAsia="Times New Roman" w:hAnsi="Times New Roman"/>
          <w:sz w:val="22"/>
          <w:szCs w:val="22"/>
          <w:color w:val="auto"/>
        </w:rPr>
        <w:t>” has the meaning set forth in Section 2.28.</w:t>
      </w:r>
    </w:p>
    <w:p>
      <w:pPr>
        <w:spacing w:after="0" w:line="233"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shall mean any event, development or circumstance that has had or would reasonably be expected to have a Material Adverse Effect.</w:t>
      </w:r>
    </w:p>
    <w:p>
      <w:pPr>
        <w:spacing w:after="0" w:line="158" w:lineRule="exact"/>
        <w:rPr>
          <w:sz w:val="20"/>
          <w:szCs w:val="20"/>
          <w:color w:val="auto"/>
        </w:rPr>
      </w:pPr>
    </w:p>
    <w:p>
      <w:pPr>
        <w:ind w:right="20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shall mean (i) a material adverse effect on (a) the consolidated business, operations or financial condition of the Borrower and its Subsidiaries, taken as a whole, (b) the validity or enforceability of any of the Loan Documents or the rights or remedies of the Administrative Agent, the Security Trustee and the Lenders thereunder, or (c) the ability of the Borrower and the Guarantor, collectively, to pay the Obligations or (ii) a Collateral Material Adverse Effect.</w:t>
      </w:r>
    </w:p>
    <w:p>
      <w:pPr>
        <w:spacing w:after="0" w:line="161"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Eligible Receivable</w:t>
      </w:r>
      <w:r>
        <w:rPr>
          <w:rFonts w:ascii="Times New Roman" w:cs="Times New Roman" w:eastAsia="Times New Roman" w:hAnsi="Times New Roman"/>
          <w:sz w:val="21"/>
          <w:szCs w:val="21"/>
          <w:color w:val="auto"/>
        </w:rPr>
        <w:t>” means, as of any date of determination, an Eligible Receivable for which, after excluding the Certified Value of such Eligible Receivable, as determined by the most recent Officer’s Certificate delivered by the Borrower pursuant to Section 5.01(f) with respect to such Eligible Receivable, from the aggregate Certified Value of all Pledged Receivables as of such date, the Borrower would not reasonably be expected to be in compliance with Section 6.08(a).</w:t>
      </w:r>
    </w:p>
    <w:p>
      <w:pPr>
        <w:spacing w:after="0" w:line="177"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shall mean Indebtedness of the Borrower or the Guarantor (other than the Loans and obligations relating to Letters of Credit) outstanding under the same agreement in a principal amount exceeding, in the case of the Borrower, $50,000,000 or, in the case of the Guarantor, $75,000,000.</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specified in Section 2.06(d).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Extension Condition</w:t>
      </w:r>
      <w:r>
        <w:rPr>
          <w:rFonts w:ascii="Times New Roman" w:cs="Times New Roman" w:eastAsia="Times New Roman" w:hAnsi="Times New Roman"/>
          <w:sz w:val="22"/>
          <w:szCs w:val="22"/>
          <w:color w:val="auto"/>
        </w:rPr>
        <w:t>” shall have the meaning given such term in Section 2.26(b).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shall mean Moody’s Investors Service, Inc.</w:t>
      </w:r>
    </w:p>
    <w:p>
      <w:pPr>
        <w:spacing w:after="0" w:line="220" w:lineRule="exact"/>
        <w:rPr>
          <w:sz w:val="20"/>
          <w:szCs w:val="20"/>
          <w:color w:val="auto"/>
        </w:rPr>
      </w:pPr>
    </w:p>
    <w:p>
      <w:pPr>
        <w:ind w:right="16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Collateral</w:t>
      </w:r>
      <w:r>
        <w:rPr>
          <w:rFonts w:ascii="Times New Roman" w:cs="Times New Roman" w:eastAsia="Times New Roman" w:hAnsi="Times New Roman"/>
          <w:sz w:val="22"/>
          <w:szCs w:val="22"/>
          <w:color w:val="auto"/>
        </w:rPr>
        <w:t>” shall mean all of the “Collateral” as defined in each Aircraft and Spare Engine Mortgage (including as supplemented from time to time).</w:t>
      </w:r>
    </w:p>
    <w:p>
      <w:pPr>
        <w:spacing w:after="0" w:line="144" w:lineRule="exact"/>
        <w:rPr>
          <w:sz w:val="20"/>
          <w:szCs w:val="20"/>
          <w:color w:val="auto"/>
        </w:rPr>
      </w:pPr>
    </w:p>
    <w:p>
      <w:pPr>
        <w:ind w:right="8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shall mean, with respect to any person, the net income (loss) of such person, determined in accordance with GAAP and before any reduction in respect of preferred stock dividends.</w:t>
      </w:r>
    </w:p>
    <w:p>
      <w:pPr>
        <w:spacing w:after="0" w:line="158"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means the aggregate cash and Cash Equivalents received by the Borrower or any of its Subsidiaries in respect of any Collateral Sale (including, without limitation, any cash or Cash Equivalents received in respect of or upon the sale or other disposition of any non-cash consideration received in any Collateral Sale) or Recovery Event, net of: (a) the direct costs and expenses relating to such Collateral Sale and incurred by the Borrower or a Subsidiary (including the sale or disposition of such non-cash consideration) or any such Recovery Event, including, without limitation, legal, accounting and investment banking fees, and sales commissions, and any relocation expenses incurred as a result of the Collateral Sale or Recovery Event, taxes paid or payable as a result of the Collateral Sale or Recovery Event, in each case, after taking into account any available tax credits or deductions and any tax sharing arrangements; (b) any reserve for adjustment or indemnification obligations in respect of the sale price of such asset or assets established in accordance with GAAP; and (c) any portion of the purchase price from a Collateral Sale placed in escrow pursuant to the terms of such Collateral Sale (either as a reserve for adjustment of the purchase price, or for satisfaction of indemnities in respect of such Collateral Sale) until the termination of such escrow.</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shall mean, at any time, a Revolving Lender that is not a Defaulting Lender.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shall have the meaning given such term in Section 10.08(e).</w:t>
      </w:r>
    </w:p>
    <w:p>
      <w:pPr>
        <w:spacing w:after="0" w:line="220"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shall mean the unpaid principal of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the Administrative Agent, the Security Trustee, any Issuing Lender or any Lender (or (i) in the case of Designated Hedging Obligations, any obligee with respect to such designated Hedging Obligations who was a Lender or an Affiliate of a Lender when the related Designated Hedging Agreement was entered into, or (ii) in the case of Designated Banking Product Obligations, any obligee with respect to such Designated Banking Product Obligations who was a Lender or a banking Affiliate of any Lender at the time the related Designated Banking Product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22" w:right="359" w:bottom="1440" w:gutter="0" w:footer="0" w:header="0"/>
        </w:sectPr>
      </w:pPr>
    </w:p>
    <w:bookmarkStart w:id="82" w:name="page83"/>
    <w:bookmarkEnd w:id="82"/>
    <w:p>
      <w:pPr>
        <w:ind w:right="60"/>
        <w:spacing w:after="0" w:line="263" w:lineRule="auto"/>
        <w:rPr>
          <w:sz w:val="20"/>
          <w:szCs w:val="20"/>
          <w:color w:val="auto"/>
        </w:rPr>
      </w:pPr>
      <w:r>
        <w:rPr>
          <w:rFonts w:ascii="Times New Roman" w:cs="Times New Roman" w:eastAsia="Times New Roman" w:hAnsi="Times New Roman"/>
          <w:sz w:val="21"/>
          <w:szCs w:val="21"/>
          <w:color w:val="auto"/>
        </w:rPr>
        <w:t xml:space="preserve">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aggregate amount of all Designated Hedging Obligations (valued in accordance with the definition thereof) at any time outstanding that shall be included as “Obligations” shall not exceed 10% of the original Total Revolving Commitment in effect on the Effective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in no event shall the Obligations include Excluded Swap Obligations.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U.S. Department of the Treasury.</w:t>
      </w:r>
    </w:p>
    <w:p>
      <w:pPr>
        <w:spacing w:after="0" w:line="233" w:lineRule="exact"/>
        <w:rPr>
          <w:sz w:val="20"/>
          <w:szCs w:val="20"/>
          <w:color w:val="auto"/>
        </w:rPr>
      </w:pPr>
    </w:p>
    <w:p>
      <w:pPr>
        <w:ind w:right="4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shall mean a certificate signed on behalf of the Borrower by an Officer of the Borrower.</w:t>
      </w:r>
    </w:p>
    <w:p>
      <w:pPr>
        <w:spacing w:after="0" w:line="22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the Administrative Agent, the Security Trustee, any Lender or any other recipient of any payment to be made by or on account of any obligation of the Borrower or the Guarantor hereunder or under any other Loan Document, Taxes imposed as a result of a present or former connection between such recipient and the jurisdiction imposing such Tax (other than connections arising from the execution, delivery, becoming a party to, performing its obligations under, receiving payments under, receiving or perfecting a security interest under or engaging in any other transaction pursuant to or enforcing any Loan Document).</w:t>
      </w:r>
    </w:p>
    <w:p>
      <w:pPr>
        <w:spacing w:after="0" w:line="181" w:lineRule="exact"/>
        <w:rPr>
          <w:sz w:val="20"/>
          <w:szCs w:val="20"/>
          <w:color w:val="auto"/>
        </w:rPr>
      </w:pPr>
    </w:p>
    <w:p>
      <w:pPr>
        <w:ind w:right="60"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or any other excise or property Taxes, charges or similar levies arising from any payment made under any Loan Document or from the execution, delivery or enforcement of, or otherwise with respect to, any Loan Document, other than Taxes that are Other Connection Taxes imposed by reason of an assignment (other than an assignment made pursuant to Section 2.17).</w:t>
      </w:r>
    </w:p>
    <w:p>
      <w:pPr>
        <w:spacing w:after="0" w:line="161" w:lineRule="exact"/>
        <w:rPr>
          <w:sz w:val="20"/>
          <w:szCs w:val="20"/>
          <w:color w:val="auto"/>
        </w:rPr>
      </w:pPr>
    </w:p>
    <w:p>
      <w:pPr>
        <w:jc w:val="both"/>
        <w:ind w:right="1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Company</w:t>
      </w:r>
      <w:r>
        <w:rPr>
          <w:rFonts w:ascii="Times New Roman" w:cs="Times New Roman" w:eastAsia="Times New Roman" w:hAnsi="Times New Roman"/>
          <w:sz w:val="22"/>
          <w:szCs w:val="22"/>
          <w:color w:val="auto"/>
        </w:rPr>
        <w:t>” means, with respect to a Revolving Lender, the bank holding company (as defined in Federal Reserve Board Regulation Y), if any, of such Revolving Lender, and/or any Person owning, beneficially or of record, directly or indirectly, a majority of the shares of such Revolving Lender.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Entity</w:t>
      </w:r>
      <w:r>
        <w:rPr>
          <w:rFonts w:ascii="Times New Roman" w:cs="Times New Roman" w:eastAsia="Times New Roman" w:hAnsi="Times New Roman"/>
          <w:sz w:val="22"/>
          <w:szCs w:val="22"/>
          <w:color w:val="auto"/>
        </w:rPr>
        <w:t>” shall mean any direct or indirect parent of the Borrower.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have the meaning given such term in Section 10.02(d).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00"/>
          </w:cols>
          <w:pgMar w:left="320" w:top="1422" w:right="37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shall have the meaning given such term in Section 10.02(d).</w:t>
      </w:r>
    </w:p>
    <w:p>
      <w:pPr>
        <w:spacing w:after="0" w:line="220" w:lineRule="exact"/>
        <w:rPr>
          <w:sz w:val="20"/>
          <w:szCs w:val="20"/>
          <w:color w:val="auto"/>
        </w:rPr>
      </w:pPr>
    </w:p>
    <w:p>
      <w:pPr>
        <w:ind w:right="8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shall mean the USA PATRIOT Act, Title III of Pub. L. 107-56, signed into law on October 26, 2001 and any subsequent legislation that amends or supplements such Act or any subsequent legislation that supersedes such Act.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shall have the meaning given such term in Section 8.11(a).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Payroll Accounts</w:t>
      </w:r>
      <w:r>
        <w:rPr>
          <w:rFonts w:ascii="Times New Roman" w:cs="Times New Roman" w:eastAsia="Times New Roman" w:hAnsi="Times New Roman"/>
          <w:sz w:val="22"/>
          <w:szCs w:val="22"/>
          <w:color w:val="auto"/>
        </w:rPr>
        <w:t>” shall mean depository accounts used only for payroll.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20"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any business that is the same as, or reasonably related, ancillary, supportive or complementary to, or a reasonable extension of, the business in which the Guarantor and its Subsidiaries are engaged on the date of this Agreement.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Cure Securities</w:t>
      </w:r>
      <w:r>
        <w:rPr>
          <w:rFonts w:ascii="Times New Roman" w:cs="Times New Roman" w:eastAsia="Times New Roman" w:hAnsi="Times New Roman"/>
          <w:sz w:val="22"/>
          <w:szCs w:val="22"/>
          <w:color w:val="auto"/>
        </w:rPr>
        <w:t>” shall mean any equity securities of the Borrower other than Disqualified Stock.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Disposition</w:t>
      </w:r>
      <w:r>
        <w:rPr>
          <w:rFonts w:ascii="Times New Roman" w:cs="Times New Roman" w:eastAsia="Times New Roman" w:hAnsi="Times New Roman"/>
          <w:sz w:val="22"/>
          <w:szCs w:val="22"/>
          <w:color w:val="auto"/>
        </w:rPr>
        <w:t>” shall mean any of the following:</w:t>
      </w:r>
    </w:p>
    <w:p>
      <w:pPr>
        <w:spacing w:after="0" w:line="193"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Collateral permitted under the applicable Collateral Documents;</w:t>
      </w:r>
    </w:p>
    <w:p>
      <w:pPr>
        <w:spacing w:after="0" w:line="179" w:lineRule="exact"/>
        <w:rPr>
          <w:rFonts w:ascii="Times New Roman" w:cs="Times New Roman" w:eastAsia="Times New Roman" w:hAnsi="Times New Roman"/>
          <w:sz w:val="22"/>
          <w:szCs w:val="22"/>
          <w:color w:val="auto"/>
        </w:rPr>
      </w:pPr>
    </w:p>
    <w:p>
      <w:pPr>
        <w:ind w:right="60" w:firstLine="1304"/>
        <w:spacing w:after="0" w:line="225"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Disposition of cash or Cash Equivalents constituting Collateral in exchange for other cash or Cash Equivalents constituting Collateral and having reasonably equivalent value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(b) shall not permit any Disposition of the Letter of Credit Account or any amounts on deposit therein;</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or dispositions of surplus, obsolete, negligible or uneconomical assets no longer used in the business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Borrower;</w:t>
      </w:r>
    </w:p>
    <w:p>
      <w:pPr>
        <w:spacing w:after="0" w:line="155" w:lineRule="exact"/>
        <w:rPr>
          <w:rFonts w:ascii="Times New Roman" w:cs="Times New Roman" w:eastAsia="Times New Roman" w:hAnsi="Times New Roman"/>
          <w:sz w:val="21"/>
          <w:szCs w:val="21"/>
          <w:color w:val="auto"/>
        </w:rPr>
      </w:pPr>
    </w:p>
    <w:p>
      <w:pPr>
        <w:ind w:right="480" w:firstLine="1304"/>
        <w:spacing w:after="0" w:line="255" w:lineRule="auto"/>
        <w:tabs>
          <w:tab w:leader="none" w:pos="193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lease or sublease of assets and properties comprising Collateral in the ordinary course of business;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Borrower complies with any applicable requirements of the Collateral Documents in respect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Foreign Air Carrier</w:t>
      </w:r>
      <w:r>
        <w:rPr>
          <w:rFonts w:ascii="Times New Roman" w:cs="Times New Roman" w:eastAsia="Times New Roman" w:hAnsi="Times New Roman"/>
          <w:sz w:val="22"/>
          <w:szCs w:val="22"/>
          <w:color w:val="auto"/>
        </w:rPr>
        <w:t>” has the meaning set forth in the Aircraft and Spare Engine Mortgage.</w:t>
      </w:r>
    </w:p>
    <w:p>
      <w:pPr>
        <w:spacing w:after="0" w:line="220" w:lineRule="exact"/>
        <w:rPr>
          <w:sz w:val="20"/>
          <w:szCs w:val="20"/>
          <w:color w:val="auto"/>
        </w:rPr>
      </w:pPr>
    </w:p>
    <w:p>
      <w:pPr>
        <w:ind w:right="6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and may include investments for which the Administrative Agent, Security Trustee or any of their Affiliates serves as investment manager or advisor:</w:t>
      </w:r>
    </w:p>
    <w:p>
      <w:pPr>
        <w:spacing w:after="0" w:line="171" w:lineRule="exact"/>
        <w:rPr>
          <w:sz w:val="20"/>
          <w:szCs w:val="20"/>
          <w:color w:val="auto"/>
        </w:rPr>
      </w:pPr>
    </w:p>
    <w:p>
      <w:pPr>
        <w:ind w:firstLine="1304"/>
        <w:spacing w:after="0" w:line="257" w:lineRule="auto"/>
        <w:tabs>
          <w:tab w:leader="none" w:pos="17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20"/>
          </w:cols>
          <w:pgMar w:left="320" w:top="1422" w:right="359" w:bottom="1440" w:gutter="0" w:footer="0" w:header="0"/>
        </w:sectPr>
      </w:pPr>
    </w:p>
    <w:bookmarkStart w:id="84" w:name="page85"/>
    <w:bookmarkEnd w:id="84"/>
    <w:p>
      <w:pPr>
        <w:ind w:left="-220" w:right="100" w:firstLine="1304"/>
        <w:spacing w:after="0" w:line="257" w:lineRule="auto"/>
        <w:tabs>
          <w:tab w:leader="none" w:pos="15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Standard &amp; Poor’s Ratings Services or from Moody’s Investors Service, Inc.;</w:t>
      </w:r>
    </w:p>
    <w:p>
      <w:pPr>
        <w:spacing w:after="0" w:line="186" w:lineRule="exact"/>
        <w:rPr>
          <w:rFonts w:ascii="Times New Roman" w:cs="Times New Roman" w:eastAsia="Times New Roman" w:hAnsi="Times New Roman"/>
          <w:sz w:val="22"/>
          <w:szCs w:val="22"/>
          <w:color w:val="auto"/>
        </w:rPr>
      </w:pPr>
    </w:p>
    <w:p>
      <w:pPr>
        <w:jc w:val="both"/>
        <w:ind w:left="-220" w:right="60" w:firstLine="1304"/>
        <w:spacing w:after="0" w:line="252" w:lineRule="auto"/>
        <w:tabs>
          <w:tab w:leader="none" w:pos="15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deposit accounts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79" w:lineRule="exact"/>
        <w:rPr>
          <w:rFonts w:ascii="Times New Roman" w:cs="Times New Roman" w:eastAsia="Times New Roman" w:hAnsi="Times New Roman"/>
          <w:sz w:val="22"/>
          <w:szCs w:val="22"/>
          <w:color w:val="auto"/>
        </w:rPr>
      </w:pPr>
    </w:p>
    <w:p>
      <w:pPr>
        <w:ind w:left="-220" w:right="240" w:firstLine="1304"/>
        <w:spacing w:after="0" w:line="263" w:lineRule="auto"/>
        <w:tabs>
          <w:tab w:leader="none" w:pos="15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of this definition and entered into with a financial institution satisfying the criteria described in clause (c) of this definition; and</w:t>
      </w:r>
    </w:p>
    <w:p>
      <w:pPr>
        <w:spacing w:after="0" w:line="167" w:lineRule="exact"/>
        <w:rPr>
          <w:rFonts w:ascii="Times New Roman" w:cs="Times New Roman" w:eastAsia="Times New Roman" w:hAnsi="Times New Roman"/>
          <w:sz w:val="22"/>
          <w:szCs w:val="22"/>
          <w:color w:val="auto"/>
        </w:rPr>
      </w:pPr>
    </w:p>
    <w:p>
      <w:pPr>
        <w:ind w:left="-220" w:right="220" w:firstLine="1304"/>
        <w:spacing w:after="0" w:line="257" w:lineRule="auto"/>
        <w:tabs>
          <w:tab w:leader="none" w:pos="15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any money market mutual fund similar investment company all of whose investments consist of obligations having the highest quality rating obtainable from Standard &amp; Poor’s Ratings Services or from Moody’s Investors Service, Inc.</w:t>
      </w:r>
    </w:p>
    <w:p>
      <w:pPr>
        <w:spacing w:after="0" w:line="1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ind w:left="2200" w:hanging="468"/>
        <w:spacing w:after="0"/>
        <w:tabs>
          <w:tab w:leader="none" w:pos="22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held by the Security Trustee securing the Obligations;</w:t>
      </w:r>
    </w:p>
    <w:p>
      <w:pPr>
        <w:spacing w:after="0" w:line="219" w:lineRule="exact"/>
        <w:rPr>
          <w:rFonts w:ascii="Times New Roman" w:cs="Times New Roman" w:eastAsia="Times New Roman" w:hAnsi="Times New Roman"/>
          <w:sz w:val="22"/>
          <w:szCs w:val="22"/>
          <w:color w:val="auto"/>
        </w:rPr>
      </w:pPr>
    </w:p>
    <w:p>
      <w:pPr>
        <w:ind w:left="-220" w:right="80" w:firstLine="1952"/>
        <w:spacing w:after="0" w:line="253" w:lineRule="auto"/>
        <w:tabs>
          <w:tab w:leader="none" w:pos="21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Junior Secured Debt in an aggregate principal amount (as of the date of incurrence of any such Junior Secured Debt and after giving pro forma effect to the application of the net proceeds therefrom), not exceeding the Junior Lien Cap,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shall (x) rank junior to the Liens in favor of the Security Trustee securing the Obligations and (y) be subject to an Intercreditor Agreement reasonably acceptable to the Administrative Agent, the Security Trustee, the Required Lenders and the Borrower;</w:t>
      </w:r>
    </w:p>
    <w:p>
      <w:pPr>
        <w:spacing w:after="0" w:line="178" w:lineRule="exact"/>
        <w:rPr>
          <w:rFonts w:ascii="Times New Roman" w:cs="Times New Roman" w:eastAsia="Times New Roman" w:hAnsi="Times New Roman"/>
          <w:sz w:val="22"/>
          <w:szCs w:val="22"/>
          <w:color w:val="auto"/>
        </w:rPr>
      </w:pPr>
    </w:p>
    <w:p>
      <w:pPr>
        <w:jc w:val="both"/>
        <w:ind w:left="-220" w:right="40" w:firstLine="1952"/>
        <w:spacing w:after="0" w:line="257" w:lineRule="auto"/>
        <w:tabs>
          <w:tab w:leader="none" w:pos="21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assessments or governmental charges or claims that are not yet delinquent or that are being contested in good faith by appropriate proceedings promptly instituted and diligently concluded;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reserve or other appropriate provision as is required in conformity with GAAP has been made therefor;</w:t>
      </w:r>
    </w:p>
    <w:p>
      <w:pPr>
        <w:spacing w:after="0" w:line="172" w:lineRule="exact"/>
        <w:rPr>
          <w:rFonts w:ascii="Times New Roman" w:cs="Times New Roman" w:eastAsia="Times New Roman" w:hAnsi="Times New Roman"/>
          <w:sz w:val="22"/>
          <w:szCs w:val="22"/>
          <w:color w:val="auto"/>
        </w:rPr>
      </w:pPr>
    </w:p>
    <w:p>
      <w:pPr>
        <w:ind w:left="-220" w:firstLine="1952"/>
        <w:spacing w:after="0" w:line="284" w:lineRule="auto"/>
        <w:tabs>
          <w:tab w:leader="none" w:pos="21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warehousemen’s, landlord’s and mechanics’ Liens, in each case, incurred in the ordinary course of business;</w:t>
      </w:r>
    </w:p>
    <w:p>
      <w:pPr>
        <w:spacing w:after="0" w:line="143" w:lineRule="exact"/>
        <w:rPr>
          <w:rFonts w:ascii="Times New Roman" w:cs="Times New Roman" w:eastAsia="Times New Roman" w:hAnsi="Times New Roman"/>
          <w:sz w:val="22"/>
          <w:szCs w:val="22"/>
          <w:color w:val="auto"/>
        </w:rPr>
      </w:pPr>
    </w:p>
    <w:p>
      <w:pPr>
        <w:ind w:left="-220" w:right="60" w:firstLine="1952"/>
        <w:spacing w:after="0" w:line="271" w:lineRule="auto"/>
        <w:tabs>
          <w:tab w:leader="none" w:pos="21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connection with judgments, attachments or awards which do not constitute an Event of Default hereunder;</w:t>
      </w:r>
    </w:p>
    <w:p>
      <w:pPr>
        <w:spacing w:after="0" w:line="157" w:lineRule="exact"/>
        <w:rPr>
          <w:rFonts w:ascii="Times New Roman" w:cs="Times New Roman" w:eastAsia="Times New Roman" w:hAnsi="Times New Roman"/>
          <w:sz w:val="22"/>
          <w:szCs w:val="22"/>
          <w:color w:val="auto"/>
        </w:rPr>
      </w:pPr>
    </w:p>
    <w:p>
      <w:pPr>
        <w:ind w:left="2200" w:hanging="468"/>
        <w:spacing w:after="0"/>
        <w:tabs>
          <w:tab w:leader="none" w:pos="22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for the benefit of (or to secure) the Obligations or any Guaranty Obligations;</w:t>
      </w:r>
    </w:p>
    <w:p>
      <w:pPr>
        <w:spacing w:after="0" w:line="219" w:lineRule="exact"/>
        <w:rPr>
          <w:rFonts w:ascii="Times New Roman" w:cs="Times New Roman" w:eastAsia="Times New Roman" w:hAnsi="Times New Roman"/>
          <w:sz w:val="22"/>
          <w:szCs w:val="22"/>
          <w:color w:val="auto"/>
        </w:rPr>
      </w:pPr>
    </w:p>
    <w:p>
      <w:pPr>
        <w:ind w:left="-220" w:right="160" w:firstLine="1952"/>
        <w:spacing w:after="0" w:line="263" w:lineRule="auto"/>
        <w:tabs>
          <w:tab w:leader="none" w:pos="219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960"/>
          </w:cols>
          <w:pgMar w:left="540" w:top="1422"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depository bank or securities intermediary in respect of the Letter of Credit Account or the Collateral Proceeds Account;</w:t>
      </w:r>
    </w:p>
    <w:p>
      <w:pPr>
        <w:spacing w:after="0" w:line="220" w:lineRule="exact"/>
        <w:rPr>
          <w:sz w:val="20"/>
          <w:szCs w:val="20"/>
          <w:color w:val="auto"/>
        </w:rPr>
      </w:pPr>
    </w:p>
    <w:p>
      <w:pPr>
        <w:ind w:firstLine="1952"/>
        <w:spacing w:after="0" w:line="265" w:lineRule="auto"/>
        <w:tabs>
          <w:tab w:leader="none" w:pos="241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sublicenses, leases and subleases by the Borrower as they relate to any aircraft, airframe, engine, Mortgaged Collateral or any Additional Collateral to the extent (A) such licenses, sublicenses, leases or subleases complies with any applicable requirements of the Collateral Documents, do not interfere in any material respect with the business of the Borrower and its Subsidiaries, taken as a whole, and in each case, such license, sublicense, lease or sublease is to be subject and subordinate to the Liens granted to the Security Trustee pursuant to the Collateral Documents, and in each case, would not result in a Collateral Material Adverse Effect or (B) otherwise expressly permitted by the Collateral Documents;</w:t>
      </w:r>
    </w:p>
    <w:p>
      <w:pPr>
        <w:spacing w:after="0" w:line="168"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salvage or similar rights of insurers, in each case as it relates to any Mortgaged Collateral;</w:t>
      </w:r>
    </w:p>
    <w:p>
      <w:pPr>
        <w:spacing w:after="0" w:line="233" w:lineRule="exact"/>
        <w:rPr>
          <w:rFonts w:ascii="Times New Roman" w:cs="Times New Roman" w:eastAsia="Times New Roman" w:hAnsi="Times New Roman"/>
          <w:sz w:val="22"/>
          <w:szCs w:val="22"/>
          <w:color w:val="auto"/>
        </w:rPr>
      </w:pPr>
    </w:p>
    <w:p>
      <w:pPr>
        <w:ind w:firstLine="1952"/>
        <w:spacing w:after="0" w:line="271" w:lineRule="auto"/>
        <w:tabs>
          <w:tab w:leader="none" w:pos="25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the ordinary course of business of the Borrower or any Subsidiary of the Borrower with respect to obligations that do not exceed in the aggregate $2,500,000 at any one time outstanding; and</w:t>
      </w:r>
    </w:p>
    <w:p>
      <w:pPr>
        <w:spacing w:after="0" w:line="157"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Collateral expressly permitted under the Collateral Document granting a Lien on such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w:t>
      </w:r>
    </w:p>
    <w:p>
      <w:pPr>
        <w:spacing w:after="0" w:line="196" w:lineRule="exact"/>
        <w:rPr>
          <w:sz w:val="20"/>
          <w:szCs w:val="20"/>
          <w:color w:val="auto"/>
        </w:rPr>
      </w:pPr>
    </w:p>
    <w:p>
      <w:pPr>
        <w:ind w:right="4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natural person, corporation, division of a corporation, partnership, limited liability company, trust, joint venture, association, company, estate, unincorporated organization, Airport Authority or Governmental Authority or any agency or political subdivision thereof.</w:t>
      </w:r>
    </w:p>
    <w:p>
      <w:pPr>
        <w:spacing w:after="0" w:line="16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plan defined in Section 4021(a) of ERISA in respect of which the Borrower is an “employer” or a “substantial employer” as such terms are defined in ERISA.</w:t>
      </w:r>
    </w:p>
    <w:p>
      <w:pPr>
        <w:spacing w:after="0" w:line="158" w:lineRule="exact"/>
        <w:rPr>
          <w:sz w:val="20"/>
          <w:szCs w:val="20"/>
          <w:color w:val="auto"/>
        </w:rPr>
      </w:pPr>
    </w:p>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means Debticate or another similar electronic system agreed upon among the Borrower, the Security Trustee and the Administrative Agent.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Aircraft</w:t>
      </w:r>
      <w:r>
        <w:rPr>
          <w:rFonts w:ascii="Times New Roman" w:cs="Times New Roman" w:eastAsia="Times New Roman" w:hAnsi="Times New Roman"/>
          <w:sz w:val="22"/>
          <w:szCs w:val="22"/>
          <w:color w:val="auto"/>
        </w:rPr>
        <w:t>” means, as of any date, the Eligible Aircraft included in the Collateral as of such date.</w:t>
      </w:r>
    </w:p>
    <w:p>
      <w:pPr>
        <w:spacing w:after="0" w:line="220"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Aircraft BB Contribution</w:t>
      </w:r>
      <w:r>
        <w:rPr>
          <w:rFonts w:ascii="Times New Roman" w:cs="Times New Roman" w:eastAsia="Times New Roman" w:hAnsi="Times New Roman"/>
          <w:sz w:val="22"/>
          <w:szCs w:val="22"/>
          <w:color w:val="auto"/>
        </w:rPr>
        <w:t>” means, in respect of each Pledged Aircraft, the lesser of (x) 70% (or, in the case of any Pledged Aircraft that, at the time of determination of the Pledged Aircraft BB Contribution, is fifteen (15) or more year old, 50%) of the Appraised Value of such Pledged Aircraft or (y) 80% of the net purchase price paid by the Borrower or any of its affiliates for such Pledged Aircraft. For the avoidance of doubt, the age of each Pledged Aircraft shall be determined by the date of the manufacturer's bill of sale.</w:t>
      </w:r>
    </w:p>
    <w:p>
      <w:pPr>
        <w:spacing w:after="0" w:line="17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Cash and Cash Equivalents</w:t>
      </w:r>
      <w:r>
        <w:rPr>
          <w:rFonts w:ascii="Times New Roman" w:cs="Times New Roman" w:eastAsia="Times New Roman" w:hAnsi="Times New Roman"/>
          <w:sz w:val="22"/>
          <w:szCs w:val="22"/>
          <w:color w:val="auto"/>
        </w:rPr>
        <w:t>” means, as of any date, the amount of cash and Cash Equivalents included in the Collateral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00"/>
          </w:cols>
          <w:pgMar w:left="320" w:top="1422" w:right="379" w:bottom="1440" w:gutter="0" w:footer="0" w:header="0"/>
        </w:sectPr>
      </w:pPr>
    </w:p>
    <w:bookmarkStart w:id="86" w:name="page87"/>
    <w:bookmarkEnd w:id="86"/>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Engine BB Contribution</w:t>
      </w:r>
      <w:r>
        <w:rPr>
          <w:rFonts w:ascii="Times New Roman" w:cs="Times New Roman" w:eastAsia="Times New Roman" w:hAnsi="Times New Roman"/>
          <w:sz w:val="22"/>
          <w:szCs w:val="22"/>
          <w:color w:val="auto"/>
        </w:rPr>
        <w:t xml:space="preserve">” means, in respect of each Pledged Engine, the lesser of (x) the product of (i) the applicable percentage set forth in the following table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(ii) the Appraised Value of such Pledged Engine or (y) 80% of the net purchase price paid by the Borrower or any of its affiliates for such Pledged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144145</wp:posOffset>
            </wp:positionV>
            <wp:extent cx="5554980" cy="1594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554980" cy="1594485"/>
                    </a:xfrm>
                    <a:prstGeom prst="rect">
                      <a:avLst/>
                    </a:prstGeom>
                    <a:noFill/>
                  </pic:spPr>
                </pic:pic>
              </a:graphicData>
            </a:graphic>
          </wp:anchor>
        </w:drawing>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257"/>
        </w:trPr>
        <w:tc>
          <w:tcPr>
            <w:tcW w:w="440" w:type="dxa"/>
            <w:vAlign w:val="bottom"/>
            <w:tcBorders>
              <w:top w:val="single" w:sz="8" w:color="auto"/>
            </w:tcBorders>
          </w:tcPr>
          <w:p>
            <w:pPr>
              <w:spacing w:after="0"/>
              <w:rPr>
                <w:sz w:val="22"/>
                <w:szCs w:val="22"/>
                <w:color w:val="auto"/>
              </w:rPr>
            </w:pPr>
          </w:p>
        </w:tc>
        <w:tc>
          <w:tcPr>
            <w:tcW w:w="52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Number of Cycles remaining until next overhaul as of the</w:t>
            </w:r>
          </w:p>
        </w:tc>
        <w:tc>
          <w:tcPr>
            <w:tcW w:w="460" w:type="dxa"/>
            <w:vAlign w:val="bottom"/>
            <w:tcBorders>
              <w:top w:val="single" w:sz="8" w:color="auto"/>
              <w:right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3"/>
            <w:vMerge w:val="restart"/>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8"/>
              </w:rPr>
              <w:t>Percentage</w:t>
            </w:r>
          </w:p>
        </w:tc>
        <w:tc>
          <w:tcPr>
            <w:tcW w:w="0" w:type="dxa"/>
            <w:vAlign w:val="bottom"/>
          </w:tcPr>
          <w:p>
            <w:pPr>
              <w:spacing w:after="0"/>
              <w:rPr>
                <w:sz w:val="1"/>
                <w:szCs w:val="1"/>
                <w:color w:val="auto"/>
              </w:rPr>
            </w:pPr>
          </w:p>
        </w:tc>
      </w:tr>
      <w:tr>
        <w:trPr>
          <w:trHeight w:val="101"/>
        </w:trPr>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80" w:type="dxa"/>
            <w:vAlign w:val="bottom"/>
            <w:tcBorders>
              <w:right w:val="single" w:sz="8" w:color="auto"/>
            </w:tcBorders>
            <w:gridSpan w:val="3"/>
            <w:vMerge w:val="restart"/>
          </w:tcPr>
          <w:p>
            <w:pPr>
              <w:jc w:val="center"/>
              <w:ind w:right="1620"/>
              <w:spacing w:after="0" w:line="237" w:lineRule="exact"/>
              <w:rPr>
                <w:sz w:val="20"/>
                <w:szCs w:val="20"/>
                <w:color w:val="auto"/>
              </w:rPr>
            </w:pPr>
            <w:r>
              <w:rPr>
                <w:rFonts w:ascii="Times New Roman" w:cs="Times New Roman" w:eastAsia="Times New Roman" w:hAnsi="Times New Roman"/>
                <w:sz w:val="22"/>
                <w:szCs w:val="22"/>
                <w:b w:val="1"/>
                <w:bCs w:val="1"/>
                <w:color w:val="auto"/>
                <w:w w:val="97"/>
              </w:rPr>
              <w:t>relevant date of determination*:</w:t>
            </w:r>
          </w:p>
        </w:tc>
        <w:tc>
          <w:tcPr>
            <w:tcW w:w="2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580" w:type="dxa"/>
            <w:vAlign w:val="bottom"/>
            <w:tcBorders>
              <w:right w:val="single" w:sz="8" w:color="auto"/>
            </w:tcBorders>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960" w:type="dxa"/>
            <w:vAlign w:val="bottom"/>
            <w:tcBorders>
              <w:top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580" w:type="dxa"/>
            <w:vAlign w:val="bottom"/>
            <w:tcBorders>
              <w:bottom w:val="single" w:sz="8" w:color="auto"/>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22"/>
                <w:szCs w:val="22"/>
                <w:color w:val="auto"/>
                <w:w w:val="98"/>
              </w:rPr>
              <w:t>Greater than or equal to 18,000</w:t>
            </w:r>
          </w:p>
        </w:tc>
        <w:tc>
          <w:tcPr>
            <w:tcW w:w="2420" w:type="dxa"/>
            <w:vAlign w:val="bottom"/>
            <w:tcBorders>
              <w:bottom w:val="single" w:sz="8" w:color="auto"/>
            </w:tcBorders>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8"/>
              </w:rPr>
              <w:t>70.0%</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580" w:type="dxa"/>
            <w:vAlign w:val="bottom"/>
            <w:tcBorders>
              <w:bottom w:val="single" w:sz="8" w:color="auto"/>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22"/>
                <w:szCs w:val="22"/>
                <w:color w:val="auto"/>
                <w:w w:val="98"/>
              </w:rPr>
              <w:t>Greater than or equal 13,500 but less than 18,000</w:t>
            </w:r>
          </w:p>
        </w:tc>
        <w:tc>
          <w:tcPr>
            <w:tcW w:w="2420" w:type="dxa"/>
            <w:vAlign w:val="bottom"/>
            <w:tcBorders>
              <w:bottom w:val="single" w:sz="8" w:color="auto"/>
            </w:tcBorders>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8"/>
              </w:rPr>
              <w:t>67.5%</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spacing w:after="0"/>
              <w:rPr>
                <w:sz w:val="22"/>
                <w:szCs w:val="22"/>
                <w:color w:val="auto"/>
              </w:rPr>
            </w:pPr>
          </w:p>
        </w:tc>
        <w:tc>
          <w:tcPr>
            <w:tcW w:w="5740" w:type="dxa"/>
            <w:vAlign w:val="bottom"/>
            <w:tcBorders>
              <w:bottom w:val="single" w:sz="8" w:color="auto"/>
              <w:right w:val="single" w:sz="8" w:color="auto"/>
            </w:tcBorders>
            <w:gridSpan w:val="4"/>
          </w:tcPr>
          <w:p>
            <w:pPr>
              <w:jc w:val="center"/>
              <w:ind w:left="712"/>
              <w:spacing w:after="0"/>
              <w:rPr>
                <w:sz w:val="20"/>
                <w:szCs w:val="20"/>
                <w:color w:val="auto"/>
              </w:rPr>
            </w:pPr>
            <w:r>
              <w:rPr>
                <w:rFonts w:ascii="Times New Roman" w:cs="Times New Roman" w:eastAsia="Times New Roman" w:hAnsi="Times New Roman"/>
                <w:sz w:val="22"/>
                <w:szCs w:val="22"/>
                <w:color w:val="auto"/>
                <w:w w:val="98"/>
              </w:rPr>
              <w:t>Greater than or equal to 10,000 but less than 13,500</w:t>
            </w:r>
          </w:p>
        </w:tc>
        <w:tc>
          <w:tcPr>
            <w:tcW w:w="2420" w:type="dxa"/>
            <w:vAlign w:val="bottom"/>
            <w:tcBorders>
              <w:bottom w:val="single" w:sz="8" w:color="auto"/>
            </w:tcBorders>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8"/>
              </w:rPr>
              <w:t>65.0%</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spacing w:after="0"/>
              <w:rPr>
                <w:sz w:val="22"/>
                <w:szCs w:val="22"/>
                <w:color w:val="auto"/>
              </w:rPr>
            </w:pPr>
          </w:p>
        </w:tc>
        <w:tc>
          <w:tcPr>
            <w:tcW w:w="5740" w:type="dxa"/>
            <w:vAlign w:val="bottom"/>
            <w:tcBorders>
              <w:bottom w:val="single" w:sz="8" w:color="auto"/>
              <w:right w:val="single" w:sz="8" w:color="auto"/>
            </w:tcBorders>
            <w:gridSpan w:val="4"/>
          </w:tcPr>
          <w:p>
            <w:pPr>
              <w:jc w:val="center"/>
              <w:ind w:left="732"/>
              <w:spacing w:after="0"/>
              <w:rPr>
                <w:sz w:val="20"/>
                <w:szCs w:val="20"/>
                <w:color w:val="auto"/>
              </w:rPr>
            </w:pPr>
            <w:r>
              <w:rPr>
                <w:rFonts w:ascii="Times New Roman" w:cs="Times New Roman" w:eastAsia="Times New Roman" w:hAnsi="Times New Roman"/>
                <w:sz w:val="22"/>
                <w:szCs w:val="22"/>
                <w:color w:val="auto"/>
                <w:w w:val="98"/>
              </w:rPr>
              <w:t>Greater than or equal to 5,000 but less than 10,000</w:t>
            </w:r>
          </w:p>
        </w:tc>
        <w:tc>
          <w:tcPr>
            <w:tcW w:w="2420" w:type="dxa"/>
            <w:vAlign w:val="bottom"/>
            <w:tcBorders>
              <w:bottom w:val="single" w:sz="8" w:color="auto"/>
            </w:tcBorders>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8"/>
              </w:rPr>
              <w:t>62.5%</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 w:type="dxa"/>
            <w:vAlign w:val="bottom"/>
            <w:tcBorders>
              <w:bottom w:val="single" w:sz="8" w:color="auto"/>
            </w:tcBorders>
          </w:tcPr>
          <w:p>
            <w:pPr>
              <w:spacing w:after="0"/>
              <w:rPr>
                <w:sz w:val="22"/>
                <w:szCs w:val="22"/>
                <w:color w:val="auto"/>
              </w:rPr>
            </w:pPr>
          </w:p>
        </w:tc>
        <w:tc>
          <w:tcPr>
            <w:tcW w:w="5740" w:type="dxa"/>
            <w:vAlign w:val="bottom"/>
            <w:tcBorders>
              <w:bottom w:val="single" w:sz="8" w:color="auto"/>
              <w:right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22"/>
                <w:szCs w:val="22"/>
                <w:color w:val="auto"/>
                <w:w w:val="98"/>
              </w:rPr>
              <w:t>Greater than or equal to 2,000 but less than 5,000</w:t>
            </w:r>
          </w:p>
        </w:tc>
        <w:tc>
          <w:tcPr>
            <w:tcW w:w="2420" w:type="dxa"/>
            <w:vAlign w:val="bottom"/>
            <w:tcBorders>
              <w:bottom w:val="single" w:sz="8" w:color="auto"/>
            </w:tcBorders>
            <w:gridSpan w:val="2"/>
          </w:tcPr>
          <w:p>
            <w:pPr>
              <w:jc w:val="center"/>
              <w:ind w:left="1312"/>
              <w:spacing w:after="0"/>
              <w:rPr>
                <w:sz w:val="20"/>
                <w:szCs w:val="20"/>
                <w:color w:val="auto"/>
              </w:rPr>
            </w:pPr>
            <w:r>
              <w:rPr>
                <w:rFonts w:ascii="Times New Roman" w:cs="Times New Roman" w:eastAsia="Times New Roman" w:hAnsi="Times New Roman"/>
                <w:sz w:val="22"/>
                <w:szCs w:val="22"/>
                <w:color w:val="auto"/>
                <w:w w:val="98"/>
              </w:rPr>
              <w:t>60.0%</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ind w:left="980" w:right="1640" w:hanging="4"/>
        <w:spacing w:after="0" w:line="229" w:lineRule="auto"/>
        <w:tabs>
          <w:tab w:leader="none" w:pos="11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relevant date of determination shall be the most recent of (i) the date the Pledged Engine was added as Collateral and (ii) the date of delivery of the most recent Appraisals.</w:t>
      </w:r>
    </w:p>
    <w:p>
      <w:pPr>
        <w:spacing w:after="0" w:line="200" w:lineRule="exact"/>
        <w:rPr>
          <w:sz w:val="20"/>
          <w:szCs w:val="20"/>
          <w:color w:val="auto"/>
        </w:rPr>
      </w:pPr>
    </w:p>
    <w:p>
      <w:pPr>
        <w:spacing w:after="0" w:line="3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Engines</w:t>
      </w:r>
      <w:r>
        <w:rPr>
          <w:rFonts w:ascii="Times New Roman" w:cs="Times New Roman" w:eastAsia="Times New Roman" w:hAnsi="Times New Roman"/>
          <w:sz w:val="22"/>
          <w:szCs w:val="22"/>
          <w:color w:val="auto"/>
        </w:rPr>
        <w:t>” means, as of any date, the Eligible Engines included in the Collateral as of such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Inventory</w:t>
      </w:r>
      <w:r>
        <w:rPr>
          <w:rFonts w:ascii="Times New Roman" w:cs="Times New Roman" w:eastAsia="Times New Roman" w:hAnsi="Times New Roman"/>
          <w:sz w:val="22"/>
          <w:szCs w:val="22"/>
          <w:color w:val="auto"/>
        </w:rPr>
        <w:t>” means, as of any date, the Eligible Inventory included in the Collateral as of such date.</w:t>
      </w:r>
    </w:p>
    <w:p>
      <w:pPr>
        <w:spacing w:after="0" w:line="233"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Inventory BB Contribution</w:t>
      </w:r>
      <w:r>
        <w:rPr>
          <w:rFonts w:ascii="Times New Roman" w:cs="Times New Roman" w:eastAsia="Times New Roman" w:hAnsi="Times New Roman"/>
          <w:sz w:val="22"/>
          <w:szCs w:val="22"/>
          <w:color w:val="auto"/>
        </w:rPr>
        <w:t>” means, in respect of the Pledged Inventory, 50% of the value of the Pledged Inventory as certified by the Borrower in the most recently delivered Quarterly Certificate or, if no such Quarterly Certificate has been delivered in respect of any such Pledged Inventory as of the relevant date of determination, then as certified by the Borrower on the date upon which such Eligible Inventory has become Pledged Inventory.</w:t>
      </w:r>
    </w:p>
    <w:p>
      <w:pPr>
        <w:spacing w:after="0" w:line="179" w:lineRule="exact"/>
        <w:rPr>
          <w:sz w:val="20"/>
          <w:szCs w:val="20"/>
          <w:color w:val="auto"/>
        </w:rPr>
      </w:pPr>
    </w:p>
    <w:p>
      <w:pPr>
        <w:ind w:right="10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Other Assets</w:t>
      </w:r>
      <w:r>
        <w:rPr>
          <w:rFonts w:ascii="Times New Roman" w:cs="Times New Roman" w:eastAsia="Times New Roman" w:hAnsi="Times New Roman"/>
          <w:sz w:val="22"/>
          <w:szCs w:val="22"/>
          <w:color w:val="auto"/>
        </w:rPr>
        <w:t>” means the Pledged Cash and Cash Equivalents, the Pledged Inventory, the Pledged Spare Parts and the Pledged Receivables.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Pledged Receivables</w:t>
      </w:r>
      <w:r>
        <w:rPr>
          <w:rFonts w:ascii="Times New Roman" w:cs="Times New Roman" w:eastAsia="Times New Roman" w:hAnsi="Times New Roman"/>
          <w:sz w:val="21"/>
          <w:szCs w:val="21"/>
          <w:color w:val="auto"/>
        </w:rPr>
        <w:t>” means, as of any date, the Eligible Receivables included in the Collateral as of such date.</w:t>
      </w:r>
    </w:p>
    <w:p>
      <w:pPr>
        <w:spacing w:after="0" w:line="231" w:lineRule="exact"/>
        <w:rPr>
          <w:sz w:val="20"/>
          <w:szCs w:val="20"/>
          <w:color w:val="auto"/>
        </w:rPr>
      </w:pPr>
    </w:p>
    <w:p>
      <w:pPr>
        <w:jc w:val="both"/>
        <w:ind w:right="2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Receivables BB Contribution</w:t>
      </w:r>
      <w:r>
        <w:rPr>
          <w:rFonts w:ascii="Times New Roman" w:cs="Times New Roman" w:eastAsia="Times New Roman" w:hAnsi="Times New Roman"/>
          <w:sz w:val="22"/>
          <w:szCs w:val="22"/>
          <w:color w:val="auto"/>
        </w:rPr>
        <w:t>” means, in respect of the Pledged Receivables, 85% of the value of the Pledged Receivables as certified by the Borrower in the most recently Quarterly Certificate or, if no such Quarterly Certificate has been delivered in respect of any such Pledged Receivables as of the relevant date of determination, then as certified by the Borrower on date upon which relevant Eligible Receivables became Pledged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00"/>
          </w:cols>
          <w:pgMar w:left="320" w:top="1422" w:right="379" w:bottom="1440" w:gutter="0" w:footer="0" w:header="0"/>
        </w:sectPr>
      </w:pPr>
    </w:p>
    <w:bookmarkStart w:id="87" w:name="page88"/>
    <w:bookmarkEnd w:id="8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Spare Parts</w:t>
      </w:r>
      <w:r>
        <w:rPr>
          <w:rFonts w:ascii="Times New Roman" w:cs="Times New Roman" w:eastAsia="Times New Roman" w:hAnsi="Times New Roman"/>
          <w:sz w:val="22"/>
          <w:szCs w:val="22"/>
          <w:color w:val="auto"/>
        </w:rPr>
        <w:t>” means, as of any date, the Eligible Spare Parts included in the Collateral as of such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Spare Parts BB Contribution</w:t>
      </w:r>
      <w:r>
        <w:rPr>
          <w:rFonts w:ascii="Times New Roman" w:cs="Times New Roman" w:eastAsia="Times New Roman" w:hAnsi="Times New Roman"/>
          <w:sz w:val="22"/>
          <w:szCs w:val="22"/>
          <w:color w:val="auto"/>
        </w:rPr>
        <w:t>” means 75% of the Appraised Value of the Pledged Spare Parts.</w:t>
      </w:r>
    </w:p>
    <w:p>
      <w:pPr>
        <w:spacing w:after="0" w:line="22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shall mean the rate of interest per annum publicly announced from time to time by the Person acting as the Administrative Agent as its prime rate in effect at its principal office in New York City. The Prime Rate is a reference rate and does not necessarily represent the lowest or best rate actually charged to any customer. The Administrative Agent or any Issuing Lender or Lender may make commercial loans or other loans at rates of interest at, above or below the Prime Rate. Any change in the Prime Rate shall take effect at the opening of business on the day specified in the public announcement of such change.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Professional User</w:t>
      </w:r>
      <w:r>
        <w:rPr>
          <w:rFonts w:ascii="Times New Roman" w:cs="Times New Roman" w:eastAsia="Times New Roman" w:hAnsi="Times New Roman"/>
          <w:sz w:val="22"/>
          <w:szCs w:val="22"/>
          <w:color w:val="auto"/>
        </w:rPr>
        <w:t>” shall have the meaning given it in the Regulations and Procedures for the International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Propeller</w:t>
      </w:r>
      <w:r>
        <w:rPr>
          <w:rFonts w:ascii="Times New Roman" w:cs="Times New Roman" w:eastAsia="Times New Roman" w:hAnsi="Times New Roman"/>
          <w:sz w:val="22"/>
          <w:szCs w:val="22"/>
          <w:color w:val="auto"/>
        </w:rPr>
        <w:t>” shall mean any propeller, including any part, appurtenance, and accessory of a propeller.</w:t>
      </w:r>
    </w:p>
    <w:p>
      <w:pPr>
        <w:spacing w:after="0" w:line="22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Put Exposure</w:t>
      </w:r>
      <w:r>
        <w:rPr>
          <w:rFonts w:ascii="Times New Roman" w:cs="Times New Roman" w:eastAsia="Times New Roman" w:hAnsi="Times New Roman"/>
          <w:sz w:val="22"/>
          <w:szCs w:val="22"/>
          <w:color w:val="auto"/>
        </w:rPr>
        <w:t>” means the principal amount of Loans, LC Exposure and unused Revolving Commitments that Lenders have elected be prepaid, discharged and terminated, respectively, pursuant to Section 2.10(g) in response to a Change of Control Offer.</w:t>
      </w:r>
    </w:p>
    <w:p>
      <w:pPr>
        <w:spacing w:after="0" w:line="186" w:lineRule="exact"/>
        <w:rPr>
          <w:sz w:val="20"/>
          <w:szCs w:val="20"/>
          <w:color w:val="auto"/>
        </w:rPr>
      </w:pPr>
    </w:p>
    <w:p>
      <w:pPr>
        <w:ind w:right="8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has the meaning assigned to it in Section 10.20.</w:t>
      </w:r>
    </w:p>
    <w:p>
      <w:pPr>
        <w:spacing w:after="0" w:line="220"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Receivables Transaction</w:t>
      </w:r>
      <w:r>
        <w:rPr>
          <w:rFonts w:ascii="Times New Roman" w:cs="Times New Roman" w:eastAsia="Times New Roman" w:hAnsi="Times New Roman"/>
          <w:sz w:val="22"/>
          <w:szCs w:val="22"/>
          <w:color w:val="auto"/>
        </w:rPr>
        <w:t>” means any transaction or series of transactions entered into by the Borrower or any of its Subsidiaries pursuant to which the Borrower or any of its Subsidiaries sells, conveys or otherwise transfers to (a) a Receivables Subsidiary or any other Person (in the case of a transfer by the Borrower or any of its Subsidiaries) and (b) any other Person (in the case of a transfer by a Receivables Subsidiary), or grants a security interest in, any accounts receivable (whether now existing or arising in the future) of the Borrower or any of its Subsidiaries, and any assets related thereto including, without limitation, all Equity Interests and other investments in the Receivables Subsidiary,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other than assets that constitute Collateral or proceeds of Collateral.</w:t>
      </w:r>
    </w:p>
    <w:p>
      <w:pPr>
        <w:spacing w:after="0" w:line="183" w:lineRule="exact"/>
        <w:rPr>
          <w:sz w:val="20"/>
          <w:szCs w:val="20"/>
          <w:color w:val="auto"/>
        </w:rPr>
      </w:pPr>
    </w:p>
    <w:p>
      <w:pPr>
        <w:ind w:right="1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Replacement Assets</w:t>
      </w:r>
      <w:r>
        <w:rPr>
          <w:rFonts w:ascii="Times New Roman" w:cs="Times New Roman" w:eastAsia="Times New Roman" w:hAnsi="Times New Roman"/>
          <w:sz w:val="22"/>
          <w:szCs w:val="22"/>
          <w:color w:val="auto"/>
        </w:rPr>
        <w:t>” means Additional Collateral of any of the types described in clauses (b) and (c) of the definition of “Additional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180"/>
          </w:cols>
          <w:pgMar w:left="320" w:top="1422" w:right="399" w:bottom="1440" w:gutter="0" w:footer="0" w:header="0"/>
        </w:sectPr>
      </w:pPr>
    </w:p>
    <w:bookmarkStart w:id="88" w:name="page89"/>
    <w:bookmarkEnd w:id="88"/>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Certificate</w:t>
      </w:r>
      <w:r>
        <w:rPr>
          <w:rFonts w:ascii="Times New Roman" w:cs="Times New Roman" w:eastAsia="Times New Roman" w:hAnsi="Times New Roman"/>
          <w:sz w:val="22"/>
          <w:szCs w:val="22"/>
          <w:color w:val="auto"/>
        </w:rPr>
        <w:t>” means a certificate signed by an Officer of the Borrower certifying, as of such date, the Borrowing Base, the Collateral Coverage Ratio and the valuation of the Other Assets (which valuation shall, in the case of Pledged Spare Parts, be based on the most recent Appraisal thereof as may be adjusted in accordance with the Borrower’s books and records).</w:t>
      </w:r>
    </w:p>
    <w:p>
      <w:pPr>
        <w:spacing w:after="0" w:line="176"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Certification Date</w:t>
      </w:r>
      <w:r>
        <w:rPr>
          <w:rFonts w:ascii="Times New Roman" w:cs="Times New Roman" w:eastAsia="Times New Roman" w:hAnsi="Times New Roman"/>
          <w:sz w:val="22"/>
          <w:szCs w:val="22"/>
          <w:color w:val="auto"/>
        </w:rPr>
        <w:t>” means, to the extent any Revolving Extensions of Credit are outstanding, the last day of each fiscal quarter.</w:t>
      </w:r>
    </w:p>
    <w:p>
      <w:pPr>
        <w:spacing w:after="0" w:line="158"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Security Agreement</w:t>
      </w:r>
      <w:r>
        <w:rPr>
          <w:rFonts w:ascii="Times New Roman" w:cs="Times New Roman" w:eastAsia="Times New Roman" w:hAnsi="Times New Roman"/>
          <w:sz w:val="22"/>
          <w:szCs w:val="22"/>
          <w:color w:val="auto"/>
        </w:rPr>
        <w:t>” means the Receivables Security Agreement, entered into or to be entered into, as the case may be, by the Borrower and the Security Trustee in substantially the form attached as Exhibit F (or in such other form as may be reasonably acceptable to the Security Trustee and the Borrower), as it may be amended, restated, modified, supplemented, extended or amended and restated from time to time.</w:t>
      </w:r>
    </w:p>
    <w:p>
      <w:pPr>
        <w:spacing w:after="0" w:line="176"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Subsidiary</w:t>
      </w:r>
      <w:r>
        <w:rPr>
          <w:rFonts w:ascii="Times New Roman" w:cs="Times New Roman" w:eastAsia="Times New Roman" w:hAnsi="Times New Roman"/>
          <w:sz w:val="21"/>
          <w:szCs w:val="21"/>
          <w:color w:val="auto"/>
        </w:rPr>
        <w:t>” means a Subsidiary of the Borrower which engages in no activities other than in connection with the financing of accounts receivable and which is designated by the Board of Directors of the Borrower (as provided below) as a Receivables Subsidiary (a) no portion of the Indebtedness or any other obligations (contingent or otherwise) of which (1) is guaranteed by the Borrower or any Subsidiary of the Borrower (other than comprising a pledge of the Capital Stock or other interests in such Receivables Subsidiary (an “</w:t>
      </w:r>
      <w:r>
        <w:rPr>
          <w:rFonts w:ascii="Times New Roman" w:cs="Times New Roman" w:eastAsia="Times New Roman" w:hAnsi="Times New Roman"/>
          <w:sz w:val="21"/>
          <w:szCs w:val="21"/>
          <w:u w:val="single" w:color="auto"/>
          <w:color w:val="auto"/>
        </w:rPr>
        <w:t>incidental pledge</w:t>
      </w:r>
      <w:r>
        <w:rPr>
          <w:rFonts w:ascii="Times New Roman" w:cs="Times New Roman" w:eastAsia="Times New Roman" w:hAnsi="Times New Roman"/>
          <w:sz w:val="21"/>
          <w:szCs w:val="21"/>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the Borrower or any Subsidiary of the Borrower in any way other than through an incidental pledge or pursuant to representations, warranties, covenants and indemnities entered into in the ordinary course of business in connection with a Qualified Receivables Transaction or (3) subjects any property or asset of the Borrower or any Subsidiary of the Borrower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the Borrower nor any Subsidiary of the Borrower has any material contract, agreement, arrangement or understanding (other than pursuant to the Qualified Receivables Transaction) other than (i) on terms no less favorable to the Borrower or such Subsidiary than those that might be obtained at the time from Persons who are not Affiliates of the Borrower, and (ii) fees payable in the ordinary course of business in connection with servicing accounts receivable and (c) with which neither the Borrower nor any Subsidiary of the Borrower has any obligation to maintain or preserve such Subsidiary’s financial condition, other than a minimum capitalization in customary amounts, or to cause such Subsidiary to achieve certain levels of operating results. Any such designation by the Board of Directors of the Borrower will be evidenced to the Administrative Agent by filing with the Administrative Agent a certified copy of the resolution of the Board of Directors of the Borrower giving effect to such designation and an Officer’s Certificate certifying that such designation complied with the foregoing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20"/>
          </w:cols>
          <w:pgMar w:left="320" w:top="1422" w:right="359" w:bottom="1440" w:gutter="0" w:footer="0" w:header="0"/>
        </w:sectPr>
      </w:pPr>
    </w:p>
    <w:bookmarkStart w:id="89" w:name="page90"/>
    <w:bookmarkEnd w:id="89"/>
    <w:p>
      <w:pPr>
        <w:ind w:right="1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 Event</w:t>
      </w:r>
      <w:r>
        <w:rPr>
          <w:rFonts w:ascii="Times New Roman" w:cs="Times New Roman" w:eastAsia="Times New Roman" w:hAnsi="Times New Roman"/>
          <w:sz w:val="22"/>
          <w:szCs w:val="22"/>
          <w:color w:val="auto"/>
        </w:rPr>
        <w:t>” shall mean any settlement of or payment in respect of any property or casualty insurance claim or any condemnation proceeding relating to any Collateral or any Event of Loss (as defined in the related Collateral Document pursuant to which a security interest in such Collateral is granted to the Administrative Agent, if applicable).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shall have the meaning set forth in Section 10.02(b)(iv).</w:t>
      </w:r>
    </w:p>
    <w:p>
      <w:pPr>
        <w:spacing w:after="0" w:line="220" w:lineRule="exact"/>
        <w:rPr>
          <w:sz w:val="20"/>
          <w:szCs w:val="20"/>
          <w:color w:val="auto"/>
        </w:rPr>
      </w:pPr>
    </w:p>
    <w:p>
      <w:pPr>
        <w:ind w:right="3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 and Procedures for the International Registry</w:t>
      </w:r>
      <w:r>
        <w:rPr>
          <w:rFonts w:ascii="Times New Roman" w:cs="Times New Roman" w:eastAsia="Times New Roman" w:hAnsi="Times New Roman"/>
          <w:sz w:val="22"/>
          <w:szCs w:val="22"/>
          <w:color w:val="auto"/>
        </w:rPr>
        <w:t>” shall mean the official English language text of the International Registry Procedures and Regulations issued by the Supervisory Authority (as defined in the Cape Town Convention) pursuant to the Aircraft Protocol.</w:t>
      </w:r>
    </w:p>
    <w:p>
      <w:pPr>
        <w:spacing w:after="0" w:line="173" w:lineRule="exact"/>
        <w:rPr>
          <w:sz w:val="20"/>
          <w:szCs w:val="20"/>
          <w:color w:val="auto"/>
        </w:rPr>
      </w:pPr>
    </w:p>
    <w:p>
      <w:pPr>
        <w:ind w:right="440" w:firstLine="1296"/>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shall mean, with respect to any specified Person, such Person’s Affiliates and the respective directors, officers, partners, members, employees, agents and advisors of such Person and such Person’s Affiliates.</w:t>
      </w:r>
    </w:p>
    <w:p>
      <w:pPr>
        <w:spacing w:after="0" w:line="121"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specified in Section 101(22) of the Comprehensive Environmental Response Compensation and Liability Act.</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86" w:lineRule="exact"/>
        <w:rPr>
          <w:sz w:val="20"/>
          <w:szCs w:val="20"/>
          <w:color w:val="auto"/>
        </w:rPr>
      </w:pPr>
    </w:p>
    <w:p>
      <w:pPr>
        <w:ind w:right="2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shall mean, at any time, Lenders holding more than 50% of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w:t>
      </w:r>
    </w:p>
    <w:p>
      <w:pPr>
        <w:spacing w:after="0" w:line="179"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an Officer.</w:t>
      </w:r>
    </w:p>
    <w:p>
      <w:pPr>
        <w:spacing w:after="0" w:line="22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Availability Period</w:t>
      </w:r>
      <w:r>
        <w:rPr>
          <w:rFonts w:ascii="Times New Roman" w:cs="Times New Roman" w:eastAsia="Times New Roman" w:hAnsi="Times New Roman"/>
          <w:sz w:val="22"/>
          <w:szCs w:val="22"/>
          <w:color w:val="auto"/>
        </w:rPr>
        <w:t>” shall mean the period from and including the Effective Date to the date falling one (1) month before the Revolving Facility Maturity Date but excluding the Revolving Facility Termination Date with respect to the applicable Revolving Commitments.</w:t>
      </w:r>
    </w:p>
    <w:p>
      <w:pPr>
        <w:spacing w:after="0" w:line="186"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Commitment</w:t>
      </w:r>
      <w:r>
        <w:rPr>
          <w:rFonts w:ascii="Times New Roman" w:cs="Times New Roman" w:eastAsia="Times New Roman" w:hAnsi="Times New Roman"/>
          <w:sz w:val="21"/>
          <w:szCs w:val="21"/>
          <w:color w:val="auto"/>
        </w:rPr>
        <w:t>” shall mean the commitment of each Revolving Lender to make Revolving Loans and, if such Revolving Lender is an Issuing Lender, to issue Letters of Credit, hereunder in an aggregate principal not to exceed the amount set forth under the heading “Revolving Commitment” opposite its name in Annex A hereto or in the Assignment and Acceptance pursuant to which such Revolving Lender became a party hereto, as the same may be changed from time to time pursuant to the terms hereof. The aggregate amount of the Total Revolving Commitments as of the Effective Date is $75,000,000.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20"/>
          </w:cols>
          <w:pgMar w:left="320" w:top="1422" w:right="359" w:bottom="1440" w:gutter="0" w:footer="0" w:header="0"/>
        </w:sectPr>
      </w:pPr>
    </w:p>
    <w:bookmarkStart w:id="90" w:name="page91"/>
    <w:bookmarkEnd w:id="90"/>
    <w:p>
      <w:pPr>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 Percentage</w:t>
      </w:r>
      <w:r>
        <w:rPr>
          <w:rFonts w:ascii="Times New Roman" w:cs="Times New Roman" w:eastAsia="Times New Roman" w:hAnsi="Times New Roman"/>
          <w:sz w:val="22"/>
          <w:szCs w:val="22"/>
          <w:color w:val="auto"/>
        </w:rPr>
        <w:t>” shall mean, at any time, with respect to each Revolving Lender, the percentage obtained by dividing its Revolving Commitment at such time by the Total Revolving Commitment (or, if the Revolving Commitments have been terminated, the Revolving Extensions of Credit of such Revolving Lender at such time by the Total Revolving Extensions of Credit at such time).</w:t>
      </w:r>
    </w:p>
    <w:p>
      <w:pPr>
        <w:spacing w:after="0" w:line="17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Extensions of Credit</w:t>
      </w:r>
      <w:r>
        <w:rPr>
          <w:rFonts w:ascii="Times New Roman" w:cs="Times New Roman" w:eastAsia="Times New Roman" w:hAnsi="Times New Roman"/>
          <w:sz w:val="22"/>
          <w:szCs w:val="22"/>
          <w:color w:val="auto"/>
        </w:rPr>
        <w:t>” shall mean, as to any Revolving Lender at any time, an amount equal to the sum of (a) the aggregate principal amount of all Revolving Loans held by such Lender then outstanding and (b) such Lender’s LC Exposure then outstanding.</w:t>
      </w:r>
    </w:p>
    <w:p>
      <w:pPr>
        <w:spacing w:after="0" w:line="173" w:lineRule="exact"/>
        <w:rPr>
          <w:sz w:val="20"/>
          <w:szCs w:val="20"/>
          <w:color w:val="auto"/>
        </w:rPr>
      </w:pPr>
    </w:p>
    <w:p>
      <w:pPr>
        <w:ind w:right="44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Facility Maturity Date</w:t>
      </w:r>
      <w:r>
        <w:rPr>
          <w:rFonts w:ascii="Times New Roman" w:cs="Times New Roman" w:eastAsia="Times New Roman" w:hAnsi="Times New Roman"/>
          <w:sz w:val="21"/>
          <w:szCs w:val="21"/>
          <w:color w:val="auto"/>
        </w:rPr>
        <w:t>” shall mean, with respect to any (a) Revolving Commitments that have not been extended pursuant to Section 2.26, March 24, 2029 and (b) Extended Revolving Commitments, the final maturity date therefor as specified in the applicable Extension Offer accepted by the respective Revolving Lender or Revolving Lenders.</w:t>
      </w:r>
    </w:p>
    <w:p>
      <w:pPr>
        <w:spacing w:after="0" w:line="151"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Facility Termination Date</w:t>
      </w:r>
      <w:r>
        <w:rPr>
          <w:rFonts w:ascii="Times New Roman" w:cs="Times New Roman" w:eastAsia="Times New Roman" w:hAnsi="Times New Roman"/>
          <w:sz w:val="22"/>
          <w:szCs w:val="22"/>
          <w:color w:val="auto"/>
        </w:rPr>
        <w:t>” shall mean the earlier to occur of (a) the Revolving Facility Maturity Date with respect to the applicable Revolving Commitments, (b) the acceleration of the Loans (if any) and the termination of the Revolving Commitments in accordance with the terms hereof and (c) the termination of the applicable Revolving Commitments as a whole pursuant to Section 2.09.</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shall mean each Lender having a Revolving Commitment.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shall have the meaning set forth in Section 2.01(a).</w:t>
      </w:r>
    </w:p>
    <w:p>
      <w:pPr>
        <w:spacing w:after="0" w:line="220" w:lineRule="exact"/>
        <w:rPr>
          <w:sz w:val="20"/>
          <w:szCs w:val="20"/>
          <w:color w:val="auto"/>
        </w:rPr>
      </w:pPr>
    </w:p>
    <w:p>
      <w:pPr>
        <w:jc w:val="both"/>
        <w:ind w:right="4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Percentage</w:t>
      </w:r>
      <w:r>
        <w:rPr>
          <w:rFonts w:ascii="Times New Roman" w:cs="Times New Roman" w:eastAsia="Times New Roman" w:hAnsi="Times New Roman"/>
          <w:sz w:val="22"/>
          <w:szCs w:val="22"/>
          <w:color w:val="auto"/>
        </w:rPr>
        <w:t>” shall mean, with respect to each Revolving Lender, determined as of the date of each advance of a Revolving Loan and prior to giving effect thereto, the percentage determined by dividing (i) the Revolving Commitment of such Revolving Lender minus the Revolving Extensions of Credit of such Revolving Lender by (ii) the Total Revolving Commitments minus the Total Revolving Extensions of Credit.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shall mean Standard &amp; Poor’s, a division of The McGraw-Hill Companies, Inc.</w:t>
      </w:r>
    </w:p>
    <w:p>
      <w:pPr>
        <w:spacing w:after="0" w:line="220"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 country, territory or region that is itself the subject or target of Sanctions broadly prohibiting dealings with such country, territory or region (as of the date hereof, Cuba, Iran, North Korea, Syria, and the Crimea, Donetsk People’s Republic, and Luhansk People’s Republic regions of Ukraine).</w:t>
      </w:r>
    </w:p>
    <w:p>
      <w:pPr>
        <w:spacing w:after="0" w:line="186"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(a) listed on any Sanctions-related list of designated Persons maintained by any Sanctions Authority (including the Specially Designated Nationals and Blocked Persons List maintained by OFAC); (b) organized, incorporated or resident in a Sanctioned Country; or (c) directly or indirectly owned fifty percent (50%) or more by, or controlled by, any Person described in clauses (a) or (b); or (d) that is otherwise the subject of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91" w:name="page92"/>
    <w:bookmarkEnd w:id="91"/>
    <w:p>
      <w:pPr>
        <w:ind w:right="6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and all economic or financial sanctions and trade embargoes administered, enacted, imposed or enforced by any Sanctions Authority.</w:t>
      </w:r>
    </w:p>
    <w:p>
      <w:pPr>
        <w:spacing w:after="0" w:line="158"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Authority</w:t>
      </w:r>
      <w:r>
        <w:rPr>
          <w:rFonts w:ascii="Times New Roman" w:cs="Times New Roman" w:eastAsia="Times New Roman" w:hAnsi="Times New Roman"/>
          <w:sz w:val="22"/>
          <w:szCs w:val="22"/>
          <w:color w:val="auto"/>
        </w:rPr>
        <w:t>” means, individually and collectively, (a) the United States of America, (b) the European Union, (c) the United Kingdom, (d) the relevant governmental institutions and agencies of any of the foregoing, including OFAC, the U.S. Department of State, and His Majesty’s Treasury and (e) the United Nations Security Council.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United States Securities and Exchange Commission.</w:t>
      </w:r>
    </w:p>
    <w:p>
      <w:pPr>
        <w:spacing w:after="0" w:line="220"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means 11 U.S.C. Section 1110 of the Bankruptcy Code or any successor or analogous section of the federal bankruptcy law in effect from time to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mean the Administrative Agent, Security Trustee, the Issuing Lenders and the Lenders.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Trustee</w:t>
      </w:r>
      <w:r>
        <w:rPr>
          <w:rFonts w:ascii="Times New Roman" w:cs="Times New Roman" w:eastAsia="Times New Roman" w:hAnsi="Times New Roman"/>
          <w:sz w:val="22"/>
          <w:szCs w:val="22"/>
          <w:color w:val="auto"/>
        </w:rPr>
        <w:t>” shall have the meaning set forth in the first paragraph of this Agreement.</w:t>
      </w:r>
    </w:p>
    <w:p>
      <w:pPr>
        <w:spacing w:after="0" w:line="22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of the Borrower that would be a “significant subsidiary” as defined in Article 1, Rule 1-02 of Regulation S-X, promulgated pursuant to the Securities Act, as such Regulation is in effect on the date of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Breakage</w:t>
      </w:r>
      <w:r>
        <w:rPr>
          <w:rFonts w:ascii="Times New Roman" w:cs="Times New Roman" w:eastAsia="Times New Roman" w:hAnsi="Times New Roman"/>
          <w:sz w:val="22"/>
          <w:szCs w:val="22"/>
          <w:color w:val="auto"/>
        </w:rPr>
        <w:t>” means any amount payable by the Borrower to any Lender pursuant to Section 2.13(a).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 Loan that bears interest at a rate based on Term SOFR.</w:t>
      </w:r>
    </w:p>
    <w:p>
      <w:pPr>
        <w:spacing w:after="0" w:line="233"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Tranche</w:t>
      </w:r>
      <w:r>
        <w:rPr>
          <w:rFonts w:ascii="Times New Roman" w:cs="Times New Roman" w:eastAsia="Times New Roman" w:hAnsi="Times New Roman"/>
          <w:sz w:val="22"/>
          <w:szCs w:val="22"/>
          <w:color w:val="auto"/>
        </w:rPr>
        <w:t>” shall mean the collective reference to SOFR Loans under the Facility the then current Interest Periods with respect to all of which begin on the same date and end on the same later date (whether or not such Loans shall originally have been made on the same day).</w:t>
      </w:r>
    </w:p>
    <w:p>
      <w:pPr>
        <w:spacing w:after="0" w:line="173" w:lineRule="exact"/>
        <w:rPr>
          <w:sz w:val="20"/>
          <w:szCs w:val="20"/>
          <w:color w:val="auto"/>
        </w:rPr>
      </w:pPr>
    </w:p>
    <w:p>
      <w:pPr>
        <w:jc w:val="both"/>
        <w:ind w:right="3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Spare Parts</w:t>
      </w:r>
      <w:r>
        <w:rPr>
          <w:rFonts w:ascii="Times New Roman" w:cs="Times New Roman" w:eastAsia="Times New Roman" w:hAnsi="Times New Roman"/>
          <w:sz w:val="22"/>
          <w:szCs w:val="22"/>
          <w:color w:val="auto"/>
        </w:rPr>
        <w:t>” shall mean all accessories, appurtenances, or parts of an Aircraft (except an Engine or Propeller), Engine (except a Propeller), Propeller, or Appliance, that are to be installed at a later time in an Aircraft, Engine, Propeller or Appliance.</w:t>
      </w:r>
    </w:p>
    <w:p>
      <w:pPr>
        <w:spacing w:after="0" w:line="167" w:lineRule="exact"/>
        <w:rPr>
          <w:sz w:val="20"/>
          <w:szCs w:val="20"/>
          <w:color w:val="auto"/>
        </w:rPr>
      </w:pPr>
    </w:p>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Spare Parts Security Agreement</w:t>
      </w:r>
      <w:r>
        <w:rPr>
          <w:rFonts w:ascii="Times New Roman" w:cs="Times New Roman" w:eastAsia="Times New Roman" w:hAnsi="Times New Roman"/>
          <w:sz w:val="22"/>
          <w:szCs w:val="22"/>
          <w:color w:val="auto"/>
        </w:rPr>
        <w:t>” means the Mortgage and Security Agreement (Spare Parts), entered into or to be entered into, as the case may be, by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20"/>
          </w:cols>
          <w:pgMar w:left="320" w:top="1422" w:right="359" w:bottom="1440" w:gutter="0" w:footer="0" w:header="0"/>
        </w:sectPr>
      </w:pPr>
    </w:p>
    <w:bookmarkStart w:id="92" w:name="page93"/>
    <w:bookmarkEnd w:id="92"/>
    <w:p>
      <w:pPr>
        <w:jc w:val="both"/>
        <w:ind w:right="380"/>
        <w:spacing w:after="0" w:line="257" w:lineRule="auto"/>
        <w:rPr>
          <w:sz w:val="20"/>
          <w:szCs w:val="20"/>
          <w:color w:val="auto"/>
        </w:rPr>
      </w:pPr>
      <w:r>
        <w:rPr>
          <w:rFonts w:ascii="Times New Roman" w:cs="Times New Roman" w:eastAsia="Times New Roman" w:hAnsi="Times New Roman"/>
          <w:sz w:val="22"/>
          <w:szCs w:val="22"/>
          <w:color w:val="auto"/>
        </w:rPr>
        <w:t>Security Trustee in substantially the form attached as Exhibit C (or in such other form as may be reasonably acceptable to the Administrative Agent and the Borrower), as it may be amended, restated, modified, supplemented, extended or amended and restated from time to time.</w:t>
      </w:r>
    </w:p>
    <w:p>
      <w:pPr>
        <w:spacing w:after="0" w:line="186" w:lineRule="exact"/>
        <w:rPr>
          <w:sz w:val="20"/>
          <w:szCs w:val="20"/>
          <w:color w:val="auto"/>
        </w:rPr>
      </w:pPr>
    </w:p>
    <w:p>
      <w:pPr>
        <w:ind w:right="26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Item</w:t>
      </w:r>
      <w:r>
        <w:rPr>
          <w:rFonts w:ascii="Times New Roman" w:cs="Times New Roman" w:eastAsia="Times New Roman" w:hAnsi="Times New Roman"/>
          <w:sz w:val="21"/>
          <w:szCs w:val="21"/>
          <w:color w:val="auto"/>
        </w:rPr>
        <w:t>” means any expenses or revenues identified as “Special Items” (or any similar term) in the Borrower’s Annual Report on Form 10-K, Quarterly Report on Form 10-Q or Current Report on Form 8-K filed with the SEC.</w:t>
      </w:r>
    </w:p>
    <w:p>
      <w:pPr>
        <w:spacing w:after="0" w:line="135"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Collateral</w:t>
      </w:r>
      <w:r>
        <w:rPr>
          <w:rFonts w:ascii="Times New Roman" w:cs="Times New Roman" w:eastAsia="Times New Roman" w:hAnsi="Times New Roman"/>
          <w:sz w:val="22"/>
          <w:szCs w:val="22"/>
          <w:color w:val="auto"/>
        </w:rPr>
        <w:t>” shall mean Collateral consisting of Eligible Aircraft, Eligible Engines, Eligible Spare Parts or Eligible Inventory.</w:t>
      </w:r>
    </w:p>
    <w:p>
      <w:pPr>
        <w:spacing w:after="0" w:line="158"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Effective Date, and will not include any contingent obligations to repay, redeem or repurchase any such interest or principal prior to the date originally scheduled for the payment thereof.</w:t>
      </w:r>
    </w:p>
    <w:p>
      <w:pPr>
        <w:spacing w:after="0" w:line="176" w:lineRule="exact"/>
        <w:rPr>
          <w:sz w:val="20"/>
          <w:szCs w:val="20"/>
          <w:color w:val="auto"/>
        </w:rPr>
      </w:pPr>
    </w:p>
    <w:p>
      <w:pPr>
        <w:ind w:right="6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Structuring Fee Letter</w:t>
      </w:r>
      <w:r>
        <w:rPr>
          <w:rFonts w:ascii="Times New Roman" w:cs="Times New Roman" w:eastAsia="Times New Roman" w:hAnsi="Times New Roman"/>
          <w:sz w:val="22"/>
          <w:szCs w:val="22"/>
          <w:color w:val="auto"/>
        </w:rPr>
        <w:t>” means the Structuring Fee Letter, dated the date hereof, between the Borrower and MUFG Bank, Ltd., as structuring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with respect to any Person</w:t>
      </w:r>
    </w:p>
    <w:p>
      <w:pPr>
        <w:spacing w:after="0" w:line="233" w:lineRule="exact"/>
        <w:rPr>
          <w:sz w:val="20"/>
          <w:szCs w:val="20"/>
          <w:color w:val="auto"/>
        </w:rPr>
      </w:pPr>
    </w:p>
    <w:p>
      <w:pPr>
        <w:ind w:left="660" w:firstLine="1292"/>
        <w:spacing w:after="0" w:line="251" w:lineRule="auto"/>
        <w:tabs>
          <w:tab w:leader="none" w:pos="242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81" w:lineRule="exact"/>
        <w:rPr>
          <w:rFonts w:ascii="Times New Roman" w:cs="Times New Roman" w:eastAsia="Times New Roman" w:hAnsi="Times New Roman"/>
          <w:sz w:val="22"/>
          <w:szCs w:val="22"/>
          <w:color w:val="auto"/>
        </w:rPr>
      </w:pPr>
    </w:p>
    <w:p>
      <w:pPr>
        <w:ind w:left="660" w:firstLine="1292"/>
        <w:spacing w:after="0" w:line="261" w:lineRule="auto"/>
        <w:tabs>
          <w:tab w:leader="none" w:pos="242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 such entity.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Unless the context otherwise requires, "Subsidiary" shall mean a Subsidiary of the Borrower.</w:t>
      </w:r>
    </w:p>
    <w:p>
      <w:pPr>
        <w:spacing w:after="0" w:line="220" w:lineRule="exact"/>
        <w:rPr>
          <w:sz w:val="20"/>
          <w:szCs w:val="20"/>
          <w:color w:val="auto"/>
        </w:rPr>
      </w:pPr>
    </w:p>
    <w:p>
      <w:pPr>
        <w:ind w:right="20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the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20"/>
          </w:cols>
          <w:pgMar w:left="320" w:top="1422" w:right="359" w:bottom="1440" w:gutter="0" w:footer="0" w:header="0"/>
        </w:sectPr>
      </w:pPr>
    </w:p>
    <w:bookmarkStart w:id="93" w:name="page94"/>
    <w:bookmarkEnd w:id="93"/>
    <w:p>
      <w:pPr>
        <w:ind w:right="4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Indemnitee</w:t>
      </w:r>
      <w:r>
        <w:rPr>
          <w:rFonts w:ascii="Times New Roman" w:cs="Times New Roman" w:eastAsia="Times New Roman" w:hAnsi="Times New Roman"/>
          <w:sz w:val="22"/>
          <w:szCs w:val="22"/>
          <w:color w:val="auto"/>
        </w:rPr>
        <w:t>” shall mean each Lender, the Administrative Agent, the Security Trustee and their respective Affiliates, successors and permitted assigns.</w:t>
      </w:r>
    </w:p>
    <w:p>
      <w:pPr>
        <w:spacing w:after="0" w:line="158"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Indemnitee Related Parties</w:t>
      </w:r>
      <w:r>
        <w:rPr>
          <w:rFonts w:ascii="Times New Roman" w:cs="Times New Roman" w:eastAsia="Times New Roman" w:hAnsi="Times New Roman"/>
          <w:sz w:val="22"/>
          <w:szCs w:val="22"/>
          <w:color w:val="auto"/>
        </w:rPr>
        <w:t>” shall mean, with respect to a Tax Indemnitee, if such person is an Affiliate or employer of such Tax Indemnitee, a director, officer, employee, agent, or servant of such Tax Indemnitee or any such Affiliate or successor or permitted assign of any of the foregoing.</w:t>
      </w:r>
    </w:p>
    <w:p>
      <w:pPr>
        <w:spacing w:after="0" w:line="167"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Receivable Agreement</w:t>
      </w:r>
      <w:r>
        <w:rPr>
          <w:rFonts w:ascii="Times New Roman" w:cs="Times New Roman" w:eastAsia="Times New Roman" w:hAnsi="Times New Roman"/>
          <w:sz w:val="22"/>
          <w:szCs w:val="22"/>
          <w:color w:val="auto"/>
        </w:rPr>
        <w:t>” means that certain income tax receivable agreement dated as of March 19, 2021 between the Guarantor and Guarantor’s holders of common stock.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Receivable Agreement Obligations</w:t>
      </w:r>
      <w:r>
        <w:rPr>
          <w:rFonts w:ascii="Times New Roman" w:cs="Times New Roman" w:eastAsia="Times New Roman" w:hAnsi="Times New Roman"/>
          <w:sz w:val="22"/>
          <w:szCs w:val="22"/>
          <w:color w:val="auto"/>
        </w:rPr>
        <w:t>” means all payment obligations owed pursuant to the Tax Receivable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7" w:lineRule="exact"/>
        <w:rPr>
          <w:sz w:val="20"/>
          <w:szCs w:val="20"/>
          <w:color w:val="auto"/>
        </w:rPr>
      </w:pPr>
    </w:p>
    <w:p>
      <w:pPr>
        <w:ind w:right="5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shall mean any and all present or future taxes, levies, imposts, duties, assessments, fees, deductions, charges or withholdings (including backup withholding) imposed by any Governmental Authority including any interest, additions to tax or penalties applicable thereto.</w:t>
      </w:r>
    </w:p>
    <w:p>
      <w:pPr>
        <w:spacing w:after="0" w:line="17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 the Term SOFR Reference Rate for a tenor comparable to the applicable Interest Period on the day (such day, the “</w:t>
      </w:r>
      <w:r>
        <w:rPr>
          <w:rFonts w:ascii="Times New Roman" w:cs="Times New Roman" w:eastAsia="Times New Roman" w:hAnsi="Times New Roman"/>
          <w:sz w:val="21"/>
          <w:szCs w:val="21"/>
          <w:u w:val="single" w:color="auto"/>
          <w:color w:val="auto"/>
        </w:rPr>
        <w:t>Periodic Term SOFR Determination Day</w:t>
      </w:r>
      <w:r>
        <w:rPr>
          <w:rFonts w:ascii="Times New Roman" w:cs="Times New Roman" w:eastAsia="Times New Roman" w:hAnsi="Times New Roman"/>
          <w:sz w:val="21"/>
          <w:szCs w:val="21"/>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Term SOFR determined as provided above (including pursuant to the preceding proviso) shall ever be less than the Floor, then Term SOFR shall be deemed to be the Floor.</w:t>
      </w:r>
    </w:p>
    <w:p>
      <w:pPr>
        <w:spacing w:after="0" w:line="176"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(acting on the instructions of the Required Lenders) in its reasonable discretion).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mean, with respect to any Revolving Loans, the Revolving Facility Termination Date applicable to the related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20"/>
          </w:cols>
          <w:pgMar w:left="320" w:top="1422" w:right="359" w:bottom="1440" w:gutter="0" w:footer="0" w:header="0"/>
        </w:sectPr>
      </w:pPr>
    </w:p>
    <w:bookmarkStart w:id="94" w:name="page95"/>
    <w:bookmarkEnd w:id="94"/>
    <w:p>
      <w:pPr>
        <w:ind w:right="18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shall mean, on any date of determination, the period of four consecutive fiscal quarters of the Borrower then most recently ended (taken as one accounting period) for which financial statements have been (or were required to be) delivered pursuant to Section 5.01(a) or 5.01(b) and, initially, the four fiscal quarter period ending on the last day of the first full fiscal quarter ending after the Effective Date.</w:t>
      </w:r>
    </w:p>
    <w:p>
      <w:pPr>
        <w:spacing w:after="0" w:line="176"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14</w:t>
      </w:r>
      <w:r>
        <w:rPr>
          <w:rFonts w:ascii="Times New Roman" w:cs="Times New Roman" w:eastAsia="Times New Roman" w:hAnsi="Times New Roman"/>
          <w:sz w:val="22"/>
          <w:szCs w:val="22"/>
          <w:color w:val="auto"/>
        </w:rPr>
        <w:t>” means Title 14 of the U.S. Code of Federal Regulations, including Part 93, Subparts K and S thereof, as amended from time to time or any successor or recodified regulation.</w:t>
      </w:r>
    </w:p>
    <w:p>
      <w:pPr>
        <w:spacing w:after="0" w:line="158" w:lineRule="exact"/>
        <w:rPr>
          <w:sz w:val="20"/>
          <w:szCs w:val="20"/>
          <w:color w:val="auto"/>
        </w:rPr>
      </w:pPr>
    </w:p>
    <w:p>
      <w:pPr>
        <w:jc w:val="both"/>
        <w:ind w:right="2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49</w:t>
      </w:r>
      <w:r>
        <w:rPr>
          <w:rFonts w:ascii="Times New Roman" w:cs="Times New Roman" w:eastAsia="Times New Roman" w:hAnsi="Times New Roman"/>
          <w:sz w:val="22"/>
          <w:szCs w:val="22"/>
          <w:color w:val="auto"/>
        </w:rPr>
        <w:t>” shall mean Title 49 of the United States Code, which, among other things, recodified and replaced the U.S. Federal Aviation Act of 1958, and the rules and regulations promulgated pursuant thereto, and any subsequent legislation that amends, supplements or supersedes such provisions.</w:t>
      </w:r>
    </w:p>
    <w:p>
      <w:pPr>
        <w:spacing w:after="0" w:line="167"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Collateral Coverage Ratio</w:t>
      </w:r>
      <w:r>
        <w:rPr>
          <w:rFonts w:ascii="Times New Roman" w:cs="Times New Roman" w:eastAsia="Times New Roman" w:hAnsi="Times New Roman"/>
          <w:sz w:val="22"/>
          <w:szCs w:val="22"/>
          <w:color w:val="auto"/>
        </w:rPr>
        <w:t xml:space="preserve">” shall mean the ratio of (i) the aggregate Appraised Value of all Specified Collateral that is Eligible Collateral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Certified Value of all Pledged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Pledged Cash and Cash Equivalents to (ii) the sum, without duplication, of (w) the Total Revolving Extensions of Credit then outstanding (other than LC Exposure that has been Cash Collateralized in accordance with Section 2.02(k)),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(x) the aggregate amount of all Designated Hedging Obligations that constitute “Obligations” then outstanding, plus (y) the aggregate outstanding principal amount of Junior Secured Debt.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Obligations</w:t>
      </w:r>
      <w:r>
        <w:rPr>
          <w:rFonts w:ascii="Times New Roman" w:cs="Times New Roman" w:eastAsia="Times New Roman" w:hAnsi="Times New Roman"/>
          <w:sz w:val="22"/>
          <w:szCs w:val="22"/>
          <w:color w:val="auto"/>
        </w:rPr>
        <w:t>” shall have the meaning provided in the definition of “Collateral Coverage Ratio”.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Commitment</w:t>
      </w:r>
      <w:r>
        <w:rPr>
          <w:rFonts w:ascii="Times New Roman" w:cs="Times New Roman" w:eastAsia="Times New Roman" w:hAnsi="Times New Roman"/>
          <w:sz w:val="22"/>
          <w:szCs w:val="22"/>
          <w:color w:val="auto"/>
        </w:rPr>
        <w:t>” shall mean, at any time, the sum of the Revolving Commitments at such time.</w:t>
      </w:r>
    </w:p>
    <w:p>
      <w:pPr>
        <w:spacing w:after="0" w:line="220" w:lineRule="exact"/>
        <w:rPr>
          <w:sz w:val="20"/>
          <w:szCs w:val="20"/>
          <w:color w:val="auto"/>
        </w:rPr>
      </w:pPr>
    </w:p>
    <w:p>
      <w:pPr>
        <w:ind w:right="10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Extensions of Credit</w:t>
      </w:r>
      <w:r>
        <w:rPr>
          <w:rFonts w:ascii="Times New Roman" w:cs="Times New Roman" w:eastAsia="Times New Roman" w:hAnsi="Times New Roman"/>
          <w:sz w:val="22"/>
          <w:szCs w:val="22"/>
          <w:color w:val="auto"/>
        </w:rPr>
        <w:t>” shall mean, at any time, the aggregate amount of the Revolving Extensions of Credit of the Revolving Lenders outstanding at such time.</w:t>
      </w:r>
    </w:p>
    <w:p>
      <w:pPr>
        <w:spacing w:after="0" w:line="17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shall mean any fees or expenses incurred or paid by the Borrower or any of the Subsidiaries or any of their Affiliates in connection with the Transactions, this Agreement and the other Loan Documents, and the transactions contemplated hereby and thereby.</w:t>
      </w:r>
    </w:p>
    <w:p>
      <w:pPr>
        <w:spacing w:after="0" w:line="173"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mean the execution, delivery and performance by the Borrower and Guarantor of this Agreement and the other Loan Documents to which they may be a party, the creation of the Liens in the Collateral in favor of the Security Trustee and/or the Administrative Agent for the benefit of the Secured Parties, the borrowing of Loans and the use of the proceeds thereof, and the request for and issuance of Letters of Credit hereunder.</w:t>
      </w:r>
    </w:p>
    <w:p>
      <w:pPr>
        <w:spacing w:after="0" w:line="176"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95" w:name="page96"/>
    <w:bookmarkEnd w:id="95"/>
    <w:p>
      <w:pPr>
        <w:ind w:right="40"/>
        <w:spacing w:after="0" w:line="271" w:lineRule="auto"/>
        <w:rPr>
          <w:sz w:val="20"/>
          <w:szCs w:val="20"/>
          <w:color w:val="auto"/>
        </w:rPr>
      </w:pPr>
      <w:r>
        <w:rPr>
          <w:rFonts w:ascii="Times New Roman" w:cs="Times New Roman" w:eastAsia="Times New Roman" w:hAnsi="Times New Roman"/>
          <w:sz w:val="22"/>
          <w:szCs w:val="22"/>
          <w:color w:val="auto"/>
        </w:rPr>
        <w:t>Association recommends that the fixed income departments of its members be closed for the entire day for purposes of trading in United States government securities.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shall mean the Uniform Commercial Code as in effect from time to time in any applicable jurisdiction.</w:t>
      </w:r>
    </w:p>
    <w:p>
      <w:pPr>
        <w:spacing w:after="0" w:line="233"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ind w:right="6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UMB</w:t>
      </w:r>
      <w:r>
        <w:rPr>
          <w:rFonts w:ascii="Times New Roman" w:cs="Times New Roman" w:eastAsia="Times New Roman" w:hAnsi="Times New Roman"/>
          <w:sz w:val="22"/>
          <w:szCs w:val="22"/>
          <w:color w:val="auto"/>
        </w:rPr>
        <w:t>” has the meaning set forth in the first paragraph of this Agreement.</w:t>
      </w:r>
    </w:p>
    <w:p>
      <w:pPr>
        <w:spacing w:after="0" w:line="220" w:lineRule="exact"/>
        <w:rPr>
          <w:sz w:val="20"/>
          <w:szCs w:val="20"/>
          <w:color w:val="auto"/>
        </w:rPr>
      </w:pPr>
    </w:p>
    <w:p>
      <w:pPr>
        <w:ind w:right="5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“U.S.” mean the United States of America.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 Citizen</w:t>
      </w:r>
      <w:r>
        <w:rPr>
          <w:rFonts w:ascii="Times New Roman" w:cs="Times New Roman" w:eastAsia="Times New Roman" w:hAnsi="Times New Roman"/>
          <w:sz w:val="22"/>
          <w:szCs w:val="22"/>
          <w:color w:val="auto"/>
        </w:rPr>
        <w:t>” shall have the meaning set forth in Section 3.02.</w:t>
      </w:r>
    </w:p>
    <w:p>
      <w:pPr>
        <w:spacing w:after="0" w:line="220"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Total Revolving Commitment</w:t>
      </w:r>
      <w:r>
        <w:rPr>
          <w:rFonts w:ascii="Times New Roman" w:cs="Times New Roman" w:eastAsia="Times New Roman" w:hAnsi="Times New Roman"/>
          <w:sz w:val="22"/>
          <w:szCs w:val="22"/>
          <w:color w:val="auto"/>
        </w:rPr>
        <w:t>” shall mean, at any time, (a) the Total Revolving Commitment less (b) the Total Revolving Extensions of Credit.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Upfront Fee Letter</w:t>
      </w:r>
      <w:r>
        <w:rPr>
          <w:rFonts w:ascii="Times New Roman" w:cs="Times New Roman" w:eastAsia="Times New Roman" w:hAnsi="Times New Roman"/>
          <w:sz w:val="22"/>
          <w:szCs w:val="22"/>
          <w:color w:val="auto"/>
        </w:rPr>
        <w:t>” means the Upfront Fee Letter, dated the date hereof, between the Borrower and the initial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209"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any specified Person as of any date means the Capital Stock of such Person that is at the time entitled to vote in the election of the Board of Directors of such Person.</w:t>
      </w:r>
    </w:p>
    <w:p>
      <w:pPr>
        <w:spacing w:after="0" w:line="158"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00"/>
          </w:cols>
          <w:pgMar w:left="320" w:top="1422" w:right="379" w:bottom="1440" w:gutter="0" w:footer="0" w:header="0"/>
        </w:sectPr>
      </w:pPr>
    </w:p>
    <w:bookmarkStart w:id="96" w:name="page97"/>
    <w:bookmarkEnd w:id="96"/>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 the actual knowledge of any Responsible Officer of the Borrower or the Guarantor, respectively.</w:t>
      </w:r>
    </w:p>
    <w:p>
      <w:pPr>
        <w:spacing w:after="0" w:line="151"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the Borrower’s consolidated financial condition shall be the same after such accounting changes as if such accounting changes had not occurred.</w:t>
      </w:r>
    </w:p>
    <w:p>
      <w:pPr>
        <w:spacing w:after="0" w:line="152"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with respect to any Person that is a limited liability company formed under Delaware law (or any comparable event under the applicable laws of any other relevant jurisdiction): (a) if any asset, right, obligation or liability of any Person becomes the asset, right, obligation or liability of a different Person, then it shall be deemed to have been transferred from the original Person to the subsequent Person, and (b) if any new Person comes into existence as a result of such division or plan of division (or such other comparable event), such new Person shall be deemed to have been organized and acquired on the first date of its existence by the holders of its Equity Interests at such time.</w:t>
      </w:r>
    </w:p>
    <w:p>
      <w:pPr>
        <w:spacing w:after="0" w:line="156"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Rates</w:t>
      </w:r>
      <w:r>
        <w:rPr>
          <w:rFonts w:ascii="Times New Roman" w:cs="Times New Roman" w:eastAsia="Times New Roman" w:hAnsi="Times New Roman"/>
          <w:sz w:val="22"/>
          <w:szCs w:val="22"/>
          <w:color w:val="auto"/>
        </w:rPr>
        <w:t>.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00"/>
          </w:cols>
          <w:pgMar w:left="320" w:top="1395" w:right="379" w:bottom="1440" w:gutter="0" w:footer="0" w:header="0"/>
        </w:sectPr>
      </w:pPr>
    </w:p>
    <w:bookmarkStart w:id="97" w:name="page98"/>
    <w:bookmarkEnd w:id="97"/>
    <w:p>
      <w:pPr>
        <w:ind w:right="20"/>
        <w:spacing w:after="0" w:line="210" w:lineRule="auto"/>
        <w:rPr>
          <w:sz w:val="20"/>
          <w:szCs w:val="20"/>
          <w:color w:val="auto"/>
        </w:rPr>
      </w:pPr>
      <w:r>
        <w:rPr>
          <w:rFonts w:ascii="Times New Roman" w:cs="Times New Roman" w:eastAsia="Times New Roman" w:hAnsi="Times New Roman"/>
          <w:sz w:val="22"/>
          <w:szCs w:val="22"/>
          <w:color w:val="auto"/>
        </w:rPr>
        <w:t>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AMOUNT AND TERMS OF CREDIT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 of the Lenders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1"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Commitments</w:t>
      </w:r>
      <w:r>
        <w:rPr>
          <w:rFonts w:ascii="Times New Roman" w:cs="Times New Roman" w:eastAsia="Times New Roman" w:hAnsi="Times New Roman"/>
          <w:sz w:val="22"/>
          <w:szCs w:val="22"/>
          <w:color w:val="auto"/>
        </w:rPr>
        <w:t>. (i) Each Revolving Lender severally, and not jointly with the other Revolving Lenders, agrees, upon the terms and subject to the conditions herein set forth, to make revolving credit loans denominated in Dollars (each, a “</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xml:space="preserve">”) to the Borrower at any time and from time to time during the Revolving Availability Period in an aggregate outstanding principal amount not to exceed, when added to such Revolving Lender’s LC Exposure (if any),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 (ii) Each Borrowing of a Revolving Loan shall be made from the Revolving Lenders based upon each Revolving Lender’s Revolving Loan Percentage of such Revolving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Lender to make any Revolving Loan shall not in itself relieve the other Revolving Lenders of their obligations to lend.</w:t>
      </w:r>
    </w:p>
    <w:p>
      <w:pPr>
        <w:spacing w:after="0" w:line="151" w:lineRule="exact"/>
        <w:rPr>
          <w:rFonts w:ascii="Times New Roman" w:cs="Times New Roman" w:eastAsia="Times New Roman" w:hAnsi="Times New Roman"/>
          <w:sz w:val="22"/>
          <w:szCs w:val="22"/>
          <w:color w:val="auto"/>
        </w:rPr>
      </w:pPr>
    </w:p>
    <w:p>
      <w:pPr>
        <w:ind w:right="500" w:firstLine="656"/>
        <w:spacing w:after="0" w:line="225"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Borrowing</w:t>
      </w:r>
      <w:r>
        <w:rPr>
          <w:rFonts w:ascii="Times New Roman" w:cs="Times New Roman" w:eastAsia="Times New Roman" w:hAnsi="Times New Roman"/>
          <w:sz w:val="22"/>
          <w:szCs w:val="22"/>
          <w:color w:val="auto"/>
        </w:rPr>
        <w:t xml:space="preserve">. Each Lender at its option may make any SOFR Loan by causing any domestic or foreign branch or Affiliate of such Lender to make such SOFR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52" w:lineRule="exact"/>
        <w:rPr>
          <w:rFonts w:ascii="Times New Roman" w:cs="Times New Roman" w:eastAsia="Times New Roman" w:hAnsi="Times New Roman"/>
          <w:sz w:val="22"/>
          <w:szCs w:val="22"/>
          <w:color w:val="auto"/>
        </w:rPr>
      </w:pPr>
    </w:p>
    <w:p>
      <w:pPr>
        <w:ind w:right="60" w:firstLine="656"/>
        <w:spacing w:after="0" w:line="236"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of Borrowing</w:t>
      </w:r>
      <w:r>
        <w:rPr>
          <w:rFonts w:ascii="Times New Roman" w:cs="Times New Roman" w:eastAsia="Times New Roman" w:hAnsi="Times New Roman"/>
          <w:sz w:val="22"/>
          <w:szCs w:val="22"/>
          <w:color w:val="auto"/>
        </w:rPr>
        <w:t>. At the commencement of each Interest Period for any Borrowing, such Borrowing shall be in an aggregate amount that is in an integral multiple of $100,000 and not less than $500,000.</w:t>
      </w:r>
    </w:p>
    <w:p>
      <w:pPr>
        <w:spacing w:after="0" w:line="150" w:lineRule="exact"/>
        <w:rPr>
          <w:rFonts w:ascii="Times New Roman" w:cs="Times New Roman" w:eastAsia="Times New Roman" w:hAnsi="Times New Roman"/>
          <w:sz w:val="22"/>
          <w:szCs w:val="22"/>
          <w:color w:val="auto"/>
        </w:rPr>
      </w:pPr>
    </w:p>
    <w:p>
      <w:pPr>
        <w:ind w:right="240" w:firstLine="656"/>
        <w:spacing w:after="0" w:line="220"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Interest Period</w:t>
      </w:r>
      <w:r>
        <w:rPr>
          <w:rFonts w:ascii="Times New Roman" w:cs="Times New Roman" w:eastAsia="Times New Roman" w:hAnsi="Times New Roman"/>
          <w:sz w:val="22"/>
          <w:szCs w:val="22"/>
          <w:color w:val="auto"/>
        </w:rPr>
        <w:t>. Notwithstanding any other provision of this Agreement, the Borrower shall not be entitled to request, or to elect to convert or continue, any Borrowing of a Revolving Loan if the Interest Period requested with respect thereto would end after the Revolving Facility Maturity Date (determined as of the date of such request) with respect to the applicable Revolving Commitments.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98" w:name="page99"/>
    <w:bookmarkEnd w:id="98"/>
    <w:p>
      <w:pPr>
        <w:ind w:left="-220" w:right="100" w:firstLine="656"/>
        <w:spacing w:after="0" w:line="224" w:lineRule="auto"/>
        <w:tabs>
          <w:tab w:leader="none" w:pos="107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terms and conditions set forth herein, the Borrower may request the issuance of (and, subject to the penultimate sentence of clause (b) below, the applicable Issuing Lender shall issue) Letters of Credit in Dollars, at any time and from time to time during the Revolving Availability Period, in each case, for the Borrower’s own account or the account of any other Subsidiary of the Borrower, in a form reasonably acceptable to the Administrative Agent, such Issuing Lender and the Borrower.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w:t>
      </w:r>
    </w:p>
    <w:p>
      <w:pPr>
        <w:spacing w:after="0" w:line="150" w:lineRule="exact"/>
        <w:rPr>
          <w:rFonts w:ascii="Times New Roman" w:cs="Times New Roman" w:eastAsia="Times New Roman" w:hAnsi="Times New Roman"/>
          <w:sz w:val="21"/>
          <w:szCs w:val="21"/>
          <w:color w:val="auto"/>
        </w:rPr>
      </w:pPr>
    </w:p>
    <w:p>
      <w:pPr>
        <w:ind w:left="-220" w:right="40" w:firstLine="656"/>
        <w:spacing w:after="0" w:line="208" w:lineRule="auto"/>
        <w:tabs>
          <w:tab w:leader="none" w:pos="107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either provide (i) telephonic notice promptly followed by written notice or (ii) hand deliver or transmit by electronic communication to the applicable Issuing Lender and the Administrative Agent (at least two (2) Business Days in advance of the requested date of issuance, amendment, renewal or extension) a notice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(3) the amount of such Letter of Credit, (4) the name and address of the beneficiary thereof and (5) such other information as shall be necessary to prepare, amend, renew or extend such Letter of Credit. If requested by the applicable Issuing Lender, the Borrower also shall submit a letter of credit application on such Issuing Lender’s standard form in connection with any request for a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standard form (and/or any related reimbursement agreement) is inconsistent with the Loan Documents, the Loan Documents shall control. A Letter of Credit shall be issued, amended, renewed or extended only if (and upon issuance, amendment, renewal or extension of each Letter of Credit the Borrower shall be deemed to represent and warrant that), after giving effect to such issuance, amendment, renewal or extension, the Revolving Extensions of Credit of such Issuing Lender shall not exceed its Revolving Commitment. For the avoidance of doubt, no Issuing Lender will be required to issue a Letter of Credit without its consent.</w:t>
      </w:r>
    </w:p>
    <w:p>
      <w:pPr>
        <w:spacing w:after="0" w:line="164" w:lineRule="exact"/>
        <w:rPr>
          <w:rFonts w:ascii="Times New Roman" w:cs="Times New Roman" w:eastAsia="Times New Roman" w:hAnsi="Times New Roman"/>
          <w:sz w:val="22"/>
          <w:szCs w:val="22"/>
          <w:color w:val="auto"/>
        </w:rPr>
      </w:pPr>
    </w:p>
    <w:p>
      <w:pPr>
        <w:ind w:left="-220" w:firstLine="656"/>
        <w:spacing w:after="0" w:line="217" w:lineRule="auto"/>
        <w:tabs>
          <w:tab w:leader="none" w:pos="107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Each Letter of Credit shall expire at or prior to the close of business on the earlier of (i) the date that is one year after the date of the issuance of such Letter of Credit (or, in the case of any renewal or extension of the expiration date thereof, whether automatic or by amendment, one year after the then-current expiration date of such Letter of Credit) and (ii) the date that is five (5) Business Days prior to the Revolving Facility Maturity Date (determined as of the date of such request) with respect to the Revolving Commitments of the applicable Issuing Lender.</w:t>
      </w:r>
    </w:p>
    <w:p>
      <w:pPr>
        <w:spacing w:after="0" w:line="152" w:lineRule="exact"/>
        <w:rPr>
          <w:rFonts w:ascii="Times New Roman" w:cs="Times New Roman" w:eastAsia="Times New Roman" w:hAnsi="Times New Roman"/>
          <w:sz w:val="22"/>
          <w:szCs w:val="22"/>
          <w:color w:val="auto"/>
        </w:rPr>
      </w:pPr>
    </w:p>
    <w:p>
      <w:pPr>
        <w:ind w:left="-220" w:right="40" w:firstLine="656"/>
        <w:spacing w:after="0" w:line="211" w:lineRule="auto"/>
        <w:tabs>
          <w:tab w:leader="none" w:pos="107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Evergreen LCs</w:t>
      </w:r>
      <w:r>
        <w:rPr>
          <w:rFonts w:ascii="Times New Roman" w:cs="Times New Roman" w:eastAsia="Times New Roman" w:hAnsi="Times New Roman"/>
          <w:sz w:val="22"/>
          <w:szCs w:val="22"/>
          <w:color w:val="auto"/>
        </w:rPr>
        <w:t>. If the Borrower so requests in any notice requesting the issuance of a Letter of Credit (or the amendment of an outstanding Letter of Credit), the applicable Issuing Lender may, in its sole discretion, agree to issue a Letter of Credit that provides for automatic renewal (each, an “</w:t>
      </w:r>
      <w:r>
        <w:rPr>
          <w:rFonts w:ascii="Times New Roman" w:cs="Times New Roman" w:eastAsia="Times New Roman" w:hAnsi="Times New Roman"/>
          <w:sz w:val="22"/>
          <w:szCs w:val="22"/>
          <w:u w:val="single" w:color="auto"/>
          <w:color w:val="auto"/>
        </w:rPr>
        <w:t>Evergreen 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Issuing Lender may elect not to renew or extend any such Evergreen Letter of Credit by giving prior notice to the Borrower not later than the 45th day preceding the then-applicable expiry date of such Evergreen Letter of Credit (the “</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Once an Evergreen Letter of Credit has been issued, the Lenders shall be deemed to have authorized (but may not require) the applicable Issuing Lender to permit the extension of such Letter of Credit at any time to an expiration date not later than the date permitted pursuant to Section 2.02(c)(ii);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Issuing Lender shall not (i) permit any such extension if it has received notice (which may be in writing or by telephone (if promptly confirmed in writing)) on or before the day that is seven Business Days before the Non-Extension Notice Date from the Administrative Agent that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000"/>
          </w:cols>
          <w:pgMar w:left="540" w:top="1395" w:right="359" w:bottom="1440" w:gutter="0" w:footer="0" w:header="0"/>
        </w:sectPr>
      </w:pPr>
    </w:p>
    <w:bookmarkStart w:id="99" w:name="page100"/>
    <w:bookmarkEnd w:id="99"/>
    <w:p>
      <w:pPr>
        <w:ind w:right="80"/>
        <w:spacing w:after="0" w:line="213" w:lineRule="auto"/>
        <w:rPr>
          <w:sz w:val="20"/>
          <w:szCs w:val="20"/>
          <w:color w:val="auto"/>
        </w:rPr>
      </w:pPr>
      <w:r>
        <w:rPr>
          <w:rFonts w:ascii="Times New Roman" w:cs="Times New Roman" w:eastAsia="Times New Roman" w:hAnsi="Times New Roman"/>
          <w:sz w:val="22"/>
          <w:szCs w:val="22"/>
          <w:color w:val="auto"/>
        </w:rPr>
        <w:t>have elected not to permit such extension or (ii) be obligated to permit such extension if (A) such Issuing Lender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 (B) it has received notice (which may be in writing or by telephone (if promptly confirmed in writing)) on or before the day that is seven Business Days before the Non-Extension Notice Date from the Administrative Agent, any Lender or the Borrower that one or more of the applicable conditions set forth in Section 4.02(b), (c), (e), (h), and (i) is not then satisfied, and in each such case directing such Issuing Lender not to permit such extension.</w:t>
      </w:r>
    </w:p>
    <w:p>
      <w:pPr>
        <w:spacing w:after="0" w:line="156" w:lineRule="exact"/>
        <w:rPr>
          <w:sz w:val="20"/>
          <w:szCs w:val="20"/>
          <w:color w:val="auto"/>
        </w:rPr>
      </w:pPr>
    </w:p>
    <w:p>
      <w:pPr>
        <w:ind w:firstLine="656"/>
        <w:spacing w:after="0" w:line="212"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By the issuance of a Letter of Credit (or an amendment to a Letter of Credit increasing the amount or extending the term thereof), and without any further action on the part of the applicable Issuing Lender or the Lenders, such Issuing Lender hereby grants to each Lender, and each Lender hereby acquires from such Issuing Lender, a participation in such Letter of Credit equal to such Lender’s Revolving Commitment Percentage of the aggregate amount available to be drawn under such Letter of Credit. Each Lender acknowledges and agrees that its obligation to acquire participations pursuant to this paragraph in respect of Letters of Credit is absolute, unconditional and irrevocable and shall not be affected by any circumstance whatsoever, including any extension, reinstatement or other amendment of any Letter of Credit or the occurrence and continuance of a Default or reduction or termination of the Revolving Commitments.</w:t>
      </w:r>
    </w:p>
    <w:p>
      <w:pPr>
        <w:spacing w:after="0" w:line="183"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In consideration and in furtherance of the foregoing, each Lender hereby absolutely, unconditionally and irrevocably agrees to pay to the Administrative Agent, for the account of the respective Issuing Lender, such Lender’s Revolving Commitment Percentage of each LC Disbursement made by such Issuing Lender promptly upon the request of such Issuing Lender at any time from the time of such LC Disbursement until such LC Disbursement is reimbursed by the Borrower or at any time after any reimbursement payment is required to be refunded to the Borrower for any reason, including after the Revolving Facility Termination Date. Such payment shall be made without any offset, abatement, withholding or reduction whatsoever. Each such payment shall be made in the same manner as provided in Section 2.04 with respect to Loans made by such Lender (and Section 2.04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respective Issuing Lender the amounts so received by it from the Lenders. Promptly following receipt by the Administrative Agent of any payment from the Borrower pursuant to Section 2.02(f), the Administrative Agent shall distribute such payment to the respective Issuing Lender or, to the extent that the Lenders have made payments pursuant to this paragraph to reimburse such Issuing Lender, then to such Lenders and such Issuing Lender as their interests may appear. Any payment made by a Lender pursuant to this paragraph to reimburse an Issuing Lender for any LC Disbursement shall not constitute a Loan and shall not relieve the Borrower of its obligation to reimburse such LC Disbursement.</w:t>
      </w:r>
    </w:p>
    <w:p>
      <w:pPr>
        <w:spacing w:after="0" w:line="185" w:lineRule="exact"/>
        <w:rPr>
          <w:sz w:val="20"/>
          <w:szCs w:val="20"/>
          <w:color w:val="auto"/>
        </w:rPr>
      </w:pPr>
    </w:p>
    <w:p>
      <w:pPr>
        <w:jc w:val="both"/>
        <w:ind w:right="220" w:firstLine="1296"/>
        <w:spacing w:after="0" w:line="252" w:lineRule="auto"/>
        <w:rPr>
          <w:sz w:val="20"/>
          <w:szCs w:val="20"/>
          <w:color w:val="auto"/>
        </w:rPr>
      </w:pPr>
      <w:r>
        <w:rPr>
          <w:rFonts w:ascii="Times New Roman" w:cs="Times New Roman" w:eastAsia="Times New Roman" w:hAnsi="Times New Roman"/>
          <w:sz w:val="22"/>
          <w:szCs w:val="22"/>
          <w:color w:val="auto"/>
        </w:rPr>
        <w:t>Each Lender further acknowledges and agrees that its participation in each Letter of Credit will be automatically adjusted to reflect such Lender’s Revolving Commitment Percentage of the aggregate amount available to be drawn under such Letter of Credit at each time such Lender's Commitment is amended pursuant to the operation of Section 2.26, as a result of an assignment in accordance with Section 10.02 or otherwise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100" w:name="page101"/>
    <w:bookmarkEnd w:id="100"/>
    <w:p>
      <w:pPr>
        <w:ind w:left="-220" w:right="80" w:firstLine="656"/>
        <w:spacing w:after="0" w:line="222" w:lineRule="auto"/>
        <w:tabs>
          <w:tab w:leader="none" w:pos="107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 Issuing Lender shall make any LC Disbursement in respect of a Letter of Credit, or shall have received a drawing request for an LC Disbursement under a Letter of Credit that it has determined is a valid drawing request, the Borrower shall pay an amount equal to such LC Disbursement or such requested LC Disbursement to the Administrative Agent within three (3) Business Days following the date the Borrower receives notice from the Issuing Lender of such LC Disbursement or such requested LC Disbursement;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notice was not received prior to 12:00 p.m., New York City time, such notice shall be deemed to have been received on the next succeeding Business Day. If the Borrower fails to make such payment when due, the Administrative Agent shall notify each Lender of the applicable LC Disbursement, the payment then due from the Borrower in respect thereof and such Lender’s Revolving Commitment Percentage thereof.</w:t>
      </w:r>
    </w:p>
    <w:p>
      <w:pPr>
        <w:spacing w:after="0" w:line="157" w:lineRule="exact"/>
        <w:rPr>
          <w:rFonts w:ascii="Times New Roman" w:cs="Times New Roman" w:eastAsia="Times New Roman" w:hAnsi="Times New Roman"/>
          <w:sz w:val="21"/>
          <w:szCs w:val="21"/>
          <w:color w:val="auto"/>
        </w:rPr>
      </w:pPr>
    </w:p>
    <w:p>
      <w:pPr>
        <w:ind w:left="-220" w:firstLine="656"/>
        <w:spacing w:after="0" w:line="225" w:lineRule="auto"/>
        <w:tabs>
          <w:tab w:leader="none" w:pos="107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Borrower’s obligation to reimburse LC Disbursements as provided in Section 2.02(f)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an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failure to exercise care when determining whether drafts and other documents presented under a Letter of Credit comply with the terms thereof.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2" w:lineRule="exact"/>
        <w:rPr>
          <w:rFonts w:ascii="Times New Roman" w:cs="Times New Roman" w:eastAsia="Times New Roman" w:hAnsi="Times New Roman"/>
          <w:sz w:val="21"/>
          <w:szCs w:val="21"/>
          <w:color w:val="auto"/>
        </w:rPr>
      </w:pPr>
    </w:p>
    <w:p>
      <w:pPr>
        <w:ind w:left="-220" w:right="60" w:firstLine="656"/>
        <w:spacing w:after="0" w:line="217" w:lineRule="auto"/>
        <w:tabs>
          <w:tab w:leader="none" w:pos="107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email) of such demand for payment, whether the applicable Issuing Lender has made or will make an LC Disbursement thereunder and the amount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020"/>
          </w:cols>
          <w:pgMar w:left="540" w:top="1395" w:right="339" w:bottom="1440" w:gutter="0" w:footer="0" w:header="0"/>
        </w:sectPr>
      </w:pPr>
    </w:p>
    <w:bookmarkStart w:id="101" w:name="page102"/>
    <w:bookmarkEnd w:id="101"/>
    <w:p>
      <w:pPr>
        <w:ind w:right="180"/>
        <w:spacing w:after="0" w:line="236" w:lineRule="auto"/>
        <w:rPr>
          <w:sz w:val="20"/>
          <w:szCs w:val="20"/>
          <w:color w:val="auto"/>
        </w:rPr>
      </w:pPr>
      <w:r>
        <w:rPr>
          <w:rFonts w:ascii="Times New Roman" w:cs="Times New Roman" w:eastAsia="Times New Roman" w:hAnsi="Times New Roman"/>
          <w:sz w:val="22"/>
          <w:szCs w:val="22"/>
          <w:color w:val="auto"/>
        </w:rPr>
        <w:t>in giving such notice shall not relieve the Borrower of its obligation to reimburse the applicable Issuing Lender and the Lenders with respect to any such LC Disbursement in accordance with the terms herein.</w:t>
      </w:r>
    </w:p>
    <w:p>
      <w:pPr>
        <w:spacing w:after="0" w:line="150" w:lineRule="exact"/>
        <w:rPr>
          <w:sz w:val="20"/>
          <w:szCs w:val="20"/>
          <w:color w:val="auto"/>
        </w:rPr>
      </w:pPr>
    </w:p>
    <w:p>
      <w:pPr>
        <w:ind w:right="20" w:firstLine="656"/>
        <w:spacing w:after="0" w:line="213" w:lineRule="auto"/>
        <w:tabs>
          <w:tab w:leader="none" w:pos="128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SOFR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(including by a Borrowing) such LC Disbursement when due pursuant to Section 2.02(f), then Section 2.07 shall apply. Interest accrued pursuant to this paragraph shall be for the account of the applicable Issuing Lender.</w:t>
      </w:r>
    </w:p>
    <w:p>
      <w:pPr>
        <w:spacing w:after="0" w:line="156" w:lineRule="exact"/>
        <w:rPr>
          <w:rFonts w:ascii="Times New Roman" w:cs="Times New Roman" w:eastAsia="Times New Roman" w:hAnsi="Times New Roman"/>
          <w:sz w:val="22"/>
          <w:szCs w:val="22"/>
          <w:color w:val="auto"/>
        </w:rPr>
      </w:pPr>
    </w:p>
    <w:p>
      <w:pPr>
        <w:ind w:firstLine="656"/>
        <w:spacing w:after="0" w:line="210" w:lineRule="auto"/>
        <w:tabs>
          <w:tab w:leader="none" w:pos="128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the Issuing Lender</w:t>
      </w:r>
      <w:r>
        <w:rPr>
          <w:rFonts w:ascii="Times New Roman" w:cs="Times New Roman" w:eastAsia="Times New Roman" w:hAnsi="Times New Roman"/>
          <w:sz w:val="22"/>
          <w:szCs w:val="22"/>
          <w:color w:val="auto"/>
        </w:rPr>
        <w:t>. Any Issuing Lender may be replaced at any time by written agreement among the Borrower, the Administrative Agent, the replaced Issuing Lender and the successor Issuing Lender. The Administrative Agent shall notify the Revolving Lenders of any such replacement of the Issuing Lender. At the time any such replacement shall become effective, the Borrower shall pay all unpaid fees accrued for the account of the replaced Issuing Lender pursuant to Section 2.20.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57" w:lineRule="exact"/>
        <w:rPr>
          <w:rFonts w:ascii="Times New Roman" w:cs="Times New Roman" w:eastAsia="Times New Roman" w:hAnsi="Times New Roman"/>
          <w:sz w:val="22"/>
          <w:szCs w:val="22"/>
          <w:color w:val="auto"/>
        </w:rPr>
      </w:pPr>
    </w:p>
    <w:p>
      <w:pPr>
        <w:ind w:right="60" w:firstLine="656"/>
        <w:spacing w:after="0" w:line="218" w:lineRule="auto"/>
        <w:tabs>
          <w:tab w:leader="none" w:pos="129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The Borrower shall (i) upon the acceleration of the Loans (if any) and the termination of the Commitments in accordance with the terms hereof, (x) cause all outstanding Letters of Credit to be returned to the applicable Issuing Lender undrawn and marked “cancelled” or (y) if the Borrower does not do so in whole or in part, deposit cash in the Letter of Credit Account, as collateral security for the Borrower’s reimbursement obligations in connection with any such outstanding Letters of Credit, such cash (or any applicable portion thereof) to be promptly remitted to the Borrower (provided no Default or Event of Default has occurred and is continuing) upon the expiration, cancellation or other termination or satisfaction of the Borrower’s reimbursement obligations with respect to such outstanding Letters of Credit, in whole or in part, in an aggregate principal amount equal to 100% of the total LC Obligations as of such date plus any accrued and unpaid interest thereon (less the amount, if any, on deposit in the Letter of Credit Account prior to making such deposit), and (ii) if required pursuant to Section 2.10(c), 2.10(d), 2.10(e), 2.10(g)(iii) or 7.01 or pursuant to any Extension Amendment, deposit in the Letter of Credit Account an amount required pursuant to Section 2.10(c), 2.10(d), 2.10(e), 2.10(g)(iii) or 7.01, or pursuant to any such Extension Amendment, as applicable (any such deposit described in the preceding clause (i) or clause (ii), “</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Collateralization</w:t>
      </w:r>
      <w:r>
        <w:rPr>
          <w:rFonts w:ascii="Times New Roman" w:cs="Times New Roman" w:eastAsia="Times New Roman" w:hAnsi="Times New Roman"/>
          <w:sz w:val="21"/>
          <w:szCs w:val="21"/>
          <w:color w:val="auto"/>
        </w:rPr>
        <w:t>” (it being understood that any LC Exposure shall be deemed to be “</w:t>
      </w:r>
      <w:r>
        <w:rPr>
          <w:rFonts w:ascii="Times New Roman" w:cs="Times New Roman" w:eastAsia="Times New Roman" w:hAnsi="Times New Roman"/>
          <w:sz w:val="21"/>
          <w:szCs w:val="21"/>
          <w:u w:val="single" w:color="auto"/>
          <w:color w:val="auto"/>
        </w:rPr>
        <w:t>Cash Collateralized</w:t>
      </w:r>
      <w:r>
        <w:rPr>
          <w:rFonts w:ascii="Times New Roman" w:cs="Times New Roman" w:eastAsia="Times New Roman" w:hAnsi="Times New Roman"/>
          <w:sz w:val="21"/>
          <w:szCs w:val="21"/>
          <w:color w:val="auto"/>
        </w:rPr>
        <w:t>” only to the extent a deposit as described above is made in an amount equal to 100% of the total LC Obligations as of such date plus any accrued and unpaid interest thereon)). In addition, and without limiting the foregoing or Section 2.02(c), if any LC Obligations remain outstanding after the expiration date specified in said Section 2.02(c), the Borrower shall immediately deposit into the Letter of Credit Account an amount in cash equal to 100% of such LC Obligations as of such date plus any accrued and unpaid interest thereon. The Security Trustee (acting at the instruction of the Required Lenders) shall have exclusive dominion and control, including the exclusive right of withdrawal, over the Letter of Credit Account. Other than any interest earned on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20"/>
          </w:cols>
          <w:pgMar w:left="320" w:top="1395" w:right="359" w:bottom="1440" w:gutter="0" w:footer="0" w:header="0"/>
        </w:sectPr>
      </w:pPr>
    </w:p>
    <w:bookmarkStart w:id="102" w:name="page103"/>
    <w:bookmarkEnd w:id="102"/>
    <w:p>
      <w:pPr>
        <w:spacing w:after="0" w:line="209" w:lineRule="auto"/>
        <w:rPr>
          <w:sz w:val="20"/>
          <w:szCs w:val="20"/>
          <w:color w:val="auto"/>
        </w:rPr>
      </w:pPr>
      <w:r>
        <w:rPr>
          <w:rFonts w:ascii="Times New Roman" w:cs="Times New Roman" w:eastAsia="Times New Roman" w:hAnsi="Times New Roman"/>
          <w:sz w:val="22"/>
          <w:szCs w:val="22"/>
          <w:color w:val="auto"/>
        </w:rPr>
        <w:t>of such deposits, which investments shall be made in Permitted Investments by the Security Trustee (acting upon the written instructions of the Borrower so long as no Event of Default has occurred which is continuing, and otherwise upon the written instructions of the Required Lenders) and at the Borrower’s risk and expense, such deposits shall not bear interest. Under no circumstances will the Security Trustee or the Lenders be liable for any loss, including without limitation any loss of principal or interest, or for any breakage fees or penalties in connection with the purchase or liquidation of any investment made in accordance with the written instructions of the Borrower or the Required Lenders. Interest or profits, if any, on such investments shall accumulate in such account and shall be paid to the Borrower on its request provided no Default or Event of Default has occurred and is continuing. Moneys in such account shall be applied by the Security Trustee (upon the instructions of the Required Lenders)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2.10(c), 2.10(d), 2.10(e) or 2.10(g)(iii)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spacing w:after="0" w:line="156" w:lineRule="exact"/>
        <w:rPr>
          <w:sz w:val="20"/>
          <w:szCs w:val="20"/>
          <w:color w:val="auto"/>
        </w:rPr>
      </w:pPr>
    </w:p>
    <w:p>
      <w:pPr>
        <w:ind w:right="40" w:firstLine="656"/>
        <w:spacing w:after="0" w:line="220" w:lineRule="auto"/>
        <w:tabs>
          <w:tab w:leader="none" w:pos="128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Issuing Lender Agreements</w:t>
      </w:r>
      <w:r>
        <w:rPr>
          <w:rFonts w:ascii="Times New Roman" w:cs="Times New Roman" w:eastAsia="Times New Roman" w:hAnsi="Times New Roman"/>
          <w:sz w:val="21"/>
          <w:szCs w:val="21"/>
          <w:color w:val="auto"/>
        </w:rPr>
        <w:t>. Unless otherwise requested by the Administrative Agent, each Issuing Lender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8" w:lineRule="auto"/>
        <w:tabs>
          <w:tab w:leader="none" w:pos="129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to by the Administrative Agent in connection with making the initial Revolving Loans, to request a Revolving Loan, the Borrower shall notify the Administrative Agent of such request by (i) telephone or (ii) by hand or by facsimile delivery of a written Loan Request not later than 2:00 p.m., New York City time, three (3) U.S. Government Securities Business Days before the date of the proposed Loan. Each such telephonic Loan request shall be irrevocable and shall be confirmed promptly by hand delivery or email to the Administrative Agent of a written Loan Request signed by the Borrower. Each such telephonic Loan request and written Loan Request shall specify the following information in compliance with Section</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2.01(a):</w:t>
      </w:r>
    </w:p>
    <w:p>
      <w:pPr>
        <w:spacing w:after="0" w:line="15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Loan (which shall comply with Section 2.01(c));</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Loan, which shall be a Business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00"/>
          </w:cols>
          <w:pgMar w:left="320" w:top="1395" w:right="379" w:bottom="1440" w:gutter="0" w:footer="0" w:header="0"/>
        </w:sectPr>
      </w:pPr>
    </w:p>
    <w:bookmarkStart w:id="103" w:name="page104"/>
    <w:bookmarkEnd w:id="103"/>
    <w:p>
      <w:pPr>
        <w:ind w:left="660" w:firstLine="644"/>
        <w:spacing w:after="0" w:line="236"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Interest Period to be applicable thereto, which shall be a period contemplated by the definition of the term “Interest Period”.</w:t>
      </w:r>
    </w:p>
    <w:p>
      <w:pPr>
        <w:spacing w:after="0" w:line="17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If no Interest Period is specified with respect to any requested SOFR Loan, then the Borrower shall be deemed to have selected an Interest Period of one month’s duration.</w:t>
      </w:r>
    </w:p>
    <w:p>
      <w:pPr>
        <w:spacing w:after="0" w:line="131" w:lineRule="exact"/>
        <w:rPr>
          <w:sz w:val="20"/>
          <w:szCs w:val="20"/>
          <w:color w:val="auto"/>
        </w:rPr>
      </w:pPr>
    </w:p>
    <w:p>
      <w:pPr>
        <w:jc w:val="both"/>
        <w:ind w:firstLine="656"/>
        <w:spacing w:after="0" w:line="225"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 Loan Request in accordance with this Section 2.03, the Administrative Agent shall advise each Revolving Lender of the details thereof and of the amount of such Revolving Lender’s Loan to be made as part of the requested Loan.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Funding of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 w:firstLine="656"/>
        <w:spacing w:after="0" w:line="215"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Lender shall make each Revolving Loan to be made by it hereunder on the proposed date thereof by wire transfer of immediately available funds by 3:00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52" w:lineRule="exact"/>
        <w:rPr>
          <w:rFonts w:ascii="Times New Roman" w:cs="Times New Roman" w:eastAsia="Times New Roman" w:hAnsi="Times New Roman"/>
          <w:sz w:val="22"/>
          <w:szCs w:val="22"/>
          <w:color w:val="auto"/>
        </w:rPr>
      </w:pPr>
    </w:p>
    <w:p>
      <w:pPr>
        <w:ind w:firstLine="656"/>
        <w:spacing w:after="0" w:line="210"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paragraph (a)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Limitation on SOFR Tranches</w:t>
      </w:r>
      <w:r>
        <w:rPr>
          <w:rFonts w:ascii="Times New Roman" w:cs="Times New Roman" w:eastAsia="Times New Roman" w:hAnsi="Times New Roman"/>
          <w:sz w:val="22"/>
          <w:szCs w:val="22"/>
          <w:color w:val="auto"/>
        </w:rPr>
        <w:t>. Notwithstanding anything to the contrary in this Agreement, all borrowings and continuations of SOFR Loans and all selections of Interest Periods shall be in such amounts and be made pursuant to such elections so that, (a) after giving effect thereto, the aggregate principal amount of the SOFR Loans comprising each SOFR Tranche shall be equal to $500,000 or a whole multiple of $100,000 in excess thereof and (b) no more than twenty SOFR Tranches shall be outstanding at any one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Interest on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60" w:firstLine="656"/>
        <w:spacing w:after="0" w:line="225" w:lineRule="auto"/>
        <w:tabs>
          <w:tab w:leader="none" w:pos="12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2.07, each SOFR Loan shall bear interest (computed on the basis of the actual number of days elapsed over a year of 360 days) at a rate per annum equal, during each Interest Period applicable thereto, to Term SOFR for such Interest Period in effect for such Borrowing plus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20"/>
          </w:cols>
          <w:pgMar w:left="320" w:top="1395" w:right="359" w:bottom="1440" w:gutter="0" w:footer="0" w:header="0"/>
        </w:sectPr>
      </w:pPr>
    </w:p>
    <w:bookmarkStart w:id="104" w:name="page105"/>
    <w:bookmarkEnd w:id="104"/>
    <w:p>
      <w:pPr>
        <w:ind w:firstLine="656"/>
        <w:spacing w:after="0" w:line="225"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interest on all Loans shall be payable in arrears on each Interest Payment Date applicable thereto, on the Revolving Facility Maturity Date, on the Termination Date with respect to such Loans and thereafter on written demand and upon any repayment or prepayment thereof (on the amount repaid or prepaid).</w:t>
      </w:r>
    </w:p>
    <w:p>
      <w:pPr>
        <w:spacing w:after="0" w:line="152" w:lineRule="exact"/>
        <w:rPr>
          <w:rFonts w:ascii="Times New Roman" w:cs="Times New Roman" w:eastAsia="Times New Roman" w:hAnsi="Times New Roman"/>
          <w:sz w:val="22"/>
          <w:szCs w:val="22"/>
          <w:color w:val="auto"/>
        </w:rPr>
      </w:pPr>
    </w:p>
    <w:p>
      <w:pPr>
        <w:ind w:right="140" w:firstLine="656"/>
        <w:spacing w:after="0" w:line="215"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Term SOFR, the Administrative Agent will have the right, subject to the consent of the Borrower, to make Conforming Changes from time to time and, notwithstanding anything to the contrary herein or in any other Loan Document, any amendments implementing such Conforming Changes entered into by the Administrative Agent and the Borrower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2" w:lineRule="exact"/>
        <w:rPr>
          <w:rFonts w:ascii="Times New Roman" w:cs="Times New Roman" w:eastAsia="Times New Roman" w:hAnsi="Times New Roman"/>
          <w:sz w:val="22"/>
          <w:szCs w:val="22"/>
          <w:color w:val="auto"/>
        </w:rPr>
      </w:pPr>
    </w:p>
    <w:p>
      <w:pPr>
        <w:ind w:right="20" w:firstLine="656"/>
        <w:spacing w:after="0" w:line="211"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8"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If the Borrower or the Guarantor, as the case may be, shall default in the payment of the principal of or interest on any Loan or in the payment of any other amount becoming due hereunder (including, without limitation, the reimbursement pursuant to Section 2.02(f) of any LC Disbursements), whether at stated maturity, by acceleration or otherwise, the Borrower or the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equal to the rate then applicable for Borrowings plus 2.0%.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00" w:firstLine="656"/>
        <w:spacing w:after="0" w:line="225"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unconditionally promises to pay to the Administrative Agent for the ratable account of each Revolving Lender the then unpaid principal amount of each Revolving Loan then outstanding on the Revolving Facility Termination Date applicable to such Revolving Loan.</w:t>
      </w:r>
    </w:p>
    <w:p>
      <w:pPr>
        <w:spacing w:after="0" w:line="152" w:lineRule="exact"/>
        <w:rPr>
          <w:rFonts w:ascii="Times New Roman" w:cs="Times New Roman" w:eastAsia="Times New Roman" w:hAnsi="Times New Roman"/>
          <w:sz w:val="22"/>
          <w:szCs w:val="22"/>
          <w:color w:val="auto"/>
        </w:rPr>
      </w:pPr>
    </w:p>
    <w:p>
      <w:pPr>
        <w:ind w:right="140" w:firstLine="656"/>
        <w:spacing w:after="0" w:line="22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105" w:name="page106"/>
    <w:bookmarkEnd w:id="105"/>
    <w:p>
      <w:pPr>
        <w:ind w:right="240"/>
        <w:spacing w:after="0" w:line="236" w:lineRule="auto"/>
        <w:rPr>
          <w:sz w:val="20"/>
          <w:szCs w:val="20"/>
          <w:color w:val="auto"/>
        </w:rPr>
      </w:pPr>
      <w:r>
        <w:rPr>
          <w:rFonts w:ascii="Times New Roman" w:cs="Times New Roman" w:eastAsia="Times New Roman" w:hAnsi="Times New Roman"/>
          <w:sz w:val="22"/>
          <w:szCs w:val="22"/>
          <w:color w:val="auto"/>
        </w:rPr>
        <w:t>thereof. The Borrower shall have the right, upon reasonable notice, to request information regarding the accounts referred to in the preceding sentence.</w:t>
      </w:r>
    </w:p>
    <w:p>
      <w:pPr>
        <w:spacing w:after="0" w:line="150" w:lineRule="exact"/>
        <w:rPr>
          <w:sz w:val="20"/>
          <w:szCs w:val="20"/>
          <w:color w:val="auto"/>
        </w:rPr>
      </w:pPr>
    </w:p>
    <w:p>
      <w:pPr>
        <w:ind w:firstLine="656"/>
        <w:spacing w:after="0" w:line="220" w:lineRule="auto"/>
        <w:tabs>
          <w:tab w:leader="none" w:pos="129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2.08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request that Loans made by it be evidenced by a promissory note. In such event, Borrower shall promptly execute and deliver to such Lender a promissory note payable to such Lender and its registered assigns in a form furnished by such Lender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 Each Joint Lead Arranger confirms that, as of the Effective Date, it does not currently require that Loans made to it hereunder be evidenced by a promissory note.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Optional Termination or Reduction of Revolving Commitments.</w:t>
      </w:r>
    </w:p>
    <w:p>
      <w:pPr>
        <w:spacing w:after="0" w:line="206"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 xml:space="preserve">Upon at least one (1) Business Day prior written notice to the Administrative Agent, the Borrower may at any time in whole permanently terminate a Total Revolving Commitment (subject to compliance with Section 2.10(e)), or from time to time in part permanently reduce the Unused Total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only be revocable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$500,000 and in an integral multiple of $100,000. Simultaneously with each reduction or termination of the Revolving Commitment, the Borrower shall (i) pay to the Administrative Agent for the account of each Revolving Lender the Commitment Fee accrued and unpaid on the amount of the Revolving Commitment of such Revolving Lender so terminated or reduced through the date thereof and (ii) any outstanding Letters of Credit issued by an Issuing Lender that results in the amount of such Issuing Lender’s Revolving Extensions of Credit then outstanding to exceed the Revolving Commitment (as so reduced) of such Revolving Lender shall be reduced and cancelled (or Cash Collateralized in accordance with Section 2.02(k)) as necessary to ensure the portion (if any) thereof outstanding and not Cash Collateralized does not exceed such Issuing Lender’s Revolving Commitment (as so reduced). Any reduction of the Unused Total Revolving Commitment pursuant to this Section 2.09 shall be applied to reduce the Revolving Commitments of each Revolving Lender on a pro rata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Mandatory Prepayment of Loans; Commitment Termination; Change of Control Offer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656"/>
        <w:spacing w:after="0" w:line="217"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the Borrower or any of its Subsidiaries receiving any Net Proceeds as a result of a Recovery Event in respect of Collateral, if the Borrower shall not be in compliance with Section 6.08(a) on the date such Net Proceeds are received, the Borrower shall deposit cash in an amount (the “Net Proceeds Amount”) equal to the amount of such received Net Proceeds (solely to the extent necessary to maintain compliance with Section 6.08(a)) into the Collateral Proceeds Account that is maintained with the Security Trustee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00"/>
          </w:cols>
          <w:pgMar w:left="320" w:top="1395" w:right="379" w:bottom="1440" w:gutter="0" w:footer="0" w:header="0"/>
        </w:sectPr>
      </w:pPr>
    </w:p>
    <w:bookmarkStart w:id="106" w:name="page107"/>
    <w:bookmarkEnd w:id="106"/>
    <w:p>
      <w:pPr>
        <w:ind w:right="20"/>
        <w:spacing w:after="0" w:line="210" w:lineRule="auto"/>
        <w:rPr>
          <w:sz w:val="20"/>
          <w:szCs w:val="20"/>
          <w:color w:val="auto"/>
        </w:rPr>
      </w:pPr>
      <w:r>
        <w:rPr>
          <w:rFonts w:ascii="Times New Roman" w:cs="Times New Roman" w:eastAsia="Times New Roman" w:hAnsi="Times New Roman"/>
          <w:sz w:val="22"/>
          <w:szCs w:val="22"/>
          <w:color w:val="auto"/>
        </w:rPr>
        <w:t>such purpose and subject to an Account Control Agreement and thereafter such Net Proceeds Amount shall be applied (to the extent not otherwise applied pursuant to the immediately succeeding proviso and solely to the extent the Borrower is not in compliance with Section 6.08(a)) in accordance with the requirements of Section 2.10(c); provided that (i) the Borrower may use such Net Proceeds Amount to replace with Qualified Replacement Assets or repair the assets which are the subject of such Recovery Event within 365 days after such deposit is made, (ii) all such Net Proceeds Amounts shall be subject to release as provided in Section 6.08(c) or, at the option of the Borrower at any time, may be applied in accordance with the requirements of Section 2.10(c), and (iii) upon the occurrence of an Event of Default, the amount of any such deposit may be applied by the Administrative Agent in accordance with Section 2.10(c); provided further that any release of any Net Proceeds Amount pursuant to clause (ii) of this Section 2.10(a) shall be conditioned on the Borrower being in compliance with Section 6.08(a) after giving effect thereto (it being understood that the failure to be in compliance with Section 6.08(a) shall not prevent the release of any Net Proceeds Amount in connection with any repair or replacement of assets permitted hereunder so long as no decrease in the Collateral Coverage Ratio will result therefrom).</w:t>
      </w:r>
    </w:p>
    <w:p>
      <w:pPr>
        <w:spacing w:after="0" w:line="152" w:lineRule="exact"/>
        <w:rPr>
          <w:sz w:val="20"/>
          <w:szCs w:val="20"/>
          <w:color w:val="auto"/>
        </w:rPr>
      </w:pPr>
    </w:p>
    <w:p>
      <w:pPr>
        <w:ind w:right="1280" w:firstLine="656"/>
        <w:spacing w:after="0" w:line="236"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prepay the Revolving Loans (without any corresponding reduction in Revolving Commitments) when and in an amount necessary to comply with Section 6.08.</w:t>
      </w:r>
    </w:p>
    <w:p>
      <w:pPr>
        <w:spacing w:after="0" w:line="150" w:lineRule="exact"/>
        <w:rPr>
          <w:rFonts w:ascii="Times New Roman" w:cs="Times New Roman" w:eastAsia="Times New Roman" w:hAnsi="Times New Roman"/>
          <w:sz w:val="22"/>
          <w:szCs w:val="22"/>
          <w:color w:val="auto"/>
        </w:rPr>
      </w:pPr>
    </w:p>
    <w:p>
      <w:pPr>
        <w:ind w:firstLine="656"/>
        <w:spacing w:after="0" w:line="215" w:lineRule="auto"/>
        <w:tabs>
          <w:tab w:leader="none" w:pos="129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be applied to the prepayment of Loans pursuant to Section 2.10(a) and (b) shall be applied to prepay the outstanding Revolving Loans (and to provide Cash Collateralization for the outstanding LC Exposure following the repayment of all outstanding Revolving Loans) in an amount necessary to comply with Section 6.08, in each case as directed by the Borrower.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2.02(k).</w:t>
      </w:r>
    </w:p>
    <w:p>
      <w:pPr>
        <w:spacing w:after="0" w:line="152" w:lineRule="exact"/>
        <w:rPr>
          <w:rFonts w:ascii="Times New Roman" w:cs="Times New Roman" w:eastAsia="Times New Roman" w:hAnsi="Times New Roman"/>
          <w:sz w:val="22"/>
          <w:szCs w:val="22"/>
          <w:color w:val="auto"/>
        </w:rPr>
      </w:pPr>
    </w:p>
    <w:p>
      <w:pPr>
        <w:ind w:right="80" w:firstLine="656"/>
        <w:spacing w:after="0" w:line="217"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2.02(k) in accordance therewith.</w:t>
      </w:r>
    </w:p>
    <w:p>
      <w:pPr>
        <w:spacing w:after="0" w:line="152" w:lineRule="exact"/>
        <w:rPr>
          <w:rFonts w:ascii="Times New Roman" w:cs="Times New Roman" w:eastAsia="Times New Roman" w:hAnsi="Times New Roman"/>
          <w:sz w:val="22"/>
          <w:szCs w:val="22"/>
          <w:color w:val="auto"/>
        </w:rPr>
      </w:pPr>
    </w:p>
    <w:p>
      <w:pPr>
        <w:ind w:right="180" w:firstLine="656"/>
        <w:spacing w:after="0" w:line="225"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prepayments under this Section 2.10 shall be accompanied by accrued but unpaid interest on the principal amount being prepaid to (but not including) the date of prepayment, plus any accrued and unpaid Fees and any losses, costs and expenses, as more fully described in Section 2.13 hereof.</w:t>
      </w:r>
    </w:p>
    <w:p>
      <w:pPr>
        <w:spacing w:after="0" w:line="152" w:lineRule="exact"/>
        <w:rPr>
          <w:rFonts w:ascii="Times New Roman" w:cs="Times New Roman" w:eastAsia="Times New Roman" w:hAnsi="Times New Roman"/>
          <w:sz w:val="22"/>
          <w:szCs w:val="22"/>
          <w:color w:val="auto"/>
        </w:rPr>
      </w:pPr>
    </w:p>
    <w:p>
      <w:pPr>
        <w:ind w:right="160" w:firstLine="656"/>
        <w:spacing w:after="0" w:line="217"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prepaid in accordance with Section 2.10 or 2.11 hereof, and subject to the next sentence, within 30 days following the occurrence of a Change of Control, each Lender shall have the right to require the Borrower to prepay all or part of such Lender’s Loans at a prepayment price equal to 100% of the principal amount thereof, plus accrued and unpaid interest, if any, to the date of prepayment, to discharge all or part of such Lender’s LC Exposure (if any) and to terminate all or part of such Lender’s unused Revolving Commitment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107" w:name="page108"/>
    <w:bookmarkEnd w:id="107"/>
    <w:p>
      <w:pPr>
        <w:ind w:right="160"/>
        <w:spacing w:after="0" w:line="217" w:lineRule="auto"/>
        <w:rPr>
          <w:sz w:val="20"/>
          <w:szCs w:val="20"/>
          <w:color w:val="auto"/>
        </w:rPr>
      </w:pPr>
      <w:r>
        <w:rPr>
          <w:rFonts w:ascii="Times New Roman" w:cs="Times New Roman" w:eastAsia="Times New Roman" w:hAnsi="Times New Roman"/>
          <w:sz w:val="22"/>
          <w:szCs w:val="22"/>
          <w:color w:val="auto"/>
        </w:rPr>
        <w:t>accordance with this Section 2.10. Notwithstanding the foregoing, the Borrower shall not be required to make a Change of Control Offer upon the occurrence of a Change of Control if, upon direction of the Borrower, a third party makes the Change of Control Offer in the manner, at the times and otherwise in compliance with the requirements set forth in this Section 2.10(g) applicable to a Change of Control Offer made by the Borrower and purchases all Loans validly surrendered and not withdrawn under such Change of Control Offer and the Borrower otherwise complies with this Section 2.10(g).</w:t>
      </w:r>
    </w:p>
    <w:p>
      <w:pPr>
        <w:spacing w:after="0" w:line="152" w:lineRule="exact"/>
        <w:rPr>
          <w:sz w:val="20"/>
          <w:szCs w:val="20"/>
          <w:color w:val="auto"/>
        </w:rPr>
      </w:pPr>
    </w:p>
    <w:p>
      <w:pPr>
        <w:ind w:left="660" w:right="220" w:firstLine="644"/>
        <w:spacing w:after="0" w:line="225" w:lineRule="auto"/>
        <w:tabs>
          <w:tab w:leader="none" w:pos="19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following the occurrence of any Change of Control, the Borrower shall provide a written notice to the Administrative Agent and each Lender containing the following information (such notice, a “</w:t>
      </w:r>
      <w:r>
        <w:rPr>
          <w:rFonts w:ascii="Times New Roman" w:cs="Times New Roman" w:eastAsia="Times New Roman" w:hAnsi="Times New Roman"/>
          <w:sz w:val="22"/>
          <w:szCs w:val="22"/>
          <w:u w:val="single" w:color="auto"/>
          <w:color w:val="auto"/>
        </w:rPr>
        <w:t>Change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Control Offer</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20" w:lineRule="auto"/>
        <w:tabs>
          <w:tab w:leader="none" w:pos="2585"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Change of Control has occurred and that such Lender has the right to require Borrower to repay such Lender’s Loans at a prepayment price in cash equal to 100% of the principal amount thereof, plus accrued and unpaid interest to the date of purchase, to discharge its LC Exposure by Cash Collateralizing such LC Exposure and to terminate such Lender’s unused Revolving Commitment;</w:t>
      </w:r>
    </w:p>
    <w:p>
      <w:pPr>
        <w:spacing w:after="0" w:line="152" w:lineRule="exact"/>
        <w:rPr>
          <w:rFonts w:ascii="Times New Roman" w:cs="Times New Roman" w:eastAsia="Times New Roman" w:hAnsi="Times New Roman"/>
          <w:sz w:val="22"/>
          <w:szCs w:val="22"/>
          <w:color w:val="auto"/>
        </w:rPr>
      </w:pPr>
    </w:p>
    <w:p>
      <w:pPr>
        <w:ind w:left="1300" w:firstLine="652"/>
        <w:spacing w:after="0" w:line="225" w:lineRule="auto"/>
        <w:tabs>
          <w:tab w:leader="none" w:pos="258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prepayment, LC Exposure discharge and unused Revolving Commitment termination (the “</w:t>
      </w:r>
      <w:r>
        <w:rPr>
          <w:rFonts w:ascii="Times New Roman" w:cs="Times New Roman" w:eastAsia="Times New Roman" w:hAnsi="Times New Roman"/>
          <w:sz w:val="22"/>
          <w:szCs w:val="22"/>
          <w:u w:val="single" w:color="auto"/>
          <w:color w:val="auto"/>
        </w:rPr>
        <w:t>Prepayment Date</w:t>
      </w:r>
      <w:r>
        <w:rPr>
          <w:rFonts w:ascii="Times New Roman" w:cs="Times New Roman" w:eastAsia="Times New Roman" w:hAnsi="Times New Roman"/>
          <w:sz w:val="22"/>
          <w:szCs w:val="22"/>
          <w:color w:val="auto"/>
        </w:rPr>
        <w:t>”) (which shall be no earlier than 30 days nor later than 60 days from the date such notice is mailed); and</w:t>
      </w:r>
    </w:p>
    <w:p>
      <w:pPr>
        <w:spacing w:after="0" w:line="152" w:lineRule="exact"/>
        <w:rPr>
          <w:rFonts w:ascii="Times New Roman" w:cs="Times New Roman" w:eastAsia="Times New Roman" w:hAnsi="Times New Roman"/>
          <w:sz w:val="22"/>
          <w:szCs w:val="22"/>
          <w:color w:val="auto"/>
        </w:rPr>
      </w:pPr>
    </w:p>
    <w:p>
      <w:pPr>
        <w:ind w:left="1300" w:right="100" w:firstLine="652"/>
        <w:spacing w:after="0" w:line="226" w:lineRule="auto"/>
        <w:tabs>
          <w:tab w:leader="none" w:pos="258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any Lender wishing to have its Loans repaid, LC Exposure discharged and unused Revolving Commitment terminated pursuant to such Change of Control Offer must comply with Section 2.10(g)</w:t>
      </w:r>
    </w:p>
    <w:p>
      <w:pPr>
        <w:spacing w:after="0" w:line="1" w:lineRule="exact"/>
        <w:rPr>
          <w:rFonts w:ascii="Times New Roman" w:cs="Times New Roman" w:eastAsia="Times New Roman" w:hAnsi="Times New Roman"/>
          <w:sz w:val="21"/>
          <w:szCs w:val="21"/>
          <w:color w:val="auto"/>
        </w:rPr>
      </w:pPr>
    </w:p>
    <w:p>
      <w:pPr>
        <w:ind w:left="1300" w:right="20" w:firstLine="4"/>
        <w:spacing w:after="0" w:line="218" w:lineRule="auto"/>
        <w:tabs>
          <w:tab w:leader="none" w:pos="167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Offer may be made in advance of a Change of Control, and conditioned upon such Change of Control occurring, if a definitive agreement is in place for the Change of Control at the time of making the Change of Control Offer.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18" w:lineRule="auto"/>
        <w:tabs>
          <w:tab w:leader="none" w:pos="195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accept any Change of Control Offer, a Lender shall notify the Administrative Agent in writing at its address for notices contained in this Agreement prior to 12:00 noon, New York time, on the Business Day next preceding the Prepayment Date with respect to such Change of Control Offer (the “</w:t>
      </w:r>
      <w:r>
        <w:rPr>
          <w:rFonts w:ascii="Times New Roman" w:cs="Times New Roman" w:eastAsia="Times New Roman" w:hAnsi="Times New Roman"/>
          <w:sz w:val="21"/>
          <w:szCs w:val="21"/>
          <w:u w:val="single" w:color="auto"/>
          <w:color w:val="auto"/>
        </w:rPr>
        <w:t>Election Time</w:t>
      </w:r>
      <w:r>
        <w:rPr>
          <w:rFonts w:ascii="Times New Roman" w:cs="Times New Roman" w:eastAsia="Times New Roman" w:hAnsi="Times New Roman"/>
          <w:sz w:val="21"/>
          <w:szCs w:val="21"/>
          <w:color w:val="auto"/>
        </w:rPr>
        <w:t>”) of such Lender’s election to require the Borrower to prepay all or a specified portion of such Lender’s Loans, to discharge all or a specified portion of such Lender’s LC Exposure and to terminate all or a specified portion of such Lender’s unused Revolving Commitment pursuant to such Change of Control Offer (which, in the case of any election to require less than all of such Lender’s Loans to be prepaid, less than all of such Lender’s LC Exposure to be discharged and less than all such Lender’s unused Revolving Commitment to be terminated in such Change of Control Offer, shall be, taken together, in a minimum principal amount of $500,000 or an integral multiple of $100,000 in excess thereof) and the principal amount of such Lender’s Loans to be prepaid, the amount of such Lender’s LC Exposure to be discharged and the amount of such Lender’s unused Revolving Commitment to be terminated each shall be in the same proportion of such Lender’s total Loans, total LC Exposure and total unused Revolving Commitment, respectively), and shall specify the amount of such Lender’s Loans which such Lender requests be prepaid, amount of such Lender’s LC Exposure which such Lender requests be discharged and amount of unused Revolving Commitment to be terminated in such Change of Control Offer. In order to validly withdraw any election with respect to any Put Exposure in any Change of Control Offer, the Lender holding such Put Exposure shall notify the Administrative Agent in writing at its address for notices contained in this Agreement prior to the Election Time of such Lender’s election to withdraw such 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00"/>
          </w:cols>
          <w:pgMar w:left="320" w:top="1395" w:right="379" w:bottom="1440" w:gutter="0" w:footer="0" w:header="0"/>
        </w:sectPr>
      </w:pPr>
    </w:p>
    <w:bookmarkStart w:id="108" w:name="page109"/>
    <w:bookmarkEnd w:id="108"/>
    <w:p>
      <w:pPr>
        <w:ind w:left="660" w:right="40"/>
        <w:spacing w:after="0" w:line="215" w:lineRule="auto"/>
        <w:rPr>
          <w:sz w:val="20"/>
          <w:szCs w:val="20"/>
          <w:color w:val="auto"/>
        </w:rPr>
      </w:pPr>
      <w:r>
        <w:rPr>
          <w:rFonts w:ascii="Times New Roman" w:cs="Times New Roman" w:eastAsia="Times New Roman" w:hAnsi="Times New Roman"/>
          <w:sz w:val="22"/>
          <w:szCs w:val="22"/>
          <w:color w:val="auto"/>
        </w:rPr>
        <w:t>Exposure from such Change of Control Offer, which notification shall include a copy of such Lender’s previous notification electing to have its Put Exposure prepaid, discharged or terminated in such Change of Control Offer and shall state that such election is withdrawn. All such prepayments of such Lender’s Loans and discharge of such Lender’s LC Exposure shall automatically result in a corresponding permanent reduction in such Lender’s Revolving Commitments. The Administrative Agent shall from time to time, upon request by the Borrower, advise the Borrower of the amount of Put Exposure with respect to any Change of Control Offer.</w:t>
      </w:r>
    </w:p>
    <w:p>
      <w:pPr>
        <w:spacing w:after="0" w:line="152" w:lineRule="exact"/>
        <w:rPr>
          <w:sz w:val="20"/>
          <w:szCs w:val="20"/>
          <w:color w:val="auto"/>
        </w:rPr>
      </w:pPr>
    </w:p>
    <w:p>
      <w:pPr>
        <w:ind w:left="660" w:right="140" w:firstLine="644"/>
        <w:spacing w:after="0" w:line="213" w:lineRule="auto"/>
        <w:tabs>
          <w:tab w:leader="none" w:pos="201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Election Time there is any Put Exposure as to which the election to accept the Change of Control Offer has not been withdrawn pursuant to Section 2.10(g)(ii), prior to 1:00 p.m., New York City time, on the Prepayment Date the Borrower shall pay to the Administrative Agent the aggregate amount payable with respect to such Put Exposure pursuant to Section 2.10(g)(i)(A). The Administrative Agent shall apply such funds to repay the Loans included in such Put Exposure and to Cash Collateralize the LC Exposure included in the Put Exposure. In addition, the Administrative Agent shall recalculate the Revolving Commitment Percentage of each Lender after giving effect to such Change of Control Offer and give written notice thereof to the Borrower and each Lender.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Optional Prepayment of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60" w:firstLine="656"/>
        <w:spacing w:after="0" w:line="218" w:lineRule="auto"/>
        <w:tabs>
          <w:tab w:leader="none" w:pos="129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the right, at any time and from time to time, to prepay any Loans, in whole or in part, upon (i) telephonic notice (followed promptly by written or facsimile notice) or (ii) written or facsimile notice, in any case received by 1:00 p.m., New York City time, three (3) Business Days prior to the proposed date of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each such partial prepayment shall be in an amount not less than $100,000 and in integral multiples of $100,000, (B) no prepayment of Loans shall be permitted pursuant to this Section 2.11(a) other than on the last day of an Interest Period applicable thereto unless such prepayment is accompanied by the payment of the amounts described in Section 2.13 and</w:t>
      </w:r>
    </w:p>
    <w:p>
      <w:pPr>
        <w:spacing w:after="0" w:line="3" w:lineRule="exact"/>
        <w:rPr>
          <w:rFonts w:ascii="Times New Roman" w:cs="Times New Roman" w:eastAsia="Times New Roman" w:hAnsi="Times New Roman"/>
          <w:sz w:val="21"/>
          <w:szCs w:val="21"/>
          <w:color w:val="auto"/>
        </w:rPr>
      </w:pPr>
    </w:p>
    <w:p>
      <w:pPr>
        <w:ind w:left="360" w:hanging="352"/>
        <w:spacing w:after="0" w:line="204" w:lineRule="auto"/>
        <w:tabs>
          <w:tab w:leader="none" w:pos="3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partial prepayment shall result in the aggregate principal amount of the Loans remaining outstanding being less than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$500,000.</w:t>
      </w:r>
    </w:p>
    <w:p>
      <w:pPr>
        <w:spacing w:after="0" w:line="155" w:lineRule="exact"/>
        <w:rPr>
          <w:sz w:val="20"/>
          <w:szCs w:val="20"/>
          <w:color w:val="auto"/>
        </w:rPr>
      </w:pPr>
    </w:p>
    <w:p>
      <w:pPr>
        <w:ind w:right="40" w:firstLine="656"/>
        <w:spacing w:after="0" w:line="227" w:lineRule="auto"/>
        <w:tabs>
          <w:tab w:leader="none" w:pos="129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prepayments under Section 2.11(a) shall be applied to repay the outstanding Revolving Loans of the Revolving Lenders (without any reduction in the Total Revolving Commitment) as the Borrower shall specify until all Revolving Loans shall have been paid in full (plus any accrued but unpaid interest and fees thereon). All prepayments under Section 2.11(a) shall be accompanied by accrued but unpaid interest on the principal amount being prepaid to (but not including) the date of prepayment, plus any Fees and any losses, costs and expenses, as more fully described in Section 2.13 hereof.</w:t>
      </w:r>
    </w:p>
    <w:p>
      <w:pPr>
        <w:spacing w:after="0" w:line="153" w:lineRule="exact"/>
        <w:rPr>
          <w:rFonts w:ascii="Times New Roman" w:cs="Times New Roman" w:eastAsia="Times New Roman" w:hAnsi="Times New Roman"/>
          <w:sz w:val="21"/>
          <w:szCs w:val="21"/>
          <w:color w:val="auto"/>
        </w:rPr>
      </w:pPr>
    </w:p>
    <w:p>
      <w:pPr>
        <w:ind w:firstLine="656"/>
        <w:spacing w:after="0" w:line="213"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of prepayment shall specify the prepayment date, the principal amount of the Loans to be prepaid and the Borrowing or Borrowings pursuant to which made, shall be irrevocable and shall commit the Borrower to prepay such Loan by the amount and on the date stated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may revoke any notice of prepayment under this Section 2.11 if such prepayment would have resulted from a refinancing of any or all of the Obligations hereunder, which refinancing shall not be consummated or shall otherwise be delayed.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20"/>
          </w:cols>
          <w:pgMar w:left="320" w:top="1395" w:right="359" w:bottom="1440" w:gutter="0" w:footer="0" w:header="0"/>
        </w:sectPr>
      </w:pPr>
    </w:p>
    <w:bookmarkStart w:id="109" w:name="page110"/>
    <w:bookmarkEnd w:id="109"/>
    <w:p>
      <w:pPr>
        <w:ind w:left="440" w:right="40" w:firstLine="644"/>
        <w:spacing w:after="0" w:line="217" w:lineRule="auto"/>
        <w:tabs>
          <w:tab w:leader="none" w:pos="172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Federal Reserve Board for determining the maximum reserve requirement(including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152" w:lineRule="exact"/>
        <w:rPr>
          <w:rFonts w:ascii="Times New Roman" w:cs="Times New Roman" w:eastAsia="Times New Roman" w:hAnsi="Times New Roman"/>
          <w:sz w:val="22"/>
          <w:szCs w:val="22"/>
          <w:color w:val="auto"/>
        </w:rPr>
      </w:pPr>
    </w:p>
    <w:p>
      <w:pPr>
        <w:ind w:left="440" w:right="140" w:firstLine="644"/>
        <w:spacing w:after="0" w:line="225" w:lineRule="auto"/>
        <w:tabs>
          <w:tab w:leader="none" w:pos="173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to any Taxes (other than (A) Indemnified Taxes and (B) Taxes described in clauses (c) through (e) of the definition of Excluded Taxes) on its loans, loan principal, letters of credit, commitments or other obligations, or its deposits, reserves, other liabilities or capital attributable thereto); or</w:t>
      </w:r>
    </w:p>
    <w:p>
      <w:pPr>
        <w:spacing w:after="0" w:line="139" w:lineRule="exact"/>
        <w:rPr>
          <w:rFonts w:ascii="Times New Roman" w:cs="Times New Roman" w:eastAsia="Times New Roman" w:hAnsi="Times New Roman"/>
          <w:sz w:val="22"/>
          <w:szCs w:val="22"/>
          <w:color w:val="auto"/>
        </w:rPr>
      </w:pPr>
    </w:p>
    <w:p>
      <w:pPr>
        <w:ind w:left="1740" w:hanging="656"/>
        <w:spacing w:after="0"/>
        <w:tabs>
          <w:tab w:leader="none" w:pos="17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other condition, cost or expense affecting this Agreement or any Loan of such</w:t>
      </w: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w:t>
      </w:r>
    </w:p>
    <w:p>
      <w:pPr>
        <w:spacing w:after="0" w:line="155" w:lineRule="exact"/>
        <w:rPr>
          <w:sz w:val="20"/>
          <w:szCs w:val="20"/>
          <w:color w:val="auto"/>
        </w:rPr>
      </w:pPr>
    </w:p>
    <w:p>
      <w:pPr>
        <w:jc w:val="both"/>
        <w:ind w:left="440" w:right="40"/>
        <w:spacing w:after="0" w:line="220"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continuing or maintaining its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79" w:lineRule="exact"/>
        <w:rPr>
          <w:sz w:val="20"/>
          <w:szCs w:val="20"/>
          <w:color w:val="auto"/>
        </w:rPr>
      </w:pPr>
    </w:p>
    <w:p>
      <w:pPr>
        <w:ind w:left="-220" w:right="100" w:firstLine="656"/>
        <w:spacing w:after="0" w:line="212" w:lineRule="auto"/>
        <w:tabs>
          <w:tab w:leader="none" w:pos="107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w:t>
      </w:r>
    </w:p>
    <w:p>
      <w:pPr>
        <w:spacing w:after="0" w:line="179" w:lineRule="exact"/>
        <w:rPr>
          <w:sz w:val="20"/>
          <w:szCs w:val="20"/>
          <w:color w:val="auto"/>
        </w:rPr>
      </w:pPr>
    </w:p>
    <w:p>
      <w:pPr>
        <w:ind w:left="440" w:firstLine="644"/>
        <w:spacing w:after="0" w:line="220" w:lineRule="auto"/>
        <w:tabs>
          <w:tab w:leader="none" w:pos="172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any Lender setting forth the amount or amounts necessary to compensate such Lender or its holding company, as the case may be, as specified in subsection (a) or (b) of this Section and delivered to the Borrower shall be conclusive absent manifest error. The Borrower shall pay to such Lender the amount shown as due on any such certificate within 10 days after receipt thereof.</w:t>
      </w:r>
    </w:p>
    <w:p>
      <w:pPr>
        <w:spacing w:after="0" w:line="152" w:lineRule="exact"/>
        <w:rPr>
          <w:rFonts w:ascii="Times New Roman" w:cs="Times New Roman" w:eastAsia="Times New Roman" w:hAnsi="Times New Roman"/>
          <w:sz w:val="22"/>
          <w:szCs w:val="22"/>
          <w:color w:val="auto"/>
        </w:rPr>
      </w:pPr>
    </w:p>
    <w:p>
      <w:pPr>
        <w:ind w:left="440" w:right="120" w:firstLine="644"/>
        <w:spacing w:after="0" w:line="222" w:lineRule="auto"/>
        <w:tabs>
          <w:tab w:leader="none" w:pos="173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in no event shall the Borrower be required to make payments under this Section 2.12: (A) if a claim hereunder in respect of an increased cost covered by this Section 2.12 arises through circumstances peculiar to the affected Lender and that do not affect similarly organized commercial banking institutions in the same jurisdiction generally that are in compliance with the law, rule, regulation or interpretation giving rise to the Change in Law relating to such increased cost; (B) if the affected Lender shall fail to comply with its obligations under this Section 2.12; or (C) if the claim arises out of circumstances measured at the time of a voluntary relocation by such Lender of its Applicable Lending Office; (D) if the claim is in respect of or attributable to Taxes (the indemnifications for which are set out solely in Section 2.14); (E) if any amounts claimed thereunder are imposed by reason of the willful misconduct, fraud or gross negligence of such Lender or its Affiliates; or (F)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000"/>
          </w:cols>
          <w:pgMar w:left="540" w:top="1395" w:right="359" w:bottom="1440" w:gutter="0" w:footer="0" w:header="0"/>
        </w:sectPr>
      </w:pPr>
    </w:p>
    <w:bookmarkStart w:id="110" w:name="page111"/>
    <w:bookmarkEnd w:id="110"/>
    <w:p>
      <w:pPr>
        <w:ind w:left="440" w:right="20"/>
        <w:spacing w:after="0" w:line="225" w:lineRule="auto"/>
        <w:rPr>
          <w:sz w:val="20"/>
          <w:szCs w:val="20"/>
          <w:color w:val="auto"/>
        </w:rPr>
      </w:pPr>
      <w:r>
        <w:rPr>
          <w:rFonts w:ascii="Times New Roman" w:cs="Times New Roman" w:eastAsia="Times New Roman" w:hAnsi="Times New Roman"/>
          <w:sz w:val="22"/>
          <w:szCs w:val="22"/>
          <w:color w:val="auto"/>
        </w:rPr>
        <w:t>affected Lender does not certify that it is also exercising rights similar to those set forth in this Section 2.12 in at least one other similar financing transaction with a similarly situated borrower where such Lender is entitled to then exercise such similar rights.</w:t>
      </w:r>
    </w:p>
    <w:p>
      <w:pPr>
        <w:spacing w:after="0" w:line="153" w:lineRule="exact"/>
        <w:rPr>
          <w:sz w:val="20"/>
          <w:szCs w:val="20"/>
          <w:color w:val="auto"/>
        </w:rPr>
      </w:pPr>
    </w:p>
    <w:p>
      <w:pPr>
        <w:ind w:left="-220" w:right="160" w:firstLine="656"/>
        <w:spacing w:after="0" w:line="225" w:lineRule="auto"/>
        <w:tabs>
          <w:tab w:leader="none" w:pos="107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required to compensate a Lender pursuant to this Section for any increased costs incurred or reductions suffered more than 200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200-day period referred to above shall be extended to include the period of retroactive effect thereof).</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Break Funding Payments.</w:t>
      </w:r>
    </w:p>
    <w:p>
      <w:pPr>
        <w:spacing w:after="0" w:line="179" w:lineRule="exact"/>
        <w:rPr>
          <w:sz w:val="20"/>
          <w:szCs w:val="20"/>
          <w:color w:val="auto"/>
        </w:rPr>
      </w:pPr>
    </w:p>
    <w:p>
      <w:pPr>
        <w:ind w:left="-220" w:right="280" w:firstLine="656"/>
        <w:spacing w:after="0" w:line="225" w:lineRule="auto"/>
        <w:tabs>
          <w:tab w:leader="none" w:pos="107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account of each Lender, upon the request of such Lender through the Administrative Agent, such amount or amounts (if any) as shall be sufficient to compensate it for any loss, cost or expense that such Lender determines is attributable to:</w:t>
      </w:r>
    </w:p>
    <w:p>
      <w:pPr>
        <w:spacing w:after="0" w:line="152" w:lineRule="exact"/>
        <w:rPr>
          <w:rFonts w:ascii="Times New Roman" w:cs="Times New Roman" w:eastAsia="Times New Roman" w:hAnsi="Times New Roman"/>
          <w:sz w:val="22"/>
          <w:szCs w:val="22"/>
          <w:color w:val="auto"/>
        </w:rPr>
      </w:pPr>
    </w:p>
    <w:p>
      <w:pPr>
        <w:ind w:left="440" w:right="100" w:firstLine="644"/>
        <w:spacing w:after="0" w:line="236" w:lineRule="auto"/>
        <w:tabs>
          <w:tab w:leader="none" w:pos="172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its Loan for any reason on a date other than the last day of an Interest Period, except in connection with a prepayment pursuant to Section 2.16; or</w:t>
      </w:r>
    </w:p>
    <w:p>
      <w:pPr>
        <w:spacing w:after="0" w:line="150" w:lineRule="exact"/>
        <w:rPr>
          <w:rFonts w:ascii="Times New Roman" w:cs="Times New Roman" w:eastAsia="Times New Roman" w:hAnsi="Times New Roman"/>
          <w:sz w:val="22"/>
          <w:szCs w:val="22"/>
          <w:color w:val="auto"/>
        </w:rPr>
      </w:pPr>
    </w:p>
    <w:p>
      <w:pPr>
        <w:jc w:val="both"/>
        <w:ind w:left="440" w:right="80" w:firstLine="644"/>
        <w:spacing w:after="0" w:line="236" w:lineRule="auto"/>
        <w:tabs>
          <w:tab w:leader="none" w:pos="173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Borrower for any reason (including the failure of any of the conditions precedent specified in Section 4.02 to be satisfied) to borrow the Borrowing on the date specified in the Loan Request given pursuant to Section 2.03, or to prepay any Loan in accordance with a notice of prepayment under Section 2.10 or 2.11; or</w:t>
      </w:r>
    </w:p>
    <w:p>
      <w:pPr>
        <w:spacing w:after="0" w:line="151" w:lineRule="exact"/>
        <w:rPr>
          <w:rFonts w:ascii="Times New Roman" w:cs="Times New Roman" w:eastAsia="Times New Roman" w:hAnsi="Times New Roman"/>
          <w:sz w:val="21"/>
          <w:szCs w:val="21"/>
          <w:color w:val="auto"/>
        </w:rPr>
      </w:pPr>
    </w:p>
    <w:p>
      <w:pPr>
        <w:ind w:left="440" w:right="140" w:firstLine="644"/>
        <w:spacing w:after="0" w:line="236" w:lineRule="auto"/>
        <w:tabs>
          <w:tab w:leader="none" w:pos="179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any of its Loans other than on the last day of the Interest Period applicable thereto as a result of a request by the Borrower pursuant to Section 2.17; or</w:t>
      </w:r>
    </w:p>
    <w:p>
      <w:pPr>
        <w:spacing w:after="0" w:line="150" w:lineRule="exact"/>
        <w:rPr>
          <w:rFonts w:ascii="Times New Roman" w:cs="Times New Roman" w:eastAsia="Times New Roman" w:hAnsi="Times New Roman"/>
          <w:sz w:val="22"/>
          <w:szCs w:val="22"/>
          <w:color w:val="auto"/>
        </w:rPr>
      </w:pPr>
    </w:p>
    <w:p>
      <w:pPr>
        <w:ind w:left="440" w:right="240" w:firstLine="644"/>
        <w:spacing w:after="0" w:line="236" w:lineRule="auto"/>
        <w:tabs>
          <w:tab w:leader="none" w:pos="172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acceleration of the Loans pursuant to Section 7.01; including, in each case, any loss, cost or expense arising from the liquidation or redeployment of funds or from any fees payable.</w:t>
      </w:r>
    </w:p>
    <w:p>
      <w:pPr>
        <w:spacing w:after="0" w:line="150" w:lineRule="exact"/>
        <w:rPr>
          <w:rFonts w:ascii="Times New Roman" w:cs="Times New Roman" w:eastAsia="Times New Roman" w:hAnsi="Times New Roman"/>
          <w:sz w:val="22"/>
          <w:szCs w:val="22"/>
          <w:color w:val="auto"/>
        </w:rPr>
      </w:pPr>
    </w:p>
    <w:p>
      <w:pPr>
        <w:ind w:left="-220" w:right="200" w:firstLine="656"/>
        <w:spacing w:after="0" w:line="236" w:lineRule="auto"/>
        <w:tabs>
          <w:tab w:leader="none" w:pos="107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will furnish to the Borrower a certificate setting forth the basis and amount of each request by such Lender for compensation under this Section 2.13, which certificate shall be conclusive in the absence of manifest error.</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20" w:firstLine="656"/>
        <w:spacing w:after="0" w:line="211" w:lineRule="auto"/>
        <w:tabs>
          <w:tab w:leader="none" w:pos="107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the Borrower and the Guarantor under any Loan Document shall be made without deduction or withholding for any Taxes, except as required by applicable law. If applicable law (as determined in the good faith discretion of Borrower, Guarantor or Administrative Agent, as applicable) requires the deduction or withholding of any Taxes from any such payments, then (i) if such Taxes are Indemnified Taxes, the sum payable by the Borrower and the Guarantor, as applicable, shall be increased as necessary so that after making all such deductions and withholdings for Indemnified Taxes (including such deductions and withholdings applicable to additional sums payable under this Section) each Agent and each Lender receives an amount equal to the sum it would have received had no such deductions been made, (ii) the Borrower, the Guarantor or the Administrative Agent, as applicable, shall be entitled to make such deductions and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0980"/>
          </w:cols>
          <w:pgMar w:left="540" w:top="1395" w:right="379" w:bottom="1440" w:gutter="0" w:footer="0" w:header="0"/>
        </w:sectPr>
      </w:pPr>
    </w:p>
    <w:bookmarkStart w:id="111" w:name="page112"/>
    <w:bookmarkEnd w:id="111"/>
    <w:p>
      <w:pPr>
        <w:ind w:right="200"/>
        <w:spacing w:after="0" w:line="220" w:lineRule="auto"/>
        <w:rPr>
          <w:sz w:val="20"/>
          <w:szCs w:val="20"/>
          <w:color w:val="auto"/>
        </w:rPr>
      </w:pPr>
      <w:r>
        <w:rPr>
          <w:rFonts w:ascii="Times New Roman" w:cs="Times New Roman" w:eastAsia="Times New Roman" w:hAnsi="Times New Roman"/>
          <w:sz w:val="22"/>
          <w:szCs w:val="22"/>
          <w:color w:val="auto"/>
        </w:rPr>
        <w:t>Borrower, the Guarantor or the Administrative Agent, as applicable, shall timely pay the full amount deducted to the relevant Governmental Authority in accordance with applicable law. The Borrower and the Guarantor shall timely pay to the relevant Governmental Authority in accordance with applicable law, or at the option of the Administrative Agent timely reimburse it for the payment of, any Other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w:t>
      </w:r>
    </w:p>
    <w:p>
      <w:pPr>
        <w:spacing w:after="0" w:line="179" w:lineRule="exact"/>
        <w:rPr>
          <w:sz w:val="20"/>
          <w:szCs w:val="20"/>
          <w:color w:val="auto"/>
        </w:rPr>
      </w:pPr>
    </w:p>
    <w:p>
      <w:pPr>
        <w:ind w:left="660" w:firstLine="644"/>
        <w:spacing w:after="0" w:line="215"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 shall jointly and severally pay, and, upon written demand, shall jointly and severally indemnify, protect, defend and hold each Tax Indemnitee harmless from, all Taxes that may from time to time be imposed on or asserted against any Tax Indemnitee (x) upon or with respect to the Collateral, or the income or proceeds therefrom, or (y) arising from the execution, delivery or enforcement of this Agreement or any other Loan Document, or any payment by the Borrower and the Guarantor pursuant thereto, or otherwise in respect of this Agreement or any other Loan Document.</w:t>
      </w:r>
    </w:p>
    <w:p>
      <w:pPr>
        <w:spacing w:after="0" w:line="152" w:lineRule="exact"/>
        <w:rPr>
          <w:rFonts w:ascii="Times New Roman" w:cs="Times New Roman" w:eastAsia="Times New Roman" w:hAnsi="Times New Roman"/>
          <w:sz w:val="22"/>
          <w:szCs w:val="22"/>
          <w:color w:val="auto"/>
        </w:rPr>
      </w:pPr>
    </w:p>
    <w:p>
      <w:pPr>
        <w:ind w:left="660" w:right="40" w:firstLine="644"/>
        <w:spacing w:after="0" w:line="236" w:lineRule="auto"/>
        <w:tabs>
          <w:tab w:leader="none" w:pos="195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paragraph (b)(i) above shall not apply to, and the Borrower and the Guarantor shall have no liability hereunder for Taxes:</w:t>
      </w:r>
    </w:p>
    <w:p>
      <w:pPr>
        <w:spacing w:after="0" w:line="150" w:lineRule="exact"/>
        <w:rPr>
          <w:rFonts w:ascii="Times New Roman" w:cs="Times New Roman" w:eastAsia="Times New Roman" w:hAnsi="Times New Roman"/>
          <w:sz w:val="22"/>
          <w:szCs w:val="22"/>
          <w:color w:val="auto"/>
        </w:rPr>
      </w:pPr>
    </w:p>
    <w:p>
      <w:pPr>
        <w:ind w:left="1300" w:right="60" w:firstLine="652"/>
        <w:spacing w:after="0" w:line="225" w:lineRule="auto"/>
        <w:tabs>
          <w:tab w:leader="none" w:pos="258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Taxes result directly from the gross negligence or willful misconduct of any Tax Indemnitee or its Tax Indemnitee Related Parties as determined by a court of competent jurisdiction by a final and non-appealable judgment;</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20" w:lineRule="auto"/>
        <w:tabs>
          <w:tab w:leader="none" w:pos="26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or that would not have been imposed but for, any Liens arising as a result of claims against, or acts or omissions of, or otherwise attributable to any Tax Indemnitee or its Tax Indemnitee Related Parties unless such Liens, claims, acts or omissions are primarily and directly attributable to the Borrower, the Guarantor or an Affiliate of the Borrower;</w:t>
      </w:r>
    </w:p>
    <w:p>
      <w:pPr>
        <w:spacing w:after="0" w:line="152" w:lineRule="exact"/>
        <w:rPr>
          <w:rFonts w:ascii="Times New Roman" w:cs="Times New Roman" w:eastAsia="Times New Roman" w:hAnsi="Times New Roman"/>
          <w:sz w:val="22"/>
          <w:szCs w:val="22"/>
          <w:color w:val="auto"/>
        </w:rPr>
      </w:pPr>
    </w:p>
    <w:p>
      <w:pPr>
        <w:ind w:left="1300" w:right="120" w:firstLine="652"/>
        <w:spacing w:after="0" w:line="215" w:lineRule="auto"/>
        <w:tabs>
          <w:tab w:leader="none" w:pos="258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imposed as a result of the breach by any Tax Indemnitee or its Tax Indemnitee Related Parties of any covenant, representation or warranty of such Tax Indemnitee or its Tax Indemnitee Related Parties (which, in the case of an Agent is a breach that is determined by a court of competent jurisdiction by a final and non-appealable judgment to rise to the level of gross negligence or willful misconduct) contained in or made pursuant to any Loan Document or the inaccuracy of any representation or warranty by any Tax Indemnitee or its Tax Indemnitee Related Parties contained in or made pursuant to any Loan Document;</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17" w:lineRule="auto"/>
        <w:tabs>
          <w:tab w:leader="none" w:pos="26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during or as a result of the continuation of an Event of Default, to the extent attributable to the authorization or giving or withholding of any future amendments, supplements, waivers or consents with respect to any Loan Document other than such as have been requested by the Borrower or as are required by or made pursuant to the terms of any Loan Document (unless such requirement results from the actions of a Tax Indemnitee not required by or made pursuant to the Loan Document);</w:t>
      </w:r>
    </w:p>
    <w:p>
      <w:pPr>
        <w:spacing w:after="0" w:line="152" w:lineRule="exact"/>
        <w:rPr>
          <w:rFonts w:ascii="Times New Roman" w:cs="Times New Roman" w:eastAsia="Times New Roman" w:hAnsi="Times New Roman"/>
          <w:sz w:val="22"/>
          <w:szCs w:val="22"/>
          <w:color w:val="auto"/>
        </w:rPr>
      </w:pPr>
    </w:p>
    <w:p>
      <w:pPr>
        <w:ind w:left="1300" w:right="280" w:firstLine="652"/>
        <w:spacing w:after="0" w:line="236" w:lineRule="auto"/>
        <w:tabs>
          <w:tab w:leader="none" w:pos="258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attributable to any amount which any Tax Indemnitee expressly agrees in writing to pay or expressly agrees in writing shall not be paid by or be reimbursed by the Borrower;</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Excluded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20"/>
          </w:cols>
          <w:pgMar w:left="320" w:top="1395" w:right="359" w:bottom="1440" w:gutter="0" w:footer="0" w:header="0"/>
        </w:sectPr>
      </w:pPr>
    </w:p>
    <w:bookmarkStart w:id="112" w:name="page113"/>
    <w:bookmarkEnd w:id="112"/>
    <w:p>
      <w:pPr>
        <w:ind w:left="1080" w:right="220" w:firstLine="652"/>
        <w:spacing w:after="0" w:line="215" w:lineRule="auto"/>
        <w:tabs>
          <w:tab w:leader="none" w:pos="236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are imposed with respect to a voluntary or involuntary transfer by any Tax Indemnitee of a Loan Document, or any interest in any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clause (G) shall not apply (i) to such transfer by an Agent in connection with Section 8.05; or (ii) in the case of any transfer which occurs while an Event of Default has occurred and is continuing or that is primarily and directly attributable to the Borrower, the Guarantor or a Borrower’s Affiliate or is reasonably necessary to comply with applicable law as the result of a Change in Law;</w:t>
      </w:r>
    </w:p>
    <w:p>
      <w:pPr>
        <w:spacing w:after="0" w:line="152" w:lineRule="exact"/>
        <w:rPr>
          <w:rFonts w:ascii="Times New Roman" w:cs="Times New Roman" w:eastAsia="Times New Roman" w:hAnsi="Times New Roman"/>
          <w:sz w:val="22"/>
          <w:szCs w:val="22"/>
          <w:color w:val="auto"/>
        </w:rPr>
      </w:pPr>
    </w:p>
    <w:p>
      <w:pPr>
        <w:ind w:left="1080" w:right="60" w:firstLine="652"/>
        <w:spacing w:after="0" w:line="236" w:lineRule="auto"/>
        <w:tabs>
          <w:tab w:leader="none" w:pos="236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in the nature of net income taxes payable by any Agent in respect of the fees, commissions, or compensation payable to the Agent for services rendered in its capacity as an Agent;</w:t>
      </w:r>
    </w:p>
    <w:p>
      <w:pPr>
        <w:spacing w:after="0" w:line="150" w:lineRule="exact"/>
        <w:rPr>
          <w:rFonts w:ascii="Times New Roman" w:cs="Times New Roman" w:eastAsia="Times New Roman" w:hAnsi="Times New Roman"/>
          <w:sz w:val="22"/>
          <w:szCs w:val="22"/>
          <w:color w:val="auto"/>
        </w:rPr>
      </w:pPr>
    </w:p>
    <w:p>
      <w:pPr>
        <w:ind w:left="1080" w:firstLine="652"/>
        <w:spacing w:after="0" w:line="220" w:lineRule="auto"/>
        <w:tabs>
          <w:tab w:leader="none" w:pos="237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imposed on any transferee of a Tax Indemnitee (1) if, pursuant to the law in effect at the time of the transfer, such Taxes would not have been imposed on the transferor Tax Indemnitee, or (2) to the extent such Taxes, pursuant to the law in effect at the time of the transfer, exceed the amount of Taxes that would have been imposed on the transferor Tax Indemnitee;</w:t>
      </w:r>
    </w:p>
    <w:p>
      <w:pPr>
        <w:spacing w:after="0" w:line="152" w:lineRule="exact"/>
        <w:rPr>
          <w:rFonts w:ascii="Times New Roman" w:cs="Times New Roman" w:eastAsia="Times New Roman" w:hAnsi="Times New Roman"/>
          <w:sz w:val="22"/>
          <w:szCs w:val="22"/>
          <w:color w:val="auto"/>
        </w:rPr>
      </w:pPr>
    </w:p>
    <w:p>
      <w:pPr>
        <w:ind w:left="1080" w:right="40" w:firstLine="652"/>
        <w:spacing w:after="0" w:line="220" w:lineRule="auto"/>
        <w:tabs>
          <w:tab w:leader="none" w:pos="237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such Taxes are imposed or increased as a result of the failure of any Tax Indemnitee to provide, upon reasonable request of the Borrower and to the extent it is legally entitled to do so, any certification (or form certifying) as to its nationality, residence or identity that is required by applicable law and under such applicable law would reduce or eliminate the amount of Taxes; or</w:t>
      </w:r>
    </w:p>
    <w:p>
      <w:pPr>
        <w:spacing w:after="0" w:line="152" w:lineRule="exact"/>
        <w:rPr>
          <w:rFonts w:ascii="Times New Roman" w:cs="Times New Roman" w:eastAsia="Times New Roman" w:hAnsi="Times New Roman"/>
          <w:sz w:val="22"/>
          <w:szCs w:val="22"/>
          <w:color w:val="auto"/>
        </w:rPr>
      </w:pPr>
    </w:p>
    <w:p>
      <w:pPr>
        <w:ind w:left="1080" w:right="520" w:firstLine="652"/>
        <w:spacing w:after="0" w:line="225" w:lineRule="auto"/>
        <w:tabs>
          <w:tab w:leader="none" w:pos="236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imposed on a Tax Indemnitee related to ERISA or by section 4975 of the Code or as a result of the occurrence of any prohibited transaction within the meaning of Section 406 of ERISA (and any corresponding civil penalties payable under ERISA).</w:t>
      </w:r>
    </w:p>
    <w:p>
      <w:pPr>
        <w:spacing w:after="0" w:line="152" w:lineRule="exact"/>
        <w:rPr>
          <w:rFonts w:ascii="Times New Roman" w:cs="Times New Roman" w:eastAsia="Times New Roman" w:hAnsi="Times New Roman"/>
          <w:sz w:val="22"/>
          <w:szCs w:val="22"/>
          <w:color w:val="auto"/>
        </w:rPr>
      </w:pPr>
    </w:p>
    <w:p>
      <w:pPr>
        <w:ind w:left="-220" w:right="60" w:firstLine="656"/>
        <w:spacing w:after="0" w:line="212" w:lineRule="auto"/>
        <w:tabs>
          <w:tab w:leader="none" w:pos="107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 shall jointly and severally indemnify each Agent and each Lender, within 30 days after written demand therefor, for the full amount of any Indemnified Taxes (including Indemnified Taxes imposed or asserted on or attributable to amounts payable under this Section) required to be withheld or deducted from a payment to such Agent or Lender or payable or paid by such Agent or such Lender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Security Trustee (in each case with a copy to the Administrative Agent), or by the Administrative Agent on its own behalf or on behalf of a Lender or the Security Trustee, shall be conclusive absent manifest error.</w:t>
      </w:r>
    </w:p>
    <w:p>
      <w:pPr>
        <w:spacing w:after="0" w:line="156" w:lineRule="exact"/>
        <w:rPr>
          <w:rFonts w:ascii="Times New Roman" w:cs="Times New Roman" w:eastAsia="Times New Roman" w:hAnsi="Times New Roman"/>
          <w:sz w:val="22"/>
          <w:szCs w:val="22"/>
          <w:color w:val="auto"/>
        </w:rPr>
      </w:pPr>
    </w:p>
    <w:p>
      <w:pPr>
        <w:ind w:left="-220" w:right="100" w:firstLine="656"/>
        <w:spacing w:after="0" w:line="220" w:lineRule="auto"/>
        <w:tabs>
          <w:tab w:leader="none" w:pos="107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for by the Borrower or the Guarantor to a Governmental Authority, the Borrower or the Guarantor, as applicable,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2" w:lineRule="exact"/>
        <w:rPr>
          <w:rFonts w:ascii="Times New Roman" w:cs="Times New Roman" w:eastAsia="Times New Roman" w:hAnsi="Times New Roman"/>
          <w:sz w:val="22"/>
          <w:szCs w:val="22"/>
          <w:color w:val="auto"/>
        </w:rPr>
      </w:pPr>
    </w:p>
    <w:p>
      <w:pPr>
        <w:ind w:left="-220" w:right="160" w:firstLine="656"/>
        <w:spacing w:after="0" w:line="236" w:lineRule="auto"/>
        <w:tabs>
          <w:tab w:leader="none" w:pos="10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Date, the Administrative Agent shall provide to the Borrower with a copy of its Internal Revenue Service form W-9, with required attachments. In addition, each Lender organized under the laws of a jurisdiction outside the United States, on or prior to the date of its execution and delivery of this Agreement in the case of any Lender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020"/>
          </w:cols>
          <w:pgMar w:left="540" w:top="1395" w:right="339" w:bottom="1440" w:gutter="0" w:footer="0" w:header="0"/>
        </w:sectPr>
      </w:pPr>
    </w:p>
    <w:bookmarkStart w:id="113" w:name="page114"/>
    <w:bookmarkEnd w:id="113"/>
    <w:p>
      <w:pPr>
        <w:ind w:right="20"/>
        <w:spacing w:after="0" w:line="215" w:lineRule="auto"/>
        <w:rPr>
          <w:sz w:val="20"/>
          <w:szCs w:val="20"/>
          <w:color w:val="auto"/>
        </w:rPr>
      </w:pPr>
      <w:r>
        <w:rPr>
          <w:rFonts w:ascii="Times New Roman" w:cs="Times New Roman" w:eastAsia="Times New Roman" w:hAnsi="Times New Roman"/>
          <w:sz w:val="21"/>
          <w:szCs w:val="21"/>
          <w:color w:val="auto"/>
        </w:rPr>
        <w:t xml:space="preserve">a signatory under the caption “LENDERS” on the signature page hereto and on the effective date of the applicable Assignment and Acceptance pursuant to which it becomes a Lender in the case of each other Lender, and from time to time thereafter as requested in writing by the Borrower (but only so long as such Lender remains lawfully able to do so), shall provide each of the Administrative Agent and the Borrower with two executed copies of Internal Revenue Service forms W-9, W-8BEN, W-BEN-E, W-8ECI and/or W-8IMY, as appropriate, or any successor or other form prescribed by the Internal Revenue Service, certifying that such Lender is exempt from or entitled to a reduced rate of United States withholding tax on interest payments pursuant to this Agreement. In addition, at the time or times reasonably requested by the Borrower or the Administrative Agent, any Lender that is not resident for tax purposes in the jurisdiction in which the Borrower is resident for such purposes and is entitled to an exemption from or reduction of withholding tax under the law of the jurisdiction in which the Borrower is resident, or any treaty to which such jurisdiction is a party, with respect to interest payments hereunder or under any other Loan Document shall, to the extent legally able to do so, use reasonable efforts to deliver to the Borrower (with a copy to the Administrative Agent), (i) in the case of any Lender that is a signatory under the caption “LENDERS” on the signature pages hereto, on or prior to the Effective Date and (ii) in the case of any other Lender, on or prior to the effective date of the applicable assignment, and in any event no later than at the time or times prescribed by applicable law, such properly completed and executed documentation prescribed by applicable law or reasonably requested by the Borrower or Administrative Agent as will permit such payments to be made without withholding or at a reduced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obligate any Lender to disclose any confidential information in connection therewith. For any period with respect to which a Lender has failed to provide the Borrower with the appropriate form described in this Section 2.14(e) (other than if such failure is due to a Change in Law occurring subsequent to the date on which a form originally was required to be provided, or if such form otherwise is not required under this Section</w:t>
      </w:r>
    </w:p>
    <w:p>
      <w:pPr>
        <w:spacing w:after="0" w:line="18"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2.14(e)), such Lender shall not be entitled to indemnification under Section 2.14 or with respect to Taxes imposed by the United States by reason of such failure.</w:t>
      </w:r>
    </w:p>
    <w:p>
      <w:pPr>
        <w:spacing w:after="0" w:line="150" w:lineRule="exact"/>
        <w:rPr>
          <w:sz w:val="20"/>
          <w:szCs w:val="20"/>
          <w:color w:val="auto"/>
        </w:rPr>
      </w:pPr>
    </w:p>
    <w:p>
      <w:pPr>
        <w:ind w:firstLine="656"/>
        <w:spacing w:after="0" w:line="218" w:lineRule="auto"/>
        <w:tabs>
          <w:tab w:leader="none" w:pos="12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Agent or Lender, or other recipient of any payment to be made by or on account of any obligation of the Borrower or the Guarantor hereunder determines, in its sole discretion, that it has received a refund of any Taxes as to which it has been indemnified by the Borrower or the Guarantor or with respect to which the Borrower or the Guarantor has paid additional amounts pursuant to this Section 2.14, it shall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no Event of Default shall have occurred and be continuing) pay over such refund to the Borrower or the Guarantor (but only to the extent of indemnity payments made, or additional amounts paid, by the Borrower or the Guarantor under this Section 2.14 with respect to the Indemnified Taxes giving rise to such refund), net of all out-of-pocket expenses of such Agent, Lender or other recipient (including any Taxes imposed with respect to such refund) as determined by the Agent, Lender or other recipient in its sole good faith discretion,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or the Guarantor, as applicable, upon the request of such Agent, Lender or other recipient agrees to repay as soon as reasonably practicable the amount paid over to the Borrower or the Guarantor (plus any penalties, interest or other charges imposed by the relevant Governmental Authority) to such Agent, Lender, or other recipient in the event such Agent, Lender, or other recipient is required to repay such refund to such Governmental Authority. Notwithstanding anything to the contrary in this paragraph (f), in no event will any Agent or Lender be required to pay any amount to the Borrower or the Guarantor pursuant to this paragraph (f) the payment of which would place such Agent or Lender in a less favorable net after-Tax position than such Agent or Lender would have been in if the Tax subject to indemnification and giving rise to such refund had not been deducted, withheld or otherwise imposed and the indemnification payments or additional amounts with respect to such Tax had never been paid. This Section 2.14 shall not be construed to require any Agent, Lender or other recipient to make available its Tax returns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160"/>
          </w:cols>
          <w:pgMar w:left="320" w:top="1395" w:right="4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any other information relating to its Taxes which it deems confidential) to the Borrower, the Guarantor or any other person.</w:t>
      </w:r>
    </w:p>
    <w:p>
      <w:pPr>
        <w:spacing w:after="0" w:line="206" w:lineRule="exact"/>
        <w:rPr>
          <w:sz w:val="20"/>
          <w:szCs w:val="20"/>
          <w:color w:val="auto"/>
        </w:rPr>
      </w:pPr>
    </w:p>
    <w:p>
      <w:pPr>
        <w:ind w:right="460" w:firstLine="8"/>
        <w:spacing w:after="0" w:line="271" w:lineRule="auto"/>
        <w:tabs>
          <w:tab w:leader="none" w:pos="64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2.14 shall not interfere with the right of any Agent, Lender or other recipient to arrange its tax affairs in whatever manner it thinks fit.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Payments Generally; Pro Rata Treatment.</w:t>
      </w:r>
    </w:p>
    <w:p>
      <w:pPr>
        <w:spacing w:after="0" w:line="179" w:lineRule="exact"/>
        <w:rPr>
          <w:sz w:val="20"/>
          <w:szCs w:val="20"/>
          <w:color w:val="auto"/>
        </w:rPr>
      </w:pPr>
    </w:p>
    <w:p>
      <w:pPr>
        <w:ind w:right="20" w:firstLine="656"/>
        <w:spacing w:after="0" w:line="220" w:lineRule="auto"/>
        <w:tabs>
          <w:tab w:leader="none" w:pos="129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make each payment or prepayment required to be made by it hereunder (whether of principal, interest, fees or reimbursement of LC Disbursements, or of amounts payable under Section 2.12 or 2.13,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6440 S. Millrock Drive, Suite 400, Salt Lake City, UT 84121, pursuant to wire instructions to be provided by the Administrative Agent, except payments to be made directly to an Issuing Lender as expressly provided herein and except that payments pursuant to Sections 2.12, 2.13 and 10.04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U.S. Dollars.</w:t>
      </w:r>
    </w:p>
    <w:p>
      <w:pPr>
        <w:spacing w:after="0" w:line="151" w:lineRule="exact"/>
        <w:rPr>
          <w:rFonts w:ascii="Times New Roman" w:cs="Times New Roman" w:eastAsia="Times New Roman" w:hAnsi="Times New Roman"/>
          <w:sz w:val="21"/>
          <w:szCs w:val="21"/>
          <w:color w:val="auto"/>
        </w:rPr>
      </w:pPr>
    </w:p>
    <w:p>
      <w:pPr>
        <w:ind w:right="40" w:firstLine="656"/>
        <w:spacing w:after="0" w:line="219" w:lineRule="auto"/>
        <w:tabs>
          <w:tab w:leader="none" w:pos="129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insufficient funds are received by and available to the Administrative Agent to pay fully all Obligations then due hereunder, such funds shall be applied (i)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towards payment of Fees and expenses then due under Sections 2.18 and 10.04 payable to each Agent,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towards payment of Fees and expenses then due under Sections 2.18, 2.19, 2.20 and 10.04 payable to the Lenders and the Issuing Lenders and towards payment of interest then due on account of the Revolving Loans and Letters of Credit, ratably among the parties entitled thereto in accordance with the amounts of such Fees and expenses and interest then due to such parties and (iii)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towards payment of (A) principal of the Revolving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the Guarantor shall not be paid with amounts received from the Guarantor or its assets, but appropriate adjustment shall be made with respect to payments from the Borrower or the Guarantor to preserve the allocations to Obligations otherwise set forth above in this Section 2.15(b).</w:t>
      </w:r>
    </w:p>
    <w:p>
      <w:pPr>
        <w:spacing w:after="0" w:line="155" w:lineRule="exact"/>
        <w:rPr>
          <w:rFonts w:ascii="Times New Roman" w:cs="Times New Roman" w:eastAsia="Times New Roman" w:hAnsi="Times New Roman"/>
          <w:sz w:val="21"/>
          <w:szCs w:val="21"/>
          <w:color w:val="auto"/>
        </w:rPr>
      </w:pPr>
    </w:p>
    <w:p>
      <w:pPr>
        <w:ind w:firstLine="656"/>
        <w:spacing w:after="0" w:line="215" w:lineRule="auto"/>
        <w:tabs>
          <w:tab w:leader="none" w:pos="12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00"/>
          </w:cols>
          <w:pgMar w:left="320" w:top="1395" w:right="379" w:bottom="1440" w:gutter="0" w:footer="0" w:header="0"/>
        </w:sectPr>
      </w:pPr>
    </w:p>
    <w:bookmarkStart w:id="115" w:name="page116"/>
    <w:bookmarkEnd w:id="115"/>
    <w:p>
      <w:pPr>
        <w:ind w:right="120"/>
        <w:spacing w:after="0" w:line="220" w:lineRule="auto"/>
        <w:rPr>
          <w:sz w:val="20"/>
          <w:szCs w:val="20"/>
          <w:color w:val="auto"/>
        </w:rPr>
      </w:pPr>
      <w:r>
        <w:rPr>
          <w:rFonts w:ascii="Times New Roman" w:cs="Times New Roman" w:eastAsia="Times New Roman" w:hAnsi="Times New Roman"/>
          <w:sz w:val="22"/>
          <w:szCs w:val="22"/>
          <w:color w:val="auto"/>
        </w:rPr>
        <w:t>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39"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pursuant to Section 2.02(e), 2.04(a),</w:t>
      </w:r>
    </w:p>
    <w:p>
      <w:pPr>
        <w:ind w:right="240"/>
        <w:spacing w:after="0" w:line="218" w:lineRule="auto"/>
        <w:rPr>
          <w:sz w:val="20"/>
          <w:szCs w:val="20"/>
          <w:color w:val="auto"/>
        </w:rPr>
      </w:pPr>
      <w:r>
        <w:rPr>
          <w:rFonts w:ascii="Times New Roman" w:cs="Times New Roman" w:eastAsia="Times New Roman" w:hAnsi="Times New Roman"/>
          <w:sz w:val="22"/>
          <w:szCs w:val="22"/>
          <w:color w:val="auto"/>
        </w:rPr>
        <w:t>2.04(b),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51"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Notwithstanding any other provision of this Agreement, in the event that any Change in Law shall make it unlawful for any Lender or its Applicable Lending Office to make or maintain its Loan (and, in the opinion of such Lender, the designation of a different Applicable Lending Office would either not avoid such unlawfulness or would be disadvantageous to such Lender) (an “</w:t>
      </w:r>
      <w:r>
        <w:rPr>
          <w:rFonts w:ascii="Times New Roman" w:cs="Times New Roman" w:eastAsia="Times New Roman" w:hAnsi="Times New Roman"/>
          <w:sz w:val="21"/>
          <w:szCs w:val="21"/>
          <w:u w:val="single" w:color="auto"/>
          <w:color w:val="auto"/>
        </w:rPr>
        <w:t>Illegality Event</w:t>
      </w:r>
      <w:r>
        <w:rPr>
          <w:rFonts w:ascii="Times New Roman" w:cs="Times New Roman" w:eastAsia="Times New Roman" w:hAnsi="Times New Roman"/>
          <w:sz w:val="21"/>
          <w:szCs w:val="21"/>
          <w:color w:val="auto"/>
        </w:rPr>
        <w:t xml:space="preserve">”), then such Lender shall promptly notify the Borrower thereof (with a copy to the Administrative Agent) following which, at the Borrower’s election as notified to such Lender and the Administrative Agent, either (i) the Borrower shall prepay in full the then outstanding principal amount of such Lender’s Loan, together with accrued interest thereon to the date of prepayment and all other amounts payable to such Lender under this Agreement on or before such date as shall be mandated by such Illegality Event or (ii) the Borrower and such Lender shall negotiate for a period of 30 days in an effort to mitigate such Illegality Event. If, after such mitigation period, such Illegality Event cannot be resolved and if requested by such Lender, such Lender’s Commitment shall terminate and the Borrower shall, within ten (10) Business Days from the end of such period, prepay in full the then outstanding principal amount of such Lender’s Loan, together with accrued interest thereon to the date of prepayment and all other amounts payable to such Lender under this Agreement on or before such date as shall be mandated by such Illegality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requesting prepayment by the Borrower of such Lender’s Loan after such mitigation period as a result of such Illegality Event, such Lender shall use commercially reasonable efforts to assign its portion of the Loan (in accordance with and subject to the restrictions contained in, and consents required by, Section 10.02) to an assignee that is not impacted by such Illegality Event and, if such Lender is not able to assign its portion of the Loan after such commercially reasonable efforts, the Borrower shall prepay such Lender’s Loan in accordance with this Section 2.16 and no Breakage Costs shall be payable by the Borrower in the event of a prepayment under this Section 2.16.</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Mitigation Obligations; Replacement of Lenders.</w:t>
      </w:r>
    </w:p>
    <w:p>
      <w:pPr>
        <w:spacing w:after="0" w:line="179" w:lineRule="exact"/>
        <w:rPr>
          <w:sz w:val="20"/>
          <w:szCs w:val="20"/>
          <w:color w:val="auto"/>
        </w:rPr>
      </w:pPr>
    </w:p>
    <w:p>
      <w:pPr>
        <w:ind w:firstLine="656"/>
        <w:spacing w:after="0" w:line="211"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(i) requests compensation under Section 2.12, (ii) requires the Borrower to pay any additional amount to any Lender or any Governmental Authority for the account of any Lender pursuant to Section 2.14, or (iii) requires the Borrower to pay interest to any Lender at a higher rate pursuant to Section 2.28, the Borrower may request that such Lender use and, then, in each case, such Lender shall use commercially reasonable efforts to mitigate the amount or amounts owing to such Lender by designating a different Applicable Lending Office for funding or booking its Loan hereunder or assigning its rights and obligations hereunder to another of its offices, branches or affiliates, if, in the judgment of such Lender, such designation or assignment (A) would eliminate or reduce amounts payable pursuant to Section 2.12, 2.14 or 2.28, as the case may be, in the future and (B) would not subject such Lender to any unreimbursed cost or expense and would not be materially disadvantageous to such Lender.</w:t>
      </w:r>
    </w:p>
    <w:p>
      <w:pPr>
        <w:spacing w:after="0" w:line="158" w:lineRule="exact"/>
        <w:rPr>
          <w:rFonts w:ascii="Times New Roman" w:cs="Times New Roman" w:eastAsia="Times New Roman" w:hAnsi="Times New Roman"/>
          <w:sz w:val="22"/>
          <w:szCs w:val="22"/>
          <w:color w:val="auto"/>
        </w:rPr>
      </w:pPr>
    </w:p>
    <w:p>
      <w:pPr>
        <w:ind w:right="80" w:firstLine="656"/>
        <w:spacing w:after="0" w:line="236" w:lineRule="auto"/>
        <w:tabs>
          <w:tab w:leader="none" w:pos="12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2.12, if the Borrower is required to pay any additional amount to any Lender or any Governmental Authority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116" w:name="page117"/>
    <w:bookmarkEnd w:id="116"/>
    <w:p>
      <w:pPr>
        <w:ind w:right="120"/>
        <w:spacing w:after="0" w:line="213" w:lineRule="auto"/>
        <w:rPr>
          <w:sz w:val="20"/>
          <w:szCs w:val="20"/>
          <w:color w:val="auto"/>
        </w:rPr>
      </w:pPr>
      <w:r>
        <w:rPr>
          <w:rFonts w:ascii="Times New Roman" w:cs="Times New Roman" w:eastAsia="Times New Roman" w:hAnsi="Times New Roman"/>
          <w:sz w:val="22"/>
          <w:szCs w:val="22"/>
          <w:color w:val="auto"/>
        </w:rPr>
        <w:t xml:space="preserve">account of any Lender pursuant to Section 2.14, or if the Borrower is required to pay interest to any Lender at a higher rate pursuant to Section 2.28, then provided that no Default or Event of Default has occurred and is continuing, the Borrower may, at its sole expense and effort, upon three Business Days (which shall also be U.S. Government Securities Business Days) written notice to such Lender and the Administrative Agent, require such Lender to assign, without recourse (in accordance with and subject to the restrictions contained in, and consents required by, Section 10.02), all of its interests, rights and obligations under this Agreement to an Eligible Assignee identified by the Borrower that shall assume such obligations (which Eligible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6" w:lineRule="exact"/>
        <w:rPr>
          <w:sz w:val="20"/>
          <w:szCs w:val="20"/>
          <w:color w:val="auto"/>
        </w:rPr>
      </w:pPr>
    </w:p>
    <w:p>
      <w:pPr>
        <w:ind w:left="660" w:right="40" w:firstLine="644"/>
        <w:spacing w:after="0" w:line="217"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 accrued interest thereon, including increased costs due pursuant to Section 2.12, any additional amounts due under Section 2.14 and all other amounts payable to it under the Loan Documents (including any amounts under Section 2.13 as if such Loan were prepaid in full) from the assignee (to the extent of such outstanding principal and accrued interest) or the Borrower (in the case of all other amounts);</w:t>
      </w:r>
    </w:p>
    <w:p>
      <w:pPr>
        <w:spacing w:after="0" w:line="152" w:lineRule="exact"/>
        <w:rPr>
          <w:rFonts w:ascii="Times New Roman" w:cs="Times New Roman" w:eastAsia="Times New Roman" w:hAnsi="Times New Roman"/>
          <w:sz w:val="22"/>
          <w:szCs w:val="22"/>
          <w:color w:val="auto"/>
        </w:rPr>
      </w:pPr>
    </w:p>
    <w:p>
      <w:pPr>
        <w:jc w:val="both"/>
        <w:ind w:left="660" w:right="140" w:firstLine="644"/>
        <w:spacing w:after="0" w:line="225" w:lineRule="auto"/>
        <w:tabs>
          <w:tab w:leader="none" w:pos="195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claim for compensation under Section 2.12, payments required to be made pursuant to Section 2.14 or payment of interest to be made at a higher rate pursuant to Section 2.28, such assignment will result in a reduction in such compensation or payments thereafter; and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w:t>
      </w:r>
    </w:p>
    <w:p>
      <w:pPr>
        <w:spacing w:after="0" w:line="17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if, prior thereto, as a result of a waiver by such Lender or otherwise, the circumstances entitling the Borrower to require such assignment cease to apply.</w:t>
      </w:r>
    </w:p>
    <w:p>
      <w:pPr>
        <w:spacing w:after="0" w:line="177"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xml:space="preserve"> The Borrower shall pay to the Agents and the Lenders the fees set forth in the Fee Letters and the Fee Schedule at the times set forth therein.</w:t>
      </w:r>
    </w:p>
    <w:p>
      <w:pPr>
        <w:spacing w:after="0" w:line="150"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The Borrower shall pay to the Administrative Agent for the accounts of the Revolving Lenders a commitment fee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for the period commencing on the Effective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on the last Business Day of each March, June, September and December, (b) on the Revolving Facility Termination Date with respect to the applicable Revolving Commitments, and (c) as provided in Section 2.09 hereof, upon any reduction or termination in whole or in part of the Total Revolving Commitment.</w:t>
      </w:r>
    </w:p>
    <w:p>
      <w:pPr>
        <w:spacing w:after="0" w:line="15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The Borrower shall pay with respect to each Letter of Credit (i) to the Administrative Agent for the account of each Lender a fee with respect to its participations in each outstanding Letter of Credit calculated by each Lender (on the basis of the actual number of days elapsed over a year of 360 days) at the per annum rate equal to the Applicable Margin then in effect with respect to SOFR Loans under the Revolving Facility on the daily average LC Exposure (excluding any portion thereof attributable to unreimbursed LC Disbursements) with respect to such Letter of Credit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20"/>
          </w:cols>
          <w:pgMar w:left="320" w:top="1395" w:right="359" w:bottom="1440" w:gutter="0" w:footer="0" w:header="0"/>
        </w:sectPr>
      </w:pPr>
    </w:p>
    <w:bookmarkStart w:id="117" w:name="page118"/>
    <w:bookmarkEnd w:id="117"/>
    <w:p>
      <w:pPr>
        <w:ind w:right="40"/>
        <w:spacing w:after="0" w:line="224" w:lineRule="auto"/>
        <w:rPr>
          <w:sz w:val="20"/>
          <w:szCs w:val="20"/>
          <w:color w:val="auto"/>
        </w:rPr>
      </w:pPr>
      <w:r>
        <w:rPr>
          <w:rFonts w:ascii="Times New Roman" w:cs="Times New Roman" w:eastAsia="Times New Roman" w:hAnsi="Times New Roman"/>
          <w:sz w:val="21"/>
          <w:szCs w:val="21"/>
          <w:color w:val="auto"/>
        </w:rPr>
        <w:t>account a fronting fee of 0.125% per annum in respect of each Letter of Credit issued by such Issuing Lender, for the period from and including the date of issuance of such Letter of Credit to and including the date of termination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So long as no Event of Default has occurred,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spacing w:after="0" w:line="150"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Nature of Fees</w:t>
      </w:r>
      <w:r>
        <w:rPr>
          <w:rFonts w:ascii="Times New Roman" w:cs="Times New Roman" w:eastAsia="Times New Roman" w:hAnsi="Times New Roman"/>
          <w:sz w:val="22"/>
          <w:szCs w:val="22"/>
          <w:color w:val="auto"/>
        </w:rPr>
        <w:t>. All Fees shall be paid on the dates due, in immediately available funds, to the Administrative Agent (or, in the case of Fees payable under the Upfront Fee Letter and the Structuring Fee Letter, to the relevant Lenders party thereto), as provided herein, in the Fee Letters, the Fee Schedule and as described in Sections 2.18, 2.19 and 2.20. Once paid, none of the Fees shall be refundable under any circumstances.</w:t>
      </w:r>
    </w:p>
    <w:p>
      <w:pPr>
        <w:spacing w:after="0" w:line="152"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Upon the occurrence and during the continuance of any Event of Default pursuant to Section 7.01(b), each Agent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each such Agent and each such Lender (or any of such banking Affiliates) to or for the credit or the account of the Borrower or the Guarantor against any and all of any such overdue amounts owing under the Loan Documents, irrespective of whether or not the Administrative Agent or such Lender shall have made any demand under any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exercises any such right of setoff, (x) all amounts so set off will be paid over immediately to the Administrative Agent for further application in accordance with the provisions of Section 2.25(d) and, pending such payment, will be segregated by such Defaulting Lender from its other funds and deemed held in trust for the benefit of the Administrative Agent, the Issuing Lenders and the Revolving Lenders and (y) the Defaulting Lender will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set-off and application made by such Lender (or any of such banking Affiliates) and the Administrative Agent agrees promptly to notify the Borrower after any such set-off and application made by it (or any of its banking Affiliates),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and each Agent under this Section 2.22 are in addition to other rights and remedies which such Lender and such Agent may have upon the occurrence and during the continuance of any Event of Default.</w:t>
      </w:r>
    </w:p>
    <w:p>
      <w:pPr>
        <w:spacing w:after="0" w:line="154"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2.23. </w:t>
      </w:r>
      <w:r>
        <w:rPr>
          <w:rFonts w:ascii="Times New Roman" w:cs="Times New Roman" w:eastAsia="Times New Roman" w:hAnsi="Times New Roman"/>
          <w:sz w:val="22"/>
          <w:szCs w:val="22"/>
          <w:u w:val="single" w:color="auto"/>
          <w:color w:val="auto"/>
        </w:rPr>
        <w:t>Security Interest in Letter of Credit Account</w:t>
      </w:r>
      <w:r>
        <w:rPr>
          <w:rFonts w:ascii="Times New Roman" w:cs="Times New Roman" w:eastAsia="Times New Roman" w:hAnsi="Times New Roman"/>
          <w:sz w:val="22"/>
          <w:szCs w:val="22"/>
          <w:color w:val="auto"/>
        </w:rPr>
        <w:t>. The Borrower hereby pledges to the Security Trustee, for its benefit and for the benefit of the other Secured Parties, and hereby grants to the Security Trustee, for its benefit and for the benefit of the other Secured Parties, a first priority security interest, senior to all other Liens, if any, in all of the Borrower’s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2.02(k).</w:t>
      </w:r>
    </w:p>
    <w:p>
      <w:pPr>
        <w:spacing w:after="0" w:line="152" w:lineRule="exact"/>
        <w:rPr>
          <w:sz w:val="20"/>
          <w:szCs w:val="20"/>
          <w:color w:val="auto"/>
        </w:rPr>
      </w:pPr>
    </w:p>
    <w:p>
      <w:pPr>
        <w:ind w:right="8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Subject to the provisions of Section 7.01, upon the maturity (whether by acceleration or otherwise) of any of the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118" w:name="page119"/>
    <w:bookmarkEnd w:id="118"/>
    <w:p>
      <w:pPr>
        <w:ind w:right="420"/>
        <w:spacing w:after="0" w:line="236" w:lineRule="auto"/>
        <w:rPr>
          <w:sz w:val="20"/>
          <w:szCs w:val="20"/>
          <w:color w:val="auto"/>
        </w:rPr>
      </w:pPr>
      <w:r>
        <w:rPr>
          <w:rFonts w:ascii="Times New Roman" w:cs="Times New Roman" w:eastAsia="Times New Roman" w:hAnsi="Times New Roman"/>
          <w:sz w:val="22"/>
          <w:szCs w:val="22"/>
          <w:color w:val="auto"/>
        </w:rPr>
        <w:t>Agreement or any of the other Loan Documents of the Borrower, the Lenders shall be entitled to immediate payment of such Obligations.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20" w:firstLine="656"/>
        <w:spacing w:after="0" w:line="215"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Lender becomes a Defaulting Lender, then the Borrower may, on ten (10) Business Days’ prior written notice to the Administrative Agent and such Lender,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obligation to the Borrower to find a replacement Lender or other such Person.</w:t>
      </w:r>
    </w:p>
    <w:p>
      <w:pPr>
        <w:spacing w:after="0" w:line="152" w:lineRule="exact"/>
        <w:rPr>
          <w:rFonts w:ascii="Times New Roman" w:cs="Times New Roman" w:eastAsia="Times New Roman" w:hAnsi="Times New Roman"/>
          <w:sz w:val="22"/>
          <w:szCs w:val="22"/>
          <w:color w:val="auto"/>
        </w:rPr>
      </w:pPr>
    </w:p>
    <w:p>
      <w:pPr>
        <w:ind w:right="100" w:firstLine="656"/>
        <w:spacing w:after="0" w:line="219" w:lineRule="auto"/>
        <w:tabs>
          <w:tab w:leader="none" w:pos="129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being replaced pursuant to Section 2.25(a) shall (i) execute and deliver an Assignment and Acceptance with respect to such Lender’s outstanding Commitments and Loans,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and Loans, (B) all obligations of the Borrower owing to the assigning Lender relating to the Commitments and Loans so assigned shall be paid in full by the assignee Lender to such assigning Lender concurrently with such Assignment and Acceptance (including, without limitation, any amounts owed under Section 2.13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and Loans, except with respect to indemnification provisions under this Agreement, which shall survive as to such assigning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assignment contemplated by this Section 2.25(b) shall become effective notwithstanding the failure by the Lender being replaced to deliver the Assignment and Acceptance contemplated by this Section 2.25(b), so long as the other actions specified in this Section 2.25(b) shall have been taken.</w:t>
      </w:r>
    </w:p>
    <w:p>
      <w:pPr>
        <w:spacing w:after="0" w:line="155" w:lineRule="exact"/>
        <w:rPr>
          <w:rFonts w:ascii="Times New Roman" w:cs="Times New Roman" w:eastAsia="Times New Roman" w:hAnsi="Times New Roman"/>
          <w:sz w:val="21"/>
          <w:szCs w:val="21"/>
          <w:color w:val="auto"/>
        </w:rPr>
      </w:pPr>
    </w:p>
    <w:p>
      <w:pPr>
        <w:ind w:firstLine="656"/>
        <w:spacing w:after="0" w:line="225"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if a Revolving Lender becomes, and during the period it remains, a Defaulting Lender, during such period, such Defaulting Lender shall not be entitled to any fees accruing during such period pursuant to Section 2.19 (without prejudice to the rights of the Non-Defaulting Lenders in respect of such fees).</w:t>
      </w:r>
    </w:p>
    <w:p>
      <w:pPr>
        <w:spacing w:after="0" w:line="152" w:lineRule="exact"/>
        <w:rPr>
          <w:rFonts w:ascii="Times New Roman" w:cs="Times New Roman" w:eastAsia="Times New Roman" w:hAnsi="Times New Roman"/>
          <w:sz w:val="22"/>
          <w:szCs w:val="22"/>
          <w:color w:val="auto"/>
        </w:rPr>
      </w:pPr>
    </w:p>
    <w:p>
      <w:pPr>
        <w:ind w:right="120" w:firstLine="656"/>
        <w:spacing w:after="0" w:line="215"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by the Borrower or otherwise received by the Administrative Agent for the account of a Defaulting Lender under this Agreement (whether on account of principal, interest, fees, indemnity payments or other amounts) will not be paid or distributed to such Defaulting Lender, but shall instead be retained by the Administrative Agent in a segregated account until (subject to Section 2.25(f)) the termination of the Revolving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payment of any amounts owing by such Defaulting Lender to the Administrative Agent,</w:t>
      </w:r>
    </w:p>
    <w:p>
      <w:pPr>
        <w:spacing w:after="0" w:line="220" w:lineRule="exact"/>
        <w:rPr>
          <w:sz w:val="20"/>
          <w:szCs w:val="20"/>
          <w:color w:val="auto"/>
        </w:rPr>
      </w:pPr>
    </w:p>
    <w:p>
      <w:pPr>
        <w:ind w:left="660" w:right="20" w:firstLine="216"/>
        <w:spacing w:after="0" w:line="271"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the payment of the default interest and then current interest due and payable to the Revolving Lenders which are Non-Defaulting Lenders hereunder, ratably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20"/>
          </w:cols>
          <w:pgMar w:left="320" w:top="1395" w:right="35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22"/>
          <w:szCs w:val="22"/>
          <w:color w:val="auto"/>
        </w:rPr>
        <w:t>among them in accordance with the amounts of such interest then due and payable to them,</w:t>
      </w:r>
    </w:p>
    <w:p>
      <w:pPr>
        <w:spacing w:after="0" w:line="220" w:lineRule="exact"/>
        <w:rPr>
          <w:sz w:val="20"/>
          <w:szCs w:val="20"/>
          <w:color w:val="auto"/>
        </w:rPr>
      </w:pPr>
    </w:p>
    <w:p>
      <w:pPr>
        <w:ind w:left="440" w:right="380" w:firstLine="216"/>
        <w:spacing w:after="0" w:line="271"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payment of fees then due and payable to the Non-Defaulting Lenders hereunder, ratably among them in accordance with the amounts of such fees then due and payable to them,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ratable payment of other amounts then due and payable to the Non-Defaulting Lenders, and</w:t>
      </w:r>
    </w:p>
    <w:p>
      <w:pPr>
        <w:spacing w:after="0" w:line="220" w:lineRule="exact"/>
        <w:rPr>
          <w:sz w:val="20"/>
          <w:szCs w:val="20"/>
          <w:color w:val="auto"/>
        </w:rPr>
      </w:pPr>
    </w:p>
    <w:p>
      <w:pPr>
        <w:ind w:left="440" w:right="120" w:firstLine="216"/>
        <w:spacing w:after="0" w:line="257"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after the termination of the Revolving Commitments and payment in full of all obligations of the Borrower hereunder, to pay amounts owing under this Agreement to such Defaulting Lender or as a court of competent jurisdiction may otherwise direct.</w:t>
      </w:r>
    </w:p>
    <w:p>
      <w:pPr>
        <w:spacing w:after="0" w:line="146" w:lineRule="exact"/>
        <w:rPr>
          <w:sz w:val="20"/>
          <w:szCs w:val="20"/>
          <w:color w:val="auto"/>
        </w:rPr>
      </w:pPr>
    </w:p>
    <w:p>
      <w:pPr>
        <w:ind w:left="-220" w:firstLine="656"/>
        <w:spacing w:after="0" w:line="213" w:lineRule="auto"/>
        <w:tabs>
          <w:tab w:leader="none" w:pos="107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Revolving Lenders thereof), and in such event the provisions of Section 2.25(d)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 such termination shall not be deemed to be a waiver or release of any claim the Borrower, the Administrative Agent, or any Lender may have against such Defaulting Lender.</w:t>
      </w:r>
    </w:p>
    <w:p>
      <w:pPr>
        <w:spacing w:after="0" w:line="156" w:lineRule="exact"/>
        <w:rPr>
          <w:rFonts w:ascii="Times New Roman" w:cs="Times New Roman" w:eastAsia="Times New Roman" w:hAnsi="Times New Roman"/>
          <w:sz w:val="22"/>
          <w:szCs w:val="22"/>
          <w:color w:val="auto"/>
        </w:rPr>
      </w:pPr>
    </w:p>
    <w:p>
      <w:pPr>
        <w:ind w:left="-220" w:right="40" w:firstLine="656"/>
        <w:spacing w:after="0" w:line="210" w:lineRule="auto"/>
        <w:tabs>
          <w:tab w:leader="none" w:pos="107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and the Administrative Agent agree in writing that a Revolving Lender that is a Defaulting Lender should no longer be deemed to be a Defaulting Lender, the Administrative Agent will so notify the Revolving Lenders, whereupon as of the effective date specified in such notice and subject to any conditions set forth therein, such Revolving Lender shall purchase at par such portions of outstanding Revolving Loans of the other Revolving Lenders, and/or make such other adjustments, as the Administrative Agent may determine to be necessary to cause the Revolving Lenders to hold Revolving Loans on a pro rata basis in accordance with their respective Revolving Commitments, whereupon such Revolving Lender shall cease to be a Defaulting Lender and will be a Non-Defaulting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shall be made retroactively with respect to fees accrued while such Revolving Lender was a Defaulting Lender;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except to the extent otherwise expressly agreed by the affected parties, no change hereunder from Defaulting Lender to Non-Defaulting Lender shall constitute a waiver or release of any claim of any party hereunder arising from such Revolving Lender’s having been a Defaulting Lender.</w:t>
      </w:r>
    </w:p>
    <w:p>
      <w:pPr>
        <w:spacing w:after="0" w:line="157" w:lineRule="exact"/>
        <w:rPr>
          <w:rFonts w:ascii="Times New Roman" w:cs="Times New Roman" w:eastAsia="Times New Roman" w:hAnsi="Times New Roman"/>
          <w:sz w:val="22"/>
          <w:szCs w:val="22"/>
          <w:color w:val="auto"/>
        </w:rPr>
      </w:pPr>
    </w:p>
    <w:p>
      <w:pPr>
        <w:ind w:left="-220" w:right="160" w:firstLine="656"/>
        <w:spacing w:after="0" w:line="220" w:lineRule="auto"/>
        <w:tabs>
          <w:tab w:leader="none" w:pos="107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(x)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 and (y) the Administrative Agent may not be replaced hereunder except in accordance with the terms of Section 8.05.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2.26.  </w:t>
      </w:r>
      <w:r>
        <w:rPr>
          <w:rFonts w:ascii="Times New Roman" w:cs="Times New Roman" w:eastAsia="Times New Roman" w:hAnsi="Times New Roman"/>
          <w:sz w:val="22"/>
          <w:szCs w:val="22"/>
          <w:u w:val="single" w:color="auto"/>
          <w:color w:val="auto"/>
        </w:rPr>
        <w:t>Extension of the Revolving Facility.</w:t>
      </w:r>
    </w:p>
    <w:p>
      <w:pPr>
        <w:spacing w:after="0" w:line="179" w:lineRule="exact"/>
        <w:rPr>
          <w:sz w:val="20"/>
          <w:szCs w:val="20"/>
          <w:color w:val="auto"/>
        </w:rPr>
      </w:pPr>
    </w:p>
    <w:p>
      <w:pPr>
        <w:jc w:val="both"/>
        <w:ind w:left="-220" w:right="200" w:firstLine="656"/>
        <w:spacing w:after="0" w:line="236" w:lineRule="auto"/>
        <w:tabs>
          <w:tab w:leader="none" w:pos="107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pursuant to one or more offers (each, an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Offer</w:t>
      </w:r>
      <w:r>
        <w:rPr>
          <w:rFonts w:ascii="Times New Roman" w:cs="Times New Roman" w:eastAsia="Times New Roman" w:hAnsi="Times New Roman"/>
          <w:sz w:val="21"/>
          <w:szCs w:val="21"/>
          <w:color w:val="auto"/>
        </w:rPr>
        <w:t>”) made from time to time by the Borrower to all Lenders holding Revolving Commitments with a like maturity date, on a pro rata basis (based on the aggregate Revolving Commitments with a like maturity date) and on the same terms to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020"/>
          </w:cols>
          <w:pgMar w:left="540" w:top="1422" w:right="339" w:bottom="1440" w:gutter="0" w:footer="0" w:header="0"/>
        </w:sectPr>
      </w:pPr>
    </w:p>
    <w:bookmarkStart w:id="120" w:name="page121"/>
    <w:bookmarkEnd w:id="120"/>
    <w:p>
      <w:pPr>
        <w:ind w:right="180"/>
        <w:spacing w:after="0" w:line="212" w:lineRule="auto"/>
        <w:rPr>
          <w:sz w:val="20"/>
          <w:szCs w:val="20"/>
          <w:color w:val="auto"/>
        </w:rPr>
      </w:pPr>
      <w:r>
        <w:rPr>
          <w:rFonts w:ascii="Times New Roman" w:cs="Times New Roman" w:eastAsia="Times New Roman" w:hAnsi="Times New Roman"/>
          <w:sz w:val="22"/>
          <w:szCs w:val="22"/>
          <w:color w:val="auto"/>
        </w:rPr>
        <w:t>Lender, the Borrower is hereby permitted to consummate from time to time transactions with individual Lenders that accept the terms contained in such Extension Offers to extend the maturity date of each such Lender’s Revolving Commitments and otherwise modify the terms of such Revolving Commitments pursuant to the terms of the relevant Extension Offer (including, without limitation, by the changing interest rate or fees payable in respect of such Revolving Commitments (and related outstandings)) (each, an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and each group of Revolving Commitments, as so extended, as well as the original Revolving Commitments not so extended, being a “</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and any Extended Revolving Commitments shall constitute a separate tranche of Revolving Commitments from the tranche of Revolving Commitments from which they were converted), so long as the following terms are satisfied:</w:t>
      </w:r>
    </w:p>
    <w:p>
      <w:pPr>
        <w:spacing w:after="0" w:line="183" w:lineRule="exact"/>
        <w:rPr>
          <w:sz w:val="20"/>
          <w:szCs w:val="20"/>
          <w:color w:val="auto"/>
        </w:rPr>
      </w:pPr>
    </w:p>
    <w:p>
      <w:pPr>
        <w:ind w:left="660" w:right="100" w:firstLine="212"/>
        <w:spacing w:after="0" w:line="271" w:lineRule="auto"/>
        <w:tabs>
          <w:tab w:leader="none" w:pos="135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at the time the offering document in respect of an Extension Offer is delivered to the Lenders (the “</w:t>
      </w:r>
      <w:r>
        <w:rPr>
          <w:rFonts w:ascii="Times New Roman" w:cs="Times New Roman" w:eastAsia="Times New Roman" w:hAnsi="Times New Roman"/>
          <w:sz w:val="22"/>
          <w:szCs w:val="22"/>
          <w:u w:val="single" w:color="auto"/>
          <w:color w:val="auto"/>
        </w:rPr>
        <w:t>Extension Offer Date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right="20" w:firstLine="212"/>
        <w:spacing w:after="0" w:line="247" w:lineRule="auto"/>
        <w:tabs>
          <w:tab w:leader="none" w:pos="141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and final maturity (which shall be set forth in the relevant Extension Offer), the Revolving Commitment of any Revolving Lender that agrees to an Extension with respect to such Revolving Commitment extended pursuant to an Extension (an “</w:t>
      </w:r>
      <w:r>
        <w:rPr>
          <w:rFonts w:ascii="Times New Roman" w:cs="Times New Roman" w:eastAsia="Times New Roman" w:hAnsi="Times New Roman"/>
          <w:sz w:val="22"/>
          <w:szCs w:val="22"/>
          <w:u w:val="single" w:color="auto"/>
          <w:color w:val="auto"/>
        </w:rPr>
        <w:t>Extended Revolving Commitment</w:t>
      </w:r>
      <w:r>
        <w:rPr>
          <w:rFonts w:ascii="Times New Roman" w:cs="Times New Roman" w:eastAsia="Times New Roman" w:hAnsi="Times New Roman"/>
          <w:sz w:val="22"/>
          <w:szCs w:val="22"/>
          <w:color w:val="auto"/>
        </w:rPr>
        <w:t xml:space="preserve">”), and the related outstandings, shall be a Revolving Commitment (or related outstandings, as the case may be) with the same terms as the original Revolving Commitments (and related outstandings);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Loans with respect to Extended Revolving Commitments after the applicable Extension date shall be made on a pro rata basis with all other Revolving Commitments, (2) the permanent repayment of Revolving Loans with respect to, and termination of, Extended Revolving Commitments after the applicable Extension date shall be made on a pro rata basis with all other Revolving Commitments, except that the Borrower shall be permitted to permanently repay and terminate commitments of any such tranche on a better than a pro rata basis as compared to any other tranche with a later maturity date than such tranche, (3) assignments and participations of Extended Revolving Commitments and extended Revolving Loans shall be governed by the same assignment and participation provisions applicable to Revolving Commitments and Revolving Loans and (4) at no time shall there be Revolving Commitments hereunder (including Extended Revolving Commitments and any original Revolving Commitments) which have more than two different maturity dates,</w:t>
      </w:r>
    </w:p>
    <w:p>
      <w:pPr>
        <w:spacing w:after="0" w:line="204" w:lineRule="exact"/>
        <w:rPr>
          <w:rFonts w:ascii="Times New Roman" w:cs="Times New Roman" w:eastAsia="Times New Roman" w:hAnsi="Times New Roman"/>
          <w:sz w:val="22"/>
          <w:szCs w:val="22"/>
          <w:color w:val="auto"/>
        </w:rPr>
      </w:pPr>
    </w:p>
    <w:p>
      <w:pPr>
        <w:ind w:left="660" w:firstLine="212"/>
        <w:spacing w:after="0" w:line="251" w:lineRule="auto"/>
        <w:tabs>
          <w:tab w:leader="none" w:pos="147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Revolving Commitments in respect of which Revolving Lenders shall have accepted the relevant Extension Offer shall exceed the maximum aggregate principal amount of Revolving Commitments, as the case may be, offered to be extended by the Borrower pursuant to such Extension Offer, then the Revolving Loans of such Revolving Lenders shall be extended ratably up to such maximum amount based on the respective principal amounts (but not to exceed actual holdings of record) with respect to which such Revolving Lenders have accepted such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121" w:name="page122"/>
    <w:bookmarkEnd w:id="121"/>
    <w:p>
      <w:pPr>
        <w:ind w:left="440" w:right="80" w:firstLine="212"/>
        <w:spacing w:after="0" w:line="259" w:lineRule="auto"/>
        <w:tabs>
          <w:tab w:leader="none" w:pos="1238"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aggregate principal amount of Revolving Commitments in respect of which Revolving Lenders shall have accepted the relevant Extension Offer shall be less than the maximum aggregate principal amount of Revolving Commitments, as the case may be, offered to be extended by the Borrower pursuant to such Extension Offer, then the Borrower may require each Revolving Lender that does not accept such Extension Offer to assign pursuant to Section 10.02 no later than forty-five (45) days after the Extension Offer Date its pro rata share of the outstanding Revolving Commitments and Revolving Loans offered to be extended pursuant to such Extension Offer to one or more assignees which have agreed to such assignment and to extend the applicable Revolving Facility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(1) each Revolving Lender that does not respond affirmatively within thirty (30) days of the Extension Offer Date shall be deemed not to have accepted such Extension Offer, (2) each assigning Revolving Lender shall have received payment of an amount equal to the outstanding principal of its Revolving Loans, accrued interest thereon, accrued fees and all other amounts payable to it hereunder, from the assignee (to the extent of such outstanding principal and accrued interest and fees) or the Borrower (in the case of all other amounts), (3) the processing and recordation fee specified in Section</w:t>
      </w:r>
    </w:p>
    <w:p>
      <w:pPr>
        <w:spacing w:after="0" w:line="1" w:lineRule="exact"/>
        <w:rPr>
          <w:rFonts w:ascii="Times New Roman" w:cs="Times New Roman" w:eastAsia="Times New Roman" w:hAnsi="Times New Roman"/>
          <w:sz w:val="21"/>
          <w:szCs w:val="21"/>
          <w:color w:val="auto"/>
        </w:rPr>
      </w:pPr>
    </w:p>
    <w:p>
      <w:pPr>
        <w:ind w:left="440" w:right="50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10.02(b) shall be paid by the Borrower or such assignee and (4) the assigning Revolving Lender shall continue to be entitled to the rights under Section 10.04 for any period prior to the effectiveness of such assignment,</w:t>
      </w:r>
    </w:p>
    <w:p>
      <w:pPr>
        <w:spacing w:after="0" w:line="195" w:lineRule="exact"/>
        <w:rPr>
          <w:rFonts w:ascii="Times New Roman" w:cs="Times New Roman" w:eastAsia="Times New Roman" w:hAnsi="Times New Roman"/>
          <w:sz w:val="21"/>
          <w:szCs w:val="21"/>
          <w:color w:val="auto"/>
        </w:rPr>
      </w:pPr>
    </w:p>
    <w:p>
      <w:pPr>
        <w:ind w:left="1180" w:hanging="528"/>
        <w:spacing w:after="0"/>
        <w:tabs>
          <w:tab w:leader="none" w:pos="11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Extension shall be consistent with the foregoing, and</w:t>
      </w:r>
    </w:p>
    <w:p>
      <w:pPr>
        <w:spacing w:after="0" w:line="219" w:lineRule="exact"/>
        <w:rPr>
          <w:rFonts w:ascii="Times New Roman" w:cs="Times New Roman" w:eastAsia="Times New Roman" w:hAnsi="Times New Roman"/>
          <w:sz w:val="22"/>
          <w:szCs w:val="22"/>
          <w:color w:val="auto"/>
        </w:rPr>
      </w:pPr>
    </w:p>
    <w:p>
      <w:pPr>
        <w:ind w:left="440" w:right="780" w:firstLine="212"/>
        <w:spacing w:after="0" w:line="271" w:lineRule="auto"/>
        <w:tabs>
          <w:tab w:leader="none" w:pos="123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Minimum Extension Condition shall be satisfied unless waived by the Borrower. For the avoidance of doubt, no Lender shall be obligated to accept any Extension Offer.</w:t>
      </w:r>
    </w:p>
    <w:p>
      <w:pPr>
        <w:spacing w:after="0" w:line="130" w:lineRule="exact"/>
        <w:rPr>
          <w:rFonts w:ascii="Times New Roman" w:cs="Times New Roman" w:eastAsia="Times New Roman" w:hAnsi="Times New Roman"/>
          <w:sz w:val="22"/>
          <w:szCs w:val="22"/>
          <w:color w:val="auto"/>
        </w:rPr>
      </w:pPr>
    </w:p>
    <w:p>
      <w:pPr>
        <w:ind w:left="-220" w:right="40" w:firstLine="656"/>
        <w:spacing w:after="0" w:line="211" w:lineRule="auto"/>
        <w:tabs>
          <w:tab w:leader="none" w:pos="107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Extensions consummated by the Borrower pursuant to this Section, (i) such Extensions shall not constitute voluntary or mandatory payments or prepayments for purposes of Section 2.10 or Section 2.11 and (ii) each Extension Offer shall specify the minimum amount of Revolving Commitments to be tendered, which shall be a minimum amount approved by the Administrative Agent (a “</w:t>
      </w:r>
      <w:r>
        <w:rPr>
          <w:rFonts w:ascii="Times New Roman" w:cs="Times New Roman" w:eastAsia="Times New Roman" w:hAnsi="Times New Roman"/>
          <w:sz w:val="22"/>
          <w:szCs w:val="22"/>
          <w:u w:val="single" w:color="auto"/>
          <w:color w:val="auto"/>
        </w:rPr>
        <w:t>Minimum Extension Condition</w:t>
      </w:r>
      <w:r>
        <w:rPr>
          <w:rFonts w:ascii="Times New Roman" w:cs="Times New Roman" w:eastAsia="Times New Roman" w:hAnsi="Times New Roman"/>
          <w:sz w:val="22"/>
          <w:szCs w:val="22"/>
          <w:color w:val="auto"/>
        </w:rPr>
        <w:t>”). The Administrative Agent and the Lenders hereby consent to the transactions contemplated by this Section (including, for the avoidance of doubt, payment of any interest, fees or premium in respect of any Extended Revolving Commitments on such terms as may be set forth in the relevant Extension Offer) and hereby waive the requirements of any provision of this Agreement (including, without limitation, Sections 2.09, 2.10, 2.15 and 8.08) or any other Loan Document that may otherwise prohibit any such Extension or any other transaction contemplated by this Section 2.26.</w:t>
      </w:r>
    </w:p>
    <w:p>
      <w:pPr>
        <w:spacing w:after="0" w:line="158" w:lineRule="exact"/>
        <w:rPr>
          <w:rFonts w:ascii="Times New Roman" w:cs="Times New Roman" w:eastAsia="Times New Roman" w:hAnsi="Times New Roman"/>
          <w:sz w:val="22"/>
          <w:szCs w:val="22"/>
          <w:color w:val="auto"/>
        </w:rPr>
      </w:pPr>
    </w:p>
    <w:p>
      <w:pPr>
        <w:ind w:left="-220" w:firstLine="656"/>
        <w:spacing w:after="0" w:line="213" w:lineRule="auto"/>
        <w:tabs>
          <w:tab w:leader="none" w:pos="107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(acting upon the instructions of the Required Lenders) shall be required to effectuate any Extension, such consent not to be unreasonably withheld. No consent of any Lender (except to the extent of the Required Lenders required to authorize the Administrative Agent to consent) shall be required to effectuate any Extension, other than the consent of each Lender agreeing to such Extension with respect to one or more of its Revolving Commitments (or a portion thereof) (or, in the case of an Extension pursuant to clause (iv) of Section 2.26(a), the consent of the assignee agreeing to the assignment of one or more Revolving Commitments and/or Revolving Loans). All Extended Revolving Commitments and all obligations in respect thereof shall be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0980"/>
          </w:cols>
          <w:pgMar w:left="540" w:top="1422" w:right="379" w:bottom="1440" w:gutter="0" w:footer="0" w:header="0"/>
        </w:sectPr>
      </w:pPr>
    </w:p>
    <w:bookmarkStart w:id="122" w:name="page123"/>
    <w:bookmarkEnd w:id="122"/>
    <w:p>
      <w:pPr>
        <w:ind w:right="20"/>
        <w:spacing w:after="0" w:line="214" w:lineRule="auto"/>
        <w:rPr>
          <w:sz w:val="20"/>
          <w:szCs w:val="20"/>
          <w:color w:val="auto"/>
        </w:rPr>
      </w:pPr>
      <w:r>
        <w:rPr>
          <w:rFonts w:ascii="Times New Roman" w:cs="Times New Roman" w:eastAsia="Times New Roman" w:hAnsi="Times New Roman"/>
          <w:sz w:val="22"/>
          <w:szCs w:val="22"/>
          <w:color w:val="auto"/>
        </w:rPr>
        <w:t xml:space="preserve">and the other Loan Documents that are secured by the Collateral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all other applicable Obligations under this Agreement and the other Loan Documents. The Lenders hereby irrevocably authorize the Administrative Agent to enter into amendments to this Agreement and the other Loan Documents (each, an “</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with the Borrower as may be necessary in order to establish new tranches or sub-tranches in respect of Revolving Commitments so extended and such technical amendments as may be necessary or appropriate in the reasonable opinion of the Administrative Agent and the Borrower in connection with the establishment of such new tranches or sub-tranches, in each case on terms consistent with this Section 2.26.</w:t>
      </w:r>
    </w:p>
    <w:p>
      <w:pPr>
        <w:spacing w:after="0" w:line="153" w:lineRule="exact"/>
        <w:rPr>
          <w:sz w:val="20"/>
          <w:szCs w:val="20"/>
          <w:color w:val="auto"/>
        </w:rPr>
      </w:pPr>
    </w:p>
    <w:p>
      <w:pPr>
        <w:ind w:right="40" w:firstLine="656"/>
        <w:spacing w:after="0" w:line="217"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2.27.  </w:t>
      </w:r>
      <w:r>
        <w:rPr>
          <w:rFonts w:ascii="Times New Roman" w:cs="Times New Roman" w:eastAsia="Times New Roman" w:hAnsi="Times New Roman"/>
          <w:sz w:val="22"/>
          <w:szCs w:val="22"/>
          <w:u w:val="single" w:color="auto"/>
          <w:color w:val="auto"/>
        </w:rPr>
        <w:t>Benchmark Replacement Setting.</w:t>
      </w:r>
    </w:p>
    <w:p>
      <w:pPr>
        <w:spacing w:after="0" w:line="179" w:lineRule="exact"/>
        <w:rPr>
          <w:sz w:val="20"/>
          <w:szCs w:val="20"/>
          <w:color w:val="auto"/>
        </w:rPr>
      </w:pPr>
    </w:p>
    <w:p>
      <w:pPr>
        <w:ind w:right="40" w:firstLine="656"/>
        <w:spacing w:after="0" w:line="205"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2.27(a) will occur prior to the applicable Benchmark Transition Start Date.</w:t>
      </w:r>
    </w:p>
    <w:p>
      <w:pPr>
        <w:spacing w:after="0" w:line="156" w:lineRule="exact"/>
        <w:rPr>
          <w:rFonts w:ascii="Times New Roman" w:cs="Times New Roman" w:eastAsia="Times New Roman" w:hAnsi="Times New Roman"/>
          <w:sz w:val="22"/>
          <w:szCs w:val="22"/>
          <w:color w:val="auto"/>
        </w:rPr>
      </w:pPr>
    </w:p>
    <w:p>
      <w:pPr>
        <w:ind w:right="20" w:firstLine="656"/>
        <w:spacing w:after="0" w:line="217"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following consultation with the Borrower,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2" w:lineRule="exact"/>
        <w:rPr>
          <w:rFonts w:ascii="Times New Roman" w:cs="Times New Roman" w:eastAsia="Times New Roman" w:hAnsi="Times New Roman"/>
          <w:sz w:val="22"/>
          <w:szCs w:val="22"/>
          <w:color w:val="auto"/>
        </w:rPr>
      </w:pPr>
    </w:p>
    <w:p>
      <w:pPr>
        <w:ind w:firstLine="656"/>
        <w:spacing w:after="0" w:line="211"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2.27(d) and (y) the commencement of any Benchmark Unavailability Period. Any determination, decision or election that may be made by the Administrative Agent or, if applicable, any Lender (or group of Lenders) pursuant to this Section 2.27,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20"/>
          </w:cols>
          <w:pgMar w:left="320" w:top="1391" w:right="359" w:bottom="1440" w:gutter="0" w:footer="0" w:header="0"/>
        </w:sectPr>
      </w:pPr>
    </w:p>
    <w:bookmarkStart w:id="123" w:name="page124"/>
    <w:bookmarkEnd w:id="123"/>
    <w:p>
      <w:pPr>
        <w:ind w:left="-8" w:firstLine="656"/>
        <w:spacing w:after="0" w:line="209" w:lineRule="auto"/>
        <w:tabs>
          <w:tab w:leader="none" w:pos="128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0" w:lineRule="exact"/>
        <w:rPr>
          <w:rFonts w:ascii="Times New Roman" w:cs="Times New Roman" w:eastAsia="Times New Roman" w:hAnsi="Times New Roman"/>
          <w:sz w:val="22"/>
          <w:szCs w:val="22"/>
          <w:color w:val="auto"/>
        </w:rPr>
      </w:pPr>
    </w:p>
    <w:p>
      <w:pPr>
        <w:ind w:left="-8" w:right="40" w:firstLine="656"/>
        <w:spacing w:after="0" w:line="225" w:lineRule="auto"/>
        <w:tabs>
          <w:tab w:leader="none" w:pos="128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Borrowing or continuation of SOFR Loans to be made or continued during any Benchmark Unavailability Period.</w:t>
      </w:r>
    </w:p>
    <w:p>
      <w:pPr>
        <w:spacing w:after="0" w:line="15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2.28.  </w:t>
      </w: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Subject to Section 2.27, if, on or prior to the first day of any Interest Period:</w:t>
      </w:r>
    </w:p>
    <w:p>
      <w:pPr>
        <w:spacing w:after="0" w:line="179" w:lineRule="exact"/>
        <w:rPr>
          <w:sz w:val="20"/>
          <w:szCs w:val="20"/>
          <w:color w:val="auto"/>
        </w:rPr>
      </w:pPr>
    </w:p>
    <w:p>
      <w:pPr>
        <w:ind w:left="-8" w:right="180" w:firstLine="656"/>
        <w:spacing w:after="0" w:line="225" w:lineRule="auto"/>
        <w:tabs>
          <w:tab w:leader="none" w:pos="1285"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at the direction of the Required Lenders, determines (which determination shall be conclusive and binding on all parties) that Term SOFR cannot be determined pursuant to the definition thereof for such Interest Period; or</w:t>
      </w:r>
    </w:p>
    <w:p>
      <w:pPr>
        <w:spacing w:after="0" w:line="152" w:lineRule="exact"/>
        <w:rPr>
          <w:rFonts w:ascii="Times New Roman" w:cs="Times New Roman" w:eastAsia="Times New Roman" w:hAnsi="Times New Roman"/>
          <w:sz w:val="22"/>
          <w:szCs w:val="22"/>
          <w:color w:val="auto"/>
        </w:rPr>
      </w:pPr>
    </w:p>
    <w:p>
      <w:pPr>
        <w:ind w:left="-8" w:right="220" w:firstLine="656"/>
        <w:spacing w:after="0" w:line="236" w:lineRule="auto"/>
        <w:tabs>
          <w:tab w:leader="none" w:pos="128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 initial Lender or, following an assignment of all or a portion of the initial Lenders’ Loans, the Required Lenders, each acting in good faith, certifies to the Administrative Agent:</w:t>
      </w:r>
    </w:p>
    <w:p>
      <w:pPr>
        <w:spacing w:after="0" w:line="150" w:lineRule="exact"/>
        <w:rPr>
          <w:rFonts w:ascii="Times New Roman" w:cs="Times New Roman" w:eastAsia="Times New Roman" w:hAnsi="Times New Roman"/>
          <w:sz w:val="22"/>
          <w:szCs w:val="22"/>
          <w:color w:val="auto"/>
        </w:rPr>
      </w:pPr>
    </w:p>
    <w:p>
      <w:pPr>
        <w:ind w:left="652" w:right="60" w:firstLine="644"/>
        <w:spacing w:after="0" w:line="225" w:lineRule="auto"/>
        <w:tabs>
          <w:tab w:leader="none" w:pos="199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Term SOFR will not adequately and fairly reflect the cost to such Lender of making and maintaining its Loan (or their Loans) for such Interest Period and that such event has not arisen as a result of circumstances specific to such Lender;</w:t>
      </w:r>
    </w:p>
    <w:p>
      <w:pPr>
        <w:spacing w:after="0" w:line="152" w:lineRule="exact"/>
        <w:rPr>
          <w:rFonts w:ascii="Times New Roman" w:cs="Times New Roman" w:eastAsia="Times New Roman" w:hAnsi="Times New Roman"/>
          <w:sz w:val="22"/>
          <w:szCs w:val="22"/>
          <w:color w:val="auto"/>
        </w:rPr>
      </w:pPr>
    </w:p>
    <w:p>
      <w:pPr>
        <w:ind w:left="652" w:right="20" w:firstLine="644"/>
        <w:spacing w:after="0" w:line="225" w:lineRule="auto"/>
        <w:tabs>
          <w:tab w:leader="none" w:pos="1942"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Lender is exercising rights similar to those set forth in this Section 2.28 in at least one other similar financing transaction with a similarly situated borrower where such Lender is entitled to then exercise such similar rights; and</w:t>
      </w:r>
    </w:p>
    <w:p>
      <w:pPr>
        <w:spacing w:after="0" w:line="152" w:lineRule="exact"/>
        <w:rPr>
          <w:rFonts w:ascii="Times New Roman" w:cs="Times New Roman" w:eastAsia="Times New Roman" w:hAnsi="Times New Roman"/>
          <w:sz w:val="22"/>
          <w:szCs w:val="22"/>
          <w:color w:val="auto"/>
        </w:rPr>
      </w:pPr>
    </w:p>
    <w:p>
      <w:pPr>
        <w:ind w:left="1952" w:hanging="656"/>
        <w:spacing w:after="0"/>
        <w:tabs>
          <w:tab w:leader="none" w:pos="1952"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funding such Lender’s Loan for such Interest Period,</w:t>
      </w:r>
    </w:p>
    <w:p>
      <w:pPr>
        <w:spacing w:after="0" w:line="206" w:lineRule="exact"/>
        <w:rPr>
          <w:rFonts w:ascii="Times New Roman" w:cs="Times New Roman" w:eastAsia="Times New Roman" w:hAnsi="Times New Roman"/>
          <w:sz w:val="22"/>
          <w:szCs w:val="22"/>
          <w:color w:val="auto"/>
        </w:rPr>
      </w:pPr>
    </w:p>
    <w:p>
      <w:pPr>
        <w:ind w:left="-8" w:right="260" w:firstLine="8"/>
        <w:spacing w:after="0" w:line="265" w:lineRule="auto"/>
        <w:tabs>
          <w:tab w:leader="none" w:pos="62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then the Administrative Agent shall give notice thereof (a “</w:t>
      </w:r>
      <w:r>
        <w:rPr>
          <w:rFonts w:ascii="Times New Roman" w:cs="Times New Roman" w:eastAsia="Times New Roman" w:hAnsi="Times New Roman"/>
          <w:sz w:val="21"/>
          <w:szCs w:val="21"/>
          <w:u w:val="single" w:color="auto"/>
          <w:color w:val="auto"/>
        </w:rPr>
        <w:t>Market Disruption Notice</w:t>
      </w:r>
      <w:r>
        <w:rPr>
          <w:rFonts w:ascii="Times New Roman" w:cs="Times New Roman" w:eastAsia="Times New Roman" w:hAnsi="Times New Roman"/>
          <w:sz w:val="21"/>
          <w:szCs w:val="21"/>
          <w:color w:val="auto"/>
        </w:rPr>
        <w:t>”) to the Borrower and the Market Disruption Affected Lenders as soon as practicable thereafter and until the Administrative Agent notifies the Borrower and the Market Disruption Affected Lenders that the circumstances giving rise to such Market Disruption Notice no longer exist, the ordinary rate of interest on the Loan of each Market Disruption Affected Lender shall be the rate notified by that Market Disruption Affected Lender to the Administrative Agent, as soon as practicable, to be that which expresses as a percentage rate per annum its cost of funding an amount equal to its participation in that Loan (in place of Term SOFR) plus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32"/>
          </w:cols>
          <w:pgMar w:left="328" w:top="1395" w:right="339" w:bottom="1440" w:gutter="0" w:footer="0" w:header="0"/>
        </w:sectPr>
      </w:pPr>
    </w:p>
    <w:bookmarkStart w:id="124" w:name="page125"/>
    <w:bookmarkEnd w:id="124"/>
    <w:p>
      <w:pPr>
        <w:ind w:right="440"/>
        <w:spacing w:after="0" w:line="271" w:lineRule="auto"/>
        <w:rPr>
          <w:sz w:val="20"/>
          <w:szCs w:val="20"/>
          <w:color w:val="auto"/>
        </w:rPr>
      </w:pPr>
      <w:r>
        <w:rPr>
          <w:rFonts w:ascii="Times New Roman" w:cs="Times New Roman" w:eastAsia="Times New Roman" w:hAnsi="Times New Roman"/>
          <w:sz w:val="22"/>
          <w:szCs w:val="22"/>
          <w:color w:val="auto"/>
        </w:rPr>
        <w:t>Margin. The cost of funding certified by a Market Disruption Affected Lender to the Administrative Agent and the Borrower shall be conclusive absent manifest error.</w:t>
      </w:r>
    </w:p>
    <w:p>
      <w:pPr>
        <w:spacing w:after="0" w:line="158" w:lineRule="exact"/>
        <w:rPr>
          <w:sz w:val="20"/>
          <w:szCs w:val="20"/>
          <w:color w:val="auto"/>
        </w:rPr>
      </w:pPr>
    </w:p>
    <w:p>
      <w:pPr>
        <w:ind w:right="940" w:firstLine="8"/>
        <w:spacing w:after="0" w:line="284" w:lineRule="auto"/>
        <w:tabs>
          <w:tab w:leader="none" w:pos="6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acknowledge and agree that they will not invoke a Market Disruption Event on the basis of market conditions on the Effective Date hereunder.</w:t>
      </w:r>
    </w:p>
    <w:p>
      <w:pPr>
        <w:spacing w:after="0" w:line="1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order to induce the Lenders to make Loans and issue Letters of Credit hereunder, the Borrower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Guarantor jointly and severally represent and warrant as follows:</w:t>
      </w:r>
    </w:p>
    <w:p>
      <w:pPr>
        <w:spacing w:after="0" w:line="169"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Organization and Authority</w:t>
      </w:r>
      <w:r>
        <w:rPr>
          <w:rFonts w:ascii="Times New Roman" w:cs="Times New Roman" w:eastAsia="Times New Roman" w:hAnsi="Times New Roman"/>
          <w:sz w:val="21"/>
          <w:szCs w:val="21"/>
          <w:color w:val="auto"/>
        </w:rPr>
        <w:t>. Each of the Borrower and the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to effect the Transactions, to own or lease and operate its properties and to conduct its business as now or currently proposed to be conducted.</w:t>
      </w:r>
    </w:p>
    <w:p>
      <w:pPr>
        <w:spacing w:after="0" w:line="154" w:lineRule="exact"/>
        <w:rPr>
          <w:sz w:val="20"/>
          <w:szCs w:val="20"/>
          <w:color w:val="auto"/>
        </w:rPr>
      </w:pPr>
    </w:p>
    <w:p>
      <w:pPr>
        <w:ind w:right="16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Air Carrier Status</w:t>
      </w:r>
      <w:r>
        <w:rPr>
          <w:rFonts w:ascii="Times New Roman" w:cs="Times New Roman" w:eastAsia="Times New Roman" w:hAnsi="Times New Roman"/>
          <w:sz w:val="21"/>
          <w:szCs w:val="21"/>
          <w:color w:val="auto"/>
        </w:rPr>
        <w:t>. The Borrower is an “air carrier” within the meaning of Section 40102 of Title 49 and holds a certificate under Section 41102 of Title 49. The Borrower 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cs="Times New Roman" w:eastAsia="Times New Roman" w:hAnsi="Times New Roman"/>
          <w:sz w:val="21"/>
          <w:szCs w:val="21"/>
          <w:u w:val="single" w:color="auto"/>
          <w:color w:val="auto"/>
        </w:rPr>
        <w:t>United States Citizen</w:t>
      </w:r>
      <w:r>
        <w:rPr>
          <w:rFonts w:ascii="Times New Roman" w:cs="Times New Roman" w:eastAsia="Times New Roman" w:hAnsi="Times New Roman"/>
          <w:sz w:val="21"/>
          <w:szCs w:val="21"/>
          <w:color w:val="auto"/>
        </w:rPr>
        <w:t>”). The Borrower possesses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so possess would not, in the aggregate, have a Material Adverse Effect.</w:t>
      </w:r>
    </w:p>
    <w:p>
      <w:pPr>
        <w:spacing w:after="0" w:line="150"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Due Execution</w:t>
      </w:r>
      <w:r>
        <w:rPr>
          <w:rFonts w:ascii="Times New Roman" w:cs="Times New Roman" w:eastAsia="Times New Roman" w:hAnsi="Times New Roman"/>
          <w:sz w:val="21"/>
          <w:szCs w:val="21"/>
          <w:color w:val="auto"/>
        </w:rPr>
        <w:t>. The execution, delivery and performance by each of the Borrower and the Guarantor of each of the Loan Documents to which it is a party (a) are within the respective corporate or limited liability company powers of each of the Borrower and the Guarantor, have been duly authorized by all necessary corporate or limited liability company action, including the consent of shareholders or members where required, and do not (i) contravene the charter, by-laws or limited liability company agreement (or equivalent documentation) of the Borrower or the Guarantor, (ii) violate any applicable law (including, without limitation, the Securities Exchange Act of 1934) or regulation (including, without limitation, Regulations T, U or X of the Board), or any order or decree of any court or Governmental Authority, other than violations by the Borrower or the Guarantor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 or any of their properties, which, in the aggregate, would reasonably be expected to have a Material Adverse Effect, or (iv) result in or require the creation or imposition of any Lien upon any of the property of the Borrower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the filings and consents contemplated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125" w:name="page126"/>
    <w:bookmarkEnd w:id="125"/>
    <w:p>
      <w:pPr>
        <w:ind w:right="180"/>
        <w:spacing w:after="0" w:line="211" w:lineRule="auto"/>
        <w:rPr>
          <w:sz w:val="20"/>
          <w:szCs w:val="20"/>
          <w:color w:val="auto"/>
        </w:rPr>
      </w:pPr>
      <w:r>
        <w:rPr>
          <w:rFonts w:ascii="Times New Roman" w:cs="Times New Roman" w:eastAsia="Times New Roman" w:hAnsi="Times New Roman"/>
          <w:sz w:val="22"/>
          <w:szCs w:val="22"/>
          <w:color w:val="auto"/>
        </w:rPr>
        <w:t>Collateral Documents, (iii) approvals, consents and exemptions that have been obtained on or prior to the Effective Date and remain in full force and effect, (iv) consents, approvals and exemptions that the failure to obtain in the aggregate would not be reasonably expected to result in a Material Adverse Effect and (v) routine reporting obligations. Each Loan Document to which the Borrower or the Guarantor is a party has been duly executed and delivered by the Borrower and the Guarantor. This Agreement and the other Loan Documents to which the Borrower or the Guarantor is a party, each is a legal, valid and binding obligation of the Borrower and the Guarantor, enforceable against the Borrower and the Guarantor,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Statements Made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20" w:firstLine="656"/>
        <w:spacing w:after="0" w:line="222" w:lineRule="auto"/>
        <w:tabs>
          <w:tab w:leader="none" w:pos="129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written information furnished by or on behalf of the Borrower to the Administrative Agent or any Lender in connection with the negotiation of this Agreement (as modified or supplemented by other written information so furnished), together with the Annual Report on Form 10-K for 2024 of the Borrower filed with the SEC and all Quarterly Reports on Form</w:t>
      </w:r>
    </w:p>
    <w:p>
      <w:pPr>
        <w:spacing w:after="0" w:line="1" w:lineRule="exact"/>
        <w:rPr>
          <w:rFonts w:ascii="Times New Roman" w:cs="Times New Roman" w:eastAsia="Times New Roman" w:hAnsi="Times New Roman"/>
          <w:sz w:val="21"/>
          <w:szCs w:val="21"/>
          <w:color w:val="auto"/>
        </w:rPr>
      </w:pPr>
    </w:p>
    <w:p>
      <w:pPr>
        <w:ind w:right="60"/>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10-Q or Current Reports on Form 8-K that have been filed after December 31, 2024, by the Borrower, with the SEC (as amended prior to the date that this representation and warranty is being made), taken as a whole as of the Effective Date did not contain any untrue statement of a material fact or omit to state a material fact necessary to make the statements made therein not misleading in light of the circumstances in which such information was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projections, estimates or other forward-looking information the Borrower represents only that such information was prepared in good faith based upon assumptions believed to be reasonable at the time.</w:t>
      </w:r>
    </w:p>
    <w:p>
      <w:pPr>
        <w:spacing w:after="0" w:line="153" w:lineRule="exact"/>
        <w:rPr>
          <w:rFonts w:ascii="Times New Roman" w:cs="Times New Roman" w:eastAsia="Times New Roman" w:hAnsi="Times New Roman"/>
          <w:sz w:val="21"/>
          <w:szCs w:val="21"/>
          <w:color w:val="auto"/>
        </w:rPr>
      </w:pPr>
    </w:p>
    <w:p>
      <w:pPr>
        <w:ind w:firstLine="656"/>
        <w:spacing w:after="0" w:line="215"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of the Borrower most recently filed with the SEC, and each Quarterly Report on Form 10-Q and Current Report on Form 8-K of the Borrower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Financial Statements; Material Adverse Change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60" w:firstLine="656"/>
        <w:spacing w:after="0" w:line="217"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Borrower and its Subsidiaries for the fiscal year ended December 31, 2024, included in the Borrower’s Annual Report on Form 10-K for 2024 filed with the SEC, as amended prior to the date that this representation and warranty is being made, present fairly, in all material respects, in accordance with GAAP, the financial condition, results of operations and cash flows of the Borrower and its Subsidiaries on a consolidated basis as of such date and for such period.</w:t>
      </w:r>
    </w:p>
    <w:p>
      <w:pPr>
        <w:spacing w:after="0" w:line="152" w:lineRule="exact"/>
        <w:rPr>
          <w:rFonts w:ascii="Times New Roman" w:cs="Times New Roman" w:eastAsia="Times New Roman" w:hAnsi="Times New Roman"/>
          <w:sz w:val="22"/>
          <w:szCs w:val="22"/>
          <w:color w:val="auto"/>
        </w:rPr>
      </w:pPr>
    </w:p>
    <w:p>
      <w:pPr>
        <w:ind w:right="40" w:firstLine="656"/>
        <w:spacing w:after="0" w:line="255" w:lineRule="auto"/>
        <w:tabs>
          <w:tab w:leader="none" w:pos="129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Borrower’s Annual Report on Form 10-K for 2024 or any subsequent report filed by the Borrower on Form 10-Q or Form 8-K with the SEC, since December 31, 2024, there has been no Material Adverse Change.</w:t>
      </w:r>
    </w:p>
    <w:p>
      <w:pPr>
        <w:spacing w:after="0" w:line="135" w:lineRule="exact"/>
        <w:rPr>
          <w:sz w:val="20"/>
          <w:szCs w:val="20"/>
          <w:color w:val="auto"/>
        </w:rPr>
      </w:pPr>
    </w:p>
    <w:p>
      <w:pPr>
        <w:jc w:val="both"/>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As of the Effective Date, other than as set forth on Schedule 3.06, (a) each of the Persons listed on Schedule 3.06 is a wholly-owned, direct or indirect Subsidiary of the Borrower, and (b) the Borrower owns no other Subsidiaries (other than Immaterial Subsidiaries), whether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5"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There are no Liens of any nature whatsoever on any Collateral other than Permitted Liens.</w:t>
      </w:r>
    </w:p>
    <w:p>
      <w:pPr>
        <w:spacing w:after="0" w:line="179"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proceeds of the Loans, and the Letters of Credit, shall be used for general corporate purposes of the Borrower and its Subsidiaries and in a manner which is not prohibited by the Loan Documents.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Litigation and Compliance with Laws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2"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Borrower’s Annual Report on Form 10-K for 2024 or any subsequent report filed by the Borrower on Form 10-Q or Form 8-K with the SEC since December 31, 2024, there are no actions, suits, proceedings or investigations pending or, to the knowledge of the Borrower or the Guarantor, threatened against the Borrower or the Guarantor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would reasonably be expected to affect the legality, validity, binding effect or enforceability of the Loan Documents or, in any material respect, the rights and remedies of the Administrative Agent or the Lenders thereunder or in connection with the Transactions.</w:t>
      </w:r>
    </w:p>
    <w:p>
      <w:pPr>
        <w:spacing w:after="0" w:line="156" w:lineRule="exact"/>
        <w:rPr>
          <w:rFonts w:ascii="Times New Roman" w:cs="Times New Roman" w:eastAsia="Times New Roman" w:hAnsi="Times New Roman"/>
          <w:sz w:val="22"/>
          <w:szCs w:val="22"/>
          <w:color w:val="auto"/>
        </w:rPr>
      </w:pPr>
    </w:p>
    <w:p>
      <w:pPr>
        <w:ind w:right="80" w:firstLine="656"/>
        <w:spacing w:after="0" w:line="220"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would not reasonably be expected to result in a Material Adverse Effect, each of the Borrower and the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Margin Regulations; Investment Company Act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56"/>
        <w:spacing w:after="0" w:line="217"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the Guarantor is engaged,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52" w:lineRule="exact"/>
        <w:rPr>
          <w:rFonts w:ascii="Times New Roman" w:cs="Times New Roman" w:eastAsia="Times New Roman" w:hAnsi="Times New Roman"/>
          <w:sz w:val="22"/>
          <w:szCs w:val="22"/>
          <w:color w:val="auto"/>
        </w:rPr>
      </w:pPr>
    </w:p>
    <w:p>
      <w:pPr>
        <w:ind w:right="20" w:firstLine="656"/>
        <w:spacing w:after="0" w:line="217" w:lineRule="auto"/>
        <w:tabs>
          <w:tab w:leader="none" w:pos="129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the Guarantor is, or after the making of the Loans will be, or is required to be, registered as an “investment company” under the Investment Company Act of 1940, as amended. Neither the making of any Loan, nor the issuance of any Letters of Credit, nor the application of the proceeds of any Loan or repayment of any Loan or reimbursement of any LC Disbursement by the Borrower, nor the consummation of the other transactions contemplated by the Loan Documents, will violate any provision of such Act or any rule, regulation or order of the SEC thereunder.</w:t>
      </w:r>
    </w:p>
    <w:p>
      <w:pPr>
        <w:spacing w:after="0" w:line="152"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Ownership of Collateral</w:t>
      </w:r>
      <w:r>
        <w:rPr>
          <w:rFonts w:ascii="Times New Roman" w:cs="Times New Roman" w:eastAsia="Times New Roman" w:hAnsi="Times New Roman"/>
          <w:sz w:val="22"/>
          <w:szCs w:val="22"/>
          <w:color w:val="auto"/>
        </w:rPr>
        <w:t>. The Borrower has good title to the Collateral, free and clear of all Liens other than Permitted Liens.</w:t>
      </w:r>
    </w:p>
    <w:p>
      <w:pPr>
        <w:spacing w:after="0" w:line="15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Perfected Security Interests</w:t>
      </w:r>
      <w:r>
        <w:rPr>
          <w:rFonts w:ascii="Times New Roman" w:cs="Times New Roman" w:eastAsia="Times New Roman" w:hAnsi="Times New Roman"/>
          <w:sz w:val="22"/>
          <w:szCs w:val="22"/>
          <w:color w:val="auto"/>
        </w:rPr>
        <w:t>. The Collateral Documents, taken as a whole, are effective to create in favor of the Administrative Agent, for the benefit of the Secured Parties, a legal, valid and enforceable security interest in all of the Collateral to the extent purported to be created thereby, subject as to enforceability to applicable bankruptcy, insolvency, reorganization, moratorium or other similar laws affecting creditors’ rights generally and subject to general principles of equity, regardless of whether considered in a proceeding in equity or at law. With respect to the Collateral as of the Effective Date, at such time as (a) financing statements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00"/>
          </w:cols>
          <w:pgMar w:left="320" w:top="1395" w:right="379" w:bottom="1440" w:gutter="0" w:footer="0" w:header="0"/>
        </w:sectPr>
      </w:pPr>
    </w:p>
    <w:bookmarkStart w:id="127" w:name="page128"/>
    <w:bookmarkEnd w:id="127"/>
    <w:p>
      <w:pPr>
        <w:spacing w:after="0" w:line="225" w:lineRule="auto"/>
        <w:rPr>
          <w:sz w:val="20"/>
          <w:szCs w:val="20"/>
          <w:color w:val="auto"/>
        </w:rPr>
      </w:pPr>
      <w:r>
        <w:rPr>
          <w:rFonts w:ascii="Times New Roman" w:cs="Times New Roman" w:eastAsia="Times New Roman" w:hAnsi="Times New Roman"/>
          <w:sz w:val="21"/>
          <w:szCs w:val="21"/>
          <w:color w:val="auto"/>
        </w:rPr>
        <w:t>appropriate form are filed in the appropriate offices (and the appropriate fees are paid) and (b) the execution of the Account Control Agreements, the Administrative Agent, for the benefit of the Secured Parties, shall have a first priority perfected security interest and/or mortgage (or comparable Lien) in all of such Collateral to the extent that the Liens on such Collateral may be perfected upon the filings or recordations or upon the taking of the actions described in clauses (a) and (b) above, subject in each case only to Permitted Liens, and such security interest is entitled to the benefits, rights and protections afforded under the Collateral Documents applicable thereto (subject to the qualification set forth in the first sentence of this Section 3.12).</w:t>
      </w:r>
    </w:p>
    <w:p>
      <w:pPr>
        <w:spacing w:after="0" w:line="154"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Each of the Borrower and its Subsidiaries has timely filed or caused to be filed all Tax returns and reports required to have been filed by it and has paid or caused to be paid when due all Taxes required to have been paid by it, except and solely to the extent that, in each case (a) such Taxes are being contested in good faith by appropriate proceedings or (b) the failure to do so would not reasonably be expected to result in a Material Adverse Effect.</w:t>
      </w:r>
    </w:p>
    <w:p>
      <w:pPr>
        <w:spacing w:after="0" w:line="152"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Each of the Borrower and the Guarantor has implemented and maintains, or is subject to, policies and procedures designed to promote and achieve compliance with applicable Anti-Corruption Laws and Sanctions, and each of the Borrower and the Guarantor and their respective Subsidiaries are in compliance with applicable Anti-Corruption Laws and Sanctions in all material respects. None of Borrower or the Guarantor, or any of their respective Subsidiaries, or any of their (or their respective Subsidiaries’) respective directors or officers or, to the knowledge of the Borrower or the Guarantor, as applicable, Affiliates, employees or agents is a Sanctioned Person.</w:t>
      </w:r>
    </w:p>
    <w:p>
      <w:pPr>
        <w:spacing w:after="0" w:line="152" w:lineRule="exact"/>
        <w:rPr>
          <w:sz w:val="20"/>
          <w:szCs w:val="20"/>
          <w:color w:val="auto"/>
        </w:rPr>
      </w:pPr>
    </w:p>
    <w:p>
      <w:pPr>
        <w:jc w:val="both"/>
        <w:ind w:right="80" w:firstLine="648"/>
        <w:spacing w:after="0" w:line="231" w:lineRule="auto"/>
        <w:rPr>
          <w:sz w:val="20"/>
          <w:szCs w:val="20"/>
          <w:color w:val="auto"/>
        </w:rPr>
      </w:pPr>
      <w:r>
        <w:rPr>
          <w:rFonts w:ascii="Times New Roman" w:cs="Times New Roman" w:eastAsia="Times New Roman" w:hAnsi="Times New Roman"/>
          <w:sz w:val="21"/>
          <w:szCs w:val="21"/>
          <w:color w:val="auto"/>
        </w:rPr>
        <w:t xml:space="preserve">Section 3.15.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The Borrower, Guarantor and any ERISA Affiliates are in compliance in all respects with ERISA and the rules and regulations thereunder, except to the extent that the failure to do so would not reasonably be expected to result in a Material Adverse Effect. Neither the Borrower, Guarantor nor any ERISA Affiliate has any unfunded vested liability under any Plan, except to the extent that such liability would not reasonably be expected to result in a Material Adverse Effect.</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Default or Event of Default</w:t>
      </w:r>
      <w:r>
        <w:rPr>
          <w:rFonts w:ascii="Times New Roman" w:cs="Times New Roman" w:eastAsia="Times New Roman" w:hAnsi="Times New Roman"/>
          <w:sz w:val="22"/>
          <w:szCs w:val="22"/>
          <w:color w:val="auto"/>
        </w:rPr>
        <w:t>. No Default or Event of Default has occurred and is continuing (or would result from giving effect to this Agreement).</w:t>
      </w:r>
    </w:p>
    <w:p>
      <w:pPr>
        <w:spacing w:after="0" w:line="150"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UCC Location</w:t>
      </w:r>
      <w:r>
        <w:rPr>
          <w:rFonts w:ascii="Times New Roman" w:cs="Times New Roman" w:eastAsia="Times New Roman" w:hAnsi="Times New Roman"/>
          <w:sz w:val="22"/>
          <w:szCs w:val="22"/>
          <w:color w:val="auto"/>
        </w:rPr>
        <w:t>. The Borrower’s location (as such term is used in Section 9-307 of the UCC) is Minnesota. The full and correct legal name and mailing address of the Borrower on the Effective Date are correctly set forth in Section 10.01(a)(i).</w:t>
      </w:r>
    </w:p>
    <w:p>
      <w:pPr>
        <w:spacing w:after="0" w:line="153" w:lineRule="exact"/>
        <w:rPr>
          <w:sz w:val="20"/>
          <w:szCs w:val="20"/>
          <w:color w:val="auto"/>
        </w:rPr>
      </w:pPr>
    </w:p>
    <w:p>
      <w:pPr>
        <w:ind w:right="6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Location of Spare Parts</w:t>
      </w:r>
      <w:r>
        <w:rPr>
          <w:rFonts w:ascii="Times New Roman" w:cs="Times New Roman" w:eastAsia="Times New Roman" w:hAnsi="Times New Roman"/>
          <w:sz w:val="22"/>
          <w:szCs w:val="22"/>
          <w:color w:val="auto"/>
        </w:rPr>
        <w:t>. The Pledged Spare Parts are located at a Designated Location to the extent required pursuant to the Spare Parts Security Agreement.</w:t>
      </w:r>
    </w:p>
    <w:p>
      <w:pPr>
        <w:spacing w:after="0" w:line="150"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The Security Trustee will be entitled to the benefits of Section 1110 (as currently in effect) with respect to the right to take possession of the Pledged Aircraft, Pledged Engines and Pledged Spare Parts as provided in the Aircraft and Spare Engine Mortgage or Spare Parts Security Agreement, as applicable, in the event of a case under Chapter 11 of the Bankruptcy Code in which the Borrower is a debtor.</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1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CONDITIONS OF LENDING</w:t>
      </w:r>
    </w:p>
    <w:p>
      <w:pPr>
        <w:spacing w:after="0" w:line="183"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Precedent to the Effective Date</w:t>
      </w:r>
      <w:r>
        <w:rPr>
          <w:rFonts w:ascii="Times New Roman" w:cs="Times New Roman" w:eastAsia="Times New Roman" w:hAnsi="Times New Roman"/>
          <w:sz w:val="22"/>
          <w:szCs w:val="22"/>
          <w:color w:val="auto"/>
        </w:rPr>
        <w:t>. This Agreement shall become effective on the date on which the following conditions precedent shall have been satisfied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180"/>
          </w:cols>
          <w:pgMar w:left="320" w:top="1395"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waived by the Lenders in accordance with Section 10.08 and by the Administrative Agent (acting at the direction of all the</w:t>
      </w: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55" w:lineRule="exact"/>
        <w:rPr>
          <w:sz w:val="20"/>
          <w:szCs w:val="20"/>
          <w:color w:val="auto"/>
        </w:rPr>
      </w:pPr>
    </w:p>
    <w:p>
      <w:pPr>
        <w:ind w:right="920" w:firstLine="656"/>
        <w:spacing w:after="0" w:line="236" w:lineRule="auto"/>
        <w:tabs>
          <w:tab w:leader="none" w:pos="129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Supporting Documents</w:t>
      </w:r>
      <w:r>
        <w:rPr>
          <w:rFonts w:ascii="Times New Roman" w:cs="Times New Roman" w:eastAsia="Times New Roman" w:hAnsi="Times New Roman"/>
          <w:sz w:val="22"/>
          <w:szCs w:val="22"/>
          <w:color w:val="auto"/>
        </w:rPr>
        <w:t>. The Administrative Agent shall have received in form and substance reasonably satisfactory to the Administrative Agent:</w:t>
      </w:r>
    </w:p>
    <w:p>
      <w:pPr>
        <w:spacing w:after="0" w:line="150" w:lineRule="exact"/>
        <w:rPr>
          <w:rFonts w:ascii="Times New Roman" w:cs="Times New Roman" w:eastAsia="Times New Roman" w:hAnsi="Times New Roman"/>
          <w:sz w:val="22"/>
          <w:szCs w:val="22"/>
          <w:color w:val="auto"/>
        </w:rPr>
      </w:pPr>
    </w:p>
    <w:p>
      <w:pPr>
        <w:ind w:left="660" w:right="40" w:firstLine="644"/>
        <w:spacing w:after="0" w:line="225" w:lineRule="auto"/>
        <w:tabs>
          <w:tab w:leader="none" w:pos="19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of the Borrower and the Guarantor, a certificate of the Secretary of State of the state of such entity’s incorporation or formation, dated as of a recent date, as to the good standing of that entity (to the extent available in the applicable jurisdiction) and as to the charter documents on file in the office of such Secretary of State;</w:t>
      </w:r>
    </w:p>
    <w:p>
      <w:pPr>
        <w:spacing w:after="0" w:line="152" w:lineRule="exact"/>
        <w:rPr>
          <w:rFonts w:ascii="Times New Roman" w:cs="Times New Roman" w:eastAsia="Times New Roman" w:hAnsi="Times New Roman"/>
          <w:sz w:val="22"/>
          <w:szCs w:val="22"/>
          <w:color w:val="auto"/>
        </w:rPr>
      </w:pPr>
    </w:p>
    <w:p>
      <w:pPr>
        <w:ind w:left="660" w:firstLine="644"/>
        <w:spacing w:after="0" w:line="219" w:lineRule="auto"/>
        <w:tabs>
          <w:tab w:leader="none" w:pos="195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of the Borrower and the Guarantor, a certificate of the Secretary or an Assistant Secretary (or similar officer), of such entity dated the Effective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and Letter of Credit issuances hereunder, the execution, delivery and performance in accordance with their respective terms of this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officer of that entity executing this Agreement and the Loan Documents or any other document delivered by it in connection herewith or therewith (such certificate to contain a certification by another officer of that entity as to the incumbency and signature of the officer signing the certificate referred to in this clause (ii));</w:t>
      </w:r>
    </w:p>
    <w:p>
      <w:pPr>
        <w:spacing w:after="0" w:line="155" w:lineRule="exact"/>
        <w:rPr>
          <w:rFonts w:ascii="Times New Roman" w:cs="Times New Roman" w:eastAsia="Times New Roman" w:hAnsi="Times New Roman"/>
          <w:sz w:val="21"/>
          <w:szCs w:val="21"/>
          <w:color w:val="auto"/>
        </w:rPr>
      </w:pPr>
    </w:p>
    <w:p>
      <w:pPr>
        <w:ind w:left="660" w:right="20" w:firstLine="644"/>
        <w:spacing w:after="0" w:line="213" w:lineRule="auto"/>
        <w:tabs>
          <w:tab w:leader="none" w:pos="195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of the Borrower and the Guarantor, a certificate signed by an Officer of such entity certifying (A) as to the truth in all material respects of the representations and warranties made by it contained in the Loan Documents on the Effective Date, except to the extent that any such representation or warranty relates to a specified date, in which case as of such date (provided that any representation or warranty that is qualified by materiality, “Material Adverse Change” or “Material Adverse Effect” shall be true and correct in all respects as of the applicable date, before and after giving effect to the Transactions) and (B) as to the absence of any event occurring and continuing, or resulting from the Transactions, that constitutes an Event of Default; and</w:t>
      </w:r>
    </w:p>
    <w:p>
      <w:pPr>
        <w:spacing w:after="0" w:line="156" w:lineRule="exact"/>
        <w:rPr>
          <w:rFonts w:ascii="Times New Roman" w:cs="Times New Roman" w:eastAsia="Times New Roman" w:hAnsi="Times New Roman"/>
          <w:sz w:val="22"/>
          <w:szCs w:val="22"/>
          <w:color w:val="auto"/>
        </w:rPr>
      </w:pPr>
    </w:p>
    <w:p>
      <w:pPr>
        <w:ind w:left="660" w:right="440" w:firstLine="644"/>
        <w:spacing w:after="0" w:line="236" w:lineRule="auto"/>
        <w:tabs>
          <w:tab w:leader="none" w:pos="1944"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incumbency certificate of the Security Trustee as to the person or persons authorized to execute and deliver this Agreement, the Collateral Documents, and any other documents to be executed on behalf of the Security Trustee in connection with the transactions contemplated hereby and the signatures of such person or persons.</w:t>
      </w:r>
    </w:p>
    <w:p>
      <w:pPr>
        <w:spacing w:after="0" w:line="13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Each party hereto shall have duly executed and delivered to the Administrative Agent this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ind w:right="40" w:firstLine="656"/>
        <w:spacing w:after="0" w:line="225" w:lineRule="auto"/>
        <w:tabs>
          <w:tab w:leader="none" w:pos="129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The Borrower shall have duly executed and delivered to the Administrative Agent (i) any Collateral Documents, (ii) any Fee Letters and (iii) the other Loan Documents, and has delivered all UCC financing statements in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82" w:right="339" w:bottom="1440" w:gutter="0" w:footer="0" w:header="0"/>
        </w:sectPr>
      </w:pPr>
    </w:p>
    <w:bookmarkStart w:id="129" w:name="page130"/>
    <w:bookmarkEnd w:id="129"/>
    <w:p>
      <w:pPr>
        <w:spacing w:after="0" w:line="225" w:lineRule="auto"/>
        <w:rPr>
          <w:sz w:val="20"/>
          <w:szCs w:val="20"/>
          <w:color w:val="auto"/>
        </w:rPr>
      </w:pPr>
      <w:r>
        <w:rPr>
          <w:rFonts w:ascii="Times New Roman" w:cs="Times New Roman" w:eastAsia="Times New Roman" w:hAnsi="Times New Roman"/>
          <w:sz w:val="22"/>
          <w:szCs w:val="22"/>
          <w:color w:val="auto"/>
        </w:rPr>
        <w:t>reasonably acceptable to the Security Trustee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53"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of Counsel</w:t>
      </w:r>
      <w:r>
        <w:rPr>
          <w:rFonts w:ascii="Times New Roman" w:cs="Times New Roman" w:eastAsia="Times New Roman" w:hAnsi="Times New Roman"/>
          <w:sz w:val="22"/>
          <w:szCs w:val="22"/>
          <w:color w:val="auto"/>
        </w:rPr>
        <w:t>. The Administrative Agent and the Lenders shall have received:</w:t>
      </w:r>
    </w:p>
    <w:p>
      <w:pPr>
        <w:spacing w:after="0" w:line="179" w:lineRule="exact"/>
        <w:rPr>
          <w:rFonts w:ascii="Times New Roman" w:cs="Times New Roman" w:eastAsia="Times New Roman" w:hAnsi="Times New Roman"/>
          <w:sz w:val="22"/>
          <w:szCs w:val="22"/>
          <w:color w:val="auto"/>
        </w:rPr>
      </w:pPr>
    </w:p>
    <w:p>
      <w:pPr>
        <w:ind w:left="660" w:right="200" w:firstLine="644"/>
        <w:spacing w:after="0" w:line="236" w:lineRule="auto"/>
        <w:tabs>
          <w:tab w:leader="none" w:pos="19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Rose Neale, General Counsel for the Borrower and Guarantor, in form and substance reasonably satisfactory to the Administrative Agent and the Lenders; and</w:t>
      </w:r>
    </w:p>
    <w:p>
      <w:pPr>
        <w:spacing w:after="0" w:line="150" w:lineRule="exact"/>
        <w:rPr>
          <w:rFonts w:ascii="Times New Roman" w:cs="Times New Roman" w:eastAsia="Times New Roman" w:hAnsi="Times New Roman"/>
          <w:sz w:val="22"/>
          <w:szCs w:val="22"/>
          <w:color w:val="auto"/>
        </w:rPr>
      </w:pPr>
    </w:p>
    <w:p>
      <w:pPr>
        <w:ind w:left="660" w:right="100" w:firstLine="644"/>
        <w:spacing w:after="0" w:line="236" w:lineRule="auto"/>
        <w:tabs>
          <w:tab w:leader="none" w:pos="195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Milbank LLP, special New York counsel to the Borrower and the Guarantor, dated the Effective Date, in form and substance reasonably satisfactory to the Administrative Agent and the Lenders.</w:t>
      </w:r>
    </w:p>
    <w:p>
      <w:pPr>
        <w:spacing w:after="0" w:line="150" w:lineRule="exact"/>
        <w:rPr>
          <w:rFonts w:ascii="Times New Roman" w:cs="Times New Roman" w:eastAsia="Times New Roman" w:hAnsi="Times New Roman"/>
          <w:sz w:val="22"/>
          <w:szCs w:val="22"/>
          <w:color w:val="auto"/>
        </w:rPr>
      </w:pPr>
    </w:p>
    <w:p>
      <w:pPr>
        <w:jc w:val="both"/>
        <w:ind w:right="100" w:firstLine="656"/>
        <w:spacing w:after="0" w:line="220" w:lineRule="auto"/>
        <w:tabs>
          <w:tab w:leader="none" w:pos="129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 and Expenses</w:t>
      </w:r>
      <w:r>
        <w:rPr>
          <w:rFonts w:ascii="Times New Roman" w:cs="Times New Roman" w:eastAsia="Times New Roman" w:hAnsi="Times New Roman"/>
          <w:sz w:val="22"/>
          <w:szCs w:val="22"/>
          <w:color w:val="auto"/>
        </w:rPr>
        <w:t>. The Borrower shall have paid to each Agent and the Lenders any fees pursuant to a Fee Letter, the Fee Schedule, any Letter of Credit Fees, if applicable and all expenses of the Agents and the Lenders payable or reimbursable by the Borrower pursuant to Section 10.04(a)(i)(A) for which invoices have been presented at least one Business Day prior to the Effective Date.</w:t>
      </w:r>
    </w:p>
    <w:p>
      <w:pPr>
        <w:spacing w:after="0" w:line="152" w:lineRule="exact"/>
        <w:rPr>
          <w:rFonts w:ascii="Times New Roman" w:cs="Times New Roman" w:eastAsia="Times New Roman" w:hAnsi="Times New Roman"/>
          <w:sz w:val="22"/>
          <w:szCs w:val="22"/>
          <w:color w:val="auto"/>
        </w:rPr>
      </w:pPr>
    </w:p>
    <w:p>
      <w:pPr>
        <w:jc w:val="both"/>
        <w:ind w:right="440" w:firstLine="656"/>
        <w:spacing w:after="0" w:line="225" w:lineRule="auto"/>
        <w:tabs>
          <w:tab w:leader="none" w:pos="1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All material governmental and third party consents and approvals necessary in connection with the financing contemplated hereby shall have been obtained, in form and substance reasonably satisfactory to the Administrative Agent, and be in full force and effect.</w:t>
      </w:r>
    </w:p>
    <w:p>
      <w:pPr>
        <w:spacing w:after="0" w:line="152" w:lineRule="exact"/>
        <w:rPr>
          <w:rFonts w:ascii="Times New Roman" w:cs="Times New Roman" w:eastAsia="Times New Roman" w:hAnsi="Times New Roman"/>
          <w:sz w:val="22"/>
          <w:szCs w:val="22"/>
          <w:color w:val="auto"/>
        </w:rPr>
      </w:pPr>
    </w:p>
    <w:p>
      <w:pPr>
        <w:ind w:right="80" w:firstLine="656"/>
        <w:spacing w:after="0" w:line="215" w:lineRule="auto"/>
        <w:tabs>
          <w:tab w:leader="none" w:pos="129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All representations and warranties of the Borrower and the Guarantor contained in this Agreement and the other Loan Documents executed and delivered on the Effective Date shall be true and correct in all material respects on and as of the Effective Date (except to the extent any such representation or warranty by its terms is made as of a different specified date, in which case as of such specified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“Material Adverse Change” or “Material Adverse Effect” shall be true and correct in all respects, as though made on and as of the applicable date, after giving effect to the Transactions.</w:t>
      </w:r>
    </w:p>
    <w:p>
      <w:pPr>
        <w:spacing w:after="0" w:line="152" w:lineRule="exact"/>
        <w:rPr>
          <w:rFonts w:ascii="Times New Roman" w:cs="Times New Roman" w:eastAsia="Times New Roman" w:hAnsi="Times New Roman"/>
          <w:sz w:val="22"/>
          <w:szCs w:val="22"/>
          <w:color w:val="auto"/>
        </w:rPr>
      </w:pPr>
    </w:p>
    <w:p>
      <w:pPr>
        <w:ind w:right="160" w:firstLine="656"/>
        <w:spacing w:after="0" w:line="236" w:lineRule="auto"/>
        <w:tabs>
          <w:tab w:leader="none" w:pos="129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Event of Default</w:t>
      </w:r>
      <w:r>
        <w:rPr>
          <w:rFonts w:ascii="Times New Roman" w:cs="Times New Roman" w:eastAsia="Times New Roman" w:hAnsi="Times New Roman"/>
          <w:sz w:val="22"/>
          <w:szCs w:val="22"/>
          <w:color w:val="auto"/>
        </w:rPr>
        <w:t>. Before and after giving effect to the Transactions, no Default or Event of Default shall have occurred and be continuing on the Effective Date.</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20" w:lineRule="auto"/>
        <w:tabs>
          <w:tab w:leader="none" w:pos="128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KYC Information</w:t>
      </w:r>
      <w:r>
        <w:rPr>
          <w:rFonts w:ascii="Times New Roman" w:cs="Times New Roman" w:eastAsia="Times New Roman" w:hAnsi="Times New Roman"/>
          <w:sz w:val="22"/>
          <w:szCs w:val="22"/>
          <w:color w:val="auto"/>
        </w:rPr>
        <w:t>. The Agents and the Lenders shall have received at least five (5) days prior to the Effective Date all documentation and other information as such Agent or Lender may reasonably request in order to satisfy the applicable “know your customer” rules, guidelines, practices or policies observed by such Agent or Lender (including, without limitation, evidence of the beneficial ownership of the Borrower and the Guarantor).</w:t>
      </w:r>
    </w:p>
    <w:p>
      <w:pPr>
        <w:spacing w:after="0" w:line="1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The execution by each Lender of this Agreement shall be deemed to be confirmation by such Lender that any condition relating to such Lender’s satisfaction or reasonable satisfaction with any documentation set forth in this Section 4.01 has been satisfied as to such Lender.</w:t>
      </w:r>
    </w:p>
    <w:p>
      <w:pPr>
        <w:spacing w:after="0" w:line="159"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Precedent to Each Loan and Each Letter of Credit</w:t>
      </w:r>
      <w:r>
        <w:rPr>
          <w:rFonts w:ascii="Times New Roman" w:cs="Times New Roman" w:eastAsia="Times New Roman" w:hAnsi="Times New Roman"/>
          <w:sz w:val="22"/>
          <w:szCs w:val="22"/>
          <w:color w:val="auto"/>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130" w:name="page131"/>
    <w:bookmarkEnd w:id="130"/>
    <w:p>
      <w:pPr>
        <w:ind w:left="-220" w:right="400" w:firstLine="656"/>
        <w:spacing w:after="0" w:line="236" w:lineRule="auto"/>
        <w:tabs>
          <w:tab w:leader="none" w:pos="107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Administrative Agent shall have received a Loan Request pursuant to Section 2.03 with respect to such borrowing or a request for issuance of such Letter of Credit pursuant to Section 2.02, as the case may be.</w:t>
      </w:r>
    </w:p>
    <w:p>
      <w:pPr>
        <w:spacing w:after="0" w:line="150" w:lineRule="exact"/>
        <w:rPr>
          <w:rFonts w:ascii="Times New Roman" w:cs="Times New Roman" w:eastAsia="Times New Roman" w:hAnsi="Times New Roman"/>
          <w:sz w:val="22"/>
          <w:szCs w:val="22"/>
          <w:color w:val="auto"/>
        </w:rPr>
      </w:pPr>
    </w:p>
    <w:p>
      <w:pPr>
        <w:ind w:left="-220" w:firstLine="656"/>
        <w:spacing w:after="0" w:line="211" w:lineRule="auto"/>
        <w:tabs>
          <w:tab w:leader="none" w:pos="107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All representations and warranties contained in this Agreement and the other Loan Documents (other than, with respect to Loans made or Letters of Credit issued after the Effective Date, the representations and warranties set forth in Sections 3.05(b), 3.06 and 3.09(a))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“Material Adverse Change” or “Material Adverse Effect” shall be true and correct in all respects, as though made on and as of the applicable date, before and after giving effect to such Loan or the issuance of such Letter of Credit hereunder.</w:t>
      </w:r>
    </w:p>
    <w:p>
      <w:pPr>
        <w:spacing w:after="0" w:line="158" w:lineRule="exact"/>
        <w:rPr>
          <w:rFonts w:ascii="Times New Roman" w:cs="Times New Roman" w:eastAsia="Times New Roman" w:hAnsi="Times New Roman"/>
          <w:sz w:val="22"/>
          <w:szCs w:val="22"/>
          <w:color w:val="auto"/>
        </w:rPr>
      </w:pPr>
    </w:p>
    <w:p>
      <w:pPr>
        <w:ind w:left="-220" w:firstLine="656"/>
        <w:spacing w:after="0" w:line="220" w:lineRule="auto"/>
        <w:tabs>
          <w:tab w:leader="none" w:pos="107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On the date of such Loan or the issuance of such Letter of Credit hereunder, no Event of Default or Default shall have occurred and be continuing nor shall any such Event of Default or Default, as the case may be, occur by reason of the making of the requested Borrowing or the issuance of the requested Letter of Credit and, in the case of each Loan, the application of proceeds thereof.</w:t>
      </w:r>
    </w:p>
    <w:p>
      <w:pPr>
        <w:spacing w:after="0" w:line="152" w:lineRule="exact"/>
        <w:rPr>
          <w:rFonts w:ascii="Times New Roman" w:cs="Times New Roman" w:eastAsia="Times New Roman" w:hAnsi="Times New Roman"/>
          <w:sz w:val="22"/>
          <w:szCs w:val="22"/>
          <w:color w:val="auto"/>
        </w:rPr>
      </w:pPr>
    </w:p>
    <w:p>
      <w:pPr>
        <w:jc w:val="both"/>
        <w:ind w:left="-220" w:right="60" w:firstLine="656"/>
        <w:spacing w:after="0" w:line="225" w:lineRule="auto"/>
        <w:tabs>
          <w:tab w:leader="none" w:pos="107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Certificates</w:t>
      </w:r>
      <w:r>
        <w:rPr>
          <w:rFonts w:ascii="Times New Roman" w:cs="Times New Roman" w:eastAsia="Times New Roman" w:hAnsi="Times New Roman"/>
          <w:sz w:val="22"/>
          <w:szCs w:val="22"/>
          <w:color w:val="auto"/>
        </w:rPr>
        <w:t>. The Administrative Agent shall have received Officer’s Certificates from the Borrower and Guarantor certifying (A) as to the truth in all material respects of the representations and warranties referred to in Section 4.02(b) and (B) as to the absence of any event resulting from the Transactions that constitutes a Default or Event of Default.</w:t>
      </w:r>
    </w:p>
    <w:p>
      <w:pPr>
        <w:spacing w:after="0" w:line="152" w:lineRule="exact"/>
        <w:rPr>
          <w:rFonts w:ascii="Times New Roman" w:cs="Times New Roman" w:eastAsia="Times New Roman" w:hAnsi="Times New Roman"/>
          <w:sz w:val="22"/>
          <w:szCs w:val="22"/>
          <w:color w:val="auto"/>
        </w:rPr>
      </w:pPr>
    </w:p>
    <w:p>
      <w:pPr>
        <w:ind w:left="-220" w:right="180" w:firstLine="656"/>
        <w:spacing w:after="0" w:line="236" w:lineRule="auto"/>
        <w:tabs>
          <w:tab w:leader="none" w:pos="107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 On the date of such Loan or the issuance of such Letter of Credit hereunder (and after giving pro forma effect thereto), the Collateral Coverage Ratio shall not be less than 1.0 to 1.0.</w:t>
      </w:r>
    </w:p>
    <w:p>
      <w:pPr>
        <w:spacing w:after="0" w:line="150" w:lineRule="exact"/>
        <w:rPr>
          <w:rFonts w:ascii="Times New Roman" w:cs="Times New Roman" w:eastAsia="Times New Roman" w:hAnsi="Times New Roman"/>
          <w:sz w:val="22"/>
          <w:szCs w:val="22"/>
          <w:color w:val="auto"/>
        </w:rPr>
      </w:pPr>
    </w:p>
    <w:p>
      <w:pPr>
        <w:jc w:val="both"/>
        <w:ind w:left="-220" w:right="100" w:firstLine="656"/>
        <w:spacing w:after="0" w:line="225" w:lineRule="auto"/>
        <w:tabs>
          <w:tab w:leader="none" w:pos="107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Coverage Ratio Certificate</w:t>
      </w:r>
      <w:r>
        <w:rPr>
          <w:rFonts w:ascii="Times New Roman" w:cs="Times New Roman" w:eastAsia="Times New Roman" w:hAnsi="Times New Roman"/>
          <w:sz w:val="22"/>
          <w:szCs w:val="22"/>
          <w:color w:val="auto"/>
        </w:rPr>
        <w:t>. The Administrative Agent shall have received an Officer’s Certificate from the Borrower certifying the Collateral Coverage Ratio and calculating the Collateral Coverage Ratio in reasonable detail, in each case as determined for the purposes of clause (e) above.</w:t>
      </w:r>
    </w:p>
    <w:p>
      <w:pPr>
        <w:spacing w:after="0" w:line="152" w:lineRule="exact"/>
        <w:rPr>
          <w:rFonts w:ascii="Times New Roman" w:cs="Times New Roman" w:eastAsia="Times New Roman" w:hAnsi="Times New Roman"/>
          <w:sz w:val="22"/>
          <w:szCs w:val="22"/>
          <w:color w:val="auto"/>
        </w:rPr>
      </w:pPr>
    </w:p>
    <w:p>
      <w:pPr>
        <w:jc w:val="both"/>
        <w:ind w:left="-220" w:firstLine="656"/>
        <w:spacing w:after="0" w:line="220" w:lineRule="auto"/>
        <w:tabs>
          <w:tab w:leader="none" w:pos="107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Certificates</w:t>
      </w:r>
      <w:r>
        <w:rPr>
          <w:rFonts w:ascii="Times New Roman" w:cs="Times New Roman" w:eastAsia="Times New Roman" w:hAnsi="Times New Roman"/>
          <w:sz w:val="22"/>
          <w:szCs w:val="22"/>
          <w:color w:val="auto"/>
        </w:rPr>
        <w:t>. If, due to there being no Loan or Letter of Credit outstanding at such time, the certificates referred to in Section 5.01(d) were not delivered when they would otherwise have last been required to be delivered, a certificate of a Responsible Officer of the Borrower demonstrating in reasonable detail compliance with Sections 6.04 and 6.05 as of the end of the relevant fiscal quarter;</w:t>
      </w:r>
    </w:p>
    <w:p>
      <w:pPr>
        <w:spacing w:after="0" w:line="152" w:lineRule="exact"/>
        <w:rPr>
          <w:rFonts w:ascii="Times New Roman" w:cs="Times New Roman" w:eastAsia="Times New Roman" w:hAnsi="Times New Roman"/>
          <w:sz w:val="22"/>
          <w:szCs w:val="22"/>
          <w:color w:val="auto"/>
        </w:rPr>
      </w:pPr>
    </w:p>
    <w:p>
      <w:pPr>
        <w:ind w:left="-220" w:firstLine="656"/>
        <w:spacing w:after="0" w:line="220" w:lineRule="auto"/>
        <w:tabs>
          <w:tab w:leader="none" w:pos="107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Security Trustee shall have received insurance certificates for, to the extent applicable, each item of Collateral (i) demonstrating to the Administrative Agent’s reasonable satisfaction that the insurance requirements set forth in Section 5.11 are satisfied and (ii) naming Security Trustee as loss payee and naming the Security Trustee, the Administrative Agent, the Lenders and the Issuing Lenders as additional insured.</w:t>
      </w:r>
    </w:p>
    <w:p>
      <w:pPr>
        <w:spacing w:after="0" w:line="152" w:lineRule="exact"/>
        <w:rPr>
          <w:rFonts w:ascii="Times New Roman" w:cs="Times New Roman" w:eastAsia="Times New Roman" w:hAnsi="Times New Roman"/>
          <w:sz w:val="22"/>
          <w:szCs w:val="22"/>
          <w:color w:val="auto"/>
        </w:rPr>
      </w:pPr>
    </w:p>
    <w:p>
      <w:pPr>
        <w:ind w:left="-220" w:right="120" w:firstLine="656"/>
        <w:spacing w:after="0" w:line="236" w:lineRule="auto"/>
        <w:tabs>
          <w:tab w:leader="none" w:pos="106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Going Concern Qualification</w:t>
      </w:r>
      <w:r>
        <w:rPr>
          <w:rFonts w:ascii="Times New Roman" w:cs="Times New Roman" w:eastAsia="Times New Roman" w:hAnsi="Times New Roman"/>
          <w:sz w:val="21"/>
          <w:szCs w:val="21"/>
          <w:color w:val="auto"/>
        </w:rPr>
        <w:t>. On the date of such Loan or the issuance of such Letter of Credit hereunder, the opinion of the independent public accountants (after giving effect to any reissuance or revision of such opinion) on the most recent audited consolidated financial statements delivered by the Borrower pursuant to Section 5.01(a) shall not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020"/>
          </w:cols>
          <w:pgMar w:left="540" w:top="1395" w:right="339" w:bottom="1440" w:gutter="0" w:footer="0" w:header="0"/>
        </w:sectPr>
      </w:pPr>
    </w:p>
    <w:bookmarkStart w:id="131" w:name="page132"/>
    <w:bookmarkEnd w:id="131"/>
    <w:p>
      <w:pPr>
        <w:ind w:right="580"/>
        <w:spacing w:after="0" w:line="255" w:lineRule="auto"/>
        <w:rPr>
          <w:sz w:val="20"/>
          <w:szCs w:val="20"/>
          <w:color w:val="auto"/>
        </w:rPr>
      </w:pPr>
      <w:r>
        <w:rPr>
          <w:rFonts w:ascii="Times New Roman" w:cs="Times New Roman" w:eastAsia="Times New Roman" w:hAnsi="Times New Roman"/>
          <w:sz w:val="21"/>
          <w:szCs w:val="21"/>
          <w:color w:val="auto"/>
        </w:rPr>
        <w:t>“going concern” qualification under GAAP as in effect on the date of this Agreement or, if there is a change in the relevant provisions of GAAP thereafter, any like qualification or exception under GAAP after giving effect to such change.</w:t>
      </w:r>
    </w:p>
    <w:p>
      <w:pPr>
        <w:spacing w:after="0" w:line="135" w:lineRule="exact"/>
        <w:rPr>
          <w:sz w:val="20"/>
          <w:szCs w:val="20"/>
          <w:color w:val="auto"/>
        </w:rPr>
      </w:pPr>
    </w:p>
    <w:p>
      <w:pPr>
        <w:ind w:right="80" w:firstLine="656"/>
        <w:spacing w:after="0" w:line="220" w:lineRule="auto"/>
        <w:tabs>
          <w:tab w:leader="none" w:pos="128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Collateral</w:t>
      </w:r>
      <w:r>
        <w:rPr>
          <w:rFonts w:ascii="Times New Roman" w:cs="Times New Roman" w:eastAsia="Times New Roman" w:hAnsi="Times New Roman"/>
          <w:sz w:val="22"/>
          <w:szCs w:val="22"/>
          <w:color w:val="auto"/>
        </w:rPr>
        <w:t>. If Additional Collateral is to be pledged in connection with the making of such Loan and/or the issuance of such Letter of Credit in order to cause the Collateral Coverage Ratio to be no less than 1.0 to 1.0 on such date (after giving pro forma effect to such Loan and/or Letter of Credit), the Borrower shall have complied with the requirements of Section 5.12 with respect to such Additional Collateral.</w:t>
      </w:r>
    </w:p>
    <w:p>
      <w:pPr>
        <w:spacing w:after="0" w:line="152" w:lineRule="exact"/>
        <w:rPr>
          <w:rFonts w:ascii="Times New Roman" w:cs="Times New Roman" w:eastAsia="Times New Roman" w:hAnsi="Times New Roman"/>
          <w:sz w:val="22"/>
          <w:szCs w:val="22"/>
          <w:color w:val="auto"/>
        </w:rPr>
      </w:pPr>
    </w:p>
    <w:p>
      <w:pPr>
        <w:ind w:right="560" w:firstLine="656"/>
        <w:spacing w:after="0" w:line="236"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Spare Parts</w:t>
      </w:r>
      <w:r>
        <w:rPr>
          <w:rFonts w:ascii="Times New Roman" w:cs="Times New Roman" w:eastAsia="Times New Roman" w:hAnsi="Times New Roman"/>
          <w:sz w:val="22"/>
          <w:szCs w:val="22"/>
          <w:color w:val="auto"/>
        </w:rPr>
        <w:t>. The Pledged Spare Parts are located at a Designated Location to the extent required pursuant to the Spare Parts Security Agreement.</w:t>
      </w:r>
    </w:p>
    <w:p>
      <w:pPr>
        <w:spacing w:after="0" w:line="15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1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17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210"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From the Effective Date and for so long as the Commitments remain in effect, any Letter of Credit remains outstanding (in a face amount in excess of the amount of cash then held in the Letter of Credit Account),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Financial Statements, Reports, etc.</w:t>
      </w:r>
      <w:r>
        <w:rPr>
          <w:rFonts w:ascii="Times New Roman" w:cs="Times New Roman" w:eastAsia="Times New Roman" w:hAnsi="Times New Roman"/>
          <w:sz w:val="21"/>
          <w:szCs w:val="21"/>
          <w:color w:val="auto"/>
        </w:rPr>
        <w:t xml:space="preserve"> The Borrower shall deliver to the Administrative Agent on behalf of the</w:t>
      </w: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55" w:lineRule="exact"/>
        <w:rPr>
          <w:sz w:val="20"/>
          <w:szCs w:val="20"/>
          <w:color w:val="auto"/>
        </w:rPr>
      </w:pPr>
    </w:p>
    <w:p>
      <w:pPr>
        <w:ind w:firstLine="656"/>
        <w:spacing w:after="0" w:line="211"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ninety (90) days after the end of each fiscal year, the Borrower’s consolidated balance sheet and related statement of income and cash flows, showing the financial condition of the Borrower and its Subsidiaries on a consolidated basis as of the close of such fiscal year and the results of their respective operations during such year, the consolidated statement of the Borrower to be audited for the Borrower by independent public accountants of recognized national standing and to be accompanied by an opinion of such accountants (without any qualification or exception as to the scope of such audit) to the effect that such consolidated financial statements fairly present in all material respects the financial condition and results of operations of the Borrower and its Subsidiaries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delivery requirement shall be satisfied if the Borrower shall have filed with the SEC its Annual Report on Form 10-K for such fiscal year, which is available to the public via EDGAR or any similar successor system;</w:t>
      </w:r>
    </w:p>
    <w:p>
      <w:pPr>
        <w:spacing w:after="0" w:line="158" w:lineRule="exact"/>
        <w:rPr>
          <w:rFonts w:ascii="Times New Roman" w:cs="Times New Roman" w:eastAsia="Times New Roman" w:hAnsi="Times New Roman"/>
          <w:sz w:val="22"/>
          <w:szCs w:val="22"/>
          <w:color w:val="auto"/>
        </w:rPr>
      </w:pPr>
    </w:p>
    <w:p>
      <w:pPr>
        <w:ind w:right="20" w:firstLine="656"/>
        <w:spacing w:after="0" w:line="213"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forty-five (45) days after the end of each of the first three fiscal quarters of each fiscal year, the Borrower’s consolidated balance sheets and related statements of income and cash flows, showing the financial condition of the Borrower and its Subsidiaries on a consolidated basis as of the close of such fiscal quarter and the results of their operations during such fiscal quarter and the then elapsed portion of the fiscal year, each certified by a Responsible Officer of the Borrower as fairly presenting in all material respects the financial condition and results of operations of the Borrower and its Subsidiaries on a consolidated basis in accordance with GAAP, subject to normal year end audit adjustments and the absence of footnotes;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20"/>
          </w:cols>
          <w:pgMar w:left="320" w:top="1395" w:right="359" w:bottom="1440" w:gutter="0" w:footer="0" w:header="0"/>
        </w:sectPr>
      </w:pPr>
    </w:p>
    <w:bookmarkStart w:id="132" w:name="page133"/>
    <w:bookmarkEnd w:id="132"/>
    <w:p>
      <w:pPr>
        <w:ind w:right="420"/>
        <w:spacing w:after="0" w:line="236" w:lineRule="auto"/>
        <w:rPr>
          <w:sz w:val="20"/>
          <w:szCs w:val="20"/>
          <w:color w:val="auto"/>
        </w:rPr>
      </w:pPr>
      <w:r>
        <w:rPr>
          <w:rFonts w:ascii="Times New Roman" w:cs="Times New Roman" w:eastAsia="Times New Roman" w:hAnsi="Times New Roman"/>
          <w:sz w:val="22"/>
          <w:szCs w:val="22"/>
          <w:color w:val="auto"/>
        </w:rPr>
        <w:t>that the foregoing delivery requirement shall be satisfied if the Borrower shall have filed with the SEC its quarterly report on Form 10-Q for such fiscal quarter, which is available to the public via EDGAR or any similar successor system;</w:t>
      </w:r>
    </w:p>
    <w:p>
      <w:pPr>
        <w:spacing w:after="0" w:line="150" w:lineRule="exact"/>
        <w:rPr>
          <w:sz w:val="20"/>
          <w:szCs w:val="20"/>
          <w:color w:val="auto"/>
        </w:rPr>
      </w:pPr>
    </w:p>
    <w:p>
      <w:pPr>
        <w:ind w:right="20" w:firstLine="656"/>
        <w:spacing w:after="0" w:line="217"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Loans or Letters of Credit are outstanding, within the time period under Section 5.01(a) above, a certificate of a Responsible Officer of the Borrower certifying that, to the knowledge of such Responsible Officer, no Default or Event of Default has occurred and is continuing, or, if, to the knowledge of such Responsible Officer, such a Default or Event of Default has occurred and is continuing, specifying the nature and extent thereof and any corrective action taken or proposed to be taken with respect thereto;</w:t>
      </w:r>
    </w:p>
    <w:p>
      <w:pPr>
        <w:spacing w:after="0" w:line="152" w:lineRule="exact"/>
        <w:rPr>
          <w:rFonts w:ascii="Times New Roman" w:cs="Times New Roman" w:eastAsia="Times New Roman" w:hAnsi="Times New Roman"/>
          <w:sz w:val="22"/>
          <w:szCs w:val="22"/>
          <w:color w:val="auto"/>
        </w:rPr>
      </w:pPr>
    </w:p>
    <w:p>
      <w:pPr>
        <w:ind w:right="140" w:firstLine="656"/>
        <w:spacing w:after="0" w:line="226" w:lineRule="auto"/>
        <w:tabs>
          <w:tab w:leader="none" w:pos="129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Loans or Letters of Credit are outstanding, within the time period under (a) and (b) of this Section 5.01, a certificate of a Responsible Officer of the Borrower demonstrating in reasonable detail compliance with Sections 6.04,</w:t>
      </w:r>
    </w:p>
    <w:p>
      <w:pPr>
        <w:spacing w:after="0" w:line="1" w:lineRule="exact"/>
        <w:rPr>
          <w:rFonts w:ascii="Times New Roman" w:cs="Times New Roman" w:eastAsia="Times New Roman" w:hAnsi="Times New Roman"/>
          <w:sz w:val="21"/>
          <w:szCs w:val="21"/>
          <w:color w:val="auto"/>
        </w:rPr>
      </w:pPr>
    </w:p>
    <w:p>
      <w:pPr>
        <w:jc w:val="both"/>
        <w:ind w:right="18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6.05 and 6.08(a) as of the end of the preceding fiscal quarter, including an updated calculation of the Collateral Coverage Ratio reflecting the most recent Appraisals (as adjusted for any Dispositions or additions to the Collateral since the date of delivery to the Administrative Agent of such Appraisals);</w:t>
      </w:r>
    </w:p>
    <w:p>
      <w:pPr>
        <w:spacing w:after="0" w:line="150" w:lineRule="exact"/>
        <w:rPr>
          <w:rFonts w:ascii="Times New Roman" w:cs="Times New Roman" w:eastAsia="Times New Roman" w:hAnsi="Times New Roman"/>
          <w:sz w:val="21"/>
          <w:szCs w:val="21"/>
          <w:color w:val="auto"/>
        </w:rPr>
      </w:pPr>
    </w:p>
    <w:p>
      <w:pPr>
        <w:ind w:right="80" w:firstLine="656"/>
        <w:spacing w:after="0" w:line="213"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15 days after a Responsible Officer of the Borrower obtains knowledge that there has been one or more Dispositions of Collateral (excluding those described in clause (b) or (c) of the definition of “Permitted Disposition”) since the date of the Officer’s Certificate demonstrating compliance with Section 6.08(a) most recently delivered under this Agreement by the Borrower to the Administrative Agent consisting of (i) a Pledged Aircraft, (ii) a Pledged Engine or (iii) any other Collateral having an Appraised Value in the aggregate in excess of 10% of the sum of the aggregate Appraised Value of all Collateral plus Pledged Cash and Cash Equivalents, a certificate of a Responsible Officer of the Borrower demonstrating in reasonable detail compliance with Section 6.08(a);</w:t>
      </w:r>
    </w:p>
    <w:p>
      <w:pPr>
        <w:spacing w:after="0" w:line="156" w:lineRule="exact"/>
        <w:rPr>
          <w:rFonts w:ascii="Times New Roman" w:cs="Times New Roman" w:eastAsia="Times New Roman" w:hAnsi="Times New Roman"/>
          <w:sz w:val="22"/>
          <w:szCs w:val="22"/>
          <w:color w:val="auto"/>
        </w:rPr>
      </w:pPr>
    </w:p>
    <w:p>
      <w:pPr>
        <w:ind w:firstLine="656"/>
        <w:spacing w:after="0" w:line="209"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At any time that Eligible Receivables are included as Collateral, within 15 days after the completion of each Field Audit (or, if such day is not a Business Day, on the next succeeding Business Day) completed pursuant to Section 5.07(b), an Officer’s Certificate from the Borrower setting forth the amount of each Eligible Receivable included in the Collateral as of such date, (ii) on the date upon which any Eligible Receivable is pledged as Collateral, but only with respect to such Eligible Receivable, an Officer’s Certificate from the Borrower setting forth the amount of such Eligible Receivable pledged on such date, and (iii) at any time that the Administrative Agent (acting at the direction of the Required Lenders) provides written notice to the Borrower that the Administrative Agent, acting reasonably and in good faith, believes that a Material Eligible Receivable contained in the most recent Officer’s Certificate delivered pursuant to clauses (i) and (ii) above with respect to such Pledged Receivable no longer meets the criteria of an Eligible Receivable set forth in the definition thereof, and that the Borrower would not reasonably be expected to be in compliance with Section 6.08(a) after excluding the Certified Value of such disqualified Material Eligible Receivable from the aggregate Certified Value of the Pledged Receivables, within five (5) Business Days of such receipt of such request by the Borrower, an Officer’s Certificate from the Borrower setting forth the amount of each Eligible Receivable included in the Collateral as of such date, in each case together with all supporting documents with respect to the applicable Eligible Receivables as the Administrative Agent acting at the direction of the Required Lenders may reasonably request;</w:t>
      </w:r>
    </w:p>
    <w:p>
      <w:pPr>
        <w:spacing w:after="0" w:line="151" w:lineRule="exact"/>
        <w:rPr>
          <w:rFonts w:ascii="Times New Roman" w:cs="Times New Roman" w:eastAsia="Times New Roman" w:hAnsi="Times New Roman"/>
          <w:sz w:val="22"/>
          <w:szCs w:val="22"/>
          <w:color w:val="auto"/>
        </w:rPr>
      </w:pPr>
    </w:p>
    <w:p>
      <w:pPr>
        <w:ind w:right="540" w:firstLine="656"/>
        <w:spacing w:after="0" w:line="225"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 Responsible Officer of the Borrower obtains knowledge thereof, notice of the failure of any material assumption contained in any Appraisal to be correct, except if such failure would not reasonably be expected to materially adversely affect the Appraised Value of the applicable type 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20"/>
          </w:cols>
          <w:pgMar w:left="320" w:top="1395" w:right="359" w:bottom="1440" w:gutter="0" w:footer="0" w:header="0"/>
        </w:sectPr>
      </w:pPr>
    </w:p>
    <w:bookmarkStart w:id="133" w:name="page134"/>
    <w:bookmarkEnd w:id="133"/>
    <w:p>
      <w:pPr>
        <w:ind w:right="40" w:firstLine="656"/>
        <w:spacing w:after="0" w:line="220" w:lineRule="auto"/>
        <w:tabs>
          <w:tab w:leader="none" w:pos="12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Commitment, Loan or Letter of Credit is outstanding, within 30 days after the Chief Financial Officer or the Treasurer of the Borrower becoming aware of the occurrence of a Default or an Event of Default that is continuing, an Officer’s Certificate specifying such Default or Event of Default and what action the Borrower and its Subsidiaries are taking or propose to take with respect thereto;</w:t>
      </w:r>
    </w:p>
    <w:p>
      <w:pPr>
        <w:spacing w:after="0" w:line="152" w:lineRule="exact"/>
        <w:rPr>
          <w:rFonts w:ascii="Times New Roman" w:cs="Times New Roman" w:eastAsia="Times New Roman" w:hAnsi="Times New Roman"/>
          <w:sz w:val="22"/>
          <w:szCs w:val="22"/>
          <w:color w:val="auto"/>
        </w:rPr>
      </w:pPr>
    </w:p>
    <w:p>
      <w:pPr>
        <w:ind w:right="320" w:firstLine="656"/>
        <w:spacing w:after="0" w:line="225" w:lineRule="auto"/>
        <w:tabs>
          <w:tab w:leader="none" w:pos="128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to the extent neither the Borrower nor the Guarantor is a public company, notice of any change in the information provided in any Beneficial Ownership Certification that would result in a change to the list of beneficial owners identified in parts (c) or (d) of such certification; and</w:t>
      </w:r>
    </w:p>
    <w:p>
      <w:pPr>
        <w:spacing w:after="0" w:line="152" w:lineRule="exact"/>
        <w:rPr>
          <w:rFonts w:ascii="Times New Roman" w:cs="Times New Roman" w:eastAsia="Times New Roman" w:hAnsi="Times New Roman"/>
          <w:sz w:val="22"/>
          <w:szCs w:val="22"/>
          <w:color w:val="auto"/>
        </w:rPr>
      </w:pPr>
    </w:p>
    <w:p>
      <w:pPr>
        <w:jc w:val="both"/>
        <w:ind w:right="280" w:firstLine="656"/>
        <w:spacing w:after="0" w:line="225" w:lineRule="auto"/>
        <w:tabs>
          <w:tab w:leader="none" w:pos="128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from time to time, such other information regarding the Collateral and the operations, business affairs and financial condition of either the Borrower or the Guarantor, in each case as the Administrative Agent, at the request of any Lender, may reasonably request.</w:t>
      </w:r>
    </w:p>
    <w:p>
      <w:pPr>
        <w:spacing w:after="0" w:line="17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Subject to the next succeeding sentence, information delivered pursuant to this Section 5.01 to the Administrative Agent may be made available by the Administrative Agent to the Lenders by posting such information on the Platform. Information required to be delivered pursuant to this Section 5.01 by the Borrower shall be delivered pursuant to Section 10.01 hereto.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80" w:lineRule="exact"/>
        <w:rPr>
          <w:sz w:val="20"/>
          <w:szCs w:val="20"/>
          <w:color w:val="auto"/>
        </w:rPr>
      </w:pPr>
    </w:p>
    <w:p>
      <w:pPr>
        <w:ind w:right="260" w:firstLine="1296"/>
        <w:spacing w:after="0" w:line="262" w:lineRule="auto"/>
        <w:rPr>
          <w:sz w:val="20"/>
          <w:szCs w:val="20"/>
          <w:color w:val="auto"/>
        </w:rPr>
      </w:pPr>
      <w:r>
        <w:rPr>
          <w:rFonts w:ascii="Times New Roman" w:cs="Times New Roman" w:eastAsia="Times New Roman" w:hAnsi="Times New Roman"/>
          <w:sz w:val="21"/>
          <w:szCs w:val="21"/>
          <w:color w:val="auto"/>
        </w:rPr>
        <w:t>Any notice or other communication delivered pursuant to this Section 5.01, or otherwise pursuant to this Agreement, shall be deemed to contain material non-public information unless (i) expressly marked by the Borrower or the Guarantor as “PUBLIC”, (ii) such notice or communication consists of copies of the Borrower’s public filings with the SEC or</w:t>
      </w:r>
    </w:p>
    <w:p>
      <w:pPr>
        <w:spacing w:after="0" w:line="3" w:lineRule="exact"/>
        <w:rPr>
          <w:sz w:val="20"/>
          <w:szCs w:val="20"/>
          <w:color w:val="auto"/>
        </w:rPr>
      </w:pPr>
    </w:p>
    <w:p>
      <w:pPr>
        <w:ind w:right="520" w:firstLine="8"/>
        <w:spacing w:after="0" w:line="248" w:lineRule="auto"/>
        <w:tabs>
          <w:tab w:leader="none" w:pos="37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notice or communication has been posted on a the Borrower’s general commercial website on the Internet, as such website may be specified by the Borrower to the Administrative Agent from time to time.</w:t>
      </w:r>
    </w:p>
    <w:p>
      <w:pPr>
        <w:spacing w:after="0" w:line="169"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the Guarantor shall pay, and cause each of its Subsidiaries to pay, all taxes, assessments, and governmental levies before the same shall become more than 90 days delinquent, other than taxes, assessments and levies (i) being contested in good faith by appropriate proceedings and (ii) the failure to effect such payment of which are not reasonably be expected to have a Material Adverse Effect.</w:t>
      </w:r>
    </w:p>
    <w:p>
      <w:pPr>
        <w:spacing w:after="0" w:line="152"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Stay, Extension and Usury Laws</w:t>
      </w:r>
      <w:r>
        <w:rPr>
          <w:rFonts w:ascii="Times New Roman" w:cs="Times New Roman" w:eastAsia="Times New Roman" w:hAnsi="Times New Roman"/>
          <w:sz w:val="22"/>
          <w:szCs w:val="22"/>
          <w:color w:val="auto"/>
        </w:rPr>
        <w:t>. Each of the Borrower and the Guarantor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Agreement; and each of the Borrower and the Guarantor (to the extent that it may lawfully do so) hereby expressly waives all benefit or advantage of any such law, and covenants that it will not, by resort to any such law, hinder, delay or impede the execution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4" w:right="339" w:bottom="1440" w:gutter="0" w:footer="0" w:header="0"/>
        </w:sectPr>
      </w:pPr>
    </w:p>
    <w:bookmarkStart w:id="134" w:name="page135"/>
    <w:bookmarkEnd w:id="134"/>
    <w:p>
      <w:pPr>
        <w:ind w:right="380"/>
        <w:spacing w:after="0" w:line="236" w:lineRule="auto"/>
        <w:rPr>
          <w:sz w:val="20"/>
          <w:szCs w:val="20"/>
          <w:color w:val="auto"/>
        </w:rPr>
      </w:pPr>
      <w:r>
        <w:rPr>
          <w:rFonts w:ascii="Times New Roman" w:cs="Times New Roman" w:eastAsia="Times New Roman" w:hAnsi="Times New Roman"/>
          <w:sz w:val="22"/>
          <w:szCs w:val="22"/>
          <w:color w:val="auto"/>
        </w:rPr>
        <w:t>power herein granted to the Administrative Agent, but will suffer and permit the execution of every such power as though no such law has been enacted.</w:t>
      </w:r>
    </w:p>
    <w:p>
      <w:pPr>
        <w:spacing w:after="0" w:line="150" w:lineRule="exact"/>
        <w:rPr>
          <w:sz w:val="20"/>
          <w:szCs w:val="20"/>
          <w:color w:val="auto"/>
        </w:rPr>
      </w:pPr>
    </w:p>
    <w:p>
      <w:pPr>
        <w:ind w:right="5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Each of the Borrower and the Guarantor shall do or cause to be done all things reasonably necessary to preserve and keep in full force and effect:</w:t>
      </w:r>
    </w:p>
    <w:p>
      <w:pPr>
        <w:spacing w:after="0" w:line="150" w:lineRule="exact"/>
        <w:rPr>
          <w:sz w:val="20"/>
          <w:szCs w:val="20"/>
          <w:color w:val="auto"/>
        </w:rPr>
      </w:pPr>
    </w:p>
    <w:p>
      <w:pPr>
        <w:ind w:left="1300" w:right="40" w:firstLine="652"/>
        <w:spacing w:after="0" w:line="225" w:lineRule="auto"/>
        <w:tabs>
          <w:tab w:leader="none" w:pos="259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its Subsidiaries, in accordance with the respective organizational documents (as the same may be amended from time to time) of the Borrower or any such Subsidiary; and</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7" w:lineRule="auto"/>
        <w:tabs>
          <w:tab w:leader="none" w:pos="259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its and its Subsidiaries’ rights (charter and statutory) and material franchises;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it shall not be required to preserve any such right or franchise, or the corporate, partnership or other existence of it or any of its Subsidiaries, if its Board of Directors shall determine that the preservation thereof is no longer desirable in the conduct of the business of it and its Subsidiaries, taken as a whole, and that the loss thereof would not, individually or in the aggregate, have a Material Adverse Effect.</w:t>
      </w:r>
    </w:p>
    <w:p>
      <w:pPr>
        <w:spacing w:after="0" w:line="17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For the avoidance of doubt, this Section 5.04 shall not prohibit any actions permitted by Section 6.06 hereof or described in Section 6.06(b).</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60" w:firstLine="656"/>
        <w:spacing w:after="0" w:line="220" w:lineRule="auto"/>
        <w:tabs>
          <w:tab w:leader="none" w:pos="129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Guarantor shall comply, and cause each of their respective Subsidiaries to comply, with all applicable laws, rules, regulations and orders of any Governmental Authority applicable to it or its property, except where such noncompliance, individually or in the aggregate, would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right="660" w:firstLine="656"/>
        <w:spacing w:after="0" w:line="220" w:lineRule="auto"/>
        <w:tabs>
          <w:tab w:leader="none" w:pos="129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Guarantor shall comply in all material respects with applicable Anti-Money Laundering Laws, Anti-Corruption Laws and Sanctions and, without limiting the foregoing, each of the Borrower and the Guarantor will maintain, or remain subject to, policies and procedures designed to promote and achieve compliance with applicable Anti-Money Laundering Laws, Anti-Corruption Laws and Sanctions.</w:t>
      </w:r>
    </w:p>
    <w:p>
      <w:pPr>
        <w:spacing w:after="0" w:line="152" w:lineRule="exact"/>
        <w:rPr>
          <w:sz w:val="20"/>
          <w:szCs w:val="20"/>
          <w:color w:val="auto"/>
        </w:rPr>
      </w:pPr>
    </w:p>
    <w:p>
      <w:pPr>
        <w:ind w:right="4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Delivery of Quarterly Certificate</w:t>
      </w:r>
      <w:r>
        <w:rPr>
          <w:rFonts w:ascii="Times New Roman" w:cs="Times New Roman" w:eastAsia="Times New Roman" w:hAnsi="Times New Roman"/>
          <w:sz w:val="22"/>
          <w:szCs w:val="22"/>
          <w:color w:val="auto"/>
        </w:rPr>
        <w:t>. So long as any Loans or Letters of Credit are outstanding, Borrower shall, within five (5) Business Days of each Quarterly Certification Date, deliver to the Administrative Agent a Quarterly Certificate.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Delivery of Appraisals; Field Audits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Pledged Aircraft, Pledged Engines and Pledged Spare Parts, on each Appraisal Date, beginning with the first such date occurring at least 90 days after such Pledged Aircraft, Pledged Engines or Pledged Spare Parts, as the case may be, is first added to the Collateral hereunder, deliver or cause to be delivered to the Administrative Agent an Appraisal thereof dated (and with an "as of" valuation) no more than 45 days prior to such Appraisal Date;</w:t>
      </w:r>
    </w:p>
    <w:p>
      <w:pPr>
        <w:spacing w:after="0" w:line="152" w:lineRule="exact"/>
        <w:rPr>
          <w:rFonts w:ascii="Times New Roman" w:cs="Times New Roman" w:eastAsia="Times New Roman" w:hAnsi="Times New Roman"/>
          <w:sz w:val="22"/>
          <w:szCs w:val="22"/>
          <w:color w:val="auto"/>
        </w:rPr>
      </w:pPr>
    </w:p>
    <w:p>
      <w:pPr>
        <w:ind w:left="1300" w:right="100" w:firstLine="652"/>
        <w:spacing w:after="0" w:line="236" w:lineRule="auto"/>
        <w:tabs>
          <w:tab w:leader="none" w:pos="259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upon which any Additional Collateral is pledged as Collateral, but only with respect to such Additional Collateral, deliver or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180"/>
          </w:cols>
          <w:pgMar w:left="320" w:top="1394" w:right="399" w:bottom="1440" w:gutter="0" w:footer="0" w:header="0"/>
        </w:sectPr>
      </w:pPr>
    </w:p>
    <w:bookmarkStart w:id="135" w:name="page136"/>
    <w:bookmarkEnd w:id="135"/>
    <w:p>
      <w:pPr>
        <w:ind w:left="1300" w:right="160"/>
        <w:spacing w:after="0" w:line="236" w:lineRule="auto"/>
        <w:rPr>
          <w:sz w:val="20"/>
          <w:szCs w:val="20"/>
          <w:color w:val="auto"/>
        </w:rPr>
      </w:pPr>
      <w:r>
        <w:rPr>
          <w:rFonts w:ascii="Times New Roman" w:cs="Times New Roman" w:eastAsia="Times New Roman" w:hAnsi="Times New Roman"/>
          <w:sz w:val="22"/>
          <w:szCs w:val="22"/>
          <w:color w:val="auto"/>
        </w:rPr>
        <w:t>be delivered to the Administrative Agent an Appraisal thereof dated (and with an "as of" valuation) no more than 45 days prior to the date such Additional Collateral is added to the Collateral hereunder;</w:t>
      </w:r>
    </w:p>
    <w:p>
      <w:pPr>
        <w:spacing w:after="0" w:line="150" w:lineRule="exact"/>
        <w:rPr>
          <w:sz w:val="20"/>
          <w:szCs w:val="20"/>
          <w:color w:val="auto"/>
        </w:rPr>
      </w:pPr>
    </w:p>
    <w:p>
      <w:pPr>
        <w:ind w:left="1300" w:firstLine="652"/>
        <w:spacing w:after="0" w:line="215" w:lineRule="auto"/>
        <w:tabs>
          <w:tab w:leader="none" w:pos="259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Collateral (other than Pledged Cash and Cash Equivalents), at a frequency reasonably satisfactory to the Administrative Agent (acting at the direction of the Required Lenders), beginning with the first such date occurring at least 90 days after such other Collateral is first added to the Collateral hereunder, deliver or cause to be delivered to the Administrative Agent an Appraisal thereof dated (and with an "as of" valuation) no more than 45 days prior to the date such Appraisal is required by this clause (3) to be delivered; and</w:t>
      </w:r>
    </w:p>
    <w:p>
      <w:pPr>
        <w:spacing w:after="0" w:line="152" w:lineRule="exact"/>
        <w:rPr>
          <w:rFonts w:ascii="Times New Roman" w:cs="Times New Roman" w:eastAsia="Times New Roman" w:hAnsi="Times New Roman"/>
          <w:sz w:val="22"/>
          <w:szCs w:val="22"/>
          <w:color w:val="auto"/>
        </w:rPr>
      </w:pPr>
    </w:p>
    <w:p>
      <w:pPr>
        <w:jc w:val="both"/>
        <w:ind w:left="1300" w:right="260" w:firstLine="652"/>
        <w:spacing w:after="0" w:line="220" w:lineRule="auto"/>
        <w:tabs>
          <w:tab w:leader="none" w:pos="259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45 days) following a request by the Administrative Agent if an Event of Default has occurred and is continuing deliver or cause to be delivered to the Administrative Agent an Appraisal of such Collateral as the Administrative Agent may request dated (and with an "as of" valuation) no more than 45 days prior to the date such Appraisal is required by this clause (4) to be delivered.</w:t>
      </w:r>
    </w:p>
    <w:p>
      <w:pPr>
        <w:spacing w:after="0" w:line="179"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In addition to the requirements set forth in this Section 5.07(a), if at any time (a) the Administrative Agent in its reasonable good faith business judgment believes that any material assumption contained in any Appraisal fails to be correct, except if such failure would not reasonably be expected to result in the Collateral Coverage Ratio being less than 1.0 to 1.0, or (b) the Administrative Agent receives a notice from the Borrower under Section 5.01(h), it may request the delivery of an updated Appraisal with respect to the affected Collateral, and the Borrower and Guarantor shall cooperate with the applicable appraiser(s) to ensure that the Administrative Agent receives the same within 30 days (or such longer period as may be reasonably required by the relevant appraiser(s) to issue a revised Appraisal) after such request.</w:t>
      </w:r>
    </w:p>
    <w:p>
      <w:pPr>
        <w:spacing w:after="0" w:line="180"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2"/>
          <w:szCs w:val="22"/>
          <w:color w:val="auto"/>
        </w:rPr>
        <w:t>The Borrower may from time to time cause subsequent Appraisals to be delivered to the Administrative Agent if it believes that any affected item of Collateral has a higher Appraised Value than that reflected in the most recent Appraisals delivered pursuant to this Section 5.07(a).</w:t>
      </w:r>
    </w:p>
    <w:p>
      <w:pPr>
        <w:spacing w:after="0" w:line="140" w:lineRule="exact"/>
        <w:rPr>
          <w:sz w:val="20"/>
          <w:szCs w:val="20"/>
          <w:color w:val="auto"/>
        </w:rPr>
      </w:pPr>
    </w:p>
    <w:p>
      <w:pPr>
        <w:ind w:right="260" w:firstLine="656"/>
        <w:spacing w:after="0" w:line="236" w:lineRule="auto"/>
        <w:tabs>
          <w:tab w:leader="none" w:pos="129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reasonably cooperate with the Field Auditor such that the Administrative Agent shall receive one or more Field Audits establishing the Certified Value of the Pledged Receivables:</w:t>
      </w:r>
    </w:p>
    <w:p>
      <w:pPr>
        <w:spacing w:after="0" w:line="150" w:lineRule="exact"/>
        <w:rPr>
          <w:rFonts w:ascii="Times New Roman" w:cs="Times New Roman" w:eastAsia="Times New Roman" w:hAnsi="Times New Roman"/>
          <w:sz w:val="22"/>
          <w:szCs w:val="22"/>
          <w:color w:val="auto"/>
        </w:rPr>
      </w:pPr>
    </w:p>
    <w:p>
      <w:pPr>
        <w:ind w:left="660" w:right="120" w:firstLine="644"/>
        <w:spacing w:after="0" w:line="236"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date within 30 days prior to May 15 and November 15 of each year, beginning 90 days after any such Pledged Receivable is first added to the Collateral; and</w:t>
      </w:r>
    </w:p>
    <w:p>
      <w:pPr>
        <w:spacing w:after="0" w:line="150" w:lineRule="exact"/>
        <w:rPr>
          <w:rFonts w:ascii="Times New Roman" w:cs="Times New Roman" w:eastAsia="Times New Roman" w:hAnsi="Times New Roman"/>
          <w:sz w:val="22"/>
          <w:szCs w:val="22"/>
          <w:color w:val="auto"/>
        </w:rPr>
      </w:pPr>
    </w:p>
    <w:p>
      <w:pPr>
        <w:ind w:left="660" w:right="120" w:firstLine="644"/>
        <w:spacing w:after="0" w:line="236" w:lineRule="auto"/>
        <w:tabs>
          <w:tab w:leader="none" w:pos="195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45 days) following a request by the Administrative Agent if an Event of Default has occurred and is continuing.</w:t>
      </w:r>
    </w:p>
    <w:p>
      <w:pPr>
        <w:spacing w:after="0" w:line="17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In addition, on such additional dates as the Borrower may reasonably request from time to time, the Administrative Agent shall cooperate with the Borrower to cause the Field Auditor to provide a Field Audit to the Administrative Agent that establishes the Certified Value of the Pledged Receivables. The Borrower shall be responsible for all reasonable out-of-pocket costs and expenses actually incurred by the Field Auditor in connection with any Field Audit for which reasonably detailed invoices have been presented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4" w:right="339" w:bottom="1440" w:gutter="0" w:footer="0" w:header="0"/>
        </w:sectPr>
      </w:pPr>
    </w:p>
    <w:bookmarkStart w:id="136" w:name="page137"/>
    <w:bookmarkEnd w:id="136"/>
    <w:p>
      <w:pPr>
        <w:ind w:right="6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Regulatory Cooperation</w:t>
      </w:r>
      <w:r>
        <w:rPr>
          <w:rFonts w:ascii="Times New Roman" w:cs="Times New Roman" w:eastAsia="Times New Roman" w:hAnsi="Times New Roman"/>
          <w:sz w:val="21"/>
          <w:szCs w:val="21"/>
          <w:color w:val="auto"/>
        </w:rPr>
        <w:t>. In connection with any foreclosure, collection, sale or other enforcement of Liens granted to the Security Trustee in the Collateral Documents, the Borrower will, and will cause its Subsidiaries to, reasonably cooperate in good faith with the Security Trustee or its designee in obtaining all regulatory licenses, consents and other governmental approvals necessary or (in the reasonable opinion of the Security Trustee or its designee) reasonably advisable to conduct all aviation operations with respect to the Collateral and will, at the reasonable request of the Security Trustee and in good faith, continue to operate and manage the Collateral and maintain all applicable regulatory licenses with respect to the Collateral until such time as the Security Trustee or its designee obtain such licenses, consents and approvals, and at such time the Borrower will, and will cause its Subsidiaries to, cooperate in good faith with the transition of the aviation operations with respect to the Collateral to any new aviation operator (including, without limitation, the Security Trustee or its designee).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Regulatory Matters; Citizenship; Utilization; Collateral Requirements</w:t>
      </w:r>
      <w:r>
        <w:rPr>
          <w:rFonts w:ascii="Times New Roman" w:cs="Times New Roman" w:eastAsia="Times New Roman" w:hAnsi="Times New Roman"/>
          <w:sz w:val="22"/>
          <w:szCs w:val="22"/>
          <w:color w:val="auto"/>
        </w:rPr>
        <w:t>. The Borrower will:</w:t>
      </w:r>
    </w:p>
    <w:p>
      <w:pPr>
        <w:spacing w:after="0" w:line="179" w:lineRule="exact"/>
        <w:rPr>
          <w:sz w:val="20"/>
          <w:szCs w:val="20"/>
          <w:color w:val="auto"/>
        </w:rPr>
      </w:pPr>
    </w:p>
    <w:p>
      <w:pPr>
        <w:ind w:left="1300" w:right="60" w:firstLine="652"/>
        <w:spacing w:after="0" w:line="236" w:lineRule="auto"/>
        <w:tabs>
          <w:tab w:leader="none" w:pos="25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as an “air carrier” within the meaning of Section 40102(a)(2) of Title 49, and hold a certificate under Section 41102(a)(1) of Title 49;</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United States Citizen;</w:t>
      </w:r>
    </w:p>
    <w:p>
      <w:pPr>
        <w:spacing w:after="0" w:line="179" w:lineRule="exact"/>
        <w:rPr>
          <w:rFonts w:ascii="Times New Roman" w:cs="Times New Roman" w:eastAsia="Times New Roman" w:hAnsi="Times New Roman"/>
          <w:sz w:val="22"/>
          <w:szCs w:val="22"/>
          <w:color w:val="auto"/>
        </w:rPr>
      </w:pPr>
    </w:p>
    <w:p>
      <w:pPr>
        <w:ind w:left="1300" w:right="180" w:firstLine="652"/>
        <w:spacing w:after="0" w:line="225" w:lineRule="auto"/>
        <w:tabs>
          <w:tab w:leader="none" w:pos="25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at all times its status at the FAA as an “air carrier” and hold an air carrier operating certificate under Section 44705 of Title 49 and operations specifications issued by the FAA pursuant to Parts 119 and 121 of Title 14 as currently in effect or as may be amended or recodified from time to time; and</w:t>
      </w:r>
    </w:p>
    <w:p>
      <w:pPr>
        <w:spacing w:after="0" w:line="152" w:lineRule="exact"/>
        <w:rPr>
          <w:rFonts w:ascii="Times New Roman" w:cs="Times New Roman" w:eastAsia="Times New Roman" w:hAnsi="Times New Roman"/>
          <w:sz w:val="22"/>
          <w:szCs w:val="22"/>
          <w:color w:val="auto"/>
        </w:rPr>
      </w:pPr>
    </w:p>
    <w:p>
      <w:pPr>
        <w:ind w:left="1300" w:right="300" w:firstLine="652"/>
        <w:spacing w:after="0" w:line="225" w:lineRule="auto"/>
        <w:tabs>
          <w:tab w:leader="none" w:pos="25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Eligible Spare Parts are included in the Collateral at any time, take or cause to be taken such actions to ensure that at all times the Pledged Spare Parts include all Spare Parts and Appliances then owned by the Borrower and its Subsidiaries (subject to the provisions of the Spare Parts Security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Collateral Ownership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500" w:firstLine="1296"/>
        <w:spacing w:after="0" w:line="257" w:lineRule="auto"/>
        <w:rPr>
          <w:sz w:val="20"/>
          <w:szCs w:val="20"/>
          <w:color w:val="auto"/>
        </w:rPr>
      </w:pPr>
      <w:r>
        <w:rPr>
          <w:rFonts w:ascii="Times New Roman" w:cs="Times New Roman" w:eastAsia="Times New Roman" w:hAnsi="Times New Roman"/>
          <w:sz w:val="22"/>
          <w:szCs w:val="22"/>
          <w:color w:val="auto"/>
        </w:rPr>
        <w:t>Subject to the provisions described (including the actions permitted) under Sections 6.01 and 6.06 hereof, the Borrower will continue to maintain its interest in and right to use all property and assets so long as such property and assets constitute Collateral, except as provided in Section 5.09.</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Borrower shall:</w:t>
      </w:r>
    </w:p>
    <w:p>
      <w:pPr>
        <w:spacing w:after="0" w:line="179" w:lineRule="exact"/>
        <w:rPr>
          <w:sz w:val="20"/>
          <w:szCs w:val="20"/>
          <w:color w:val="auto"/>
        </w:rPr>
      </w:pPr>
    </w:p>
    <w:p>
      <w:pPr>
        <w:ind w:left="1300" w:right="40" w:firstLine="652"/>
        <w:spacing w:after="0" w:line="217" w:lineRule="auto"/>
        <w:tabs>
          <w:tab w:leader="none" w:pos="259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all Collateral (other than the Mortgaged Collateral, as to which only the insurance provisions of the Aircraft and Spare Engine Mortgage shall be applicable, and Pledged Spare Parts, as to which only the insurance provisions of the Spare Parts Security Agreement shall be applicable) that is tangible property insured at all times, against such risks, including risks insured against by extended coverage, as is prudent and customary with U.S.-based companies of the same or similar size in the same or similar businesses;</w:t>
      </w:r>
    </w:p>
    <w:p>
      <w:pPr>
        <w:spacing w:after="0" w:line="152" w:lineRule="exact"/>
        <w:rPr>
          <w:rFonts w:ascii="Times New Roman" w:cs="Times New Roman" w:eastAsia="Times New Roman" w:hAnsi="Times New Roman"/>
          <w:sz w:val="22"/>
          <w:szCs w:val="22"/>
          <w:color w:val="auto"/>
        </w:rPr>
      </w:pPr>
    </w:p>
    <w:p>
      <w:pPr>
        <w:ind w:left="1300" w:firstLine="652"/>
        <w:spacing w:after="0" w:line="225" w:lineRule="auto"/>
        <w:tabs>
          <w:tab w:leader="none" w:pos="259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public liability insurance against claims for personal injury or death or property damage occurring upon, in, about or in connection with the use of the tangible Collateral (other than the Mortgaged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4" w:right="339" w:bottom="1440" w:gutter="0" w:footer="0" w:header="0"/>
        </w:sectPr>
      </w:pPr>
    </w:p>
    <w:bookmarkStart w:id="137" w:name="page138"/>
    <w:bookmarkEnd w:id="137"/>
    <w:p>
      <w:pPr>
        <w:ind w:left="1292" w:right="340"/>
        <w:spacing w:after="0" w:line="217" w:lineRule="auto"/>
        <w:rPr>
          <w:sz w:val="20"/>
          <w:szCs w:val="20"/>
          <w:color w:val="auto"/>
        </w:rPr>
      </w:pPr>
      <w:r>
        <w:rPr>
          <w:rFonts w:ascii="Times New Roman" w:cs="Times New Roman" w:eastAsia="Times New Roman" w:hAnsi="Times New Roman"/>
          <w:sz w:val="22"/>
          <w:szCs w:val="22"/>
          <w:color w:val="auto"/>
        </w:rPr>
        <w:t>Collateral, as to which only the insurance provisions of the Aircraft and Spare Engine Mortgage shall be applicable, and Pledged Spare Parts, as to which only the insurance provisions of the Spare Parts Security Agreement shall be applicable) owned, occupied or controlled by the Borrower, in such amounts and with such deductibles as are prudent and customary with U.S.-based companies of the same or similar size in the same or similar businesses and in the same geographic area;</w:t>
      </w:r>
    </w:p>
    <w:p>
      <w:pPr>
        <w:spacing w:after="0" w:line="152" w:lineRule="exact"/>
        <w:rPr>
          <w:sz w:val="20"/>
          <w:szCs w:val="20"/>
          <w:color w:val="auto"/>
        </w:rPr>
      </w:pPr>
    </w:p>
    <w:p>
      <w:pPr>
        <w:ind w:left="1292" w:right="180" w:firstLine="652"/>
        <w:spacing w:after="0" w:line="225" w:lineRule="auto"/>
        <w:tabs>
          <w:tab w:leader="none" w:pos="258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the Security Trustee as loss payee and name the Security Trustee, the Administrative Agent, the Lenders and the Issuing Lenders as additional insureds on the insurance certificate and broker’s letter of undertaking relating to each Pledged Aircraft, Pledged Engine or Pledged Spare Parts; and</w:t>
      </w:r>
    </w:p>
    <w:p>
      <w:pPr>
        <w:spacing w:after="0" w:line="152" w:lineRule="exact"/>
        <w:rPr>
          <w:rFonts w:ascii="Times New Roman" w:cs="Times New Roman" w:eastAsia="Times New Roman" w:hAnsi="Times New Roman"/>
          <w:sz w:val="22"/>
          <w:szCs w:val="22"/>
          <w:color w:val="auto"/>
        </w:rPr>
      </w:pPr>
    </w:p>
    <w:p>
      <w:pPr>
        <w:ind w:left="2592" w:hanging="648"/>
        <w:spacing w:after="0"/>
        <w:tabs>
          <w:tab w:leader="none" w:pos="259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such other insurance or self insurance as may be required by law.</w:t>
      </w:r>
    </w:p>
    <w:p>
      <w:pPr>
        <w:spacing w:after="0" w:line="17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Additional Collateral.</w:t>
      </w:r>
    </w:p>
    <w:p>
      <w:pPr>
        <w:spacing w:after="0" w:line="206" w:lineRule="exact"/>
        <w:rPr>
          <w:sz w:val="20"/>
          <w:szCs w:val="20"/>
          <w:color w:val="auto"/>
        </w:rPr>
      </w:pPr>
    </w:p>
    <w:p>
      <w:pPr>
        <w:ind w:left="-8" w:right="20" w:firstLine="656"/>
        <w:spacing w:after="0" w:line="259" w:lineRule="auto"/>
        <w:tabs>
          <w:tab w:leader="none" w:pos="128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desires or is required pursuant to the terms of this Agreement to add Additional Collateral, the Borrower shall, in each case at its own expense, (A) become a party to each applicable Collateral Document and all other agreements, instruments or documents that create or purport to create and perfect a first priority Lien (subject to Permitted Liens) in favor of the Security Trustee for the benefit of the Secured Parties applicable to such Collateral, by executing and delivering to the Administrative Agent all applicable Collateral Documents, in form and substance reasonably satisfactory to the Administrative Agent and the Security Trustee (it being understood that (i) in the case of Collateral consisting of Eligible Aircraft or Eligible Engines, the applicable Collateral Documents shall be an Aircraft and Spare Engine Mortgage, (ii) in the case of Collateral consisting of Eligible Spare Parts, the applicable Collateral Documents shall be the Spare Parts Security Agreement,</w:t>
      </w:r>
    </w:p>
    <w:p>
      <w:pPr>
        <w:spacing w:after="0" w:line="6" w:lineRule="exact"/>
        <w:rPr>
          <w:rFonts w:ascii="Times New Roman" w:cs="Times New Roman" w:eastAsia="Times New Roman" w:hAnsi="Times New Roman"/>
          <w:sz w:val="21"/>
          <w:szCs w:val="21"/>
          <w:color w:val="auto"/>
        </w:rPr>
      </w:pPr>
    </w:p>
    <w:p>
      <w:pPr>
        <w:ind w:left="-8" w:firstLine="8"/>
        <w:spacing w:after="0" w:line="246" w:lineRule="auto"/>
        <w:tabs>
          <w:tab w:leader="none" w:pos="37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Collateral consisting of Flight Simulators, the applicable Collateral Documents shall be the Flight Simulator Security Agreement, (iv) in the case of Collateral consisting of Eligible Ground Support Equipment, Eligible Receivables, cash or Cash Equivalents, the applicable Collateral Documents shall be the Receivables Security Agreement and any Account Control Agreement and (v) in the case of any other Additional Collateral of a type that has not been theretofore included in the Collateral, such Additional Collateral may be subject to such additional terms and conditions as may be required by the Administrative Agent acting on the instructions of all the Lenders), (B) promptly execute and deliver to the Administrative Agent and/or the Security Trustee such documents and take such actions to create, grant, establish, preserve and perfect the first priority Liens (subject to Permitted Liens) in favor of the Security Trustee for the benefit of the Secured Parties on such assets of the Borrower to secure the Obligations to the extent required under the applicable Collateral Documents or reasonably requested by the Administrative Agent or the Security Trustee, and to ensure that such Collateral shall be subject to no other Liens other than Permitted Liens and (C) if reasonably requested by the Administrative Agent, deliver to the Administrative Agent and the Security Trustee, for the benefit of the Secured Parties, a written opinion of counsel (which counsel shall be reasonably satisfactory to the Administrative Agent) to the Borrower with respect to the matters described in clauses (A) and (B) hereof, in each case no later than the earlier of (x) twenty (20) Business Days after the addition of such Collateral and (y) the date on which any Loan is to be made or Letter of Credit is to be issued after the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32"/>
          </w:cols>
          <w:pgMar w:left="328" w:top="1394" w:right="339" w:bottom="1440" w:gutter="0" w:footer="0" w:header="0"/>
        </w:sectPr>
      </w:pPr>
    </w:p>
    <w:bookmarkStart w:id="138" w:name="page139"/>
    <w:bookmarkEnd w:id="138"/>
    <w:p>
      <w:pPr>
        <w:ind w:right="340"/>
        <w:spacing w:after="0" w:line="256" w:lineRule="auto"/>
        <w:rPr>
          <w:sz w:val="20"/>
          <w:szCs w:val="20"/>
          <w:color w:val="auto"/>
        </w:rPr>
      </w:pPr>
      <w:r>
        <w:rPr>
          <w:rFonts w:ascii="Times New Roman" w:cs="Times New Roman" w:eastAsia="Times New Roman" w:hAnsi="Times New Roman"/>
          <w:sz w:val="22"/>
          <w:szCs w:val="22"/>
          <w:color w:val="auto"/>
        </w:rPr>
        <w:t>of such Collateral, and in form and substance reasonably satisfactory to the Administrative Agent and the Security Trustee; provided that in the case of Additional Collateral comprising Eligible Aircraft or Eligible Engines, the Borrower shall comply with Section 3.05(a) or Section 3.05(b) (as applicable) of the Aircraft and Spare Engine Mortgage and compliance with such provisions (as applicable) shall be deemed compliance with this Section 5.12 as to such Additional Collateral.</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Access to Books and Records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 w:firstLine="656"/>
        <w:spacing w:after="0" w:line="220" w:lineRule="auto"/>
        <w:tabs>
          <w:tab w:leader="none" w:pos="129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the Guarantor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w:t>
      </w:r>
    </w:p>
    <w:p>
      <w:pPr>
        <w:spacing w:after="0" w:line="152" w:lineRule="exact"/>
        <w:rPr>
          <w:rFonts w:ascii="Times New Roman" w:cs="Times New Roman" w:eastAsia="Times New Roman" w:hAnsi="Times New Roman"/>
          <w:sz w:val="22"/>
          <w:szCs w:val="22"/>
          <w:color w:val="auto"/>
        </w:rPr>
      </w:pPr>
    </w:p>
    <w:p>
      <w:pPr>
        <w:ind w:firstLine="656"/>
        <w:spacing w:after="0" w:line="222" w:lineRule="auto"/>
        <w:tabs>
          <w:tab w:leader="none" w:pos="1291"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and the Guarantor will permit, to the extent not prohibited by applicable law,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 to visit the properties of the Borrower and the Guarantor, to examine its books and records, and to discuss its affairs, finances and condition with its officers and independent accountants, all at such reasonable times during normal business hours, not more than once every twelve (12) months unless an Event of Default has occurred and is continuing, in which case such inspection right shall not be so limited;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Event of Default has occurred and is continuing, the Borrower and the Guarantor shall be responsible for the reasonable costs and expenses of any visits of the Administrative Agent and the Lenders, acting together (but not separately).</w:t>
      </w:r>
    </w:p>
    <w:p>
      <w:pPr>
        <w:spacing w:after="0" w:line="150" w:lineRule="exact"/>
        <w:rPr>
          <w:sz w:val="20"/>
          <w:szCs w:val="20"/>
          <w:color w:val="auto"/>
        </w:rPr>
      </w:pPr>
    </w:p>
    <w:p>
      <w:pPr>
        <w:ind w:right="3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Borrower and the Guarantor shall execute any and all further documents and instruments, and take all further actions, that may be required or advisable under applicable law, or by the FAA, or that the Administrative Agent may reasonably request, in order to create, grant, establish, preserve, protect and perfect the validity, perfection and priority of the Liens and security interests created or intended to be created by the Collateral Documents, to the extent required under this Agreement or the Collateral Documents.</w:t>
      </w:r>
    </w:p>
    <w:p>
      <w:pPr>
        <w:spacing w:after="0" w:line="152"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Notice of Change of Location</w:t>
      </w:r>
      <w:r>
        <w:rPr>
          <w:rFonts w:ascii="Times New Roman" w:cs="Times New Roman" w:eastAsia="Times New Roman" w:hAnsi="Times New Roman"/>
          <w:sz w:val="22"/>
          <w:szCs w:val="22"/>
          <w:color w:val="auto"/>
        </w:rPr>
        <w:t>. The Borrower will give the Agents timely written notice (but in any event within 30 days prior to the expiration of the period of time specified under applicable law to prevent lapse of perfection) of any change in its location (as such term is used in Section 9-307 of the UCC) or legal name and will promptly take any action required by the Collateral Documents as a result of such relocation.</w:t>
      </w:r>
    </w:p>
    <w:p>
      <w:pPr>
        <w:spacing w:after="0" w:line="152"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Collateral Perfection</w:t>
      </w:r>
      <w:r>
        <w:rPr>
          <w:rFonts w:ascii="Times New Roman" w:cs="Times New Roman" w:eastAsia="Times New Roman" w:hAnsi="Times New Roman"/>
          <w:sz w:val="22"/>
          <w:szCs w:val="22"/>
          <w:color w:val="auto"/>
        </w:rPr>
        <w:t>. The Borrower shall ensure that the Security Trustee, for the benefit of the Secured Parties shall hold a perfected, first priority Lien on all Collateral.</w:t>
      </w:r>
    </w:p>
    <w:p>
      <w:pPr>
        <w:spacing w:after="0" w:line="150" w:lineRule="exact"/>
        <w:rPr>
          <w:sz w:val="20"/>
          <w:szCs w:val="20"/>
          <w:color w:val="auto"/>
        </w:rPr>
      </w:pPr>
    </w:p>
    <w:p>
      <w:pPr>
        <w:ind w:right="3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KYC</w:t>
      </w:r>
      <w:r>
        <w:rPr>
          <w:rFonts w:ascii="Times New Roman" w:cs="Times New Roman" w:eastAsia="Times New Roman" w:hAnsi="Times New Roman"/>
          <w:sz w:val="22"/>
          <w:szCs w:val="22"/>
          <w:color w:val="auto"/>
        </w:rPr>
        <w:t>. The Borrower or the Guarantor shall provide (i) from time to time such documents as any Agent, any Lender or any Issuing Lender may reasonably request, in order to satisfy the applicable “know your customer” rules, guidelines, practices or policies observed by such Agent, Lender or Issuing Lender and (ii) if neither the Borrower nor the Guarantor is a public company, a Beneficial Ownership Certification in relation to the Borrower, the Guarantor and each Subsidiary that qualifies as a “legal entity customer” under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20"/>
          </w:cols>
          <w:pgMar w:left="320" w:top="1421" w:right="359" w:bottom="1440" w:gutter="0" w:footer="0" w:header="0"/>
        </w:sectPr>
      </w:pPr>
    </w:p>
    <w:bookmarkStart w:id="139" w:name="page140"/>
    <w:bookmarkEnd w:id="139"/>
    <w:p>
      <w:pPr>
        <w:ind w:left="4980"/>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From the Effective Date and for so long as the Commitments remain in effect, any Letter of Credit remains outstanding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spacing w:after="0" w:line="14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Disposition of Collateral</w:t>
      </w:r>
      <w:r>
        <w:rPr>
          <w:rFonts w:ascii="Times New Roman" w:cs="Times New Roman" w:eastAsia="Times New Roman" w:hAnsi="Times New Roman"/>
          <w:sz w:val="21"/>
          <w:szCs w:val="21"/>
          <w:color w:val="auto"/>
        </w:rPr>
        <w:t xml:space="preserve">. The Borrower shall not sell or otherwise Dispose of any Collateral except that such sale or other Disposition shall be permitted if (i) it is a Permitted Disposition and (ii) so long as, upon consummation of any such sale or other Disposition (A) no Event of Default shall have occurred and be continuing, (B) the Collateral Coverage Ratio is no less than 1.0 to 1.0 after giving effect to such sale or other Disposition (including any deposit of any Net Proceeds received upon consummation thereof in the Collateral Proceeds Account subject to an Account Control Agreement and any concurrent pledge of Additional Collateral, if any) and (C) the Borrower is in compliance with Section 5.09(4) after giving effect to such sale or other Disposition (including any pledge of Additional Collateral,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in this Section 6.01 is intended to excuse performance by the Borrower or the Guarantor of any requirement of any Collateral Document that would be applicable to a Disposition permitted hereunder. A Disposition of Collateral referred to in clause (d) of the definition of “Permitted Disposition” shall not result in the automatic release of such Collateral from the security interest of the applicable Collateral Document, and the Collateral subject to such Disposition shall continue to constitute Collateral for all purposes of the Loan Documents (without prejudice to the rights of the Borrower to release any such Collateral pursuant to Section 6.08(c)).</w:t>
      </w:r>
    </w:p>
    <w:p>
      <w:pPr>
        <w:spacing w:after="0" w:line="15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The Borrower will not, and will not permit any of its Subsidiaries to, directly or indirectly, create, incur, assume or suffer to exist any Lien of any kind on any property or asset that constitutes Collateral, except Permitted Liens.</w:t>
      </w:r>
    </w:p>
    <w:p>
      <w:pPr>
        <w:spacing w:after="0" w:line="135" w:lineRule="exact"/>
        <w:rPr>
          <w:sz w:val="20"/>
          <w:szCs w:val="20"/>
          <w:color w:val="auto"/>
        </w:rPr>
      </w:pPr>
    </w:p>
    <w:p>
      <w:pPr>
        <w:jc w:val="both"/>
        <w:ind w:right="3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The Borrower will not, and will not permit any of its Subsidiaries to, engage in any business other than Permitted Businesses, except to such extent as would not be material to the Borrower and its Subsidiaries taken as a whole.</w:t>
      </w:r>
    </w:p>
    <w:p>
      <w:pPr>
        <w:spacing w:after="0" w:line="152"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The Borrower will not permit the aggregate amount of Liquidity to be less than $55,000,000 as of the end of any Business Day following the Effective Date.</w:t>
      </w:r>
    </w:p>
    <w:p>
      <w:pPr>
        <w:spacing w:after="0" w:line="15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Minimum EBITDAR</w:t>
      </w:r>
      <w:r>
        <w:rPr>
          <w:rFonts w:ascii="Times New Roman" w:cs="Times New Roman" w:eastAsia="Times New Roman" w:hAnsi="Times New Roman"/>
          <w:sz w:val="21"/>
          <w:szCs w:val="21"/>
          <w:color w:val="auto"/>
        </w:rPr>
        <w:t>. The Borrower will not permit the EBITDAR for any Test Period (beginning with the Test Period ending on the last day of the first full fiscal quarter ending after the Effective Date) to be less than $110,000,000.</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Merger, Consolidation, or Sale of Assets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the Guarantor shall directly or indirectly: (i) consolidate or merge with or into another Person (whether or not the Borrower or Guarantor, as the case may be, is the surviving corporation) or (ii) sell, assign, transfer, convey or otherwise dispose of all or substantially all of the properties or assets of the Borrower or the Guarantor, as the case may be, and its Subsidiaries taken as a whole, in one or more related transactions, to another Person,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0" w:right="339" w:bottom="1440" w:gutter="0" w:footer="0" w:header="0"/>
        </w:sectPr>
      </w:pPr>
    </w:p>
    <w:bookmarkStart w:id="140" w:name="page141"/>
    <w:bookmarkEnd w:id="140"/>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179" w:lineRule="exact"/>
        <w:rPr>
          <w:rFonts w:ascii="Times New Roman" w:cs="Times New Roman" w:eastAsia="Times New Roman" w:hAnsi="Times New Roman"/>
          <w:sz w:val="22"/>
          <w:szCs w:val="22"/>
          <w:color w:val="auto"/>
        </w:rPr>
      </w:pPr>
    </w:p>
    <w:p>
      <w:pPr>
        <w:ind w:left="2580" w:hanging="709"/>
        <w:spacing w:after="0"/>
        <w:tabs>
          <w:tab w:leader="none" w:pos="25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the Guarantor, as the case may be, is the surviving corporation; or</w:t>
      </w:r>
    </w:p>
    <w:p>
      <w:pPr>
        <w:spacing w:after="0" w:line="179" w:lineRule="exact"/>
        <w:rPr>
          <w:rFonts w:ascii="Times New Roman" w:cs="Times New Roman" w:eastAsia="Times New Roman" w:hAnsi="Times New Roman"/>
          <w:sz w:val="22"/>
          <w:szCs w:val="22"/>
          <w:color w:val="auto"/>
        </w:rPr>
      </w:pPr>
    </w:p>
    <w:p>
      <w:pPr>
        <w:ind w:left="1880" w:hanging="9"/>
        <w:spacing w:after="0" w:line="217" w:lineRule="auto"/>
        <w:tabs>
          <w:tab w:leader="none" w:pos="26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Borrower or the Guarantor, as the case may be) or to which such sale, assignment, transfer, conveyance or other disposition has been made is an entity organized or existing under the laws of the United States, any state of the United States or the District of Columbia; and, if such entity is not a corporation, a co-obligor of the Loans is a corporation organized or existing under any such laws;</w:t>
      </w:r>
    </w:p>
    <w:p>
      <w:pPr>
        <w:spacing w:after="0" w:line="152" w:lineRule="exact"/>
        <w:rPr>
          <w:rFonts w:ascii="Times New Roman" w:cs="Times New Roman" w:eastAsia="Times New Roman" w:hAnsi="Times New Roman"/>
          <w:sz w:val="22"/>
          <w:szCs w:val="22"/>
          <w:color w:val="auto"/>
        </w:rPr>
      </w:pPr>
    </w:p>
    <w:p>
      <w:pPr>
        <w:ind w:left="1300" w:right="20" w:firstLine="4"/>
        <w:spacing w:after="0" w:line="220" w:lineRule="auto"/>
        <w:tabs>
          <w:tab w:leader="none" w:pos="19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formed by or surviving any such consolidation or merger (if other than the Borrower or the Guarantor, as the case may be) or the Person to which such sale, assignment, transfer, conveyance or other disposition has been made assumes all the obligations of the Borrower or the Guarantor, as the case may be, under the Loan Documents pursuant to agreements reasonably satisfactory to the Administrative Agent;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such transaction, no Event of Default exists; and</w:t>
      </w:r>
    </w:p>
    <w:p>
      <w:pPr>
        <w:spacing w:after="0" w:line="179" w:lineRule="exact"/>
        <w:rPr>
          <w:rFonts w:ascii="Times New Roman" w:cs="Times New Roman" w:eastAsia="Times New Roman" w:hAnsi="Times New Roman"/>
          <w:sz w:val="22"/>
          <w:szCs w:val="22"/>
          <w:color w:val="auto"/>
        </w:rPr>
      </w:pPr>
    </w:p>
    <w:p>
      <w:pPr>
        <w:ind w:left="1300" w:right="340" w:firstLine="4"/>
        <w:spacing w:after="0" w:line="236" w:lineRule="auto"/>
        <w:tabs>
          <w:tab w:leader="none" w:pos="194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delivered to the Administrative Agent an Officer’s Certificate stating that such consolidation, merger or transfer complies with this Agreement.</w:t>
      </w:r>
    </w:p>
    <w:p>
      <w:pPr>
        <w:spacing w:after="0" w:line="177" w:lineRule="exact"/>
        <w:rPr>
          <w:sz w:val="20"/>
          <w:szCs w:val="20"/>
          <w:color w:val="auto"/>
        </w:rPr>
      </w:pPr>
    </w:p>
    <w:p>
      <w:pPr>
        <w:ind w:right="180" w:firstLine="1296"/>
        <w:spacing w:after="0" w:line="271" w:lineRule="auto"/>
        <w:rPr>
          <w:sz w:val="20"/>
          <w:szCs w:val="20"/>
          <w:color w:val="auto"/>
        </w:rPr>
      </w:pPr>
      <w:r>
        <w:rPr>
          <w:rFonts w:ascii="Times New Roman" w:cs="Times New Roman" w:eastAsia="Times New Roman" w:hAnsi="Times New Roman"/>
          <w:sz w:val="22"/>
          <w:szCs w:val="22"/>
          <w:color w:val="auto"/>
        </w:rPr>
        <w:t>In addition, neither the Borrower nor the Guarantor will, directly or indirectly, lease all or substantially all of the properties and assets of it and its Subsidiaries taken as a whole, in one or more related transactions, to any other Person.</w:t>
      </w:r>
    </w:p>
    <w:p>
      <w:pPr>
        <w:spacing w:after="0" w:line="131" w:lineRule="exact"/>
        <w:rPr>
          <w:sz w:val="20"/>
          <w:szCs w:val="20"/>
          <w:color w:val="auto"/>
        </w:rPr>
      </w:pPr>
    </w:p>
    <w:p>
      <w:pPr>
        <w:ind w:right="320" w:firstLine="656"/>
        <w:spacing w:after="0" w:line="236" w:lineRule="auto"/>
        <w:tabs>
          <w:tab w:leader="none" w:pos="129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6.06(a) will not apply to any sale, assignment, transfer, conveyance, lease or other disposition of assets between or among the Borrower and/or the Guarantor.</w:t>
      </w:r>
    </w:p>
    <w:p>
      <w:pPr>
        <w:spacing w:after="0" w:line="150" w:lineRule="exact"/>
        <w:rPr>
          <w:rFonts w:ascii="Times New Roman" w:cs="Times New Roman" w:eastAsia="Times New Roman" w:hAnsi="Times New Roman"/>
          <w:sz w:val="22"/>
          <w:szCs w:val="22"/>
          <w:color w:val="auto"/>
        </w:rPr>
      </w:pPr>
    </w:p>
    <w:p>
      <w:pPr>
        <w:ind w:firstLine="656"/>
        <w:spacing w:after="0" w:line="209" w:lineRule="auto"/>
        <w:tabs>
          <w:tab w:leader="none" w:pos="129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consolidation or merger, or any sale, assignment, transfer, lease, conveyance or other disposition of all or substantially all of the properties or assets of the Borrower or the Guarantor, as the case may be, in a transaction that is subject to, and that complies with the provisions of, Section 6.06(a), the successor Person formed by such consolidation or into or with which the Borrower or the Guarantor, as the case may be,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the Borrower or the Guarantor, as the case may be, shall refer instead to the successor Person and not to the Borrower or the Guarantor, as the case may be), and may exercise every right and power of the Borrower or the Guarantor, as the case may be, under this Agreement with the same effect as if such successor Person had been named as the Borrower or the Guarantor, as the case may be,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if applicable, shall not be relieved from the obligation to pay the principal of, and interest, if any, on the Loan except in the case of a sale of all of the Borrower’s assets in a transaction that is subject to, and that complies with the provisions of, Section 6.06(a) hereof. In connection with any transfer under this clause (c), such successor Person shall provide all documentation and other information as any Agent, any Lender or any Issuing Lender may reasonably request, in order to satisfy the applicable “know your customer” rules, guidelines, practices or policies observed by such Agent, Lender or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00"/>
          </w:cols>
          <w:pgMar w:left="320" w:top="1394" w:right="379" w:bottom="1440" w:gutter="0" w:footer="0" w:header="0"/>
        </w:sectPr>
      </w:pPr>
    </w:p>
    <w:bookmarkStart w:id="141" w:name="page142"/>
    <w:bookmarkEnd w:id="141"/>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not use, and will not permit any of its Subsidiaries to use, the proceeds of any Borrowing or any Letter of Credit (A) in violation of any applicable Anti-Corruption Laws, (B) for the purpose of funding, financing or facilitating any activities, business or transaction of or with any Sanctioned Person, or in any Sanctioned Country (in any case, in violation of applicable Sanctions), or (C) in any other manner that would constitute or give rise to a violation of any Sanctions applicable to the Borrower or any of its Subsidiaries.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56"/>
        <w:spacing w:after="0" w:line="217" w:lineRule="auto"/>
        <w:tabs>
          <w:tab w:leader="none" w:pos="129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not permit at any time following the Effective Date the Collateral Coverage Ratio to be less than 1.0 to 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upon delivery of an Appraisal pursuant to Section 5.07(a) or otherwise pursuant to this Agreement (except pursuant to Section 5.07(a)(2) or any Appraisal delivered to the Administrative Agent in connection with the designation of Additional Collateral solely to evidence compliance with the requirements of this Section 6.08(a)) and (B) solely with respect to determining compliance with this Section as a result thereof (and not as a result of any breach of Section 6.01), it is determined that the Borrower shall not be in compliance with this Section 6.08(a), the Borrower shall, within forty-five (45) days (or, in the case of an Appraisal delivered pursuant to Section 5.07(a)(4) within thirty (30) days) of the date of such Appraisal (or, in the case of an Appraisal required under Section 5.07(a)(1) or 5.07(a)(4) not delivered by the deadline thereunder, the date such Appraisal was due thereunder) designate Additional Collateral as additional Eligible Collateral and comply with Section</w:t>
      </w:r>
    </w:p>
    <w:p>
      <w:pPr>
        <w:spacing w:after="0" w:line="2" w:lineRule="exact"/>
        <w:rPr>
          <w:rFonts w:ascii="Times New Roman" w:cs="Times New Roman" w:eastAsia="Times New Roman" w:hAnsi="Times New Roman"/>
          <w:sz w:val="21"/>
          <w:szCs w:val="21"/>
          <w:color w:val="auto"/>
        </w:rPr>
      </w:pPr>
    </w:p>
    <w:p>
      <w:pPr>
        <w:ind w:right="2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5.12 and/or prepay or cause to be prepaid the Loans in accordance with Section 2.10(b), collectively, in an amount sufficient to enable the Borrower to comply with this Section 6.08(a).</w:t>
      </w:r>
    </w:p>
    <w:p>
      <w:pPr>
        <w:spacing w:after="0" w:line="149" w:lineRule="exact"/>
        <w:rPr>
          <w:rFonts w:ascii="Times New Roman" w:cs="Times New Roman" w:eastAsia="Times New Roman" w:hAnsi="Times New Roman"/>
          <w:sz w:val="21"/>
          <w:szCs w:val="21"/>
          <w:color w:val="auto"/>
        </w:rPr>
      </w:pPr>
    </w:p>
    <w:p>
      <w:pPr>
        <w:ind w:firstLine="656"/>
        <w:spacing w:after="0" w:line="208"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if the Borrower shall fail at any time to be in compliance with this Section 6.08 solely as a result of damage to or loss of any Collateral covered by insurance (pursuant to which the Administrative Agent is named as loss payee and with respect to which payments are to be delivered directly to the Administrative Agent) for which the insurer thereof has been notified of the relevant claim and has not challenged such coverage, any calculation made pursuant to this Section 6.08 shall deem the Borrower to have received Net Proceeds (and to have taken all steps necessary to have pledged such Net Proceeds as Additional Collateral) in an amount equal to the expected coverage amount (as determined by the Borrower in good faith and updated from time to time to reflect any agreements reached with the applicable insurer) and net of any amounts required to be paid out of such proceeds and secured by a Lien until the earliest of (i) the date any such Net Proceeds are actually received by the Administrative Agent, (ii) the date that is 270 days after such damage and (iii) the date on which any such insurer denies such claim;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prior to giving effect to this clause (b), (x) the aggregate Appraised Value of all Specified Collateral, plus (y) the aggregate Certified Value of all of the Pledged Receivables plus (z) the Pledged Cash and Cash Equivalents, shall be no less than 150% of the Total Obligations. It is understood and agreed that if the Security Trustee should receive any Net Proceeds directly from the insurer in respect of a Recovery Event and at the time of such receipt, (A) no Event of Default shall have occurred and be continuing and the Borrower is in compliance with Section 6.08(a) (without giving effect to the receipt of such Net Proceeds), the Security Trustee shall promptly cause such proceeds to be paid to the Borrower and (B) an Event of Default shall have occurred and be continuing or the Borrower fails to be in compliance with Section 6.08(a) (without giving effect to the receipt of such Net Proceeds), the Security Trustee shall promptly cause such proceeds to be deposited into the Collateral Proceeds Account maintained for such purpose with the Security Trustee that is subject to an Account Control Agreement and such proceeds shall be applied or released from such account in accordance with Section 2.10(a).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4" w:right="339" w:bottom="1440" w:gutter="0" w:footer="0" w:header="0"/>
        </w:sectPr>
      </w:pPr>
    </w:p>
    <w:bookmarkStart w:id="142" w:name="page143"/>
    <w:bookmarkEnd w:id="142"/>
    <w:p>
      <w:pPr>
        <w:ind w:right="340" w:firstLine="656"/>
        <w:spacing w:after="0" w:line="211" w:lineRule="auto"/>
        <w:tabs>
          <w:tab w:leader="none" w:pos="129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Borrower’s request, the Lien on any asset or type or category of asset (including after-acquired assets of that type or category) included in the Collateral will be promptly released,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that the following conditions are satisfied or waived: (A) no Event of Default shall have occurred and be continuing, (B) either (x) after giving effect to such release, the Collateral Coverage Ratio is not less than 1.0 to 1.0 or (y) the Borrower shall prepay or cause to be prepaid the Loans and/or shall designate Additional Collateral and comply with Section 5.12, collectively, in an amount necessary to cause the Collateral Coverage Ratio to not be less than 1.0 to 1.0, and (C) the Borrower shall deliver an Officer’s Certificate demonstrating compliance with this Section 6.08(c) and Section 5.09(4) following such release. In connection herewith, the Security Trustee agrees to promptly provide any documents or releases reasonably requested by the Borrower to evidence such release.</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1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8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In the case of the happening of any of the following events and the continuance thereof beyond the applicable grace period if any (each,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656"/>
        <w:spacing w:after="0" w:line="220"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Borrower or the Guarantor in this Agreement or in any other Loan Document shall prove to have been false or incorrect in any material respect when made and such representation, to the extent capable of being corrected, is not corrected within sixty (60) days after receipt by the Borrower of notice from the Administrative Agent of such default; or</w:t>
      </w:r>
    </w:p>
    <w:p>
      <w:pPr>
        <w:spacing w:after="0" w:line="152" w:lineRule="exact"/>
        <w:rPr>
          <w:rFonts w:ascii="Times New Roman" w:cs="Times New Roman" w:eastAsia="Times New Roman" w:hAnsi="Times New Roman"/>
          <w:sz w:val="22"/>
          <w:szCs w:val="22"/>
          <w:color w:val="auto"/>
        </w:rPr>
      </w:pPr>
    </w:p>
    <w:p>
      <w:pPr>
        <w:ind w:right="380" w:firstLine="656"/>
        <w:spacing w:after="0" w:line="227" w:lineRule="auto"/>
        <w:tabs>
          <w:tab w:leader="none" w:pos="129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153" w:lineRule="exact"/>
        <w:rPr>
          <w:rFonts w:ascii="Times New Roman" w:cs="Times New Roman" w:eastAsia="Times New Roman" w:hAnsi="Times New Roman"/>
          <w:sz w:val="21"/>
          <w:szCs w:val="21"/>
          <w:color w:val="auto"/>
        </w:rPr>
      </w:pPr>
    </w:p>
    <w:p>
      <w:pPr>
        <w:ind w:right="100" w:firstLine="656"/>
        <w:spacing w:after="0" w:line="236"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shall be made by the Borrower in the due observance of the covenants contained in </w:t>
      </w:r>
      <w:r>
        <w:rPr>
          <w:rFonts w:ascii="Times New Roman" w:cs="Times New Roman" w:eastAsia="Times New Roman" w:hAnsi="Times New Roman"/>
          <w:sz w:val="22"/>
          <w:szCs w:val="22"/>
          <w:u w:val="single" w:color="auto"/>
          <w:color w:val="auto"/>
        </w:rPr>
        <w:t>Sections 5.01(g)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6.08</w:t>
      </w:r>
      <w:r>
        <w:rPr>
          <w:rFonts w:ascii="Times New Roman" w:cs="Times New Roman" w:eastAsia="Times New Roman" w:hAnsi="Times New Roman"/>
          <w:sz w:val="22"/>
          <w:szCs w:val="22"/>
          <w:color w:val="auto"/>
        </w:rPr>
        <w:t xml:space="preserve"> hereof; or</w:t>
      </w:r>
    </w:p>
    <w:p>
      <w:pPr>
        <w:spacing w:after="0" w:line="150"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shall be made by the Borrower or any Subsidiary of the Borrower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52" w:lineRule="exact"/>
        <w:rPr>
          <w:rFonts w:ascii="Times New Roman" w:cs="Times New Roman" w:eastAsia="Times New Roman" w:hAnsi="Times New Roman"/>
          <w:sz w:val="22"/>
          <w:szCs w:val="22"/>
          <w:color w:val="auto"/>
        </w:rPr>
      </w:pPr>
    </w:p>
    <w:p>
      <w:pPr>
        <w:ind w:firstLine="656"/>
        <w:spacing w:after="0" w:line="212"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material provision of any Loan Document to which the Borrower or the Guarantor is a party ceases to be a valid and binding obligation of the Borrower or the Guarantor for a period of five (5) consecutive Business Days after the Borrower receives written notice thereof from the Administrative Agent, or the Borrower or the Guarantor shall so assert in any pleading filed in any court or (B) the Lien on any material portion of the Collateral intended to be created by the Loan Documents shall cease to be or shall not be a valid and perfected Lien having the priorities contemplated hereby or thereby (subject to Permitted Liens and except as permitted by the terms of this Agreement or the Collateral Documents or other than as a result of the action, delay or inaction of the Administrative Agent or the Security Trustee) for a period of fifteen (15) consecutive days after the Borrower receives written notice thereof from the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20"/>
          </w:cols>
          <w:pgMar w:left="320" w:top="1394" w:right="359" w:bottom="1440" w:gutter="0" w:footer="0" w:header="0"/>
        </w:sectPr>
      </w:pPr>
    </w:p>
    <w:bookmarkStart w:id="143" w:name="page144"/>
    <w:bookmarkEnd w:id="143"/>
    <w:p>
      <w:pPr>
        <w:ind w:left="-220" w:right="220" w:firstLine="656"/>
        <w:spacing w:after="0" w:line="236" w:lineRule="auto"/>
        <w:tabs>
          <w:tab w:leader="none" w:pos="107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any Significant Subsidiary or any group of Subsidiaries of the Borrower that, taken together, would constitute a Significant Subsidiary pursuant to or within the meaning of Bankruptcy Law:</w:t>
      </w:r>
    </w:p>
    <w:p>
      <w:pPr>
        <w:spacing w:after="0" w:line="150"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all or substantially all of its property,</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 or</w:t>
      </w:r>
    </w:p>
    <w:p>
      <w:pPr>
        <w:spacing w:after="0" w:line="179"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in writing its inability generally to pay its debts; or</w:t>
      </w:r>
    </w:p>
    <w:p>
      <w:pPr>
        <w:spacing w:after="0" w:line="179" w:lineRule="exact"/>
        <w:rPr>
          <w:rFonts w:ascii="Times New Roman" w:cs="Times New Roman" w:eastAsia="Times New Roman" w:hAnsi="Times New Roman"/>
          <w:sz w:val="22"/>
          <w:szCs w:val="22"/>
          <w:color w:val="auto"/>
        </w:rPr>
      </w:pPr>
    </w:p>
    <w:p>
      <w:pPr>
        <w:ind w:left="1080" w:hanging="644"/>
        <w:spacing w:after="0"/>
        <w:tabs>
          <w:tab w:leader="none" w:pos="108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179" w:lineRule="exact"/>
        <w:rPr>
          <w:rFonts w:ascii="Times New Roman" w:cs="Times New Roman" w:eastAsia="Times New Roman" w:hAnsi="Times New Roman"/>
          <w:sz w:val="22"/>
          <w:szCs w:val="22"/>
          <w:color w:val="auto"/>
        </w:rPr>
      </w:pPr>
    </w:p>
    <w:p>
      <w:pPr>
        <w:ind w:left="1080" w:right="60" w:firstLine="652"/>
        <w:spacing w:after="0" w:line="255" w:lineRule="auto"/>
        <w:tabs>
          <w:tab w:leader="none" w:pos="2371"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for relief against the Borrower, the Guarantor, any Significant Subsidiary or any group of Subsidiaries of the Borrower that, taken together, would constitute a Significant Subsidiary in an involuntary case;</w:t>
      </w:r>
    </w:p>
    <w:p>
      <w:pPr>
        <w:spacing w:after="0" w:line="134" w:lineRule="exact"/>
        <w:rPr>
          <w:rFonts w:ascii="Times New Roman" w:cs="Times New Roman" w:eastAsia="Times New Roman" w:hAnsi="Times New Roman"/>
          <w:sz w:val="21"/>
          <w:szCs w:val="21"/>
          <w:color w:val="auto"/>
        </w:rPr>
      </w:pPr>
    </w:p>
    <w:p>
      <w:pPr>
        <w:ind w:left="1080" w:right="360" w:firstLine="652"/>
        <w:spacing w:after="0" w:line="220" w:lineRule="auto"/>
        <w:tabs>
          <w:tab w:leader="none" w:pos="237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Borrower, the Guarantor, any Significant Subsidiary or any group of Subsidiaries of the Borrower that, taken together, would constitute a Significant Subsidiary or for all or substantially all of the property of the Borrower, any Significant Subsidiary or any group of Subsidiaries of the Borrower that, taken together, would constitute a Significant Subsidiary; or</w:t>
      </w:r>
    </w:p>
    <w:p>
      <w:pPr>
        <w:spacing w:after="0" w:line="152" w:lineRule="exact"/>
        <w:rPr>
          <w:rFonts w:ascii="Times New Roman" w:cs="Times New Roman" w:eastAsia="Times New Roman" w:hAnsi="Times New Roman"/>
          <w:sz w:val="22"/>
          <w:szCs w:val="22"/>
          <w:color w:val="auto"/>
        </w:rPr>
      </w:pPr>
    </w:p>
    <w:p>
      <w:pPr>
        <w:ind w:left="1080" w:right="280" w:firstLine="652"/>
        <w:spacing w:after="0" w:line="236" w:lineRule="auto"/>
        <w:tabs>
          <w:tab w:leader="none" w:pos="2371"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liquidation of the Borrower, the Guarantor, any Significant Subsidiary or any group of Subsidiaries of the Borrower that, taken together, would constitute a Significant Subsidiary;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sixty (60) consecutive days; or</w:t>
      </w:r>
    </w:p>
    <w:p>
      <w:pPr>
        <w:spacing w:after="0" w:line="193" w:lineRule="exact"/>
        <w:rPr>
          <w:sz w:val="20"/>
          <w:szCs w:val="20"/>
          <w:color w:val="auto"/>
        </w:rPr>
      </w:pPr>
    </w:p>
    <w:p>
      <w:pPr>
        <w:ind w:left="-220" w:right="40" w:firstLine="656"/>
        <w:spacing w:after="0" w:line="215" w:lineRule="auto"/>
        <w:tabs>
          <w:tab w:leader="none" w:pos="107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Borrower, the Guarantor or any of the Borrower’s Subsidiaries to pay final judgments entered by a court or courts of competent jurisdiction aggregating in excess of, in the case of the Borrower or any of the Borrower’s Subsidiaries, $50,000,000 or, in the case of the Guarantor, $75,000,000 (in each case determined net of amounts covered by insurance policies issued by creditworthy insurance companies (and as to which the applicable insurance company has not denied coverage) or by third party indemnities or a combination thereof), which judgments are not paid, discharged, bonded, satisfied or stayed for a period of sixty (60) days; or</w:t>
      </w:r>
    </w:p>
    <w:p>
      <w:pPr>
        <w:spacing w:after="0" w:line="152" w:lineRule="exact"/>
        <w:rPr>
          <w:rFonts w:ascii="Times New Roman" w:cs="Times New Roman" w:eastAsia="Times New Roman" w:hAnsi="Times New Roman"/>
          <w:sz w:val="22"/>
          <w:szCs w:val="22"/>
          <w:color w:val="auto"/>
        </w:rPr>
      </w:pPr>
    </w:p>
    <w:p>
      <w:pPr>
        <w:ind w:left="-220" w:firstLine="656"/>
        <w:spacing w:after="0" w:line="225" w:lineRule="auto"/>
        <w:tabs>
          <w:tab w:leader="none" w:pos="106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Borrower or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be permitted to cause such Material Indebtedness to become due prior to its scheduled final maturity date, and such ability to cause such Material Indebtedness to become due shall be continuing for a period of more than sixty (60) consecutive days, (2) the Borrower or the Guarantor shall default in the performance of any obligation relating to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020"/>
          </w:cols>
          <w:pgMar w:left="540" w:top="1394" w:right="339" w:bottom="1440" w:gutter="0" w:footer="0" w:header="0"/>
        </w:sectPr>
      </w:pPr>
    </w:p>
    <w:bookmarkStart w:id="144" w:name="page145"/>
    <w:bookmarkEnd w:id="144"/>
    <w:p>
      <w:pPr>
        <w:spacing w:after="0" w:line="222" w:lineRule="auto"/>
        <w:rPr>
          <w:sz w:val="20"/>
          <w:szCs w:val="20"/>
          <w:color w:val="auto"/>
        </w:rPr>
      </w:pPr>
      <w:r>
        <w:rPr>
          <w:rFonts w:ascii="Times New Roman" w:cs="Times New Roman" w:eastAsia="Times New Roman" w:hAnsi="Times New Roman"/>
          <w:sz w:val="21"/>
          <w:szCs w:val="21"/>
          <w:color w:val="auto"/>
        </w:rPr>
        <w:t>of the Borrower or the Guarantor (other than the Loans and obligations relating to Letters of Credit) outstanding under one or more agreements of the Borrower or the Guarantor that results in such Indebtedness coming due prior to its scheduled final maturity date in an aggregate principal amount at any single time unpaid exceeding, in the case of the Borrower, $50,000,000 or, in the case of the Guarantor, $75,000,000 or (3) the Borrower or the Guarantor shall default in the payment of the outstanding principal amount due on the scheduled final maturity date of any Indebtedness outstanding under one or more agreements of the Borrower or the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in an aggregate principal amount at any single time unpaid exceeding, in the case of the Borrower, $50,000,000 or, in the case of the Guarantor, $75,000,000,</w:t>
      </w:r>
    </w:p>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2"/>
          <w:szCs w:val="22"/>
          <w:color w:val="auto"/>
        </w:rPr>
        <w:t>then, and in every such event and at any time thereafter during the continuance of such event, the Administrative Agent at the direction of the Required Lenders shall, by written notice to the Borrower, take one or more of the following actions, at the same or different times:</w:t>
      </w:r>
    </w:p>
    <w:p>
      <w:pPr>
        <w:spacing w:after="0" w:line="186" w:lineRule="exact"/>
        <w:rPr>
          <w:sz w:val="20"/>
          <w:szCs w:val="20"/>
          <w:color w:val="auto"/>
        </w:rPr>
      </w:pPr>
    </w:p>
    <w:p>
      <w:pPr>
        <w:ind w:left="920" w:hanging="480"/>
        <w:spacing w:after="0"/>
        <w:tabs>
          <w:tab w:leader="none" w:pos="9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forthwith the Commitments;</w:t>
      </w:r>
    </w:p>
    <w:p>
      <w:pPr>
        <w:spacing w:after="0" w:line="219" w:lineRule="exact"/>
        <w:rPr>
          <w:rFonts w:ascii="Times New Roman" w:cs="Times New Roman" w:eastAsia="Times New Roman" w:hAnsi="Times New Roman"/>
          <w:sz w:val="22"/>
          <w:szCs w:val="22"/>
          <w:color w:val="auto"/>
        </w:rPr>
      </w:pPr>
    </w:p>
    <w:p>
      <w:pPr>
        <w:ind w:left="660" w:firstLine="644"/>
        <w:spacing w:after="0" w:line="251" w:lineRule="auto"/>
        <w:tabs>
          <w:tab w:leader="none" w:pos="184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 anything contained herein or in any other Loan Document to the contrary notwithstanding;</w:t>
      </w:r>
    </w:p>
    <w:p>
      <w:pPr>
        <w:spacing w:after="0" w:line="181" w:lineRule="exact"/>
        <w:rPr>
          <w:rFonts w:ascii="Times New Roman" w:cs="Times New Roman" w:eastAsia="Times New Roman" w:hAnsi="Times New Roman"/>
          <w:sz w:val="22"/>
          <w:szCs w:val="22"/>
          <w:color w:val="auto"/>
        </w:rPr>
      </w:pPr>
    </w:p>
    <w:p>
      <w:pPr>
        <w:ind w:left="660" w:right="240" w:firstLine="644"/>
        <w:spacing w:after="0" w:line="253" w:lineRule="auto"/>
        <w:tabs>
          <w:tab w:leader="none" w:pos="190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Borrower and the Guarantor promptly upon written demand to deposit in the Letter of Credit Account Cash Collateralization for the LC Exposure (and to the extent the Borrower and the Guarantor shall fail to furnish such funds as demanded by the Administrative Agent, the Administrative Agent shall be authorized to debit the accounts of the Borrower and the Guarantor (other than Escrow Accounts, Payroll Accounts or other accounts held in trust for an identified beneficiary) maintained with the Administrative Agent in such amounts);</w:t>
      </w:r>
    </w:p>
    <w:p>
      <w:pPr>
        <w:spacing w:after="0" w:line="178" w:lineRule="exact"/>
        <w:rPr>
          <w:rFonts w:ascii="Times New Roman" w:cs="Times New Roman" w:eastAsia="Times New Roman" w:hAnsi="Times New Roman"/>
          <w:sz w:val="22"/>
          <w:szCs w:val="22"/>
          <w:color w:val="auto"/>
        </w:rPr>
      </w:pPr>
    </w:p>
    <w:p>
      <w:pPr>
        <w:jc w:val="both"/>
        <w:ind w:left="660" w:right="60" w:firstLine="644"/>
        <w:spacing w:after="0" w:line="252" w:lineRule="auto"/>
        <w:tabs>
          <w:tab w:leader="none" w:pos="189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Security Trustee to set-off amounts in the Letter of Credit Account or any other accounts (other than Escrow Accounts, Payroll Accounts or other accounts held in trust for an identified beneficiary) maintained with the Security Trustee (or any of its affiliates) and apply such amounts to the obligations of the Borrower and the Guarantor hereunder and in the other Loan Documents; and</w:t>
      </w:r>
    </w:p>
    <w:p>
      <w:pPr>
        <w:spacing w:after="0" w:line="192" w:lineRule="exact"/>
        <w:rPr>
          <w:rFonts w:ascii="Times New Roman" w:cs="Times New Roman" w:eastAsia="Times New Roman" w:hAnsi="Times New Roman"/>
          <w:sz w:val="22"/>
          <w:szCs w:val="22"/>
          <w:color w:val="auto"/>
        </w:rPr>
      </w:pPr>
    </w:p>
    <w:p>
      <w:pPr>
        <w:ind w:left="660" w:right="260" w:firstLine="644"/>
        <w:spacing w:after="0" w:line="271" w:lineRule="auto"/>
        <w:tabs>
          <w:tab w:leader="none" w:pos="183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or instruct the Security Trustee to exercise, any and all remedies under the Loan Documents and under applicable law available to the Administrative Agent, the Security Trustee and the Lenders.</w:t>
      </w:r>
    </w:p>
    <w:p>
      <w:pPr>
        <w:spacing w:after="0" w:line="15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In case of any event with respect to the Borrower, any Significant Subsidiary or any group of Subsidiaries that, taken together, would constitute a Significant Subsidiary described in clause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00"/>
          </w:cols>
          <w:pgMar w:left="320" w:top="1394" w:right="379" w:bottom="1440" w:gutter="0" w:footer="0" w:header="0"/>
        </w:sectPr>
      </w:pPr>
    </w:p>
    <w:bookmarkStart w:id="145" w:name="page146"/>
    <w:bookmarkEnd w:id="145"/>
    <w:p>
      <w:pPr>
        <w:ind w:right="60"/>
        <w:spacing w:after="0" w:line="275" w:lineRule="auto"/>
        <w:rPr>
          <w:sz w:val="20"/>
          <w:szCs w:val="20"/>
          <w:color w:val="auto"/>
        </w:rPr>
      </w:pPr>
      <w:r>
        <w:rPr>
          <w:rFonts w:ascii="Times New Roman" w:cs="Times New Roman" w:eastAsia="Times New Roman" w:hAnsi="Times New Roman"/>
          <w:sz w:val="21"/>
          <w:szCs w:val="21"/>
          <w:color w:val="auto"/>
        </w:rPr>
        <w:t>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2.15(b).</w:t>
      </w:r>
    </w:p>
    <w:p>
      <w:pPr>
        <w:spacing w:after="0" w:line="142"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 to Cure</w:t>
      </w:r>
      <w:r>
        <w:rPr>
          <w:rFonts w:ascii="Times New Roman" w:cs="Times New Roman" w:eastAsia="Times New Roman" w:hAnsi="Times New Roman"/>
          <w:sz w:val="22"/>
          <w:szCs w:val="22"/>
          <w:color w:val="auto"/>
        </w:rPr>
        <w:t>. Notwithstanding anything to the contrary contained in Section 7.01, in the event that the Borrower fails (or, but for the operation of this Section 7.02, would fail) to comply with the requirements of the Financial Performance Covenant, until the expiration of the 10th Business Day subsequent to the date the certificate calculating such Financial Performance Covenant is required to be delivered pursuant to Section 5.01(d), the Borrower shall have the right to issue Permitted Cure Securities for cash or otherwise receive cash contributions (collectively, the “</w:t>
      </w:r>
      <w:r>
        <w:rPr>
          <w:rFonts w:ascii="Times New Roman" w:cs="Times New Roman" w:eastAsia="Times New Roman" w:hAnsi="Times New Roman"/>
          <w:sz w:val="22"/>
          <w:szCs w:val="22"/>
          <w:u w:val="single" w:color="auto"/>
          <w:color w:val="auto"/>
        </w:rPr>
        <w:t>Cure Right</w:t>
      </w:r>
      <w:r>
        <w:rPr>
          <w:rFonts w:ascii="Times New Roman" w:cs="Times New Roman" w:eastAsia="Times New Roman" w:hAnsi="Times New Roman"/>
          <w:sz w:val="22"/>
          <w:szCs w:val="22"/>
          <w:color w:val="auto"/>
        </w:rPr>
        <w:t>”), and upon the receipt by the Borrower of such cash (the “</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xml:space="preserve">”) pursuant to the exercise by the Borrower of such Cure Right such Financial Performance Covenant shall be recalculated giving effect to a pro forma adjustment by which EBITDAR shall be increased with respect to such applicable quarter (and, for the avoidance of doubt, no effect shall be given to any pro forma reduction to Indebtedness for such applicable quarter resulting from the repayment thereof with the proceeds of such Permitted Cure Securities) and any four-quarter period that contains such quarter, solely for the purpose of measuring the Financial Performance Covenant and not for any other purpose under this Agreement, by an amount equal to the Cure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during each Testing Period, there shall be at least two fiscal quarters in which the Cure Right is not exercised, (ii) the Cure Right shall not be exercised more than five times and (iii) for purposes of this Section 7.02, the Cure Amount shall be no greater than the amount required for purposes of complying with the Financial Performance Covenant. If, after giving effect to the adjustments in this Section 7.02, the Borrower shall then be in compliance with the requirements of the Financial Performance Covenant, the Borrower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the Loan Documents.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1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THE AGENTS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Administration by Agents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40" w:firstLine="656"/>
        <w:spacing w:after="0" w:line="220" w:lineRule="auto"/>
        <w:tabs>
          <w:tab w:leader="none" w:pos="129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irrevocably appoints UMB as its administrative agent and as its security trustee, as the case may be, and authorizes each such Agent to take such actions on its behalf and to exercise such powers as are delegated to such Agent by the terms hereof, together with such actions and powers as are reasonably incidental thereto.</w:t>
      </w:r>
    </w:p>
    <w:p>
      <w:pPr>
        <w:spacing w:after="0" w:line="152" w:lineRule="exact"/>
        <w:rPr>
          <w:rFonts w:ascii="Times New Roman" w:cs="Times New Roman" w:eastAsia="Times New Roman" w:hAnsi="Times New Roman"/>
          <w:sz w:val="22"/>
          <w:szCs w:val="22"/>
          <w:color w:val="auto"/>
        </w:rPr>
      </w:pPr>
    </w:p>
    <w:p>
      <w:pPr>
        <w:ind w:right="200" w:firstLine="656"/>
        <w:spacing w:after="0" w:line="236" w:lineRule="auto"/>
        <w:tabs>
          <w:tab w:leader="none" w:pos="12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each Issuing Lender hereby authorizes each Agent, as applicable, upon further direction of the Required Lenders:</w:t>
      </w:r>
    </w:p>
    <w:p>
      <w:pPr>
        <w:spacing w:after="0" w:line="150" w:lineRule="exact"/>
        <w:rPr>
          <w:rFonts w:ascii="Times New Roman" w:cs="Times New Roman" w:eastAsia="Times New Roman" w:hAnsi="Times New Roman"/>
          <w:sz w:val="22"/>
          <w:szCs w:val="22"/>
          <w:color w:val="auto"/>
        </w:rPr>
      </w:pPr>
    </w:p>
    <w:p>
      <w:pPr>
        <w:ind w:left="660" w:right="40" w:firstLine="644"/>
        <w:spacing w:after="0" w:line="225" w:lineRule="auto"/>
        <w:tabs>
          <w:tab w:leader="none" w:pos="194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sale or other disposition of any asset that is part of the Collateral of the Borrower, as the case may be, to the extent permitted by the terms of this Agreement, to release a Lien granted to the Security Trustee, for the benefit of the Secured Parties, on such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21" w:right="339" w:bottom="1440" w:gutter="0" w:footer="0" w:header="0"/>
        </w:sectPr>
      </w:pPr>
    </w:p>
    <w:bookmarkStart w:id="146" w:name="page147"/>
    <w:bookmarkEnd w:id="146"/>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660" w:right="440" w:firstLine="644"/>
        <w:spacing w:after="0" w:line="236" w:lineRule="auto"/>
        <w:tabs>
          <w:tab w:leader="none" w:pos="195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execute and deliver the other Loan Documents on terms acceptable to the Administrative Agent and to perform its respective obligations thereunder;</w:t>
      </w:r>
    </w:p>
    <w:p>
      <w:pPr>
        <w:spacing w:after="0" w:line="150" w:lineRule="exact"/>
        <w:rPr>
          <w:rFonts w:ascii="Times New Roman" w:cs="Times New Roman" w:eastAsia="Times New Roman" w:hAnsi="Times New Roman"/>
          <w:sz w:val="22"/>
          <w:szCs w:val="22"/>
          <w:color w:val="auto"/>
        </w:rPr>
      </w:pPr>
    </w:p>
    <w:p>
      <w:pPr>
        <w:ind w:left="660" w:right="40" w:firstLine="644"/>
        <w:spacing w:after="0" w:line="236" w:lineRule="auto"/>
        <w:tabs>
          <w:tab w:leader="none" w:pos="194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enter into, execute and deliver intercreditor and/or subordination agreements in accordance with Sections 6.02 on terms reasonably acceptable to the Administrative Agent and to perform its obligations thereunder and to take such action and to exercise the powers, rights and remedies granted to it thereunder and with respect thereto; and</w:t>
      </w:r>
    </w:p>
    <w:p>
      <w:pPr>
        <w:spacing w:after="0" w:line="151" w:lineRule="exact"/>
        <w:rPr>
          <w:rFonts w:ascii="Times New Roman" w:cs="Times New Roman" w:eastAsia="Times New Roman" w:hAnsi="Times New Roman"/>
          <w:sz w:val="21"/>
          <w:szCs w:val="21"/>
          <w:color w:val="auto"/>
        </w:rPr>
      </w:pPr>
    </w:p>
    <w:p>
      <w:pPr>
        <w:ind w:left="660" w:right="40" w:firstLine="644"/>
        <w:spacing w:after="0" w:line="225" w:lineRule="auto"/>
        <w:tabs>
          <w:tab w:leader="none" w:pos="195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execute and deliver any other agreements reasonably satisfactory to the Administrative Agent granting Liens to the Security Trustee, for the benefit of the Secured Parties, on any assets of the Borrower to secure the Obligations.</w:t>
      </w:r>
    </w:p>
    <w:p>
      <w:pPr>
        <w:spacing w:after="0" w:line="153"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Rights of Agents</w:t>
      </w:r>
      <w:r>
        <w:rPr>
          <w:rFonts w:ascii="Times New Roman" w:cs="Times New Roman" w:eastAsia="Times New Roman" w:hAnsi="Times New Roman"/>
          <w:sz w:val="22"/>
          <w:szCs w:val="22"/>
          <w:color w:val="auto"/>
        </w:rPr>
        <w:t>. Any institution serving as an Agent hereunder shall have the same rights and powers in its capacity as a Lender as any other Lender and may exercise the same as though it were not an Agent, and such bank and its respective Affiliates may accept deposits from, lend money to and generally engage in any kind of business with the Borrower or any Subsidiary or other Affiliate of the Borrower as if it were not an Agent hereunder.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Liability of Agents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07" w:lineRule="auto"/>
        <w:tabs>
          <w:tab w:leader="none" w:pos="12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not have any duties or obligations except those expressly set forth herein and the other Loan Documents. Without limiting the generality of the foregoing, the Agents (i) shall not be subject to any fiduciary or other implied duties, regardless of whether an Event of Default has occurred and is continuing, (ii) shall not have any duty to take any discretionary action or exercise any discretionary powers, except discretionary rights and powers expressly contemplated hereby that each Agent is required to exercise in writing as directed by the Required Lenders (or such other number or percentage of the Lenders as shall be necessary under the circumstances as provided in Section 10.08 or otherwise under this Agreement), (iii) except as expressly set forth herein, shall not have any duty to disclose, and shall not be liable for the failure to disclose, any information relating to the Borrower or any of the Borrower’s Subsidiaries that is communicated to or obtained by the institution serving as an Agent or any of its Affiliates in any capacity (iv) shall not have any responsibility to ensure its valid and enforceable security interest in the Collateral or to monitor the status of any lien on, or performance of, the Collateral (v) shall not have any duty to see to, verify or monitor the status of any insurance coverage under the Loan Documents and (vi) will not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otherwise under this Agreement) or in the absence of its own gross negligence or willful misconduct. No Agent shall be deemed to have knowledge of any Event of Default unless and until written notice thereof is given to such Agent by the Borrower or a Lender, and no Agent shall be responsible for, or have any duty to ascertain or inquire into, (A) any statement, warranty or representation (or breach thereof) made by any party in or in connection with this Agreement (including in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4" w:right="339" w:bottom="1440" w:gutter="0" w:footer="0" w:header="0"/>
        </w:sectPr>
      </w:pPr>
    </w:p>
    <w:bookmarkStart w:id="147" w:name="page148"/>
    <w:bookmarkEnd w:id="147"/>
    <w:p>
      <w:pPr>
        <w:ind w:right="40"/>
        <w:spacing w:after="0" w:line="224" w:lineRule="auto"/>
        <w:rPr>
          <w:sz w:val="20"/>
          <w:szCs w:val="20"/>
          <w:color w:val="auto"/>
        </w:rPr>
      </w:pPr>
      <w:r>
        <w:rPr>
          <w:rFonts w:ascii="Times New Roman" w:cs="Times New Roman" w:eastAsia="Times New Roman" w:hAnsi="Times New Roman"/>
          <w:sz w:val="21"/>
          <w:szCs w:val="21"/>
          <w:color w:val="auto"/>
        </w:rPr>
        <w:t>Document), (B) the contents or accuracy of any certificate, report or other document delivered hereunder or in connection herewith (including any other Loan Documents), (C) the performance or observance of any of the covenants, agreements or other terms or conditions set forth herein or any other Loan Document, (D) the validity, enforceability, effectiveness or genuineness of this Agreement or any other agreement, instrument or document, or (E) the satisfaction of any condition set forth in Section 4 or elsewhere herein, other than to confirm receipt of items expressly required to be delivered to such Agent. In no event shall either Agent be liable for the acts or omissions of any other party to this Agreement or any other Loan Document. Neither Agent shall be required to risk or expend its own funds in performing its obligations under this Agreement or any other Loan Document.</w:t>
      </w:r>
    </w:p>
    <w:p>
      <w:pPr>
        <w:spacing w:after="0" w:line="150" w:lineRule="exact"/>
        <w:rPr>
          <w:sz w:val="20"/>
          <w:szCs w:val="20"/>
          <w:color w:val="auto"/>
        </w:rPr>
      </w:pPr>
    </w:p>
    <w:p>
      <w:pPr>
        <w:ind w:right="20" w:firstLine="656"/>
        <w:spacing w:after="0" w:line="215" w:lineRule="auto"/>
        <w:tabs>
          <w:tab w:leader="none" w:pos="129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rFonts w:ascii="Times New Roman" w:cs="Times New Roman" w:eastAsia="Times New Roman" w:hAnsi="Times New Roman"/>
          <w:sz w:val="22"/>
          <w:szCs w:val="22"/>
          <w:color w:val="auto"/>
        </w:rPr>
      </w:pPr>
    </w:p>
    <w:p>
      <w:pPr>
        <w:ind w:right="80" w:firstLine="656"/>
        <w:spacing w:after="0" w:line="215" w:lineRule="auto"/>
        <w:tabs>
          <w:tab w:leader="none" w:pos="129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may perform any and all of its duties and exercise its rights and powers by or through appointed legal counsel or other duly appointed representatives, or by or through any one or more sub-agents appointed by it.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spacing w:after="0" w:line="152" w:lineRule="exact"/>
        <w:rPr>
          <w:rFonts w:ascii="Times New Roman" w:cs="Times New Roman" w:eastAsia="Times New Roman" w:hAnsi="Times New Roman"/>
          <w:sz w:val="22"/>
          <w:szCs w:val="22"/>
          <w:color w:val="auto"/>
        </w:rPr>
      </w:pPr>
    </w:p>
    <w:p>
      <w:pPr>
        <w:ind w:right="160" w:firstLine="656"/>
        <w:spacing w:after="0" w:line="213" w:lineRule="auto"/>
        <w:tabs>
          <w:tab w:leader="none" w:pos="129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it is expressly understood that each Agent is acting under the Loan Documents as an agent for the other Secured Parties and not on its own behalf, and whenever any consent, approval, discretion, request, determination, calculation, confirmation or other action of one of the Agents is contemplated hereby or under any other Loan Document, such Agent will act in accordance with the instructions of the Required Lenders (or such other number or percentage of the Lenders as shall be necessary under the circumstances as provided in Section 10.08 or otherwise under this Agreement), or otherwise in accordance with the terms and provisions of the documents creating and relative to the administration of the Agents, and not on its own discretion.</w:t>
      </w:r>
    </w:p>
    <w:p>
      <w:pPr>
        <w:spacing w:after="0" w:line="156" w:lineRule="exact"/>
        <w:rPr>
          <w:rFonts w:ascii="Times New Roman" w:cs="Times New Roman" w:eastAsia="Times New Roman" w:hAnsi="Times New Roman"/>
          <w:sz w:val="22"/>
          <w:szCs w:val="22"/>
          <w:color w:val="auto"/>
        </w:rPr>
      </w:pPr>
    </w:p>
    <w:p>
      <w:pPr>
        <w:ind w:firstLine="656"/>
        <w:spacing w:after="0" w:line="217" w:lineRule="auto"/>
        <w:tabs>
          <w:tab w:leader="none" w:pos="129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into which an Agent may be merged or converted or with which it may be consolidated, or any corporation resulting from any merger, conversion or consolidation to which an Agent shall be a party, or any corporation to which substantially all of the corporate trust business of an Agent may be transferred, shall be the corresponding Agent under this Agreement without further act, except where an instrument of transfer or assignment is required by Applicable Law to effect such succession.</w:t>
      </w:r>
    </w:p>
    <w:p>
      <w:pPr>
        <w:spacing w:after="0" w:line="152"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Reimbursement and Indemnification</w:t>
      </w:r>
      <w:r>
        <w:rPr>
          <w:rFonts w:ascii="Times New Roman" w:cs="Times New Roman" w:eastAsia="Times New Roman" w:hAnsi="Times New Roman"/>
          <w:sz w:val="21"/>
          <w:szCs w:val="21"/>
          <w:color w:val="auto"/>
        </w:rPr>
        <w:t>.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 and (b) to indemnify and hold harmless each Agent and any of its Related Parties, on demand, in the amount equal to such Lender’s Aggregate Exposure Percentage, from and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20"/>
          </w:cols>
          <w:pgMar w:left="320" w:top="1394" w:right="359" w:bottom="1440" w:gutter="0" w:footer="0" w:header="0"/>
        </w:sectPr>
      </w:pPr>
    </w:p>
    <w:bookmarkStart w:id="148" w:name="page149"/>
    <w:bookmarkEnd w:id="148"/>
    <w:p>
      <w:pPr>
        <w:ind w:right="140"/>
        <w:spacing w:after="0" w:line="215" w:lineRule="auto"/>
        <w:rPr>
          <w:sz w:val="20"/>
          <w:szCs w:val="20"/>
          <w:color w:val="auto"/>
        </w:rPr>
      </w:pPr>
      <w:r>
        <w:rPr>
          <w:rFonts w:ascii="Times New Roman" w:cs="Times New Roman" w:eastAsia="Times New Roman" w:hAnsi="Times New Roman"/>
          <w:sz w:val="22"/>
          <w:szCs w:val="22"/>
          <w:color w:val="auto"/>
        </w:rPr>
        <w:t>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 (except such as shall result from such Agent’s gross negligence or willful misconduct as determined in a final and nonappealable judgment by a court of competent jurisdiction).</w:t>
      </w:r>
    </w:p>
    <w:p>
      <w:pPr>
        <w:spacing w:after="0" w:line="152" w:lineRule="exact"/>
        <w:rPr>
          <w:sz w:val="20"/>
          <w:szCs w:val="20"/>
          <w:color w:val="auto"/>
        </w:rPr>
      </w:pPr>
    </w:p>
    <w:p>
      <w:pPr>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Successor Agents</w:t>
      </w:r>
      <w:r>
        <w:rPr>
          <w:rFonts w:ascii="Times New Roman" w:cs="Times New Roman" w:eastAsia="Times New Roman" w:hAnsi="Times New Roman"/>
          <w:sz w:val="21"/>
          <w:szCs w:val="21"/>
          <w:color w:val="auto"/>
        </w:rPr>
        <w:t>. Subject to the appointment and acceptance of a successor agent as provided in this paragraph, each Agent may resign at any time by notifying the other Agent, the Lenders, the Issuing Lenders and the Borrower. Upon any such resignation by such Agent, the Required Lenders shall have the right, with the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or Default has occurred and is continuing) of the Borrower (such consent not to be unreasonably withheld or delayed),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or Default has occurred or is continuing) of the Borrower (such consent not to be unreasonably withheld or delayed), appoint a successor Agent which, in the case of the retiring Administrative Agent, shall be a bank institution with an office in New York, New York, or an Affiliate of any such bank.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w:t>
      </w:r>
    </w:p>
    <w:p>
      <w:pPr>
        <w:spacing w:after="0" w:line="151"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Independent Lenders</w:t>
      </w:r>
      <w:r>
        <w:rPr>
          <w:rFonts w:ascii="Times New Roman" w:cs="Times New Roman" w:eastAsia="Times New Roman" w:hAnsi="Times New Roman"/>
          <w:sz w:val="22"/>
          <w:szCs w:val="22"/>
          <w:color w:val="auto"/>
        </w:rPr>
        <w:t>.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Advances and 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5" w:lineRule="auto"/>
        <w:tabs>
          <w:tab w:leader="none" w:pos="12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each Loan, the Administrative Agent shall be authorized (but not obligated) to advance, for the account of each of the Lenders, the amount of the Loan to be made by it in accordance with its Revolving Commitment hereunder. Should the Administrative Agent do so, each of the Lenders agrees forthwith to reimburse the Administrative Agent in immediately available funds for the amount so advanced on its behalf by the Administrative Agent, together with interest at the Federal Funds Rate if not so reimbursed on the date due from and including such date but not including the date of reimbursement.</w:t>
      </w:r>
    </w:p>
    <w:p>
      <w:pPr>
        <w:spacing w:after="0" w:line="152" w:lineRule="exact"/>
        <w:rPr>
          <w:rFonts w:ascii="Times New Roman" w:cs="Times New Roman" w:eastAsia="Times New Roman" w:hAnsi="Times New Roman"/>
          <w:sz w:val="22"/>
          <w:szCs w:val="22"/>
          <w:color w:val="auto"/>
        </w:rPr>
      </w:pPr>
    </w:p>
    <w:p>
      <w:pPr>
        <w:ind w:firstLine="656"/>
        <w:spacing w:after="0" w:line="217" w:lineRule="auto"/>
        <w:tabs>
          <w:tab w:leader="none" w:pos="129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received by the Administrative Agent in connection with this Agreement (other than amounts to which the Administrative Agent is entitled pursuant to Sections 2.18, 2.19, 2.20, 8.04 and 10.04), the application of which is not otherwise provided for in this Agreement, shall be applied in accordance with Section 2.15(b). All amounts to be paid to a Lender by the Administrative Agent shall be credited to that Lender, after collection by the Administrative Agent, in immediately available funds either by wire transfer or deposit 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20"/>
          </w:cols>
          <w:pgMar w:left="320" w:top="1394" w:right="359" w:bottom="1440" w:gutter="0" w:footer="0" w:header="0"/>
        </w:sectPr>
      </w:pPr>
    </w:p>
    <w:bookmarkStart w:id="149" w:name="page150"/>
    <w:bookmarkEnd w:id="149"/>
    <w:p>
      <w:pPr>
        <w:ind w:right="160"/>
        <w:spacing w:after="0" w:line="236" w:lineRule="auto"/>
        <w:rPr>
          <w:sz w:val="20"/>
          <w:szCs w:val="20"/>
          <w:color w:val="auto"/>
        </w:rPr>
      </w:pPr>
      <w:r>
        <w:rPr>
          <w:rFonts w:ascii="Times New Roman" w:cs="Times New Roman" w:eastAsia="Times New Roman" w:hAnsi="Times New Roman"/>
          <w:sz w:val="22"/>
          <w:szCs w:val="22"/>
          <w:color w:val="auto"/>
        </w:rPr>
        <w:t>Lender’s correspondent account with the Administrative Agent, as such Lender and the Administrative Agent shall from time to time agree.</w:t>
      </w:r>
    </w:p>
    <w:p>
      <w:pPr>
        <w:spacing w:after="0" w:line="150"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Sharing of Setoffs</w:t>
      </w:r>
      <w:r>
        <w:rPr>
          <w:rFonts w:ascii="Times New Roman" w:cs="Times New Roman" w:eastAsia="Times New Roman" w:hAnsi="Times New Roman"/>
          <w:sz w:val="22"/>
          <w:szCs w:val="22"/>
          <w:color w:val="auto"/>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the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Revolving Extensions of Credit as a result of which the unpaid portion of its Revolving Extensions of Credit is proportionately less than the unpaid portion of the Revolving Extensions of Credit of any other Lender (other than with respect to any LC Exposure under clause (i) of the definition thereof) (a) it shall promptly purchase at par (and shall be deemed to have thereupon purchased) from such other Lender a participation in the Loans or LC Exposure of such other Lender, so that the aggregate amount of each Lender’s Revolving Extensions of Credit and its participation in Loans and LC Exposure of the other Lenders shall be in the same proportion to the aggregate unpaid principal amount of all Revolving Extensions of Credit then outstanding as the amount of its Revolving Extensions of Credit prior to the obtaining of such payment was to the amount of all Revolving Extensions of Credit prior to the obtaining of such payment and (b) such other adjustments shall be made from time to time as shall be equitable to ensure that the Lenders share such payment pro-rata,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non-pro-rata payment is thereafter recovered or otherwise set aside, such purchase of participations shall be rescinded (without interest). The Borrower expressly consents to the foregoing arrangements and agrees, to the fullest extent permitted by law, that any Lender holding (or deemed to be holding) a participation in a Loan or LC Exposure acquired pursuant to this Section or any of its banking Affiliates may exercise any and all rights of banker’s lien, setoff or counterclaim with respect to any and all moneys owing by the Borrower to such Lender as fully as if such Lender was the original obligee thereon, in the amount of such participation. The provisions of this Section 8.08 shall not be construed to apply to (a) any payment made by the Borrower or the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166"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or the Administrative Agent has paid over to the Internal Revenue Service applicable withholding tax relating to a payment to a Lender but no deduction has been made from such payment, without duplication of any indemnification obligations set forth in Section 8.04, such Lender shall indemnify the Administrative Agent fully for all amounts paid, directly or indirectly, by the Administrative Agent as tax, including any reasonable expenses incurred, except that no Lender shall be liable to the Administrative Agent for any portion of such amounts resulting from the gross negligence or willful misconduct of the Administrative Agent as determined by a final, non-appealable judicial order of a court having jurisdiction over the subject matter.</w:t>
      </w:r>
    </w:p>
    <w:p>
      <w:pPr>
        <w:spacing w:after="0" w:line="152" w:lineRule="exact"/>
        <w:rPr>
          <w:sz w:val="20"/>
          <w:szCs w:val="20"/>
          <w:color w:val="auto"/>
        </w:rPr>
      </w:pPr>
    </w:p>
    <w:p>
      <w:pPr>
        <w:jc w:val="both"/>
        <w:ind w:right="8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8.10. </w:t>
      </w:r>
      <w:r>
        <w:rPr>
          <w:rFonts w:ascii="Times New Roman" w:cs="Times New Roman" w:eastAsia="Times New Roman" w:hAnsi="Times New Roman"/>
          <w:sz w:val="21"/>
          <w:szCs w:val="21"/>
          <w:u w:val="single" w:color="auto"/>
          <w:color w:val="auto"/>
        </w:rPr>
        <w:t>Appointment by Secured Parties</w:t>
      </w:r>
      <w:r>
        <w:rPr>
          <w:rFonts w:ascii="Times New Roman" w:cs="Times New Roman" w:eastAsia="Times New Roman" w:hAnsi="Times New Roman"/>
          <w:sz w:val="21"/>
          <w:szCs w:val="21"/>
          <w:color w:val="auto"/>
        </w:rPr>
        <w:t xml:space="preserve">. Each Secured Party that is not a party to this Agreement shall be deemed to have appointed the Security Trustee as its agent under the Loan Documents in accordance with the terms of this Section 8 and to have acknowledged that the provisions of this Section 8 apply to such Secured Party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as though it were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4" w:right="339" w:bottom="1440" w:gutter="0" w:footer="0" w:header="0"/>
        </w:sectPr>
      </w:pPr>
    </w:p>
    <w:bookmarkStart w:id="150" w:name="page151"/>
    <w:bookmarkEnd w:id="150"/>
    <w:p>
      <w:pPr>
        <w:ind w:right="240"/>
        <w:spacing w:after="0" w:line="236" w:lineRule="auto"/>
        <w:rPr>
          <w:sz w:val="20"/>
          <w:szCs w:val="20"/>
          <w:color w:val="auto"/>
        </w:rPr>
      </w:pPr>
      <w:r>
        <w:rPr>
          <w:rFonts w:ascii="Times New Roman" w:cs="Times New Roman" w:eastAsia="Times New Roman" w:hAnsi="Times New Roman"/>
          <w:sz w:val="22"/>
          <w:szCs w:val="22"/>
          <w:color w:val="auto"/>
        </w:rPr>
        <w:t>party hereto (and any acceptance by such Secured Party of the benefits of this Agreement or any other Loan Document shall be deemed an acknowledgment of the foregoing).</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7" w:lineRule="auto"/>
        <w:tabs>
          <w:tab w:leader="none" w:pos="129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(x) notifies a Lender, Issuing Lender or Secured Party, or any Person who has received funds on behalf of a Lender, Issuing Lender or Secured Party (any such Lender, Issuing Lender, Secured Party or other recipient (and each of their respective successors and assigns),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Lender,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and (y) demands in writing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8.11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2" w:lineRule="exact"/>
        <w:rPr>
          <w:rFonts w:ascii="Times New Roman" w:cs="Times New Roman" w:eastAsia="Times New Roman" w:hAnsi="Times New Roman"/>
          <w:sz w:val="21"/>
          <w:szCs w:val="21"/>
          <w:color w:val="auto"/>
        </w:rPr>
      </w:pPr>
    </w:p>
    <w:p>
      <w:pPr>
        <w:ind w:right="40" w:firstLine="656"/>
        <w:spacing w:after="0" w:line="222" w:lineRule="auto"/>
        <w:tabs>
          <w:tab w:leader="none" w:pos="129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immediately preceding clause (a), each Lender, Issuing Lender, Secured Party or any Person who has received funds on behalf of a Lender, Issuing Lender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then in each such case:</w:t>
      </w:r>
    </w:p>
    <w:p>
      <w:pPr>
        <w:spacing w:after="0" w:line="149" w:lineRule="exact"/>
        <w:rPr>
          <w:rFonts w:ascii="Times New Roman" w:cs="Times New Roman" w:eastAsia="Times New Roman" w:hAnsi="Times New Roman"/>
          <w:sz w:val="21"/>
          <w:szCs w:val="21"/>
          <w:color w:val="auto"/>
        </w:rPr>
      </w:pPr>
    </w:p>
    <w:p>
      <w:pPr>
        <w:ind w:left="1880" w:right="180" w:hanging="576"/>
        <w:spacing w:after="0" w:line="225" w:lineRule="auto"/>
        <w:tabs>
          <w:tab w:leader="none" w:pos="1868"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immediately preceding clause (x) or (y), an error and mistake shall be presumed to have been made (absent written confirmation from the Administrative Agent to the contrary) or (B) an error and mistake has been made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94" w:right="339" w:bottom="1440" w:gutter="0" w:footer="0" w:header="0"/>
        </w:sectPr>
      </w:pPr>
    </w:p>
    <w:bookmarkStart w:id="151" w:name="page152"/>
    <w:bookmarkEnd w:id="151"/>
    <w:p>
      <w:pPr>
        <w:ind w:left="1880" w:right="260"/>
        <w:spacing w:after="0" w:line="236" w:lineRule="auto"/>
        <w:rPr>
          <w:sz w:val="20"/>
          <w:szCs w:val="20"/>
          <w:color w:val="auto"/>
        </w:rPr>
      </w:pPr>
      <w:r>
        <w:rPr>
          <w:rFonts w:ascii="Times New Roman" w:cs="Times New Roman" w:eastAsia="Times New Roman" w:hAnsi="Times New Roman"/>
          <w:sz w:val="22"/>
          <w:szCs w:val="22"/>
          <w:color w:val="auto"/>
        </w:rPr>
        <w:t>immediately preceding clause (z)), in each case, with respect to such payment, prepayment or repayment; and</w:t>
      </w:r>
    </w:p>
    <w:p>
      <w:pPr>
        <w:spacing w:after="0" w:line="150" w:lineRule="exact"/>
        <w:rPr>
          <w:sz w:val="20"/>
          <w:szCs w:val="20"/>
          <w:color w:val="auto"/>
        </w:rPr>
      </w:pPr>
    </w:p>
    <w:p>
      <w:pPr>
        <w:ind w:left="1880" w:right="20" w:hanging="576"/>
        <w:spacing w:after="0" w:line="215" w:lineRule="auto"/>
        <w:tabs>
          <w:tab w:leader="none" w:pos="187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Issuing Lender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8.11(b).</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failure to deliver a notice to the Administrative Agent pursuant to this Section</w:t>
      </w:r>
    </w:p>
    <w:p>
      <w:pPr>
        <w:spacing w:after="0" w:line="28" w:lineRule="exact"/>
        <w:rPr>
          <w:sz w:val="20"/>
          <w:szCs w:val="20"/>
          <w:color w:val="auto"/>
        </w:rPr>
      </w:pPr>
    </w:p>
    <w:p>
      <w:pPr>
        <w:ind w:right="720"/>
        <w:spacing w:after="0" w:line="248" w:lineRule="auto"/>
        <w:rPr>
          <w:sz w:val="20"/>
          <w:szCs w:val="20"/>
          <w:color w:val="auto"/>
        </w:rPr>
      </w:pPr>
      <w:r>
        <w:rPr>
          <w:rFonts w:ascii="Times New Roman" w:cs="Times New Roman" w:eastAsia="Times New Roman" w:hAnsi="Times New Roman"/>
          <w:sz w:val="22"/>
          <w:szCs w:val="22"/>
          <w:color w:val="auto"/>
        </w:rPr>
        <w:t>8.11(b) shall not have any effect on a Payment Recipient’s obligations pursuant to Section 8.11(a) or on whether or not an Erroneous Payment has been made.</w:t>
      </w:r>
    </w:p>
    <w:p>
      <w:pPr>
        <w:spacing w:after="0" w:line="169" w:lineRule="exact"/>
        <w:rPr>
          <w:sz w:val="20"/>
          <w:szCs w:val="20"/>
          <w:color w:val="auto"/>
        </w:rPr>
      </w:pPr>
    </w:p>
    <w:p>
      <w:pPr>
        <w:ind w:right="40" w:firstLine="656"/>
        <w:spacing w:after="0" w:line="217"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under any Loan Document with respect to any payment of principal, interest, fees or other amounts, against any amount that the Administrative Agent has demanded to be returned under immediately preceding clause (a).</w:t>
      </w:r>
    </w:p>
    <w:p>
      <w:pPr>
        <w:spacing w:after="0" w:line="152" w:lineRule="exact"/>
        <w:rPr>
          <w:rFonts w:ascii="Times New Roman" w:cs="Times New Roman" w:eastAsia="Times New Roman" w:hAnsi="Times New Roman"/>
          <w:sz w:val="22"/>
          <w:szCs w:val="22"/>
          <w:color w:val="auto"/>
        </w:rPr>
      </w:pPr>
    </w:p>
    <w:p>
      <w:pPr>
        <w:ind w:firstLine="656"/>
        <w:spacing w:after="0" w:line="209" w:lineRule="auto"/>
        <w:tabs>
          <w:tab w:leader="none" w:pos="129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Lender or Secured Party, to the rights and interests of such Lender, Issuing Lender or Secured Party, as the case may be) under the Loan Documents with respect to such amount and (y) an Erroneous Payment shall not pay, prepay, repay, discharge or otherwise satisfy any Obligations owed by the Borrower or the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Section 8.11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making a payment on the Obligations.</w:t>
      </w:r>
    </w:p>
    <w:p>
      <w:pPr>
        <w:spacing w:after="0" w:line="155" w:lineRule="exact"/>
        <w:rPr>
          <w:rFonts w:ascii="Times New Roman" w:cs="Times New Roman" w:eastAsia="Times New Roman" w:hAnsi="Times New Roman"/>
          <w:sz w:val="22"/>
          <w:szCs w:val="22"/>
          <w:color w:val="auto"/>
        </w:rPr>
      </w:pPr>
    </w:p>
    <w:p>
      <w:pPr>
        <w:jc w:val="both"/>
        <w:ind w:right="320" w:firstLine="656"/>
        <w:spacing w:after="0" w:line="220"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2" w:lineRule="exact"/>
        <w:rPr>
          <w:rFonts w:ascii="Times New Roman" w:cs="Times New Roman" w:eastAsia="Times New Roman" w:hAnsi="Times New Roman"/>
          <w:sz w:val="22"/>
          <w:szCs w:val="22"/>
          <w:color w:val="auto"/>
        </w:rPr>
      </w:pPr>
    </w:p>
    <w:p>
      <w:pPr>
        <w:ind w:right="920" w:firstLine="656"/>
        <w:spacing w:after="0" w:line="236" w:lineRule="auto"/>
        <w:tabs>
          <w:tab w:leader="none" w:pos="12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agreements and waivers under this Section 8.11 shall survive the resignation or replacement of the Administrative Agent, any transfer of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4" w:right="339" w:bottom="1440" w:gutter="0" w:footer="0" w:header="0"/>
        </w:sectPr>
      </w:pPr>
    </w:p>
    <w:bookmarkStart w:id="152" w:name="page153"/>
    <w:bookmarkEnd w:id="152"/>
    <w:p>
      <w:pPr>
        <w:ind w:right="420"/>
        <w:spacing w:after="0" w:line="236" w:lineRule="auto"/>
        <w:rPr>
          <w:sz w:val="20"/>
          <w:szCs w:val="20"/>
          <w:color w:val="auto"/>
        </w:rPr>
      </w:pPr>
      <w:r>
        <w:rPr>
          <w:rFonts w:ascii="Times New Roman" w:cs="Times New Roman" w:eastAsia="Times New Roman" w:hAnsi="Times New Roman"/>
          <w:sz w:val="22"/>
          <w:szCs w:val="22"/>
          <w:color w:val="auto"/>
        </w:rPr>
        <w:t>obligations by, or the replacement of, a Lender or Issuing Lender, the termination of the Commitments and/or the repayment, satisfaction or discharge of all Obligations (or any portion thereof) under any Loan Document.</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SECTION 9.</w:t>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GUARANTY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656"/>
        <w:spacing w:after="0" w:line="224" w:lineRule="auto"/>
        <w:tabs>
          <w:tab w:leader="none" w:pos="129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unconditionally, absolutely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cs="Times New Roman" w:eastAsia="Times New Roman" w:hAnsi="Times New Roman"/>
          <w:sz w:val="21"/>
          <w:szCs w:val="21"/>
          <w:u w:val="single" w:color="auto"/>
          <w:color w:val="auto"/>
        </w:rPr>
        <w:t>Guaranteed Obligations</w:t>
      </w:r>
      <w:r>
        <w:rPr>
          <w:rFonts w:ascii="Times New Roman" w:cs="Times New Roman" w:eastAsia="Times New Roman" w:hAnsi="Times New Roman"/>
          <w:sz w:val="21"/>
          <w:szCs w:val="21"/>
          <w:color w:val="auto"/>
        </w:rPr>
        <w:t>” and the obligations of the Guarantor in respect thereof, the “</w:t>
      </w:r>
      <w:r>
        <w:rPr>
          <w:rFonts w:ascii="Times New Roman" w:cs="Times New Roman" w:eastAsia="Times New Roman" w:hAnsi="Times New Roman"/>
          <w:sz w:val="21"/>
          <w:szCs w:val="21"/>
          <w:u w:val="single" w:color="auto"/>
          <w:color w:val="auto"/>
        </w:rPr>
        <w:t>Guaranty Obligations</w:t>
      </w:r>
      <w:r>
        <w:rPr>
          <w:rFonts w:ascii="Times New Roman" w:cs="Times New Roman" w:eastAsia="Times New Roman" w:hAnsi="Times New Roman"/>
          <w:sz w:val="21"/>
          <w:szCs w:val="21"/>
          <w:color w:val="auto"/>
        </w:rPr>
        <w:t>”). The Guarantor further agrees that, to the extent permitted by applicable law, the Obligations may be extended or renewed, in whole or in part, without notice to or further assent from it, and it will remain bound upon this guaranty notwithstanding any extension or renewal of any of the Obligations. The Guarantor further agrees that its guaranty hereunder is a primary obligation of the Guarantor and not merely a contract of surety.</w:t>
      </w:r>
    </w:p>
    <w:p>
      <w:pPr>
        <w:spacing w:after="0" w:line="150" w:lineRule="exact"/>
        <w:rPr>
          <w:rFonts w:ascii="Times New Roman" w:cs="Times New Roman" w:eastAsia="Times New Roman" w:hAnsi="Times New Roman"/>
          <w:sz w:val="21"/>
          <w:szCs w:val="21"/>
          <w:color w:val="auto"/>
        </w:rPr>
      </w:pPr>
    </w:p>
    <w:p>
      <w:pPr>
        <w:ind w:firstLine="656"/>
        <w:spacing w:after="0" w:line="212"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Guarantor waives presentation to, demand for payment from and protest to the Borrower and also waives notice of protest for nonpayment. The obligations of the Guarantor hereunder shall not, to the extent permitted by applicable law, be affected by (i) the failure of any Agent or a Lender to assert any claim or demand or to enforce any right or remedy against the Borrower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any Agent for the Obligations or any of them; or (v) the release or substitution of any Collateral.</w:t>
      </w:r>
    </w:p>
    <w:p>
      <w:pPr>
        <w:spacing w:after="0" w:line="156" w:lineRule="exact"/>
        <w:rPr>
          <w:rFonts w:ascii="Times New Roman" w:cs="Times New Roman" w:eastAsia="Times New Roman" w:hAnsi="Times New Roman"/>
          <w:sz w:val="22"/>
          <w:szCs w:val="22"/>
          <w:color w:val="auto"/>
        </w:rPr>
      </w:pPr>
    </w:p>
    <w:p>
      <w:pPr>
        <w:ind w:right="80" w:firstLine="656"/>
        <w:spacing w:after="0" w:line="220"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Guarantor further agrees that this guaranty constitutes a guaranty of payment when due and not just of collection, and waives any right to require that any resort be had by any Agent or a Lender to any security held for payment of the Obligations or to any balance of any deposit, account or credit on the books of any Agent or a Lender in favor of the Borrower or to any other Person.</w:t>
      </w:r>
    </w:p>
    <w:p>
      <w:pPr>
        <w:spacing w:after="0" w:line="152" w:lineRule="exact"/>
        <w:rPr>
          <w:rFonts w:ascii="Times New Roman" w:cs="Times New Roman" w:eastAsia="Times New Roman" w:hAnsi="Times New Roman"/>
          <w:sz w:val="22"/>
          <w:szCs w:val="22"/>
          <w:color w:val="auto"/>
        </w:rPr>
      </w:pPr>
    </w:p>
    <w:p>
      <w:pPr>
        <w:jc w:val="both"/>
        <w:ind w:right="80" w:firstLine="656"/>
        <w:spacing w:after="0" w:line="225"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Guarantor hereby waives any defense that it might have based on a failure to remain informed of the financial condition of the Borrower and any circumstances affecting the ability of the Borrower to perform under this Agreement.</w:t>
      </w:r>
    </w:p>
    <w:p>
      <w:pPr>
        <w:spacing w:after="0" w:line="152" w:lineRule="exact"/>
        <w:rPr>
          <w:rFonts w:ascii="Times New Roman" w:cs="Times New Roman" w:eastAsia="Times New Roman" w:hAnsi="Times New Roman"/>
          <w:sz w:val="22"/>
          <w:szCs w:val="22"/>
          <w:color w:val="auto"/>
        </w:rPr>
      </w:pPr>
    </w:p>
    <w:p>
      <w:pPr>
        <w:ind w:firstLine="656"/>
        <w:spacing w:after="0" w:line="224" w:lineRule="auto"/>
        <w:tabs>
          <w:tab w:leader="none" w:pos="129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the Guarantor’s guaranty shall not be affected by the genuineness, validity,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the Guarantor in respect of the management and maintenance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20"/>
          </w:cols>
          <w:pgMar w:left="320" w:top="1395" w:right="359" w:bottom="1440" w:gutter="0" w:footer="0" w:header="0"/>
        </w:sectPr>
      </w:pPr>
    </w:p>
    <w:bookmarkStart w:id="153" w:name="page154"/>
    <w:bookmarkEnd w:id="153"/>
    <w:p>
      <w:pPr>
        <w:ind w:right="140" w:firstLine="656"/>
        <w:spacing w:after="0" w:line="255" w:lineRule="auto"/>
        <w:tabs>
          <w:tab w:leader="none" w:pos="129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the Obligations becoming due and payable (by acceleration or otherwise), the Lenders shall be entitled to immediate payment of such Obligations by the Guarantor upon written demand by the Administrative Agent.</w:t>
      </w:r>
    </w:p>
    <w:p>
      <w:pPr>
        <w:spacing w:after="0" w:line="135" w:lineRule="exact"/>
        <w:rPr>
          <w:sz w:val="20"/>
          <w:szCs w:val="20"/>
          <w:color w:val="auto"/>
        </w:rPr>
      </w:pPr>
    </w:p>
    <w:p>
      <w:pPr>
        <w:ind w:right="1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No Impairment of Guaranty</w:t>
      </w:r>
      <w:r>
        <w:rPr>
          <w:rFonts w:ascii="Times New Roman" w:cs="Times New Roman" w:eastAsia="Times New Roman" w:hAnsi="Times New Roman"/>
          <w:sz w:val="22"/>
          <w:szCs w:val="22"/>
          <w:color w:val="auto"/>
        </w:rPr>
        <w:t>. To the extent permitted by applicable law, the obligations of the Guarantor hereunder shall not be subject to any reduction, limitation or impairment for any reason, including, without limitation, any claim of waiver, release, surrender, alteration or compromise, other than pursuant to a written agreement in compliance with Section 10.08 and shall not be subject to any defense or set-off, counterclaim, recoupment or termination whatsoever by reason of the invalidity, illegality or unenforceability of the Obligations. To the extent permitted by applicable law, without limiting the generality of the foregoing, the obligations of the Guarantor hereunder shall not be discharged or impaired or otherwise affected by the failure of the Administrative Agent or a Lender to assert any claim or demand or to enforce any remedy under this Agreement or any other agreement, by any waiver or modification of any provision hereof or thereof, by any default, failure or delay, willful or otherwise, in the performance of the Obligations, or by any other act or thing or omission or delay to do any other act or thing which may or might in any manner or to any extent vary the risk of the Guarantor or would otherwise operate as a discharge of the Guarantor as a matter of law.</w:t>
      </w:r>
    </w:p>
    <w:p>
      <w:pPr>
        <w:spacing w:after="0" w:line="157"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Continuation and Reinstatement, etc.</w:t>
      </w:r>
      <w:r>
        <w:rPr>
          <w:rFonts w:ascii="Times New Roman" w:cs="Times New Roman" w:eastAsia="Times New Roman" w:hAnsi="Times New Roman"/>
          <w:sz w:val="22"/>
          <w:szCs w:val="22"/>
          <w:color w:val="auto"/>
        </w:rPr>
        <w:t xml:space="preserve"> The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otherwise.</w:t>
      </w:r>
    </w:p>
    <w:p>
      <w:pPr>
        <w:spacing w:after="0" w:line="152"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Upon payment by the Guarantor of any sums to an Agent or a Lender hereunder, all rights of the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 filing interest is allowed in such proceeding). If any amount shall be paid to the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10.</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80" w:firstLine="656"/>
        <w:spacing w:after="0" w:line="220"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(including by facsimile), and shall be delivered by hand or overnight courier service or mailed by certified or registered mail, as follows:</w:t>
      </w:r>
    </w:p>
    <w:p>
      <w:pPr>
        <w:spacing w:after="0" w:line="152" w:lineRule="exact"/>
        <w:rPr>
          <w:rFonts w:ascii="Times New Roman" w:cs="Times New Roman" w:eastAsia="Times New Roman" w:hAnsi="Times New Roman"/>
          <w:sz w:val="22"/>
          <w:szCs w:val="22"/>
          <w:color w:val="auto"/>
        </w:rPr>
      </w:pPr>
    </w:p>
    <w:p>
      <w:pPr>
        <w:ind w:left="660" w:right="100" w:firstLine="644"/>
        <w:spacing w:after="0" w:line="225" w:lineRule="auto"/>
        <w:tabs>
          <w:tab w:leader="none" w:pos="1944"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or the Guarantor, to it at Sun Country, Inc. (d/b/a Sun Country Airlines), Sun Country Airlines Holdings, Inc., 2005 Cargo Road, Minneapolis, MN 55450; email: rose.neale@suncountry.com, Attention: Rose Neale;</w:t>
      </w:r>
    </w:p>
    <w:p>
      <w:pPr>
        <w:spacing w:after="0" w:line="152" w:lineRule="exact"/>
        <w:rPr>
          <w:rFonts w:ascii="Times New Roman" w:cs="Times New Roman" w:eastAsia="Times New Roman" w:hAnsi="Times New Roman"/>
          <w:sz w:val="22"/>
          <w:szCs w:val="22"/>
          <w:color w:val="auto"/>
        </w:rPr>
      </w:pPr>
    </w:p>
    <w:p>
      <w:pPr>
        <w:ind w:left="660" w:right="120" w:firstLine="644"/>
        <w:spacing w:after="0" w:line="236" w:lineRule="auto"/>
        <w:tabs>
          <w:tab w:leader="none" w:pos="195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the Security Trustee, to UMB Bank, N.A., 6440 S. Millrock Drive, Suite 400, Salt Lake City, UT 84121;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20"/>
          </w:cols>
          <w:pgMar w:left="320" w:top="1395" w:right="359" w:bottom="1440" w:gutter="0" w:footer="0" w:header="0"/>
        </w:sectPr>
      </w:pPr>
    </w:p>
    <w:bookmarkStart w:id="154" w:name="page155"/>
    <w:bookmarkEnd w:id="154"/>
    <w:p>
      <w:pPr>
        <w:ind w:left="440"/>
        <w:spacing w:after="0"/>
        <w:rPr>
          <w:sz w:val="20"/>
          <w:szCs w:val="20"/>
          <w:color w:val="auto"/>
        </w:rPr>
      </w:pPr>
      <w:r>
        <w:rPr>
          <w:rFonts w:ascii="Times New Roman" w:cs="Times New Roman" w:eastAsia="Times New Roman" w:hAnsi="Times New Roman"/>
          <w:sz w:val="22"/>
          <w:szCs w:val="22"/>
          <w:color w:val="auto"/>
        </w:rPr>
        <w:t>CorpTrustUtah@umb.com; cc: Dustin.Green@umb.com, Attention: Corporate Trust – Aviation and Dustin Green,</w:t>
      </w:r>
    </w:p>
    <w:p>
      <w:pPr>
        <w:ind w:left="440"/>
        <w:spacing w:after="0"/>
        <w:rPr>
          <w:sz w:val="20"/>
          <w:szCs w:val="20"/>
          <w:color w:val="auto"/>
        </w:rPr>
      </w:pPr>
      <w:r>
        <w:rPr>
          <w:rFonts w:ascii="Times New Roman" w:cs="Times New Roman" w:eastAsia="Times New Roman" w:hAnsi="Times New Roman"/>
          <w:sz w:val="22"/>
          <w:szCs w:val="22"/>
          <w:color w:val="auto"/>
        </w:rPr>
        <w:t>Telephone No.: 385-715-3058;</w:t>
      </w:r>
    </w:p>
    <w:p>
      <w:pPr>
        <w:spacing w:after="0" w:line="155" w:lineRule="exact"/>
        <w:rPr>
          <w:sz w:val="20"/>
          <w:szCs w:val="20"/>
          <w:color w:val="auto"/>
        </w:rPr>
      </w:pPr>
    </w:p>
    <w:p>
      <w:pPr>
        <w:ind w:left="440" w:firstLine="644"/>
        <w:spacing w:after="0" w:line="220" w:lineRule="auto"/>
        <w:tabs>
          <w:tab w:leader="none" w:pos="1736"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Lender that is a Lender, to it at its address determined pursuant to clause (iv)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(iv); and</w:t>
      </w:r>
    </w:p>
    <w:p>
      <w:pPr>
        <w:spacing w:after="0" w:line="152" w:lineRule="exact"/>
        <w:rPr>
          <w:rFonts w:ascii="Times New Roman" w:cs="Times New Roman" w:eastAsia="Times New Roman" w:hAnsi="Times New Roman"/>
          <w:sz w:val="22"/>
          <w:szCs w:val="22"/>
          <w:color w:val="auto"/>
        </w:rPr>
      </w:pPr>
    </w:p>
    <w:p>
      <w:pPr>
        <w:ind w:left="440" w:right="600" w:firstLine="644"/>
        <w:spacing w:after="0" w:line="236" w:lineRule="auto"/>
        <w:tabs>
          <w:tab w:leader="none" w:pos="172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Lender, to it at its address (or email address) set forth in Annex A hereto or, if subsequently delivered, an Assignment and Acceptance.</w:t>
      </w:r>
    </w:p>
    <w:p>
      <w:pPr>
        <w:spacing w:after="0" w:line="150" w:lineRule="exact"/>
        <w:rPr>
          <w:rFonts w:ascii="Times New Roman" w:cs="Times New Roman" w:eastAsia="Times New Roman" w:hAnsi="Times New Roman"/>
          <w:sz w:val="22"/>
          <w:szCs w:val="22"/>
          <w:color w:val="auto"/>
        </w:rPr>
      </w:pPr>
    </w:p>
    <w:p>
      <w:pPr>
        <w:ind w:left="-220" w:right="120" w:firstLine="656"/>
        <w:spacing w:after="0" w:line="215" w:lineRule="auto"/>
        <w:tabs>
          <w:tab w:leader="none" w:pos="107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hereunder may be delivered or furnished by electronic communications pursuant to procedures approved by the Administrative Agent, including without limitation the Platform;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Section 2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52" w:lineRule="exact"/>
        <w:rPr>
          <w:rFonts w:ascii="Times New Roman" w:cs="Times New Roman" w:eastAsia="Times New Roman" w:hAnsi="Times New Roman"/>
          <w:sz w:val="22"/>
          <w:szCs w:val="22"/>
          <w:color w:val="auto"/>
        </w:rPr>
      </w:pPr>
    </w:p>
    <w:p>
      <w:pPr>
        <w:ind w:left="-220" w:right="540" w:firstLine="656"/>
        <w:spacing w:after="0" w:line="225" w:lineRule="auto"/>
        <w:tabs>
          <w:tab w:leader="none" w:pos="107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220" w:firstLine="656"/>
        <w:spacing w:after="0" w:line="210" w:lineRule="auto"/>
        <w:tabs>
          <w:tab w:leader="none" w:pos="107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Agreement shall be binding upon and inure to the benefit of the parties hereto and their respective successors and assigns permitted hereby (including any Affiliate of an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restrict any transaction permitted by Section 6.06,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(except to the extent provided in paragraph (d) of this Section 10.02) and, except to the extent expressly contemplated in this Agreement, the Related Parties of the Administrative Agent, the Security Trustee, the Issuing Lenders and the Lenders) any legal or equitable right, remedy or claim under or by reason of this Agreement.</w:t>
      </w:r>
    </w:p>
    <w:p>
      <w:pPr>
        <w:spacing w:after="0" w:line="157" w:lineRule="exact"/>
        <w:rPr>
          <w:rFonts w:ascii="Times New Roman" w:cs="Times New Roman" w:eastAsia="Times New Roman" w:hAnsi="Times New Roman"/>
          <w:sz w:val="22"/>
          <w:szCs w:val="22"/>
          <w:color w:val="auto"/>
        </w:rPr>
      </w:pPr>
    </w:p>
    <w:p>
      <w:pPr>
        <w:ind w:left="-220" w:firstLine="656"/>
        <w:spacing w:after="0" w:line="236" w:lineRule="auto"/>
        <w:tabs>
          <w:tab w:leader="none" w:pos="107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Subject to the conditions set forth in paragraph (b)(ii) below, any Lender may assign to one or more assignees all or a portion of its rights and obligations under this Agreement (including all or a portion of its Revolving Commitment and the Loans at the time owing to it) with the prior written consent (such consent not to be unreasonably withheld or delayed) of:</w:t>
      </w:r>
    </w:p>
    <w:p>
      <w:pPr>
        <w:spacing w:after="0" w:line="151" w:lineRule="exact"/>
        <w:rPr>
          <w:rFonts w:ascii="Times New Roman" w:cs="Times New Roman" w:eastAsia="Times New Roman" w:hAnsi="Times New Roman"/>
          <w:sz w:val="21"/>
          <w:szCs w:val="21"/>
          <w:color w:val="auto"/>
        </w:rPr>
      </w:pPr>
    </w:p>
    <w:p>
      <w:pPr>
        <w:jc w:val="both"/>
        <w:ind w:left="1080" w:right="220" w:firstLine="652"/>
        <w:spacing w:after="0" w:line="225" w:lineRule="auto"/>
        <w:tabs>
          <w:tab w:leader="none" w:pos="2365"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if the assignee is a Lender, an Affiliate of a Lender or an Approved Fund of a Lender, in each case so long as such assignee is an Eligible Assignee;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000"/>
          </w:cols>
          <w:pgMar w:left="540" w:top="1382" w:right="359" w:bottom="1440" w:gutter="0" w:footer="0" w:header="0"/>
        </w:sectPr>
      </w:pPr>
    </w:p>
    <w:bookmarkStart w:id="155" w:name="page156"/>
    <w:bookmarkEnd w:id="155"/>
    <w:p>
      <w:pPr>
        <w:ind w:left="1300" w:firstLine="652"/>
        <w:spacing w:after="0" w:line="224" w:lineRule="auto"/>
        <w:tabs>
          <w:tab w:leader="none" w:pos="2587"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for an assignment (I) if an Event of Default has occurred and is continuing or (II) if the assignee is a Lender, an Affiliate of a Lender or an Approved Fund of a Lender that is, in each case, an Eligible Assignee;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Borrower’s consent will be deemed given with respect to a proposed assignment if no response is received with ten (10) Business Days after having received a written request from such Lender pursuant to this Section 10.02(b). For the avoidance of doubt, the Borrower’s non-consent to an assignment or transfer to (I) a Disqualified Institution or (II) if such transfer results in the increased obligations of the Borrower, shall not be deemed to be unreasonable.</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179" w:lineRule="exact"/>
        <w:rPr>
          <w:rFonts w:ascii="Times New Roman" w:cs="Times New Roman" w:eastAsia="Times New Roman" w:hAnsi="Times New Roman"/>
          <w:sz w:val="22"/>
          <w:szCs w:val="22"/>
          <w:color w:val="auto"/>
        </w:rPr>
      </w:pPr>
    </w:p>
    <w:p>
      <w:pPr>
        <w:ind w:left="1300" w:right="540" w:firstLine="652"/>
        <w:spacing w:after="0" w:line="236" w:lineRule="auto"/>
        <w:tabs>
          <w:tab w:leader="none" w:pos="2585"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of any portion of the Total Revolving Commitment, Revolving Loans and LC Exposure shall be made to an Eligible Assignee;</w:t>
      </w:r>
    </w:p>
    <w:p>
      <w:pPr>
        <w:spacing w:after="0" w:line="150" w:lineRule="exact"/>
        <w:rPr>
          <w:rFonts w:ascii="Times New Roman" w:cs="Times New Roman" w:eastAsia="Times New Roman" w:hAnsi="Times New Roman"/>
          <w:sz w:val="22"/>
          <w:szCs w:val="22"/>
          <w:color w:val="auto"/>
        </w:rPr>
      </w:pPr>
    </w:p>
    <w:p>
      <w:pPr>
        <w:ind w:left="1300" w:right="80" w:firstLine="652"/>
        <w:spacing w:after="0" w:line="211" w:lineRule="auto"/>
        <w:tabs>
          <w:tab w:leader="none" w:pos="2587"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with respect to such assignment if an Event of Default has occurred and is continuing;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such assignment shall be in increments of $500,000 in excess of the minimum amount described above;</w:t>
      </w:r>
    </w:p>
    <w:p>
      <w:pPr>
        <w:spacing w:after="0" w:line="151" w:lineRule="exact"/>
        <w:rPr>
          <w:rFonts w:ascii="Times New Roman" w:cs="Times New Roman" w:eastAsia="Times New Roman" w:hAnsi="Times New Roman"/>
          <w:sz w:val="22"/>
          <w:szCs w:val="22"/>
          <w:color w:val="auto"/>
        </w:rPr>
      </w:pPr>
    </w:p>
    <w:p>
      <w:pPr>
        <w:ind w:left="1300" w:right="160" w:firstLine="652"/>
        <w:spacing w:after="0" w:line="236" w:lineRule="auto"/>
        <w:tabs>
          <w:tab w:leader="none" w:pos="2587"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25" w:lineRule="auto"/>
        <w:tabs>
          <w:tab w:leader="none" w:pos="2585"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Acceptance, together with a processing and recordation fee of $3,500 for the account of the Administrative Agent; and</w:t>
      </w:r>
    </w:p>
    <w:p>
      <w:pPr>
        <w:spacing w:after="0" w:line="152" w:lineRule="exact"/>
        <w:rPr>
          <w:rFonts w:ascii="Times New Roman" w:cs="Times New Roman" w:eastAsia="Times New Roman" w:hAnsi="Times New Roman"/>
          <w:sz w:val="22"/>
          <w:szCs w:val="22"/>
          <w:color w:val="auto"/>
        </w:rPr>
      </w:pPr>
    </w:p>
    <w:p>
      <w:pPr>
        <w:ind w:left="1300" w:right="160" w:firstLine="652"/>
        <w:spacing w:after="0" w:line="225" w:lineRule="auto"/>
        <w:tabs>
          <w:tab w:leader="none" w:pos="2588"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was not a Lender immediately prior to such assignment, shall deliver (i) to the Administrative Agent an administrative questionnaire in a form as the Administrative Agent may require and (ii) any documents required to be delivered pursuant to Section 2.14.</w:t>
      </w:r>
    </w:p>
    <w:p>
      <w:pPr>
        <w:spacing w:after="0" w:line="17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For the purposes of this Section 10.02(b), the term “</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with respect to any Lender, any Person (other than a natural person) that is engaged in making, purchasing, holding or investing in bank loans and similar extensions of credit in the ordinary course of its business and that is administered or managed by (a) such Lender, (b) an Affiliate of such Lender or (c) an entity or an Affiliate of an entity that administers or manages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20"/>
          </w:cols>
          <w:pgMar w:left="320" w:top="1395" w:right="359" w:bottom="1440" w:gutter="0" w:footer="0" w:header="0"/>
        </w:sectPr>
      </w:pPr>
    </w:p>
    <w:bookmarkStart w:id="156" w:name="page157"/>
    <w:bookmarkEnd w:id="156"/>
    <w:p>
      <w:pPr>
        <w:ind w:left="440" w:right="100" w:firstLine="644"/>
        <w:spacing w:after="0" w:line="211" w:lineRule="auto"/>
        <w:tabs>
          <w:tab w:leader="none" w:pos="1736"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2.12, 2.13, 2.14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151" w:lineRule="exact"/>
        <w:rPr>
          <w:rFonts w:ascii="Times New Roman" w:cs="Times New Roman" w:eastAsia="Times New Roman" w:hAnsi="Times New Roman"/>
          <w:sz w:val="22"/>
          <w:szCs w:val="22"/>
          <w:color w:val="auto"/>
        </w:rPr>
      </w:pPr>
    </w:p>
    <w:p>
      <w:pPr>
        <w:ind w:left="440" w:firstLine="644"/>
        <w:spacing w:after="0" w:line="222" w:lineRule="auto"/>
        <w:tabs>
          <w:tab w:leader="none" w:pos="1724"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maintain at its offices a copy of each Assignment and Acceptance delivered to it and a register for the recordation of the names and addresses of the Lenders, and the Revolving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Guarantor,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spacing w:after="0" w:line="157" w:lineRule="exact"/>
        <w:rPr>
          <w:rFonts w:ascii="Times New Roman" w:cs="Times New Roman" w:eastAsia="Times New Roman" w:hAnsi="Times New Roman"/>
          <w:sz w:val="21"/>
          <w:szCs w:val="21"/>
          <w:color w:val="auto"/>
        </w:rPr>
      </w:pPr>
    </w:p>
    <w:p>
      <w:pPr>
        <w:ind w:left="440" w:firstLine="644"/>
        <w:spacing w:after="0" w:line="225" w:lineRule="auto"/>
        <w:tabs>
          <w:tab w:leader="none" w:pos="173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no assignment may be made hereunder to any Defaulting Lender or any of its subsidiaries, or any Person who, upon becoming a Lender hereunder, would constitute any of the foregoing Persons described in this clause (v).</w:t>
      </w:r>
    </w:p>
    <w:p>
      <w:pPr>
        <w:spacing w:after="0" w:line="152" w:lineRule="exact"/>
        <w:rPr>
          <w:rFonts w:ascii="Times New Roman" w:cs="Times New Roman" w:eastAsia="Times New Roman" w:hAnsi="Times New Roman"/>
          <w:sz w:val="22"/>
          <w:szCs w:val="22"/>
          <w:color w:val="auto"/>
        </w:rPr>
      </w:pPr>
    </w:p>
    <w:p>
      <w:pPr>
        <w:ind w:left="440" w:firstLine="644"/>
        <w:spacing w:after="0" w:line="209" w:lineRule="auto"/>
        <w:tabs>
          <w:tab w:leader="none" w:pos="1724"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55" w:lineRule="exact"/>
        <w:rPr>
          <w:rFonts w:ascii="Times New Roman" w:cs="Times New Roman" w:eastAsia="Times New Roman" w:hAnsi="Times New Roman"/>
          <w:sz w:val="22"/>
          <w:szCs w:val="22"/>
          <w:color w:val="auto"/>
        </w:rPr>
      </w:pPr>
    </w:p>
    <w:p>
      <w:pPr>
        <w:ind w:left="-220" w:right="120" w:firstLine="656"/>
        <w:spacing w:after="0" w:line="236" w:lineRule="auto"/>
        <w:tabs>
          <w:tab w:leader="none" w:pos="107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000"/>
          </w:cols>
          <w:pgMar w:left="540" w:top="1395" w:right="359" w:bottom="1440" w:gutter="0" w:footer="0" w:header="0"/>
        </w:sectPr>
      </w:pPr>
    </w:p>
    <w:bookmarkStart w:id="157" w:name="page158"/>
    <w:bookmarkEnd w:id="157"/>
    <w:p>
      <w:pPr>
        <w:ind w:right="240"/>
        <w:spacing w:after="0" w:line="222" w:lineRule="auto"/>
        <w:rPr>
          <w:sz w:val="20"/>
          <w:szCs w:val="20"/>
          <w:color w:val="auto"/>
        </w:rPr>
      </w:pPr>
      <w:r>
        <w:rPr>
          <w:rFonts w:ascii="Times New Roman" w:cs="Times New Roman" w:eastAsia="Times New Roman" w:hAnsi="Times New Roman"/>
          <w:sz w:val="21"/>
          <w:szCs w:val="21"/>
          <w:color w:val="auto"/>
        </w:rPr>
        <w:t xml:space="preserve">any written consent to such assignment required by paragraph (b) of this Section, the Administrative Agent shall accept such Assignment and Acceptance and record the information contained therein in the Register;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either the assigning Lender or the assignee shall have failed to make any payment required to be made by it pursuant to Section 2.04(a), 8.04,</w:t>
      </w:r>
    </w:p>
    <w:p>
      <w:pPr>
        <w:spacing w:after="0" w:line="2"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22"/>
          <w:szCs w:val="22"/>
          <w:color w:val="auto"/>
        </w:rPr>
        <w:t>10.02(b),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4" w:lineRule="exact"/>
        <w:rPr>
          <w:sz w:val="20"/>
          <w:szCs w:val="20"/>
          <w:color w:val="auto"/>
        </w:rPr>
      </w:pPr>
    </w:p>
    <w:p>
      <w:pPr>
        <w:ind w:firstLine="656"/>
        <w:spacing w:after="0" w:line="223" w:lineRule="auto"/>
        <w:tabs>
          <w:tab w:leader="none" w:pos="1291"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the Borrower, the Administrative Agent or any Issuing Lender,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 and the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(C) the Borrower, the Administrative Agent, the Security Trustee, the Issuing Lenders and the other Lenders shall continue to deal solely and directly with such Lender in connection with such Lender’s rights and obligations under this Agreement, and (D) no Participant may be an Affiliate of the Borrower or the Guarantor, or any natural person (or a holding company, investment vehicle or trust for, or owned and operated by or for the primary benefit of any natural person) or, unless an Event of Default has occurred which is continuing, a Disqualified Institution. For the avoidance of doubt, each Lender shall be responsible for the indemnity under Section 10.04(b)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Section 10.08(a) that affects such Participant. The Borrower agrees that each Participant shall be entitled to the benefits of Sections 2.12, 2.13 and 2.14 (subject to the requirements and limitations therein, including the requirements under Section 2.14(e) (it being understood that the documentation required under Section 2.14(e) shall be delivered to the participating Lender)) to the same extent as if it were a Lender and had acquired its interest by assignment pursuant to Section 10.02(b); provided that such Participant (A) agrees to be subject to the provisions of Section 2.17 as if it were an assignee under Section 10.02(b) and (B) shall not be entitled to receive any greater payment under Section 2.12, 2.13 or 2.14, with respect to any participation, than its participating Lender would have been entitled to receive. To the extent permitted by law, each Participant also shall be entitled to the benefits of Section 2.22 as though it were a Lender, provided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the Borrower, the Guarantor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160"/>
          </w:cols>
          <w:pgMar w:left="320" w:top="1395" w:right="419" w:bottom="1440" w:gutter="0" w:footer="0" w:header="0"/>
        </w:sectPr>
      </w:pPr>
    </w:p>
    <w:bookmarkStart w:id="158" w:name="page159"/>
    <w:bookmarkEnd w:id="158"/>
    <w:p>
      <w:pPr>
        <w:ind w:right="60" w:firstLine="656"/>
        <w:spacing w:after="0" w:line="227" w:lineRule="auto"/>
        <w:tabs>
          <w:tab w:leader="none" w:pos="129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other central bank having jurisdiction over such Lender, and this Section 10.02 shall not apply to any such pledge or assignment of a security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153" w:lineRule="exact"/>
        <w:rPr>
          <w:rFonts w:ascii="Times New Roman" w:cs="Times New Roman" w:eastAsia="Times New Roman" w:hAnsi="Times New Roman"/>
          <w:sz w:val="21"/>
          <w:szCs w:val="21"/>
          <w:color w:val="auto"/>
        </w:rPr>
      </w:pPr>
    </w:p>
    <w:p>
      <w:pPr>
        <w:ind w:firstLine="656"/>
        <w:spacing w:after="0" w:line="215"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the Guarantor furnished to such Lender by or on behalf of the Borrower or the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52"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Each Lender agrees to keep any information delivered or made available by the Borrower or the Guarantor to it confidential, in accordance with its customary procedures, from anyone other than persons employed or retained by such Lender who are or are expected to become engaged in evaluating, approving, structuring or administering the Loans, and who are advised by such Lender of the confidential nature of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prevent any Lender from disclosing such information (a) to any of its Affiliates and their respective agents and advisors (it being understood that the Persons to whom such disclosure is made will be informed of the confidential nature of such information and instructed to keep such information confidential) or to any other Lender or any other party hereto, (b) to the extent required by applicable laws or by any subpoena or similar legal process or upon the order of any court or administrative agency, (c) to the extent required or requested by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or enforcement of rights hereunder, (g) to such Lender’s legal counsel and independent auditors, (h) on a confidential basis to any rating agency in connection with rating the Borrower and its Subsidiaries or the Revolving Facility, (i) with the consent of the Borrower, (j) to any actual or proposed participant or assignee of all or part of its rights hereunder, to any direct or indirect contractual counterparty (or the professional advisors thereto) to any swap or derivative transaction relating to the Borrower and its obligations or to any credit insurance provider relating to the Borrower and its obligations, in each case, subject to the proviso in Section 10.02(f) (with any reference to any assignee or participant set forth in such proviso being deemed to include a reference to such contractual counterparty or credit insurance provider for purposes of this Section 10.03(j)), and (k) to any other party to this Agreement. If any Lender is in any manner requested or required to disclose any of the information delivered or made available to it by the Borrower or the Guarantor under clause (b) or (e) of this Section, such Lender will, to the extent permitted by law, provide the Borrower or the Guarantor with prompt notice, to the extent reasonable, so that the Borrower or the Guarantor may seek, at its sole expense, a protective order or other appropriate remedy or may waive compliance with this Section 10.03.</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 w:firstLine="656"/>
        <w:spacing w:after="0" w:line="236" w:lineRule="auto"/>
        <w:tabs>
          <w:tab w:leader="none" w:pos="129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Borrower shall pay or reimburse: (A) all reasonable and documented out-of-pocket expenses of the Agents and the Lenders (including the fees, disbursements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20"/>
          </w:cols>
          <w:pgMar w:left="320" w:top="1395" w:right="359" w:bottom="1440" w:gutter="0" w:footer="0" w:header="0"/>
        </w:sectPr>
      </w:pPr>
    </w:p>
    <w:bookmarkStart w:id="159" w:name="page160"/>
    <w:bookmarkEnd w:id="159"/>
    <w:p>
      <w:pPr>
        <w:ind w:right="40"/>
        <w:spacing w:after="0" w:line="220" w:lineRule="auto"/>
        <w:rPr>
          <w:sz w:val="20"/>
          <w:szCs w:val="20"/>
          <w:color w:val="auto"/>
        </w:rPr>
      </w:pPr>
      <w:r>
        <w:rPr>
          <w:rFonts w:ascii="Times New Roman" w:cs="Times New Roman" w:eastAsia="Times New Roman" w:hAnsi="Times New Roman"/>
          <w:sz w:val="21"/>
          <w:szCs w:val="21"/>
          <w:color w:val="auto"/>
        </w:rPr>
        <w:t xml:space="preserve">charges of Clifford Chance US LLP, special counsel to the Lenders) associated with the syndication of the credit facilities provided for herein, and the preparation, execution and delivery of the Loan Documents and any amendments, modifications or waivers of the provisions hereof requested by the Borrower (whether or not the transactions contemplated hereby or thereby shall be consummated),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expense in excess of $5,000 shall have been approved by the Borrower in writing prior to the incurrence of such expense; and (B) in connection with any enforcement of the Loan Documents, (x) all fees and documented out-of-pocket expenses of each Agent (including the reasonable fees, disbursements and other charges of a single counsel for each of the Agents) incurred during the continuance of a Default, and (y) all such fees and documented expenses of each Agent and the Lenders (including the reasonable fees, disbursements and other charges of counsel for the Agents and the Lenders) incurred during the continuance of an Event of Default; and (C) all reasonable, documented, out-of-pocket costs, expenses, taxes, assessments and other charges (including the reasonable fees, disbursements and other charges of counsel for the Agents) incurred by any Agent in connection with any filing, registration, recording or perfection of any security interest contemplated by any Loan Document or incurred in connection with any release or addition of Collateral after the Effective Date.</w:t>
      </w:r>
    </w:p>
    <w:p>
      <w:pPr>
        <w:spacing w:after="0" w:line="152" w:lineRule="exact"/>
        <w:rPr>
          <w:sz w:val="20"/>
          <w:szCs w:val="20"/>
          <w:color w:val="auto"/>
        </w:rPr>
      </w:pPr>
    </w:p>
    <w:p>
      <w:pPr>
        <w:ind w:firstLine="1304"/>
        <w:spacing w:after="0" w:line="225" w:lineRule="auto"/>
        <w:tabs>
          <w:tab w:leader="none" w:pos="1938"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reimbursements pursuant to the foregoing clause (a)(i) shall be paid within thirty (30) days of written demand in reasonable detail and properly addressed to the Borrower and together with back-up documentation supporting such reimbursement request.</w:t>
      </w:r>
    </w:p>
    <w:p>
      <w:pPr>
        <w:spacing w:after="0" w:line="152" w:lineRule="exact"/>
        <w:rPr>
          <w:rFonts w:ascii="Times New Roman" w:cs="Times New Roman" w:eastAsia="Times New Roman" w:hAnsi="Times New Roman"/>
          <w:sz w:val="22"/>
          <w:szCs w:val="22"/>
          <w:color w:val="auto"/>
        </w:rPr>
      </w:pPr>
    </w:p>
    <w:p>
      <w:pPr>
        <w:ind w:right="20" w:firstLine="656"/>
        <w:spacing w:after="0" w:line="217" w:lineRule="auto"/>
        <w:tabs>
          <w:tab w:leader="none" w:pos="129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indemnify the Administrative Agent, the Security Trustee, the Issuing Lenders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losses, claims, damages, liabilities and related expenses, including the reasonable fees, charges and disbursements of any counsel for any Indemnitee, arising out of, in connection with, or as a result of any actual or prospective claim, litigation, investigation or proceeding,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(including any investigating, preparing for or defending any such claims, actions, suits, investigations or proceedings, whether or not in connection with pending or threatened litigation in which such Indemnitee is a party),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Borrower or any of its Subsidiaries, or any Environmental Liability related in any way to, or asserted against, the Borrower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bad faith (except in the case of any Agent or Agent’s Related Party), gross negligence or willful misconduct of such Indemnitee (or of any Related Party that is a controlled Affiliate of such Indemnitee (a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Related Party</w:t>
      </w:r>
      <w:r>
        <w:rPr>
          <w:rFonts w:ascii="Times New Roman" w:cs="Times New Roman" w:eastAsia="Times New Roman" w:hAnsi="Times New Roman"/>
          <w:sz w:val="21"/>
          <w:szCs w:val="21"/>
          <w:color w:val="auto"/>
        </w:rPr>
        <w:t>”)), and any such Indemnitee shall repay the Borrower the amount of any expenses previously reimbursed by the Borrower in connection with any such loss, claims, damages, expenses or liability to such Indemnitee and, to the extent not repaid by any of them, such Indemnitee’s Controlled Related Parties not a party to this Agreement. This Section 10.04(b) shall not apply with respect to Taxes other than Taxes that represent losses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5" w:right="339" w:bottom="1440" w:gutter="0" w:footer="0" w:header="0"/>
        </w:sectPr>
      </w:pPr>
    </w:p>
    <w:bookmarkStart w:id="160" w:name="page161"/>
    <w:bookmarkEnd w:id="160"/>
    <w:p>
      <w:pPr>
        <w:ind w:left="-8" w:right="20" w:firstLine="656"/>
        <w:spacing w:after="0" w:line="215" w:lineRule="auto"/>
        <w:tabs>
          <w:tab w:leader="none" w:pos="128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any action or proceeding shall be brought or asserted against an Indemnitee in respect of which indemnity may be sought against the Borrower under the provisions of any Loan Document, such Indemnitee shall promptly notify the Borrower in writing to the extent legally permitted and the Borrower shall, if requested by such Indemnitee or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without the prior written consent of Indemnitees, enter into any settlement of any such action or proceeding unless such settlement (i) includes an unconditional release of such Indemnitee in form and substance reasonably satisfactory to such Indemnitee from all liability or claims that are the subject matter of such proceedings and (ii) does not include any statement as to or any admission of fault, culpability, wrong doing or a failure to act by or on behalf of any Indemnitee.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(ii) the Borrower has failed to assume the defense of such action or proceeding and employ counsel reasonably satisfactory to the Indemnitees, (iii)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or</w:t>
      </w:r>
    </w:p>
    <w:p>
      <w:pPr>
        <w:spacing w:after="0" w:line="18" w:lineRule="exact"/>
        <w:rPr>
          <w:rFonts w:ascii="Times New Roman" w:cs="Times New Roman" w:eastAsia="Times New Roman" w:hAnsi="Times New Roman"/>
          <w:sz w:val="21"/>
          <w:szCs w:val="21"/>
          <w:color w:val="auto"/>
        </w:rPr>
      </w:pPr>
    </w:p>
    <w:p>
      <w:pPr>
        <w:ind w:left="-8" w:right="100" w:firstLine="8"/>
        <w:spacing w:after="0" w:line="208" w:lineRule="auto"/>
        <w:tabs>
          <w:tab w:leader="none" w:pos="35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Indemnitee has notified the Borrower of the existence of an actual or perceived conflict of interest,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local counsel, except in the case where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and existing counsel shall not agree to pursue such legal defense, in which case, if the Indemnitees notify the Borrower in writing that they elect to employ separate counsel at the expense of the Borrower. The Borrower shall not be liable for any settlement of any such action or proceeding effected without the written consent of the Borrower (which shall not be unreasonably withheld or delayed).</w:t>
      </w:r>
    </w:p>
    <w:p>
      <w:pPr>
        <w:spacing w:after="0" w:line="149" w:lineRule="exact"/>
        <w:rPr>
          <w:rFonts w:ascii="Times New Roman" w:cs="Times New Roman" w:eastAsia="Times New Roman" w:hAnsi="Times New Roman"/>
          <w:sz w:val="22"/>
          <w:szCs w:val="22"/>
          <w:color w:val="auto"/>
        </w:rPr>
      </w:pPr>
    </w:p>
    <w:p>
      <w:pPr>
        <w:ind w:left="-8" w:firstLine="656"/>
        <w:spacing w:after="0" w:line="212" w:lineRule="auto"/>
        <w:tabs>
          <w:tab w:leader="none" w:pos="128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Borrower fails to pay any amount required to be paid by it to the Administrative Agent or the Security Trustee (or any Related Party of the Administrative Agent or Security Trustee) under paragraph (a) or (b) of this Section 10.04, each Lender severally agrees to pay to the Administrative Agent or the Security Trustee, as the case may be, such portion of the unpaid amount equal to such Lender’s Aggregate Exposure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has not been determined by a court of competent jurisdiction by final and nonappealable judgment to have resulted from the gross negligence or willful misconduct of the Administrative Agent or the Security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32"/>
          </w:cols>
          <w:pgMar w:left="328" w:top="1395" w:right="339" w:bottom="1440" w:gutter="0" w:footer="0" w:header="0"/>
        </w:sectPr>
      </w:pPr>
    </w:p>
    <w:bookmarkStart w:id="161" w:name="page162"/>
    <w:bookmarkEnd w:id="161"/>
    <w:p>
      <w:pPr>
        <w:ind w:right="40" w:firstLine="656"/>
        <w:spacing w:after="0" w:line="220" w:lineRule="auto"/>
        <w:tabs>
          <w:tab w:leader="none" w:pos="129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clause (e) shall relieve the Borrower of any obligation it may have to indemnify an Indemnitee pursuant to, and in accordance with the terms of, paragraphs (b) and (c) of this Section 10.04.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determined in a final and non-appealable judgment by a court of competent jurisdiction to have arisen from the bad faith (except in the case of any Agent or Agent’s Related Party), willful misconduct or gross negligence of such Indemnitee or any Controlled Related Party of such Indemnitee).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in accordance with and governed by the law of the State of New York.</w:t>
      </w:r>
    </w:p>
    <w:p>
      <w:pPr>
        <w:spacing w:after="0" w:line="179" w:lineRule="exact"/>
        <w:rPr>
          <w:rFonts w:ascii="Times New Roman" w:cs="Times New Roman" w:eastAsia="Times New Roman" w:hAnsi="Times New Roman"/>
          <w:sz w:val="22"/>
          <w:szCs w:val="22"/>
          <w:color w:val="auto"/>
        </w:rPr>
      </w:pPr>
    </w:p>
    <w:p>
      <w:pPr>
        <w:ind w:firstLine="656"/>
        <w:spacing w:after="0" w:line="211"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court or, to the extent permitted by law, in such Federal court; provided that this clause (b) shall not limit or affect any right that any Agent or any Lender may otherwise have to bring any action or proceeding relating to this Agreement or any other Loan Document against the Borrower or its property in the courts of any jurisdiction in which any Collateral is located.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51" w:lineRule="exact"/>
        <w:rPr>
          <w:rFonts w:ascii="Times New Roman" w:cs="Times New Roman" w:eastAsia="Times New Roman" w:hAnsi="Times New Roman"/>
          <w:sz w:val="22"/>
          <w:szCs w:val="22"/>
          <w:color w:val="auto"/>
        </w:rPr>
      </w:pPr>
    </w:p>
    <w:p>
      <w:pPr>
        <w:ind w:right="20" w:firstLine="656"/>
        <w:spacing w:after="0" w:line="217" w:lineRule="auto"/>
        <w:tabs>
          <w:tab w:leader="none" w:pos="12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ind w:right="480" w:firstLine="656"/>
        <w:spacing w:after="0" w:line="225"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on the part of the Administrative Agent, the Security Trustee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20"/>
          </w:cols>
          <w:pgMar w:left="320" w:top="1395" w:right="359" w:bottom="1440" w:gutter="0" w:footer="0" w:header="0"/>
        </w:sectPr>
      </w:pPr>
    </w:p>
    <w:bookmarkStart w:id="162" w:name="page163"/>
    <w:bookmarkEnd w:id="162"/>
    <w:p>
      <w:pPr>
        <w:ind w:right="20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Extension of Maturity</w:t>
      </w:r>
      <w:r>
        <w:rPr>
          <w:rFonts w:ascii="Times New Roman" w:cs="Times New Roman" w:eastAsia="Times New Roman" w:hAnsi="Times New Roman"/>
          <w:sz w:val="21"/>
          <w:szCs w:val="21"/>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Amendments, etc.</w:t>
      </w:r>
    </w:p>
    <w:p>
      <w:pPr>
        <w:spacing w:after="0" w:line="179" w:lineRule="exact"/>
        <w:rPr>
          <w:sz w:val="20"/>
          <w:szCs w:val="20"/>
          <w:color w:val="auto"/>
        </w:rPr>
      </w:pPr>
    </w:p>
    <w:p>
      <w:pPr>
        <w:ind w:right="20" w:firstLine="656"/>
        <w:spacing w:after="0" w:line="212" w:lineRule="auto"/>
        <w:tabs>
          <w:tab w:leader="none" w:pos="12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modification, amendment or waiver of any provision of (i) this Agreement, and no consent to any departure by the Borrower or the Guarantor therefrom, shall in any event be effective unless the same shall be in writing and signed by the Required Lenders (or signed by the Administrative Agent with the consent of the Required Lenders) or (ii) any Collateral Document, and no consent to any departure by the Borrower or the Guarantor therefrom, shall in any event be effective unless the same shall be in writing and signed by the Security Trustee (with the consent of the Required Lenders), and, in each case, then such waiver or consent shall be effective only in the specific instance and for the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Sections 2.06(c) and 2.27 of this Agreement, no such modification or amendment shall without the prior written consent of:</w:t>
      </w:r>
    </w:p>
    <w:p>
      <w:pPr>
        <w:spacing w:after="0" w:line="156" w:lineRule="exact"/>
        <w:rPr>
          <w:rFonts w:ascii="Times New Roman" w:cs="Times New Roman" w:eastAsia="Times New Roman" w:hAnsi="Times New Roman"/>
          <w:sz w:val="22"/>
          <w:szCs w:val="22"/>
          <w:color w:val="auto"/>
        </w:rPr>
      </w:pPr>
    </w:p>
    <w:p>
      <w:pPr>
        <w:ind w:left="660" w:right="80" w:firstLine="644"/>
        <w:spacing w:after="0" w:line="213" w:lineRule="auto"/>
        <w:tabs>
          <w:tab w:leader="none" w:pos="1944"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(B) extend any date for the payment of principal, interest or Fees hereunder or reduce any Fees or other amounts payable to any Lender or Agent under the Loan Documents or extend the final stated maturity of the Revolving Loans or reimbursement or cash collateralization obligations in respect of Letters of Credit, or (C) change the order of application of any proceeds of the Collateral in a manner adverse to such Lender; and</w:t>
      </w:r>
    </w:p>
    <w:p>
      <w:pPr>
        <w:spacing w:after="0" w:line="156" w:lineRule="exact"/>
        <w:rPr>
          <w:rFonts w:ascii="Times New Roman" w:cs="Times New Roman" w:eastAsia="Times New Roman" w:hAnsi="Times New Roman"/>
          <w:sz w:val="22"/>
          <w:szCs w:val="22"/>
          <w:color w:val="auto"/>
        </w:rPr>
      </w:pPr>
    </w:p>
    <w:p>
      <w:pPr>
        <w:ind w:left="660" w:right="20" w:firstLine="644"/>
        <w:spacing w:after="0" w:line="217" w:lineRule="auto"/>
        <w:tabs>
          <w:tab w:leader="none" w:pos="1950"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Lenders (A) amend or modify any provision of this Agreement which provides for the unanimous consent or approval of the Lenders, (B) amend this Section 10.08 that has the effect of changing the number or percentage of Lenders that must approve any modification, amendment, waiver or consent or modify the percentage of the Lenders required in the definition of Required Lenders, (C) release all or substantially all of the Collateral from the Liens granted to the Security Trustee hereunder or under any other Loan Document, (D) subordinate the Liens granted to any Secured Party hereunder or under any other Loan Document to any Lien securing any other Indebtedness of the Borrower or its Subsidiaries, (E) subordinate the Obligations owing to any Secured Party hereunder or under any other Loan Document to any other Indebtedness of the Borrower or its Subsidiaries, (F) amend, modify or waive any provision of Section 2.15(b),</w:t>
      </w:r>
    </w:p>
    <w:p>
      <w:pPr>
        <w:spacing w:after="0" w:line="5" w:lineRule="exact"/>
        <w:rPr>
          <w:rFonts w:ascii="Times New Roman" w:cs="Times New Roman" w:eastAsia="Times New Roman" w:hAnsi="Times New Roman"/>
          <w:sz w:val="21"/>
          <w:szCs w:val="21"/>
          <w:color w:val="auto"/>
        </w:rPr>
      </w:pPr>
    </w:p>
    <w:p>
      <w:pPr>
        <w:ind w:left="660"/>
        <w:spacing w:after="0" w:line="2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 release the Guarantor from the Guaranty Obligations, (H) reduce or amend the principal amount of any Loan, any reimbursement obligation in respect of any Letter of Credit issued by it, or the rate of interest payable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(or in the case of any such reimbursement obligation, the applicable Issuing Lender) shall be necessary for a waiver of default interest referred to in Section 2.07), (I) extend the expiration date of any Letter of Credit beyond the maximum period permitted by Section 2.02, or (J) amend, modify or waive any provision of Section 8.08;</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Collateral Document may be amended, supplemented or otherwise modified with the consent of the Borrower and the Security Trustee (i) to add assets (or categories of assets) to the Collateral covered by such Collateral Document, as contemplated by the definition of "Additional Collateral" set forth in Section 1.01 hereof or (ii) to remove any asset or type or category of asset (including after-acquired assets of that type or category)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the Collateral covered by such Collateral Document to the extent the release thereof is permitted by Section 6.08(c).</w:t>
      </w:r>
    </w:p>
    <w:p>
      <w:pPr>
        <w:spacing w:after="0" w:line="220"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No amendment or modification shall adversely affect the rights and obligations of the Administrative Agent, the Security Trustee or any Issuing Lender under any Loan Document without its prior written consent.</w:t>
      </w:r>
    </w:p>
    <w:p>
      <w:pPr>
        <w:spacing w:after="0" w:line="144" w:lineRule="exact"/>
        <w:rPr>
          <w:sz w:val="20"/>
          <w:szCs w:val="20"/>
          <w:color w:val="auto"/>
        </w:rPr>
      </w:pPr>
    </w:p>
    <w:p>
      <w:pPr>
        <w:ind w:right="80" w:firstLine="656"/>
        <w:spacing w:after="0" w:line="217"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notice to or demand on the Borrower or the Guarantor shall entitle the Borrower or the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the Guarantor unless signed by the Borrower or the Guarantor, as the case may be.</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3"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Section 10.08(a), (i) in the event that either the Borrower requests that this Agreement be modified or amended in a manner which would require the unanimous consent of all of the Lenders or the consent of all Lenders directly and adversely affected thereby and, in each case, such modification or amendment is agreed to by the Required Lenders, then, so long as no Default or Event of Default has occurred and is continuing, the Borrower may replace any non-consenting Lender in accordance with Section 10.02;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amendment or modification can be effected as a result of the assignment contemplated by such Section (together with all other such assignments required by the Borrower to be made pursuant to this clause (i)); and (ii)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57" w:lineRule="exact"/>
        <w:rPr>
          <w:rFonts w:ascii="Times New Roman" w:cs="Times New Roman" w:eastAsia="Times New Roman" w:hAnsi="Times New Roman"/>
          <w:sz w:val="21"/>
          <w:szCs w:val="21"/>
          <w:color w:val="auto"/>
        </w:rPr>
      </w:pPr>
    </w:p>
    <w:p>
      <w:pPr>
        <w:ind w:right="80" w:firstLine="656"/>
        <w:spacing w:after="0" w:line="213"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Loans and the accrued interest and fees in respect thereof and (b) to include appropriately the Lenders holding such credit facilities in any determination of the Required Lenders.</w:t>
      </w:r>
    </w:p>
    <w:p>
      <w:pPr>
        <w:spacing w:after="0" w:line="156" w:lineRule="exact"/>
        <w:rPr>
          <w:rFonts w:ascii="Times New Roman" w:cs="Times New Roman" w:eastAsia="Times New Roman" w:hAnsi="Times New Roman"/>
          <w:sz w:val="22"/>
          <w:szCs w:val="22"/>
          <w:color w:val="auto"/>
        </w:rPr>
      </w:pPr>
    </w:p>
    <w:p>
      <w:pPr>
        <w:ind w:firstLine="656"/>
        <w:spacing w:after="0" w:line="213" w:lineRule="auto"/>
        <w:tabs>
          <w:tab w:leader="none" w:pos="129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notwithstanding anything to the contrary contained in Section 7.01 or Section 10.08(a), following the consummation of any Extension pursuant to Section 2.26, no modification, amendment or waiver (including, for the avoidance of doubt, any forbearance agreement entered into with respect to this Agreement) shall limit the right of any non-extending Revolving Lender (each, a “</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to enforce its right to receive payment of amounts due and owing to such Non-Extending Lender on the Revolving Facility Maturity Date applicable to the Revolving Commitments of such Non-Extending Lenders without the prior written consent of Non-Extending Lenders that would constitute Required Lenders if the Non-Extending Lenders were the only Lenders hereunder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00"/>
          </w:cols>
          <w:pgMar w:left="320" w:top="1422" w:right="379" w:bottom="1440" w:gutter="0" w:footer="0" w:header="0"/>
        </w:sectPr>
      </w:pPr>
    </w:p>
    <w:bookmarkStart w:id="164" w:name="page165"/>
    <w:bookmarkEnd w:id="164"/>
    <w:p>
      <w:pPr>
        <w:ind w:firstLine="656"/>
        <w:spacing w:after="0" w:line="225"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the amendment provisions of this Section 10.08 shall not apply to extensions of the Revolving Facility Maturity Date or the maturity date of any tranche of Revolving Commitments, in each case, made in accordance with Section 2.26.</w:t>
      </w:r>
    </w:p>
    <w:p>
      <w:pPr>
        <w:spacing w:after="0" w:line="15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2"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Agreement.</w:t>
      </w:r>
    </w:p>
    <w:p>
      <w:pPr>
        <w:spacing w:after="0" w:line="150" w:lineRule="exact"/>
        <w:rPr>
          <w:sz w:val="20"/>
          <w:szCs w:val="20"/>
          <w:color w:val="auto"/>
        </w:rPr>
      </w:pPr>
    </w:p>
    <w:p>
      <w:pPr>
        <w:ind w:right="14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Security Trustee, any Issuing Lender or any Lender may have had notice or knowledge of any Event of Default or incorrect representation or warranty at the time any credit is extended hereunder. The provisions of Sections 2.12, 2.13, 2.14, 2.15 and 10.04 and Section 8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Execution in Counterparts; Integration; Effectiveness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656"/>
        <w:spacing w:after="0" w:line="211" w:lineRule="auto"/>
        <w:tabs>
          <w:tab w:leader="none" w:pos="129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email or electronic .pdf copy shall be effective as delivery of a manually executed counterpart of this Agreement.</w:t>
      </w:r>
    </w:p>
    <w:p>
      <w:pPr>
        <w:spacing w:after="0" w:line="158" w:lineRule="exact"/>
        <w:rPr>
          <w:rFonts w:ascii="Times New Roman" w:cs="Times New Roman" w:eastAsia="Times New Roman" w:hAnsi="Times New Roman"/>
          <w:sz w:val="22"/>
          <w:szCs w:val="22"/>
          <w:color w:val="auto"/>
        </w:rPr>
      </w:pPr>
    </w:p>
    <w:p>
      <w:pPr>
        <w:ind w:right="120" w:firstLine="656"/>
        <w:spacing w:after="0" w:line="215" w:lineRule="auto"/>
        <w:tabs>
          <w:tab w:leader="none" w:pos="12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“execution”, “signed”, “signature”, and words of like import in this Agreement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Lender that is subject to the requirements of the Patriot Act hereby notifies the Borrower and the Guarantor that pursuant to the requirements of the Act, it is required to obtain, verify and record information that identifies the Borrower and the Guarantor, which information includes the name and address of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20"/>
          </w:cols>
          <w:pgMar w:left="320" w:top="1395" w:right="359" w:bottom="1440" w:gutter="0" w:footer="0" w:header="0"/>
        </w:sectPr>
      </w:pPr>
    </w:p>
    <w:bookmarkStart w:id="165" w:name="page166"/>
    <w:bookmarkEnd w:id="165"/>
    <w:p>
      <w:pPr>
        <w:ind w:right="200"/>
        <w:spacing w:after="0" w:line="236" w:lineRule="auto"/>
        <w:rPr>
          <w:sz w:val="20"/>
          <w:szCs w:val="20"/>
          <w:color w:val="auto"/>
        </w:rPr>
      </w:pPr>
      <w:r>
        <w:rPr>
          <w:rFonts w:ascii="Times New Roman" w:cs="Times New Roman" w:eastAsia="Times New Roman" w:hAnsi="Times New Roman"/>
          <w:sz w:val="22"/>
          <w:szCs w:val="22"/>
          <w:color w:val="auto"/>
        </w:rPr>
        <w:t>Guarantor and other information that will allow such Lender to identify the Borrower and the Guarantor in accordance with the Patriot Act.</w:t>
      </w:r>
    </w:p>
    <w:p>
      <w:pPr>
        <w:spacing w:after="0" w:line="150"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New Value</w:t>
      </w:r>
      <w:r>
        <w:rPr>
          <w:rFonts w:ascii="Times New Roman" w:cs="Times New Roman" w:eastAsia="Times New Roman" w:hAnsi="Times New Roman"/>
          <w:sz w:val="22"/>
          <w:szCs w:val="22"/>
          <w:color w:val="auto"/>
        </w:rPr>
        <w:t>. It is the intention of the parties hereto that any provision of Collateral by the Borrower as a condition to, or in connection with, the making of any Loan or the issuance of any Letter of Credit hereunder, shall be made as a contemporaneous exchange for new value given by the Lenders or Issuing Lenders, as the case may be, to the Borrower.</w:t>
      </w:r>
    </w:p>
    <w:p>
      <w:pPr>
        <w:spacing w:after="0" w:line="152"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w:t>
      </w:r>
    </w:p>
    <w:p>
      <w:pPr>
        <w:spacing w:after="0" w:line="150"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No Fiduciary Duty</w:t>
      </w:r>
      <w:r>
        <w:rPr>
          <w:rFonts w:ascii="Times New Roman" w:cs="Times New Roman" w:eastAsia="Times New Roman" w:hAnsi="Times New Roman"/>
          <w:sz w:val="21"/>
          <w:szCs w:val="21"/>
          <w:color w:val="auto"/>
        </w:rPr>
        <w:t>. The Administrative Agent, the Security Trustee, each Lender and their respective Affiliates (collectively, solely for purposes of this paragraph,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may have economic interests that conflict with those of the Borrower, its stockholders and/or its affiliates. The Borrower agree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w:t>
      </w:r>
    </w:p>
    <w:p>
      <w:pPr>
        <w:spacing w:after="0" w:line="8" w:lineRule="exact"/>
        <w:rPr>
          <w:sz w:val="20"/>
          <w:szCs w:val="20"/>
          <w:color w:val="auto"/>
        </w:rPr>
      </w:pPr>
    </w:p>
    <w:p>
      <w:pPr>
        <w:ind w:right="160" w:firstLine="8"/>
        <w:spacing w:after="0" w:line="211" w:lineRule="auto"/>
        <w:tabs>
          <w:tab w:leader="none" w:pos="30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 acting solely as principal and not as the agent or fiduciary of the Borrower, its management, stockholders, affiliates,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54"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Intercreditor Agreements</w:t>
      </w:r>
      <w:r>
        <w:rPr>
          <w:rFonts w:ascii="Times New Roman" w:cs="Times New Roman" w:eastAsia="Times New Roman" w:hAnsi="Times New Roman"/>
          <w:sz w:val="21"/>
          <w:szCs w:val="21"/>
          <w:color w:val="auto"/>
        </w:rPr>
        <w:t>. Notwithstanding anything to the contrary contained in this Agreement, if at any time the Administrative Agent and the Security Trustee shall enter into any intercreditor agreement in accordance with Section 10.08(a) (any such intercreditor agreement, an “</w:t>
      </w:r>
      <w:r>
        <w:rPr>
          <w:rFonts w:ascii="Times New Roman" w:cs="Times New Roman" w:eastAsia="Times New Roman" w:hAnsi="Times New Roman"/>
          <w:sz w:val="21"/>
          <w:szCs w:val="21"/>
          <w:u w:val="single" w:color="auto"/>
          <w:color w:val="auto"/>
        </w:rPr>
        <w:t>Intercreditor Agreement</w:t>
      </w:r>
      <w:r>
        <w:rPr>
          <w:rFonts w:ascii="Times New Roman" w:cs="Times New Roman" w:eastAsia="Times New Roman" w:hAnsi="Times New Roman"/>
          <w:sz w:val="21"/>
          <w:szCs w:val="21"/>
          <w:color w:val="auto"/>
        </w:rPr>
        <w:t>”) and such Intercreditor Agreement shall remain outstanding, the rights granted to the Secured Parties hereunder and under the other Loan Documents, the lien and security interest granted to the Security Trustee pursuant to this Agreement or any other Loan Document and the exercise of any right or remedy by any Agent hereunder or under any other Loan Document shall be subject to the terms and conditions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00"/>
          </w:cols>
          <w:pgMar w:left="320" w:top="1395" w:right="379" w:bottom="1440" w:gutter="0" w:footer="0" w:header="0"/>
        </w:sectPr>
      </w:pPr>
    </w:p>
    <w:bookmarkStart w:id="166" w:name="page167"/>
    <w:bookmarkEnd w:id="166"/>
    <w:p>
      <w:pPr>
        <w:ind w:right="120"/>
        <w:spacing w:after="0" w:line="220" w:lineRule="auto"/>
        <w:rPr>
          <w:sz w:val="20"/>
          <w:szCs w:val="20"/>
          <w:color w:val="auto"/>
        </w:rPr>
      </w:pPr>
      <w:r>
        <w:rPr>
          <w:rFonts w:ascii="Times New Roman" w:cs="Times New Roman" w:eastAsia="Times New Roman" w:hAnsi="Times New Roman"/>
          <w:sz w:val="22"/>
          <w:szCs w:val="22"/>
          <w:color w:val="auto"/>
        </w:rPr>
        <w:t>Intercreditor Agreement. In the event of any conflict between the terms of this Agreement, any other Loan Document and such Intercreditor Agreement, the terms of such Intercreditor Agreement shall govern and control with respect to any right or remedy, and no right, power or remedy granted to any Agent hereunder or under any other Loan Document shall be exercised by any Agent, and no direction shall be given by any Agent, in contravention of such Intercreditor Agreement.</w:t>
      </w:r>
    </w:p>
    <w:p>
      <w:pPr>
        <w:spacing w:after="0" w:line="152"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Registrations with International Registry</w:t>
      </w:r>
      <w:r>
        <w:rPr>
          <w:rFonts w:ascii="Times New Roman" w:cs="Times New Roman" w:eastAsia="Times New Roman" w:hAnsi="Times New Roman"/>
          <w:sz w:val="22"/>
          <w:szCs w:val="22"/>
          <w:color w:val="auto"/>
        </w:rPr>
        <w:t>. Each of the parties hereto (i) consents to the registrations with the International Registry of the International Interests constituted by the Aircraft and Spare Engine Mortgage, and (ii) covenants and agrees that it will take all such action reasonably requested by the Borrower or the Security Trustee in order to make any registrations with the International Registry, including without limitation establishing a valid and existing account with the International Registry and appointing an Administrator and/or a Professional User reasonably acceptable to the Security Trustee to make registrations with respect to the Mortgaged Collateral and providing consents to any registration as may be contemplated by the Loan Documents.</w:t>
      </w:r>
    </w:p>
    <w:p>
      <w:pPr>
        <w:spacing w:after="0" w:line="156"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Notwithstanding anything to the contrary contained herein, no Person identified herein as a Joint Lead Arranger or Structuring Agent will have or be deemed to have any right, power, obligation, liability, responsibility or duty under this Agreement or the other Loan Documents, other than in such Person's capacity as a Lender hereunder, and no such Person will have or be deemed to have any fiduciary relationship with any Lender. Each Lender acknowledges that it has not relied, and will not rely, on such Persons in deciding to enter into this Agreement or any other Loan Document or in taking or not taking any action hereunder or thereunder.</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2" w:lineRule="exact"/>
        <w:rPr>
          <w:sz w:val="20"/>
          <w:szCs w:val="20"/>
          <w:color w:val="auto"/>
        </w:rPr>
      </w:pPr>
    </w:p>
    <w:p>
      <w:pPr>
        <w:ind w:right="360" w:firstLine="656"/>
        <w:spacing w:after="0" w:line="255" w:lineRule="auto"/>
        <w:tabs>
          <w:tab w:leader="none" w:pos="129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ind w:left="660" w:firstLine="644"/>
        <w:spacing w:after="0" w:line="220" w:lineRule="auto"/>
        <w:tabs>
          <w:tab w:leader="none" w:pos="195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660" w:right="1000" w:firstLine="644"/>
        <w:spacing w:after="0" w:line="236" w:lineRule="auto"/>
        <w:tabs>
          <w:tab w:leader="none" w:pos="1956"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ind w:right="4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Acknowledgment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5" w:right="339" w:bottom="1440" w:gutter="0" w:footer="0" w:header="0"/>
        </w:sectPr>
      </w:pPr>
    </w:p>
    <w:bookmarkStart w:id="167" w:name="page168"/>
    <w:bookmarkEnd w:id="167"/>
    <w:p>
      <w:pPr>
        <w:ind w:right="60"/>
        <w:spacing w:after="0" w:line="215" w:lineRule="auto"/>
        <w:rPr>
          <w:sz w:val="20"/>
          <w:szCs w:val="20"/>
          <w:color w:val="auto"/>
        </w:rPr>
      </w:pPr>
      <w:r>
        <w:rPr>
          <w:rFonts w:ascii="Times New Roman" w:cs="Times New Roman" w:eastAsia="Times New Roman" w:hAnsi="Times New Roman"/>
          <w:sz w:val="22"/>
          <w:szCs w:val="22"/>
          <w:color w:val="auto"/>
        </w:rPr>
        <w:t>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In the event a Covered Entity that is a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or such QFC Credit Support, and any rights in property securing such Supported QFC and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395" w:right="339" w:bottom="1440" w:gutter="0" w:footer="0" w:header="0"/>
        </w:sectPr>
      </w:pPr>
    </w:p>
    <w:bookmarkStart w:id="168" w:name="page169"/>
    <w:bookmarkEnd w:id="168"/>
    <w:p>
      <w:pPr>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the year first written.</w:t>
      </w: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SUN COUNTRY, INC. (d/b/a Sun Country Airlines),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274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Signature Page – Credit Agreement</w:t>
      </w:r>
    </w:p>
    <w:p>
      <w:pPr>
        <w:sectPr>
          <w:pgSz w:w="11900" w:h="16838" w:orient="portrait"/>
          <w:cols w:equalWidth="0" w:num="1">
            <w:col w:w="10780"/>
          </w:cols>
          <w:pgMar w:left="320" w:top="1422" w:right="799" w:bottom="1440" w:gutter="0" w:footer="0" w:header="0"/>
        </w:sectPr>
      </w:pPr>
    </w:p>
    <w:bookmarkStart w:id="169" w:name="page170"/>
    <w:bookmarkEnd w:id="169"/>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Guarantor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274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 Credit Agreement</w:t>
      </w:r>
    </w:p>
    <w:p>
      <w:pPr>
        <w:sectPr>
          <w:pgSz w:w="11900" w:h="16838" w:orient="portrait"/>
          <w:cols w:equalWidth="0" w:num="1">
            <w:col w:w="9019"/>
          </w:cols>
          <w:pgMar w:left="1440" w:top="1440" w:right="1440" w:bottom="1440" w:gutter="0" w:footer="0" w:header="0"/>
        </w:sectPr>
      </w:pPr>
    </w:p>
    <w:bookmarkStart w:id="170" w:name="page171"/>
    <w:bookmarkEnd w:id="170"/>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UMB BANK, N.A., as Administrative Agent</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274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UMB BANK, N.A., as Security Trustee</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274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 Credit Agreement</w:t>
      </w:r>
    </w:p>
    <w:p>
      <w:pPr>
        <w:sectPr>
          <w:pgSz w:w="11900" w:h="16838" w:orient="portrait"/>
          <w:cols w:equalWidth="0" w:num="1">
            <w:col w:w="9019"/>
          </w:cols>
          <w:pgMar w:left="1440" w:top="1440" w:right="1440" w:bottom="1440" w:gutter="0" w:footer="0" w:header="0"/>
        </w:sectPr>
      </w:pPr>
    </w:p>
    <w:bookmarkStart w:id="171" w:name="page172"/>
    <w:bookmarkEnd w:id="171"/>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MUFG BANK, LTD., as a Lender</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274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 Credit Agreement</w:t>
      </w:r>
    </w:p>
    <w:p>
      <w:pPr>
        <w:sectPr>
          <w:pgSz w:w="11900" w:h="16838" w:orient="portrait"/>
          <w:cols w:equalWidth="0" w:num="1">
            <w:col w:w="9019"/>
          </w:cols>
          <w:pgMar w:left="1440" w:top="1440" w:right="1440" w:bottom="1440" w:gutter="0" w:footer="0" w:header="0"/>
        </w:sectPr>
      </w:pPr>
    </w:p>
    <w:bookmarkStart w:id="172" w:name="page173"/>
    <w:bookmarkEnd w:id="172"/>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SUMITOMO MITSUI BANKING CORPORATION, 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274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 Credit Agreement</w:t>
      </w:r>
    </w:p>
    <w:p>
      <w:pPr>
        <w:sectPr>
          <w:pgSz w:w="11900" w:h="16838" w:orient="portrait"/>
          <w:cols w:equalWidth="0" w:num="1">
            <w:col w:w="9019"/>
          </w:cols>
          <w:pgMar w:left="1440" w:top="1440"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Jude Bricker,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2025</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INTERIM CHIEF FINANCIAL OFFICER PURSUANT TO RULE 13a-14(a) OR 15d-14(a) OF THE SECURITIES EXCHANGE ACT OF 1934, AS ADOPTED PURSUANT TO SECTION 302 OF THE SARBANES-OXLEY ACT OF 2002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Trousdale, certify that:</w:t>
      </w:r>
    </w:p>
    <w:p>
      <w:pPr>
        <w:spacing w:after="0" w:line="225" w:lineRule="exact"/>
        <w:rPr>
          <w:sz w:val="20"/>
          <w:szCs w:val="20"/>
          <w:color w:val="auto"/>
        </w:rPr>
      </w:pPr>
    </w:p>
    <w:p>
      <w:pPr>
        <w:ind w:left="660" w:right="40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Country Airlines Holdings, Inc. ("Sun Country") for the three month period ended March 31, 2025;</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are responsible for establishing and maintaining disclosure controls and procedures (as defined in Exchange Act Rules 13a-15(e) and 15d-15(e)) and internal control over financial reporting (as defined in Exchange Act Rules 13a-15(f) and 15d-15(f)) for Sun Country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980" w:right="140" w:hanging="324"/>
        <w:spacing w:after="0" w:line="266" w:lineRule="auto"/>
        <w:tabs>
          <w:tab w:leader="none" w:pos="9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Sun Country's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2025</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59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William Trousdale</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Interim Chief Financial Officer and Senior Vice President</w:t>
      </w:r>
    </w:p>
    <w:p>
      <w:pPr>
        <w:sectPr>
          <w:pgSz w:w="11900" w:h="16838" w:orient="portrait"/>
          <w:cols w:equalWidth="0" w:num="1">
            <w:col w:w="11240"/>
          </w:cols>
          <w:pgMar w:left="320" w:top="114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2025</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2025 (the "Report").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Interim Chief Financial Officer and Senior Vice President, respectively, of Sun Country, hereby certifies that, as of the end of the period covered by the Report:</w:t>
      </w:r>
    </w:p>
    <w:p>
      <w:pPr>
        <w:spacing w:after="0" w:line="162"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Sun Country.</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3600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William Trousdale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Interim Chief Financial Officer and Senior Vice President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1."/>
      <w:numFmt w:val="decimal"/>
      <w:start w:val="2"/>
    </w:lvl>
  </w:abstractNum>
  <w:abstractNum w:abstractNumId="4">
    <w:nsid w:val="2DF6D648"/>
    <w:multiLevelType w:val="hybridMultilevel"/>
    <w:lvl w:ilvl="0">
      <w:lvlJc w:val="left"/>
      <w:lvlText w:val="(%1)"/>
      <w:numFmt w:val="decimal"/>
      <w:start w:val="1"/>
    </w:lvl>
  </w:abstractNum>
  <w:abstractNum w:abstractNumId="5">
    <w:nsid w:val="46B7D447"/>
    <w:multiLevelType w:val="hybridMultilevel"/>
    <w:lvl w:ilvl="0">
      <w:lvlJc w:val="left"/>
      <w:lvlText w:val="%1."/>
      <w:numFmt w:val="decimal"/>
      <w:start w:val="3"/>
    </w:lvl>
  </w:abstractNum>
  <w:abstractNum w:abstractNumId="6">
    <w:nsid w:val="4A2AC315"/>
    <w:multiLevelType w:val="hybridMultilevel"/>
    <w:lvl w:ilvl="0">
      <w:lvlJc w:val="left"/>
      <w:lvlText w:val="(%1)"/>
      <w:numFmt w:val="decimal"/>
      <w:start w:val="1"/>
    </w:lvl>
  </w:abstractNum>
  <w:abstractNum w:abstractNumId="7">
    <w:nsid w:val="39EE015C"/>
    <w:multiLevelType w:val="hybridMultilevel"/>
    <w:lvl w:ilvl="0">
      <w:lvlJc w:val="left"/>
      <w:lvlText w:val="%1."/>
      <w:numFmt w:val="decimal"/>
      <w:start w:val="5"/>
    </w:lvl>
  </w:abstractNum>
  <w:abstractNum w:abstractNumId="8">
    <w:nsid w:val="57FC4FBB"/>
    <w:multiLevelType w:val="hybridMultilevel"/>
    <w:lvl w:ilvl="0">
      <w:lvlJc w:val="left"/>
      <w:lvlText w:val="%1)"/>
      <w:numFmt w:val="decimal"/>
      <w:start w:val="2"/>
    </w:lvl>
  </w:abstractNum>
  <w:abstractNum w:abstractNumId="9">
    <w:nsid w:val="CC1016F"/>
    <w:multiLevelType w:val="hybridMultilevel"/>
    <w:lvl w:ilvl="0">
      <w:lvlJc w:val="left"/>
      <w:lvlText w:val="(%1)"/>
      <w:numFmt w:val="decimal"/>
      <w:start w:val="1"/>
    </w:lvl>
  </w:abstractNum>
  <w:abstractNum w:abstractNumId="10">
    <w:nsid w:val="43F18422"/>
    <w:multiLevelType w:val="hybridMultilevel"/>
    <w:lvl w:ilvl="0">
      <w:lvlJc w:val="left"/>
      <w:lvlText w:val="%1."/>
      <w:numFmt w:val="decimal"/>
      <w:start w:val="7"/>
    </w:lvl>
  </w:abstractNum>
  <w:abstractNum w:abstractNumId="11">
    <w:nsid w:val="60EF0119"/>
    <w:multiLevelType w:val="hybridMultilevel"/>
    <w:lvl w:ilvl="0">
      <w:lvlJc w:val="left"/>
      <w:lvlText w:val="%1."/>
      <w:numFmt w:val="decimal"/>
      <w:start w:val="8"/>
    </w:lvl>
  </w:abstractNum>
  <w:abstractNum w:abstractNumId="12">
    <w:nsid w:val="26F324BA"/>
    <w:multiLevelType w:val="hybridMultilevel"/>
    <w:lvl w:ilvl="0">
      <w:lvlJc w:val="left"/>
      <w:lvlText w:val="%1."/>
      <w:numFmt w:val="decimal"/>
      <w:start w:val="9"/>
    </w:lvl>
  </w:abstractNum>
  <w:abstractNum w:abstractNumId="13">
    <w:nsid w:val="7F01579B"/>
    <w:multiLevelType w:val="hybridMultilevel"/>
    <w:lvl w:ilvl="0">
      <w:lvlJc w:val="left"/>
      <w:lvlText w:val="%1."/>
      <w:numFmt w:val="decimal"/>
      <w:start w:val="10"/>
    </w:lvl>
  </w:abstractNum>
  <w:abstractNum w:abstractNumId="14">
    <w:nsid w:val="49DA307D"/>
    <w:multiLevelType w:val="hybridMultilevel"/>
    <w:lvl w:ilvl="0">
      <w:lvlJc w:val="left"/>
      <w:lvlText w:val="%1."/>
      <w:numFmt w:val="decimal"/>
      <w:start w:val="11"/>
    </w:lvl>
  </w:abstractNum>
  <w:abstractNum w:abstractNumId="15">
    <w:nsid w:val="7055A5F5"/>
    <w:multiLevelType w:val="hybridMultilevel"/>
    <w:lvl w:ilvl="0">
      <w:lvlJc w:val="left"/>
      <w:lvlText w:val="%1."/>
      <w:numFmt w:val="decimal"/>
      <w:start w:val="12"/>
    </w:lvl>
  </w:abstractNum>
  <w:abstractNum w:abstractNumId="16">
    <w:nsid w:val="5FB8370B"/>
    <w:multiLevelType w:val="hybridMultilevel"/>
    <w:lvl w:ilvl="0">
      <w:lvlJc w:val="left"/>
      <w:lvlText w:val="%1."/>
      <w:numFmt w:val="decimal"/>
      <w:start w:val="13"/>
    </w:lvl>
  </w:abstractNum>
  <w:abstractNum w:abstractNumId="17">
    <w:nsid w:val="50801EE1"/>
    <w:multiLevelType w:val="hybridMultilevel"/>
    <w:lvl w:ilvl="0">
      <w:lvlJc w:val="left"/>
      <w:lvlText w:val="(%1)"/>
      <w:numFmt w:val="decimal"/>
      <w:start w:val="1"/>
    </w:lvl>
  </w:abstractNum>
  <w:abstractNum w:abstractNumId="18">
    <w:nsid w:val="488AC1A"/>
    <w:multiLevelType w:val="hybridMultilevel"/>
    <w:lvl w:ilvl="0">
      <w:lvlJc w:val="left"/>
      <w:lvlText w:val="(%1)"/>
      <w:numFmt w:val="decimal"/>
      <w:start w:val="1"/>
    </w:lvl>
  </w:abstractNum>
  <w:abstractNum w:abstractNumId="19">
    <w:nsid w:val="5FB8011C"/>
    <w:multiLevelType w:val="hybridMultilevel"/>
    <w:lvl w:ilvl="0">
      <w:lvlJc w:val="left"/>
      <w:lvlText w:val="(%1)"/>
      <w:numFmt w:val="decimal"/>
      <w:start w:val="1"/>
    </w:lvl>
  </w:abstractNum>
  <w:abstractNum w:abstractNumId="20">
    <w:nsid w:val="6AA78F7F"/>
    <w:multiLevelType w:val="hybridMultilevel"/>
    <w:lvl w:ilvl="0">
      <w:lvlJc w:val="left"/>
      <w:lvlText w:val="(%1)"/>
      <w:numFmt w:val="decimal"/>
      <w:start w:val="1"/>
    </w:lvl>
  </w:abstractNum>
  <w:abstractNum w:abstractNumId="21">
    <w:nsid w:val="7672BD23"/>
    <w:multiLevelType w:val="hybridMultilevel"/>
    <w:lvl w:ilvl="0">
      <w:lvlJc w:val="left"/>
      <w:lvlText w:val="(%1)"/>
      <w:numFmt w:val="decimal"/>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1)"/>
      <w:numFmt w:val="lowerLetter"/>
      <w:start w:val="1"/>
    </w:lvl>
  </w:abstractNum>
  <w:abstractNum w:abstractNumId="25">
    <w:nsid w:val="5F3534A4"/>
    <w:multiLevelType w:val="hybridMultilevel"/>
    <w:lvl w:ilvl="0">
      <w:lvlJc w:val="left"/>
      <w:lvlText w:val="(%1)"/>
      <w:numFmt w:val="lowerLetter"/>
      <w:start w:val="1"/>
    </w:lvl>
  </w:abstractNum>
  <w:abstractNum w:abstractNumId="26">
    <w:nsid w:val="73A1821B"/>
    <w:multiLevelType w:val="hybridMultilevel"/>
    <w:lvl w:ilvl="0">
      <w:lvlJc w:val="left"/>
      <w:lvlText w:val="(%1)"/>
      <w:numFmt w:val="lowerLetter"/>
      <w:start w:val="2"/>
    </w:lvl>
  </w:abstractNum>
  <w:abstractNum w:abstractNumId="27">
    <w:nsid w:val="7DE67713"/>
    <w:multiLevelType w:val="hybridMultilevel"/>
    <w:lvl w:ilvl="0">
      <w:lvlJc w:val="left"/>
      <w:lvlText w:val="(%1)"/>
      <w:numFmt w:val="lowerLetter"/>
      <w:start w:val="1"/>
    </w:lvl>
  </w:abstractNum>
  <w:abstractNum w:abstractNumId="28">
    <w:nsid w:val="555C55B5"/>
    <w:multiLevelType w:val="hybridMultilevel"/>
    <w:lvl w:ilvl="0">
      <w:lvlJc w:val="left"/>
      <w:lvlText w:val="(%1)"/>
      <w:numFmt w:val="lowerLetter"/>
      <w:start w:val="3"/>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1)"/>
      <w:numFmt w:val="lowerLetter"/>
      <w:start w:val="1"/>
    </w:lvl>
  </w:abstractNum>
  <w:abstractNum w:abstractNumId="31">
    <w:nsid w:val="6A3DD3E8"/>
    <w:multiLevelType w:val="hybridMultilevel"/>
    <w:lvl w:ilvl="0">
      <w:lvlJc w:val="left"/>
      <w:lvlText w:val="(%1)"/>
      <w:numFmt w:val="decimal"/>
      <w:start w:val="1"/>
    </w:lvl>
  </w:abstractNum>
  <w:abstractNum w:abstractNumId="32">
    <w:nsid w:val="71C91298"/>
    <w:multiLevelType w:val="hybridMultilevel"/>
    <w:lvl w:ilvl="0">
      <w:lvlJc w:val="left"/>
      <w:lvlText w:val="(%1)"/>
      <w:numFmt w:val="decimal"/>
      <w:start w:val="1"/>
    </w:lvl>
  </w:abstractNum>
  <w:abstractNum w:abstractNumId="33">
    <w:nsid w:val="9DAF632"/>
    <w:multiLevelType w:val="hybridMultilevel"/>
    <w:lvl w:ilvl="0">
      <w:lvlJc w:val="left"/>
      <w:lvlText w:val="(%1)"/>
      <w:numFmt w:val="decimal"/>
      <w:start w:val="9"/>
    </w:lvl>
  </w:abstractNum>
  <w:abstractNum w:abstractNumId="34">
    <w:nsid w:val="53299938"/>
    <w:multiLevelType w:val="hybridMultilevel"/>
    <w:lvl w:ilvl="0">
      <w:lvlJc w:val="left"/>
      <w:lvlText w:val="(%1)"/>
      <w:numFmt w:val="decimal"/>
      <w:start w:val="1"/>
    </w:lvl>
  </w:abstractNum>
  <w:abstractNum w:abstractNumId="35">
    <w:nsid w:val="1FBFE8E0"/>
    <w:multiLevelType w:val="hybridMultilevel"/>
    <w:lvl w:ilvl="0">
      <w:lvlJc w:val="left"/>
      <w:lvlText w:val="(%1)"/>
      <w:numFmt w:val="decimal"/>
      <w:start w:val="3"/>
    </w:lvl>
  </w:abstractNum>
  <w:abstractNum w:abstractNumId="36">
    <w:nsid w:val="5092CA79"/>
    <w:multiLevelType w:val="hybridMultilevel"/>
    <w:lvl w:ilvl="0">
      <w:lvlJc w:val="left"/>
      <w:lvlText w:val="(%1)"/>
      <w:numFmt w:val="lowerRoman"/>
      <w:start w:val="1"/>
    </w:lvl>
  </w:abstractNum>
  <w:abstractNum w:abstractNumId="37">
    <w:nsid w:val="1D545C4D"/>
    <w:multiLevelType w:val="hybridMultilevel"/>
    <w:lvl w:ilvl="0">
      <w:lvlJc w:val="left"/>
      <w:lvlText w:val="(%1)"/>
      <w:numFmt w:val="lowerRoman"/>
      <w:start w:val="8"/>
    </w:lvl>
  </w:abstractNum>
  <w:abstractNum w:abstractNumId="38">
    <w:nsid w:val="59ADEA3D"/>
    <w:multiLevelType w:val="hybridMultilevel"/>
    <w:lvl w:ilvl="0">
      <w:lvlJc w:val="left"/>
      <w:lvlText w:val="(%1)"/>
      <w:numFmt w:val="lowerRoman"/>
      <w:start w:val="1"/>
    </w:lvl>
  </w:abstractNum>
  <w:abstractNum w:abstractNumId="39">
    <w:nsid w:val="288F1A34"/>
    <w:multiLevelType w:val="hybridMultilevel"/>
    <w:lvl w:ilvl="0">
      <w:lvlJc w:val="left"/>
      <w:lvlText w:val="(%1)"/>
      <w:numFmt w:val="lowerRoman"/>
      <w:start w:val="1"/>
    </w:lvl>
  </w:abstractNum>
  <w:abstractNum w:abstractNumId="40">
    <w:nsid w:val="2A155DBC"/>
    <w:multiLevelType w:val="hybridMultilevel"/>
    <w:lvl w:ilvl="0">
      <w:lvlJc w:val="left"/>
      <w:lvlText w:val="(%1)"/>
      <w:numFmt w:val="lowerRoman"/>
      <w:start w:val="7"/>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decimal"/>
      <w:start w:val="1"/>
    </w:lvl>
  </w:abstractNum>
  <w:abstractNum w:abstractNumId="43">
    <w:nsid w:val="51088277"/>
    <w:multiLevelType w:val="hybridMultilevel"/>
    <w:lvl w:ilvl="0">
      <w:lvlJc w:val="left"/>
      <w:lvlText w:val="(%1)"/>
      <w:numFmt w:val="decimal"/>
      <w:start w:val="1"/>
    </w:lvl>
  </w:abstractNum>
  <w:abstractNum w:abstractNumId="44">
    <w:nsid w:val="1CA0C5FA"/>
    <w:multiLevelType w:val="hybridMultilevel"/>
    <w:lvl w:ilvl="0">
      <w:lvlJc w:val="left"/>
      <w:lvlText w:val="(%1)"/>
      <w:numFmt w:val="decimal"/>
      <w:start w:val="6"/>
    </w:lvl>
  </w:abstractNum>
  <w:abstractNum w:abstractNumId="45">
    <w:nsid w:val="53584BCB"/>
    <w:multiLevelType w:val="hybridMultilevel"/>
    <w:lvl w:ilvl="0">
      <w:lvlJc w:val="left"/>
      <w:lvlText w:val="(%1)"/>
      <w:numFmt w:val="upperLetter"/>
      <w:start w:val="1"/>
    </w:lvl>
  </w:abstractNum>
  <w:abstractNum w:abstractNumId="46">
    <w:nsid w:val="415E286C"/>
    <w:multiLevelType w:val="hybridMultilevel"/>
    <w:lvl w:ilvl="0">
      <w:lvlJc w:val="left"/>
      <w:lvlText w:val="(%1)"/>
      <w:numFmt w:val="upperLetter"/>
      <w:start w:val="3"/>
    </w:lvl>
  </w:abstractNum>
  <w:abstractNum w:abstractNumId="47">
    <w:nsid w:val="7C58FD05"/>
    <w:multiLevelType w:val="hybridMultilevel"/>
    <w:lvl w:ilvl="0">
      <w:lvlJc w:val="left"/>
      <w:lvlText w:val="(%1)"/>
      <w:numFmt w:val="lowerRoman"/>
      <w:start w:val="4"/>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1"/>
    </w:lvl>
  </w:abstractNum>
  <w:abstractNum w:abstractNumId="50">
    <w:nsid w:val="5C10FE21"/>
    <w:multiLevelType w:val="hybridMultilevel"/>
    <w:lvl w:ilvl="0">
      <w:lvlJc w:val="left"/>
      <w:lvlText w:val="(%1)"/>
      <w:numFmt w:val="lowerLetter"/>
      <w:start w:val="2"/>
    </w:lvl>
  </w:abstractNum>
  <w:abstractNum w:abstractNumId="51">
    <w:nsid w:val="E7FFA2B"/>
    <w:multiLevelType w:val="hybridMultilevel"/>
    <w:lvl w:ilvl="0">
      <w:lvlJc w:val="left"/>
      <w:lvlText w:val="(%1)"/>
      <w:numFmt w:val="decimal"/>
      <w:start w:val="1"/>
    </w:lvl>
  </w:abstractNum>
  <w:abstractNum w:abstractNumId="52">
    <w:nsid w:val="3C5991AA"/>
    <w:multiLevelType w:val="hybridMultilevel"/>
    <w:lvl w:ilvl="0">
      <w:lvlJc w:val="left"/>
      <w:lvlText w:val="(%1)"/>
      <w:numFmt w:val="decimal"/>
      <w:start w:val="8"/>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1"/>
      <w:numFmt w:val="upperLetter"/>
      <w:start w:val="1"/>
    </w:lvl>
    <w:lvl w:ilvl="1">
      <w:lvlJc w:val="left"/>
      <w:lvlText w:val="(%2)"/>
      <w:numFmt w:val="decimal"/>
      <w:start w:val="1"/>
    </w:lvl>
  </w:abstractNum>
  <w:abstractNum w:abstractNumId="55">
    <w:nsid w:val="39B7AAA2"/>
    <w:multiLevelType w:val="hybridMultilevel"/>
    <w:lvl w:ilvl="0">
      <w:lvlJc w:val="left"/>
      <w:lvlText w:val="(%1)"/>
      <w:numFmt w:val="upperLetter"/>
      <w:start w:val="2"/>
    </w:lvl>
    <w:lvl w:ilvl="1">
      <w:lvlJc w:val="left"/>
      <w:lvlText w:val="%2"/>
      <w:numFmt w:val="decimal"/>
      <w:start w:val="1"/>
    </w:lvl>
  </w:abstractNum>
  <w:abstractNum w:abstractNumId="56">
    <w:nsid w:val="2B0D8DBE"/>
    <w:multiLevelType w:val="hybridMultilevel"/>
    <w:lvl w:ilvl="0">
      <w:lvlJc w:val="left"/>
      <w:lvlText w:val="(%1)"/>
      <w:numFmt w:val="lowerLetter"/>
      <w:start w:val="1"/>
    </w:lvl>
  </w:abstractNum>
  <w:abstractNum w:abstractNumId="57">
    <w:nsid w:val="6C80EC70"/>
    <w:multiLevelType w:val="hybridMultilevel"/>
    <w:lvl w:ilvl="0">
      <w:lvlJc w:val="left"/>
      <w:lvlText w:val="(%1)"/>
      <w:numFmt w:val="lowerLetter"/>
      <w:start w:val="1"/>
    </w:lvl>
  </w:abstractNum>
  <w:abstractNum w:abstractNumId="58">
    <w:nsid w:val="379E21B5"/>
    <w:multiLevelType w:val="hybridMultilevel"/>
    <w:lvl w:ilvl="0">
      <w:lvlJc w:val="left"/>
      <w:lvlText w:val="(%1)"/>
      <w:numFmt w:val="lowerLetter"/>
      <w:start w:val="5"/>
    </w:lvl>
  </w:abstractNum>
  <w:abstractNum w:abstractNumId="59">
    <w:nsid w:val="69E373"/>
    <w:multiLevelType w:val="hybridMultilevel"/>
    <w:lvl w:ilvl="0">
      <w:lvlJc w:val="left"/>
      <w:lvlText w:val="(%1)"/>
      <w:numFmt w:val="lowerLetter"/>
      <w:start w:val="6"/>
    </w:lvl>
  </w:abstractNum>
  <w:abstractNum w:abstractNumId="60">
    <w:nsid w:val="2C27173B"/>
    <w:multiLevelType w:val="hybridMultilevel"/>
    <w:lvl w:ilvl="0">
      <w:lvlJc w:val="left"/>
      <w:lvlText w:val="(%1)"/>
      <w:numFmt w:val="lowerLetter"/>
      <w:start w:val="9"/>
    </w:lvl>
  </w:abstractNum>
  <w:abstractNum w:abstractNumId="61">
    <w:nsid w:val="4C9B0904"/>
    <w:multiLevelType w:val="hybridMultilevel"/>
    <w:lvl w:ilvl="0">
      <w:lvlJc w:val="left"/>
      <w:lvlText w:val="(%1)"/>
      <w:numFmt w:val="lowerLetter"/>
      <w:start w:val="12"/>
    </w:lvl>
  </w:abstractNum>
  <w:abstractNum w:abstractNumId="62">
    <w:nsid w:val="6AA7B75C"/>
    <w:multiLevelType w:val="hybridMultilevel"/>
    <w:lvl w:ilvl="0">
      <w:lvlJc w:val="left"/>
      <w:lvlText w:val="(%1)"/>
      <w:numFmt w:val="lowerLetter"/>
      <w:start w:val="1"/>
    </w:lvl>
    <w:lvl w:ilvl="1">
      <w:lvlJc w:val="left"/>
      <w:lvlText w:val="(%2)"/>
      <w:numFmt w:val="lowerRoman"/>
      <w:start w:val="1"/>
    </w:lvl>
  </w:abstractNum>
  <w:abstractNum w:abstractNumId="63">
    <w:nsid w:val="1DF029D3"/>
    <w:multiLevelType w:val="hybridMultilevel"/>
    <w:lvl w:ilvl="0">
      <w:lvlJc w:val="left"/>
      <w:lvlText w:val="(%1)"/>
      <w:numFmt w:val="lowerRoman"/>
      <w:start w:val="3"/>
    </w:lvl>
  </w:abstractNum>
  <w:abstractNum w:abstractNumId="64">
    <w:nsid w:val="5675FF36"/>
    <w:multiLevelType w:val="hybridMultilevel"/>
    <w:lvl w:ilvl="0">
      <w:lvlJc w:val="left"/>
      <w:lvlText w:val="(%1)"/>
      <w:numFmt w:val="lowerLetter"/>
      <w:start w:val="2"/>
    </w:lvl>
  </w:abstractNum>
  <w:abstractNum w:abstractNumId="65">
    <w:nsid w:val="3DD15094"/>
    <w:multiLevelType w:val="hybridMultilevel"/>
    <w:lvl w:ilvl="0">
      <w:lvlJc w:val="left"/>
      <w:lvlText w:val="(%1)"/>
      <w:numFmt w:val="lowerLetter"/>
      <w:start w:val="1"/>
    </w:lvl>
  </w:abstractNum>
  <w:abstractNum w:abstractNumId="66">
    <w:nsid w:val="3DB012B3"/>
    <w:multiLevelType w:val="hybridMultilevel"/>
    <w:lvl w:ilvl="0">
      <w:lvlJc w:val="left"/>
      <w:lvlText w:val="(%1)"/>
      <w:numFmt w:val="lowerLetter"/>
      <w:start w:val="1"/>
    </w:lvl>
  </w:abstractNum>
  <w:abstractNum w:abstractNumId="67">
    <w:nsid w:val="2708C9AF"/>
    <w:multiLevelType w:val="hybridMultilevel"/>
    <w:lvl w:ilvl="0">
      <w:lvlJc w:val="left"/>
      <w:lvlText w:val="(%1)"/>
      <w:numFmt w:val="lowerLetter"/>
      <w:start w:val="2"/>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1)"/>
      <w:numFmt w:val="lowerLetter"/>
      <w:start w:val="4"/>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lowerLetter"/>
      <w:start w:val="2"/>
    </w:lvl>
  </w:abstractNum>
  <w:abstractNum w:abstractNumId="72">
    <w:nsid w:val="34FD6B4F"/>
    <w:multiLevelType w:val="hybridMultilevel"/>
    <w:lvl w:ilvl="0">
      <w:lvlJc w:val="left"/>
      <w:lvlText w:val="(%1)"/>
      <w:numFmt w:val="lowerRoman"/>
      <w:start w:val="1"/>
    </w:lvl>
    <w:lvl w:ilvl="1">
      <w:lvlJc w:val="left"/>
      <w:lvlText w:val="(%2)"/>
      <w:numFmt w:val="upperLetter"/>
      <w:start w:val="1"/>
    </w:lvl>
  </w:abstractNum>
  <w:abstractNum w:abstractNumId="73">
    <w:nsid w:val="5915FF32"/>
    <w:multiLevelType w:val="hybridMultilevel"/>
    <w:lvl w:ilvl="0">
      <w:lvlJc w:val="left"/>
      <w:lvlText w:val="(%1)."/>
      <w:numFmt w:val="lowerRoman"/>
      <w:start w:val="2"/>
    </w:lvl>
    <w:lvl w:ilvl="1">
      <w:lvlJc w:val="left"/>
      <w:lvlText w:val="%2"/>
      <w:numFmt w:val="upperLetter"/>
      <w:start w:val="1"/>
    </w:lvl>
  </w:abstractNum>
  <w:abstractNum w:abstractNumId="74">
    <w:nsid w:val="56438D15"/>
    <w:multiLevelType w:val="hybridMultilevel"/>
    <w:lvl w:ilvl="0">
      <w:lvlJc w:val="left"/>
      <w:lvlText w:val="(%1)"/>
      <w:numFmt w:val="lowerRoman"/>
      <w:start w:val="2"/>
    </w:lvl>
    <w:lvl w:ilvl="1">
      <w:lvlJc w:val="left"/>
      <w:lvlText w:val="%2"/>
      <w:numFmt w:val="upperLetter"/>
      <w:start w:val="1"/>
    </w:lvl>
  </w:abstractNum>
  <w:abstractNum w:abstractNumId="75">
    <w:nsid w:val="519E3149"/>
    <w:multiLevelType w:val="hybridMultilevel"/>
    <w:lvl w:ilvl="0">
      <w:lvlJc w:val="left"/>
      <w:lvlText w:val="(%1)"/>
      <w:numFmt w:val="lowerRoman"/>
      <w:start w:val="3"/>
    </w:lvl>
  </w:abstractNum>
  <w:abstractNum w:abstractNumId="76">
    <w:nsid w:val="2C6E4AFD"/>
    <w:multiLevelType w:val="hybridMultilevel"/>
    <w:lvl w:ilvl="0">
      <w:lvlJc w:val="left"/>
      <w:lvlText w:val="%1"/>
      <w:numFmt w:val="upperLetter"/>
      <w:start w:val="1"/>
    </w:lvl>
    <w:lvl w:ilvl="1">
      <w:lvlJc w:val="left"/>
      <w:lvlText w:val="(%2)"/>
      <w:numFmt w:val="lowerLetter"/>
      <w:start w:val="1"/>
    </w:lvl>
  </w:abstractNum>
  <w:abstractNum w:abstractNumId="77">
    <w:nsid w:val="17A1B582"/>
    <w:multiLevelType w:val="hybridMultilevel"/>
    <w:lvl w:ilvl="0">
      <w:lvlJc w:val="left"/>
      <w:lvlText w:val="(%1)"/>
      <w:numFmt w:val="upperLetter"/>
      <w:start w:val="3"/>
    </w:lvl>
    <w:lvl w:ilvl="1">
      <w:lvlJc w:val="left"/>
      <w:lvlText w:val="%2"/>
      <w:numFmt w:val="lowerLetter"/>
      <w:start w:val="1"/>
    </w:lvl>
  </w:abstractNum>
  <w:abstractNum w:abstractNumId="78">
    <w:nsid w:val="4DF72E4E"/>
    <w:multiLevelType w:val="hybridMultilevel"/>
    <w:lvl w:ilvl="0">
      <w:lvlJc w:val="left"/>
      <w:lvlText w:val="(%1)"/>
      <w:numFmt w:val="lowerLetter"/>
      <w:start w:val="2"/>
    </w:lvl>
  </w:abstractNum>
  <w:abstractNum w:abstractNumId="79">
    <w:nsid w:val="5046B5A9"/>
    <w:multiLevelType w:val="hybridMultilevel"/>
    <w:lvl w:ilvl="0">
      <w:lvlJc w:val="left"/>
      <w:lvlText w:val="(%1)"/>
      <w:numFmt w:val="lowerLetter"/>
      <w:start w:val="1"/>
    </w:lvl>
  </w:abstractNum>
  <w:abstractNum w:abstractNumId="80">
    <w:nsid w:val="5D888A08"/>
    <w:multiLevelType w:val="hybridMultilevel"/>
    <w:lvl w:ilvl="0">
      <w:lvlJc w:val="left"/>
      <w:lvlText w:val="(%1)"/>
      <w:numFmt w:val="lowerRoman"/>
      <w:start w:val="1"/>
    </w:lvl>
  </w:abstractNum>
  <w:abstractNum w:abstractNumId="81">
    <w:nsid w:val="2A082C70"/>
    <w:multiLevelType w:val="hybridMultilevel"/>
    <w:lvl w:ilvl="0">
      <w:lvlJc w:val="left"/>
      <w:lvlText w:val="(%1)"/>
      <w:numFmt w:val="lowerLetter"/>
      <w:start w:val="2"/>
    </w:lvl>
  </w:abstractNum>
  <w:abstractNum w:abstractNumId="82">
    <w:nsid w:val="5EC6AFD4"/>
    <w:multiLevelType w:val="hybridMultilevel"/>
    <w:lvl w:ilvl="0">
      <w:lvlJc w:val="left"/>
      <w:lvlText w:val="(%1)"/>
      <w:numFmt w:val="lowerRoman"/>
      <w:start w:val="1"/>
    </w:lvl>
  </w:abstractNum>
  <w:abstractNum w:abstractNumId="83">
    <w:nsid w:val="19E21BB2"/>
    <w:multiLevelType w:val="hybridMultilevel"/>
    <w:lvl w:ilvl="0">
      <w:lvlJc w:val="left"/>
      <w:lvlText w:val="(%1)"/>
      <w:numFmt w:val="lowerLetter"/>
      <w:start w:val="4"/>
    </w:lvl>
  </w:abstractNum>
  <w:abstractNum w:abstractNumId="84">
    <w:nsid w:val="75E0858A"/>
    <w:multiLevelType w:val="hybridMultilevel"/>
    <w:lvl w:ilvl="0">
      <w:lvlJc w:val="left"/>
      <w:lvlText w:val="(%1)"/>
      <w:numFmt w:val="lowerLetter"/>
      <w:start w:val="1"/>
    </w:lvl>
    <w:lvl w:ilvl="1">
      <w:lvlJc w:val="left"/>
      <w:lvlText w:val="(%2)"/>
      <w:numFmt w:val="lowerRoman"/>
      <w:start w:val="1"/>
    </w:lvl>
  </w:abstractNum>
  <w:abstractNum w:abstractNumId="85">
    <w:nsid w:val="57A61A29"/>
    <w:multiLevelType w:val="hybridMultilevel"/>
    <w:lvl w:ilvl="0">
      <w:lvlJc w:val="left"/>
      <w:lvlText w:val="(%1)"/>
      <w:numFmt w:val="lowerLetter"/>
      <w:start w:val="1"/>
    </w:lvl>
  </w:abstractNum>
  <w:abstractNum w:abstractNumId="86">
    <w:nsid w:val="5399C654"/>
    <w:multiLevelType w:val="hybridMultilevel"/>
    <w:lvl w:ilvl="0">
      <w:lvlJc w:val="left"/>
      <w:lvlText w:val="(%1)"/>
      <w:numFmt w:val="lowerRoman"/>
      <w:start w:val="1"/>
    </w:lvl>
    <w:lvl w:ilvl="1">
      <w:lvlJc w:val="left"/>
      <w:lvlText w:val="(%2)"/>
      <w:numFmt w:val="upperLetter"/>
      <w:start w:val="1"/>
    </w:lvl>
  </w:abstractNum>
  <w:abstractNum w:abstractNumId="87">
    <w:nsid w:val="20EE1348"/>
    <w:multiLevelType w:val="hybridMultilevel"/>
    <w:lvl w:ilvl="0">
      <w:lvlJc w:val="left"/>
      <w:lvlText w:val="%1"/>
      <w:numFmt w:val="lowerLetter"/>
      <w:start w:val="1"/>
    </w:lvl>
    <w:lvl w:ilvl="1">
      <w:lvlJc w:val="left"/>
      <w:lvlText w:val="(%2)"/>
      <w:numFmt w:val="upperLetter"/>
      <w:start w:val="7"/>
    </w:lvl>
  </w:abstractNum>
  <w:abstractNum w:abstractNumId="88">
    <w:nsid w:val="4427069A"/>
    <w:multiLevelType w:val="hybridMultilevel"/>
    <w:lvl w:ilvl="0">
      <w:lvlJc w:val="left"/>
      <w:lvlText w:val="(%1)"/>
      <w:numFmt w:val="lowerLetter"/>
      <w:start w:val="3"/>
    </w:lvl>
    <w:lvl w:ilvl="1">
      <w:lvlJc w:val="left"/>
      <w:lvlText w:val="%2"/>
      <w:numFmt w:val="upperLetter"/>
      <w:start w:val="1"/>
    </w:lvl>
  </w:abstractNum>
  <w:abstractNum w:abstractNumId="89">
    <w:nsid w:val="B37E80A"/>
    <w:multiLevelType w:val="hybridMultilevel"/>
    <w:lvl w:ilvl="0">
      <w:lvlJc w:val="left"/>
      <w:lvlText w:val="(%1)"/>
      <w:numFmt w:val="lowerLetter"/>
      <w:start w:val="6"/>
    </w:lvl>
  </w:abstractNum>
  <w:abstractNum w:abstractNumId="90">
    <w:nsid w:val="2157F6BC"/>
    <w:multiLevelType w:val="hybridMultilevel"/>
    <w:lvl w:ilvl="0">
      <w:lvlJc w:val="left"/>
      <w:lvlText w:val="(%1)"/>
      <w:numFmt w:val="lowerLetter"/>
      <w:start w:val="7"/>
    </w:lvl>
  </w:abstractNum>
  <w:abstractNum w:abstractNumId="91">
    <w:nsid w:val="704E1DD5"/>
    <w:multiLevelType w:val="hybridMultilevel"/>
    <w:lvl w:ilvl="0">
      <w:lvlJc w:val="left"/>
      <w:lvlText w:val="(%1)"/>
      <w:numFmt w:val="lowerLetter"/>
      <w:start w:val="1"/>
    </w:lvl>
  </w:abstractNum>
  <w:abstractNum w:abstractNumId="92">
    <w:nsid w:val="57D2F10E"/>
    <w:multiLevelType w:val="hybridMultilevel"/>
    <w:lvl w:ilvl="0">
      <w:lvlJc w:val="left"/>
      <w:lvlText w:val="(%1)"/>
      <w:numFmt w:val="lowerLetter"/>
      <w:start w:val="4"/>
    </w:lvl>
  </w:abstractNum>
  <w:abstractNum w:abstractNumId="93">
    <w:nsid w:val="BFFAE18"/>
    <w:multiLevelType w:val="hybridMultilevel"/>
    <w:lvl w:ilvl="0">
      <w:lvlJc w:val="left"/>
      <w:lvlText w:val="(%1)"/>
      <w:numFmt w:val="lowerLetter"/>
      <w:start w:val="1"/>
    </w:lvl>
  </w:abstractNum>
  <w:abstractNum w:abstractNumId="94">
    <w:nsid w:val="E3E47A8"/>
    <w:multiLevelType w:val="hybridMultilevel"/>
    <w:lvl w:ilvl="0">
      <w:lvlJc w:val="left"/>
      <w:lvlText w:val="(%1)"/>
      <w:numFmt w:val="lowerRoman"/>
      <w:start w:val="1"/>
    </w:lvl>
  </w:abstractNum>
  <w:abstractNum w:abstractNumId="95">
    <w:nsid w:val="2E48F044"/>
    <w:multiLevelType w:val="hybridMultilevel"/>
    <w:lvl w:ilvl="0">
      <w:lvlJc w:val="left"/>
      <w:lvlText w:val="(%1)"/>
      <w:numFmt w:val="lowerLetter"/>
      <w:start w:val="1"/>
    </w:lvl>
  </w:abstractNum>
  <w:abstractNum w:abstractNumId="96">
    <w:nsid w:val="49D0FEAC"/>
    <w:multiLevelType w:val="hybridMultilevel"/>
    <w:lvl w:ilvl="0">
      <w:lvlJc w:val="left"/>
      <w:lvlText w:val="(%1)"/>
      <w:numFmt w:val="lowerLetter"/>
      <w:start w:val="5"/>
    </w:lvl>
  </w:abstractNum>
  <w:abstractNum w:abstractNumId="97">
    <w:nsid w:val="4BEE5A5B"/>
    <w:multiLevelType w:val="hybridMultilevel"/>
    <w:lvl w:ilvl="0">
      <w:lvlJc w:val="left"/>
      <w:lvlText w:val="(%1)"/>
      <w:numFmt w:val="lowerLetter"/>
      <w:start w:val="1"/>
    </w:lvl>
  </w:abstractNum>
  <w:abstractNum w:abstractNumId="98">
    <w:nsid w:val="5551B9F3"/>
    <w:multiLevelType w:val="hybridMultilevel"/>
    <w:lvl w:ilvl="0">
      <w:lvlJc w:val="left"/>
      <w:lvlText w:val="(%1)"/>
      <w:numFmt w:val="lowerRoman"/>
      <w:start w:val="1"/>
    </w:lvl>
  </w:abstractNum>
  <w:abstractNum w:abstractNumId="99">
    <w:nsid w:val="24F6AB8E"/>
    <w:multiLevelType w:val="hybridMultilevel"/>
    <w:lvl w:ilvl="0">
      <w:lvlJc w:val="left"/>
      <w:lvlText w:val="%1"/>
      <w:numFmt w:val="lowerLetter"/>
      <w:start w:val="1"/>
    </w:lvl>
    <w:lvl w:ilvl="1">
      <w:lvlJc w:val="left"/>
      <w:lvlText w:val="(%2)"/>
      <w:numFmt w:val="lowerRoman"/>
      <w:start w:val="4"/>
    </w:lvl>
  </w:abstractNum>
  <w:abstractNum w:abstractNumId="100">
    <w:nsid w:val="634C574C"/>
    <w:multiLevelType w:val="hybridMultilevel"/>
    <w:lvl w:ilvl="0">
      <w:lvlJc w:val="left"/>
      <w:lvlText w:val="(%1)"/>
      <w:numFmt w:val="lowerLetter"/>
      <w:start w:val="2"/>
    </w:lvl>
    <w:lvl w:ilvl="1">
      <w:lvlJc w:val="left"/>
      <w:lvlText w:val="%2"/>
      <w:numFmt w:val="lowerRoman"/>
      <w:start w:val="1"/>
    </w:lvl>
  </w:abstractNum>
  <w:abstractNum w:abstractNumId="101">
    <w:nsid w:val="24E99DD7"/>
    <w:multiLevelType w:val="hybridMultilevel"/>
    <w:lvl w:ilvl="0">
      <w:lvlJc w:val="left"/>
      <w:lvlText w:val="(%1)"/>
      <w:numFmt w:val="lowerLetter"/>
      <w:start w:val="4"/>
    </w:lvl>
  </w:abstractNum>
  <w:abstractNum w:abstractNumId="102">
    <w:nsid w:val="2A31B62D"/>
    <w:multiLevelType w:val="hybridMultilevel"/>
    <w:lvl w:ilvl="0">
      <w:lvlJc w:val="left"/>
      <w:lvlText w:val="(%1)"/>
      <w:numFmt w:val="lowerLetter"/>
      <w:start w:val="1"/>
    </w:lvl>
  </w:abstractNum>
  <w:abstractNum w:abstractNumId="103">
    <w:nsid w:val="1849C29B"/>
    <w:multiLevelType w:val="hybridMultilevel"/>
    <w:lvl w:ilvl="0">
      <w:lvlJc w:val="left"/>
      <w:lvlText w:val="(%1)"/>
      <w:numFmt w:val="lowerLetter"/>
      <w:start w:val="4"/>
    </w:lvl>
  </w:abstractNum>
  <w:abstractNum w:abstractNumId="104">
    <w:nsid w:val="7DFF9D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5">
    <w:nsid w:val="754342"/>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06">
    <w:nsid w:val="69E7F3E5"/>
    <w:multiLevelType w:val="hybridMultilevel"/>
    <w:lvl w:ilvl="0">
      <w:lvlJc w:val="left"/>
      <w:lvlText w:val="(%1)"/>
      <w:numFmt w:val="lowerRoman"/>
      <w:start w:val="5"/>
    </w:lvl>
  </w:abstractNum>
  <w:abstractNum w:abstractNumId="107">
    <w:nsid w:val="2A6DE806"/>
    <w:multiLevelType w:val="hybridMultilevel"/>
    <w:lvl w:ilvl="0">
      <w:lvlJc w:val="left"/>
      <w:lvlText w:val="(%1)"/>
      <w:numFmt w:val="lowerLetter"/>
      <w:start w:val="1"/>
    </w:lvl>
  </w:abstractNum>
  <w:abstractNum w:abstractNumId="108">
    <w:nsid w:val="1816F8C4"/>
    <w:multiLevelType w:val="hybridMultilevel"/>
    <w:lvl w:ilvl="0">
      <w:lvlJc w:val="left"/>
      <w:lvlText w:val="(%1)"/>
      <w:numFmt w:val="lowerLetter"/>
      <w:start w:val="1"/>
    </w:lvl>
  </w:abstractNum>
  <w:abstractNum w:abstractNumId="109">
    <w:nsid w:val="37DF2233"/>
    <w:multiLevelType w:val="hybridMultilevel"/>
    <w:lvl w:ilvl="0">
      <w:lvlJc w:val="left"/>
      <w:lvlText w:val="(%1)"/>
      <w:numFmt w:val="lowerLetter"/>
      <w:start w:val="1"/>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lowerLetter"/>
      <w:start w:val="1"/>
    </w:lvl>
    <w:lvl w:ilvl="1">
      <w:lvlJc w:val="left"/>
      <w:lvlText w:val="(%2)"/>
      <w:numFmt w:val="lowerRoman"/>
      <w:start w:val="1"/>
    </w:lvl>
  </w:abstractNum>
  <w:abstractNum w:abstractNumId="112">
    <w:nsid w:val="61E74EA3"/>
    <w:multiLevelType w:val="hybridMultilevel"/>
    <w:lvl w:ilvl="0">
      <w:lvlJc w:val="left"/>
      <w:lvlText w:val="(%1)"/>
      <w:numFmt w:val="lowerLetter"/>
      <w:start w:val="4"/>
    </w:lvl>
    <w:lvl w:ilvl="1">
      <w:lvlJc w:val="left"/>
      <w:lvlText w:val="(%2)"/>
      <w:numFmt w:val="lowerRoman"/>
      <w:start w:val="1"/>
    </w:lvl>
  </w:abstractNum>
  <w:abstractNum w:abstractNumId="113">
    <w:nsid w:val="597B4D84"/>
    <w:multiLevelType w:val="hybridMultilevel"/>
    <w:lvl w:ilvl="0">
      <w:lvlJc w:val="left"/>
      <w:lvlText w:val="(%1)"/>
      <w:numFmt w:val="lowerLetter"/>
      <w:start w:val="1"/>
    </w:lvl>
  </w:abstractNum>
  <w:abstractNum w:abstractNumId="114">
    <w:nsid w:val="F819E7F"/>
    <w:multiLevelType w:val="hybridMultilevel"/>
    <w:lvl w:ilvl="0">
      <w:lvlJc w:val="left"/>
      <w:lvlText w:val="(%1)"/>
      <w:numFmt w:val="lowerLetter"/>
      <w:start w:val="10"/>
    </w:lvl>
  </w:abstractNum>
  <w:abstractNum w:abstractNumId="115">
    <w:nsid w:val="57C7D42D"/>
    <w:multiLevelType w:val="hybridMultilevel"/>
    <w:lvl w:ilvl="0">
      <w:lvlJc w:val="left"/>
      <w:lvlText w:val="(%1)"/>
      <w:numFmt w:val="lowerLetter"/>
      <w:start w:val="1"/>
    </w:lvl>
  </w:abstractNum>
  <w:abstractNum w:abstractNumId="116">
    <w:nsid w:val="312167AD"/>
    <w:multiLevelType w:val="hybridMultilevel"/>
    <w:lvl w:ilvl="0">
      <w:lvlJc w:val="left"/>
      <w:lvlText w:val="(%1)"/>
      <w:numFmt w:val="lowerLetter"/>
      <w:start w:val="3"/>
    </w:lvl>
  </w:abstractNum>
  <w:abstractNum w:abstractNumId="117">
    <w:nsid w:val="631B64D4"/>
    <w:multiLevelType w:val="hybridMultilevel"/>
    <w:lvl w:ilvl="0">
      <w:lvlJc w:val="left"/>
      <w:lvlText w:val="(%1)"/>
      <w:numFmt w:val="lowerLetter"/>
      <w:start w:val="8"/>
    </w:lvl>
  </w:abstractNum>
  <w:abstractNum w:abstractNumId="118">
    <w:nsid w:val="78B5E776"/>
    <w:multiLevelType w:val="hybridMultilevel"/>
    <w:lvl w:ilvl="0">
      <w:lvlJc w:val="left"/>
      <w:lvlText w:val="(%1)"/>
      <w:numFmt w:val="lowerRoman"/>
      <w:start w:val="3"/>
    </w:lvl>
  </w:abstractNum>
  <w:abstractNum w:abstractNumId="119">
    <w:nsid w:val="75486E47"/>
    <w:multiLevelType w:val="hybridMultilevel"/>
    <w:lvl w:ilvl="0">
      <w:lvlJc w:val="left"/>
      <w:lvlText w:val="(%1)"/>
      <w:numFmt w:val="decimal"/>
      <w:start w:val="1"/>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1"/>
    </w:lvl>
    <w:lvl w:ilvl="1">
      <w:lvlJc w:val="left"/>
      <w:lvlText w:val="(%2)"/>
      <w:numFmt w:val="decimal"/>
      <w:start w:val="1"/>
    </w:lvl>
  </w:abstractNum>
  <w:abstractNum w:abstractNumId="122">
    <w:nsid w:val="65968C1C"/>
    <w:multiLevelType w:val="hybridMultilevel"/>
    <w:lvl w:ilvl="0">
      <w:lvlJc w:val="left"/>
      <w:lvlText w:val="(%1)"/>
      <w:numFmt w:val="decimal"/>
      <w:start w:val="3"/>
    </w:lvl>
  </w:abstractNum>
  <w:abstractNum w:abstractNumId="123">
    <w:nsid w:val="46263DEC"/>
    <w:multiLevelType w:val="hybridMultilevel"/>
    <w:lvl w:ilvl="0">
      <w:lvlJc w:val="left"/>
      <w:lvlText w:val="(%1)"/>
      <w:numFmt w:val="lowerLetter"/>
      <w:start w:val="2"/>
    </w:lvl>
    <w:lvl w:ilvl="1">
      <w:lvlJc w:val="left"/>
      <w:lvlText w:val="(%2)"/>
      <w:numFmt w:val="lowerRoman"/>
      <w:start w:val="1"/>
    </w:lvl>
  </w:abstractNum>
  <w:abstractNum w:abstractNumId="124">
    <w:nsid w:val="260D8C4A"/>
    <w:multiLevelType w:val="hybridMultilevel"/>
    <w:lvl w:ilvl="0">
      <w:lvlJc w:val="left"/>
      <w:lvlText w:val="(%1)"/>
      <w:numFmt w:val="decimal"/>
      <w:start w:val="1"/>
    </w:lvl>
  </w:abstractNum>
  <w:abstractNum w:abstractNumId="125">
    <w:nsid w:val="73D4D3C4"/>
    <w:multiLevelType w:val="hybridMultilevel"/>
    <w:lvl w:ilvl="0">
      <w:lvlJc w:val="left"/>
      <w:lvlText w:val="(%1)"/>
      <w:numFmt w:val="decimal"/>
      <w:start w:val="1"/>
    </w:lvl>
  </w:abstractNum>
  <w:abstractNum w:abstractNumId="126">
    <w:nsid w:val="746F2E30"/>
    <w:multiLevelType w:val="hybridMultilevel"/>
    <w:lvl w:ilvl="0">
      <w:lvlJc w:val="left"/>
      <w:lvlText w:val="(%1)"/>
      <w:numFmt w:val="decimal"/>
      <w:start w:val="3"/>
    </w:lvl>
  </w:abstractNum>
  <w:abstractNum w:abstractNumId="127">
    <w:nsid w:val="6FDE8AF6"/>
    <w:multiLevelType w:val="hybridMultilevel"/>
    <w:lvl w:ilvl="0">
      <w:lvlJc w:val="left"/>
      <w:lvlText w:val="%1"/>
      <w:numFmt w:val="lowerLetter"/>
      <w:start w:val="1"/>
    </w:lvl>
    <w:lvl w:ilvl="1">
      <w:lvlJc w:val="left"/>
      <w:lvlText w:val="(%2)"/>
      <w:numFmt w:val="lowerLetter"/>
      <w:start w:val="1"/>
    </w:lvl>
  </w:abstractNum>
  <w:abstractNum w:abstractNumId="128">
    <w:nsid w:val="3FC32E20"/>
    <w:multiLevelType w:val="hybridMultilevel"/>
    <w:lvl w:ilvl="0">
      <w:lvlJc w:val="left"/>
      <w:lvlText w:val="(%1)"/>
      <w:numFmt w:val="lowerLetter"/>
      <w:start w:val="61"/>
    </w:lvl>
    <w:lvl w:ilvl="1">
      <w:lvlJc w:val="left"/>
      <w:lvlText w:val="%2"/>
      <w:numFmt w:val="lowerLetter"/>
      <w:start w:val="1"/>
    </w:lvl>
  </w:abstractNum>
  <w:abstractNum w:abstractNumId="129">
    <w:nsid w:val="49C0E823"/>
    <w:multiLevelType w:val="hybridMultilevel"/>
    <w:lvl w:ilvl="0">
      <w:lvlJc w:val="left"/>
      <w:lvlText w:val="(%1)"/>
      <w:numFmt w:val="lowerLetter"/>
      <w:start w:val="1"/>
    </w:lvl>
  </w:abstractNum>
  <w:abstractNum w:abstractNumId="130">
    <w:nsid w:val="14D53685"/>
    <w:multiLevelType w:val="hybridMultilevel"/>
    <w:lvl w:ilvl="0">
      <w:lvlJc w:val="left"/>
      <w:lvlText w:val="(%1)"/>
      <w:numFmt w:val="lowerLetter"/>
      <w:start w:val="1"/>
    </w:lvl>
  </w:abstractNum>
  <w:abstractNum w:abstractNumId="131">
    <w:nsid w:val="230F856C"/>
    <w:multiLevelType w:val="hybridMultilevel"/>
    <w:lvl w:ilvl="0">
      <w:lvlJc w:val="left"/>
      <w:lvlText w:val="(%1)"/>
      <w:numFmt w:val="decimal"/>
      <w:start w:val="1"/>
    </w:lvl>
    <w:lvl w:ilvl="1">
      <w:lvlJc w:val="left"/>
      <w:lvlText w:val="(%2)"/>
      <w:numFmt w:val="upperLetter"/>
      <w:start w:val="1"/>
    </w:lvl>
  </w:abstractNum>
  <w:abstractNum w:abstractNumId="132">
    <w:nsid w:val="6EAA85FB"/>
    <w:multiLevelType w:val="hybridMultilevel"/>
    <w:lvl w:ilvl="0">
      <w:lvlJc w:val="left"/>
      <w:lvlText w:val="(%1)"/>
      <w:numFmt w:val="lowerLetter"/>
      <w:start w:val="2"/>
    </w:lvl>
  </w:abstractNum>
  <w:abstractNum w:abstractNumId="133">
    <w:nsid w:val="3F06ECB2"/>
    <w:multiLevelType w:val="hybridMultilevel"/>
    <w:lvl w:ilvl="0">
      <w:lvlJc w:val="left"/>
      <w:lvlText w:val="(%1)"/>
      <w:numFmt w:val="lowerLetter"/>
      <w:start w:val="1"/>
    </w:lvl>
  </w:abstractNum>
  <w:abstractNum w:abstractNumId="134">
    <w:nsid w:val="3B594807"/>
    <w:multiLevelType w:val="hybridMultilevel"/>
    <w:lvl w:ilvl="0">
      <w:lvlJc w:val="left"/>
      <w:lvlText w:val="(%1)"/>
      <w:numFmt w:val="lowerLetter"/>
      <w:start w:val="3"/>
    </w:lvl>
  </w:abstractNum>
  <w:abstractNum w:abstractNumId="135">
    <w:nsid w:val="6CAA2304"/>
    <w:multiLevelType w:val="hybridMultilevel"/>
    <w:lvl w:ilvl="0">
      <w:lvlJc w:val="left"/>
      <w:lvlText w:val="(%1)"/>
      <w:numFmt w:val="lowerLetter"/>
      <w:start w:val="1"/>
    </w:lvl>
  </w:abstractNum>
  <w:abstractNum w:abstractNumId="136">
    <w:nsid w:val="3F7C2FF4"/>
    <w:multiLevelType w:val="hybridMultilevel"/>
    <w:lvl w:ilvl="0">
      <w:lvlJc w:val="left"/>
      <w:lvlText w:val="(%1)"/>
      <w:numFmt w:val="lowerLetter"/>
      <w:start w:val="6"/>
    </w:lvl>
    <w:lvl w:ilvl="1">
      <w:lvlJc w:val="left"/>
      <w:lvlText w:val="(%2)"/>
      <w:numFmt w:val="decimal"/>
      <w:start w:val="1"/>
    </w:lvl>
  </w:abstractNum>
  <w:abstractNum w:abstractNumId="137">
    <w:nsid w:val="25413BEC"/>
    <w:multiLevelType w:val="hybridMultilevel"/>
    <w:lvl w:ilvl="0">
      <w:lvlJc w:val="left"/>
      <w:lvlText w:val="(%1)"/>
      <w:numFmt w:val="lowerLetter"/>
      <w:start w:val="8"/>
    </w:lvl>
  </w:abstractNum>
  <w:abstractNum w:abstractNumId="138">
    <w:nsid w:val="17180B0B"/>
    <w:multiLevelType w:val="hybridMultilevel"/>
    <w:lvl w:ilvl="0">
      <w:lvlJc w:val="left"/>
      <w:lvlText w:val="(%1)"/>
      <w:numFmt w:val="lowerRoman"/>
      <w:start w:val="1"/>
    </w:lvl>
    <w:lvl w:ilvl="1">
      <w:lvlJc w:val="left"/>
      <w:lvlText w:val="(%2)"/>
      <w:numFmt w:val="lowerRoman"/>
      <w:start w:val="2"/>
    </w:lvl>
  </w:abstractNum>
  <w:abstractNum w:abstractNumId="139">
    <w:nsid w:val="579328B9"/>
    <w:multiLevelType w:val="hybridMultilevel"/>
    <w:lvl w:ilvl="0">
      <w:lvlJc w:val="left"/>
      <w:lvlText w:val="(%1)"/>
      <w:numFmt w:val="lowerLetter"/>
      <w:start w:val="1"/>
    </w:lvl>
    <w:lvl w:ilvl="1">
      <w:lvlJc w:val="left"/>
      <w:lvlText w:val="(%2)"/>
      <w:numFmt w:val="lowerLetter"/>
      <w:start w:val="9"/>
    </w:lvl>
  </w:abstractNum>
  <w:abstractNum w:abstractNumId="140">
    <w:nsid w:val="5D205E20"/>
    <w:multiLevelType w:val="hybridMultilevel"/>
    <w:lvl w:ilvl="0">
      <w:lvlJc w:val="left"/>
      <w:lvlText w:val="(%1)"/>
      <w:numFmt w:val="lowerRoman"/>
      <w:start w:val="2"/>
    </w:lvl>
  </w:abstractNum>
  <w:abstractNum w:abstractNumId="141">
    <w:nsid w:val="11CCA8BA"/>
    <w:multiLevelType w:val="hybridMultilevel"/>
    <w:lvl w:ilvl="0">
      <w:lvlJc w:val="left"/>
      <w:lvlText w:val="(%1)"/>
      <w:numFmt w:val="lowerLetter"/>
      <w:start w:val="1"/>
    </w:lvl>
  </w:abstractNum>
  <w:abstractNum w:abstractNumId="142">
    <w:nsid w:val="4D32AB86"/>
    <w:multiLevelType w:val="hybridMultilevel"/>
    <w:lvl w:ilvl="0">
      <w:lvlJc w:val="left"/>
      <w:lvlText w:val="(%1)"/>
      <w:numFmt w:val="lowerLetter"/>
      <w:start w:val="2"/>
    </w:lvl>
  </w:abstractNum>
  <w:abstractNum w:abstractNumId="143">
    <w:nsid w:val="3F07ACC3"/>
    <w:multiLevelType w:val="hybridMultilevel"/>
    <w:lvl w:ilvl="0">
      <w:lvlJc w:val="left"/>
      <w:lvlText w:val="(%1)"/>
      <w:numFmt w:val="lowerLetter"/>
      <w:start w:val="1"/>
    </w:lvl>
  </w:abstractNum>
  <w:abstractNum w:abstractNumId="144">
    <w:nsid w:val="6B47F63E"/>
    <w:multiLevelType w:val="hybridMultilevel"/>
    <w:lvl w:ilvl="0">
      <w:lvlJc w:val="left"/>
      <w:lvlText w:val="(%1)"/>
      <w:numFmt w:val="lowerLetter"/>
      <w:start w:val="1"/>
    </w:lvl>
    <w:lvl w:ilvl="1">
      <w:lvlJc w:val="left"/>
      <w:lvlText w:val="(%2)"/>
      <w:numFmt w:val="lowerLetter"/>
      <w:start w:val="9"/>
    </w:lvl>
  </w:abstractNum>
  <w:abstractNum w:abstractNumId="145">
    <w:nsid w:val="5CB44A05"/>
    <w:multiLevelType w:val="hybridMultilevel"/>
    <w:lvl w:ilvl="0">
      <w:lvlJc w:val="left"/>
      <w:lvlText w:val="%1"/>
      <w:numFmt w:val="lowerLetter"/>
      <w:start w:val="1"/>
    </w:lvl>
    <w:lvl w:ilvl="1">
      <w:lvlJc w:val="left"/>
      <w:lvlText w:val="(%2)"/>
      <w:numFmt w:val="lowerLetter"/>
      <w:start w:val="35"/>
    </w:lvl>
  </w:abstractNum>
  <w:abstractNum w:abstractNumId="146">
    <w:nsid w:val="16CF80F1"/>
    <w:multiLevelType w:val="hybridMultilevel"/>
    <w:lvl w:ilvl="0">
      <w:lvlJc w:val="left"/>
      <w:lvlText w:val="(%1)"/>
      <w:numFmt w:val="lowerLetter"/>
      <w:start w:val="3"/>
    </w:lvl>
    <w:lvl w:ilvl="1">
      <w:lvlJc w:val="left"/>
      <w:lvlText w:val="%2"/>
      <w:numFmt w:val="lowerLetter"/>
      <w:start w:val="1"/>
    </w:lvl>
  </w:abstractNum>
  <w:abstractNum w:abstractNumId="147">
    <w:nsid w:val="1C695DEC"/>
    <w:multiLevelType w:val="hybridMultilevel"/>
    <w:lvl w:ilvl="0">
      <w:lvlJc w:val="left"/>
      <w:lvlText w:val="(%1)"/>
      <w:numFmt w:val="lowerLetter"/>
      <w:start w:val="4"/>
    </w:lvl>
  </w:abstractNum>
  <w:abstractNum w:abstractNumId="148">
    <w:nsid w:val="3FCFAED9"/>
    <w:multiLevelType w:val="hybridMultilevel"/>
    <w:lvl w:ilvl="0">
      <w:lvlJc w:val="left"/>
      <w:lvlText w:val="(%1)"/>
      <w:numFmt w:val="lowerLetter"/>
      <w:start w:val="1"/>
    </w:lvl>
  </w:abstractNum>
  <w:abstractNum w:abstractNumId="149">
    <w:nsid w:val="F856867"/>
    <w:multiLevelType w:val="hybridMultilevel"/>
    <w:lvl w:ilvl="0">
      <w:lvlJc w:val="left"/>
      <w:lvlText w:val="(%1)"/>
      <w:numFmt w:val="lowerLetter"/>
      <w:start w:val="6"/>
    </w:lvl>
  </w:abstractNum>
  <w:abstractNum w:abstractNumId="150">
    <w:nsid w:val="11B1CC33"/>
    <w:multiLevelType w:val="hybridMultilevel"/>
    <w:lvl w:ilvl="0">
      <w:lvlJc w:val="left"/>
      <w:lvlText w:val="(%1)"/>
      <w:numFmt w:val="lowerLetter"/>
      <w:start w:val="1"/>
    </w:lvl>
    <w:lvl w:ilvl="1">
      <w:lvlJc w:val="left"/>
      <w:lvlText w:val="(%2)"/>
      <w:numFmt w:val="lowerRoman"/>
      <w:start w:val="1"/>
    </w:lvl>
  </w:abstractNum>
  <w:abstractNum w:abstractNumId="151">
    <w:nsid w:val="2E22FBB7"/>
    <w:multiLevelType w:val="hybridMultilevel"/>
    <w:lvl w:ilvl="0">
      <w:lvlJc w:val="left"/>
      <w:lvlText w:val="%1"/>
      <w:numFmt w:val="lowerLetter"/>
      <w:start w:val="1"/>
    </w:lvl>
    <w:lvl w:ilvl="1">
      <w:lvlJc w:val="left"/>
      <w:lvlText w:val="(%2)"/>
      <w:numFmt w:val="lowerRoman"/>
      <w:start w:val="3"/>
    </w:lvl>
  </w:abstractNum>
  <w:abstractNum w:abstractNumId="152">
    <w:nsid w:val="29934699"/>
    <w:multiLevelType w:val="hybridMultilevel"/>
    <w:lvl w:ilvl="0">
      <w:lvlJc w:val="left"/>
      <w:lvlText w:val="(%1)"/>
      <w:numFmt w:val="lowerLetter"/>
      <w:start w:val="2"/>
    </w:lvl>
    <w:lvl w:ilvl="1">
      <w:lvlJc w:val="left"/>
      <w:lvlText w:val="%2"/>
      <w:numFmt w:val="lowerRoman"/>
      <w:start w:val="1"/>
    </w:lvl>
  </w:abstractNum>
  <w:abstractNum w:abstractNumId="153">
    <w:nsid w:val="77485850"/>
    <w:multiLevelType w:val="hybridMultilevel"/>
    <w:lvl w:ilvl="0">
      <w:lvlJc w:val="left"/>
      <w:lvlText w:val="(%1)"/>
      <w:numFmt w:val="lowerLetter"/>
      <w:start w:val="1"/>
    </w:lvl>
    <w:lvl w:ilvl="1">
      <w:lvlJc w:val="left"/>
      <w:lvlText w:val="(%2)"/>
      <w:numFmt w:val="upperLetter"/>
      <w:start w:val="1"/>
    </w:lvl>
  </w:abstractNum>
  <w:abstractNum w:abstractNumId="154">
    <w:nsid w:val="744939A3"/>
    <w:multiLevelType w:val="hybridMultilevel"/>
    <w:lvl w:ilvl="0">
      <w:lvlJc w:val="left"/>
      <w:lvlText w:val="%1"/>
      <w:numFmt w:val="lowerRoman"/>
      <w:start w:val="1"/>
    </w:lvl>
    <w:lvl w:ilvl="1">
      <w:lvlJc w:val="left"/>
      <w:lvlText w:val="(%2)"/>
      <w:numFmt w:val="upperLetter"/>
      <w:start w:val="2"/>
    </w:lvl>
  </w:abstractNum>
  <w:abstractNum w:abstractNumId="155">
    <w:nsid w:val="4FA0D2E3"/>
    <w:multiLevelType w:val="hybridMultilevel"/>
    <w:lvl w:ilvl="0">
      <w:lvlJc w:val="left"/>
      <w:lvlText w:val="(%1)"/>
      <w:numFmt w:val="lowerRoman"/>
      <w:start w:val="2"/>
    </w:lvl>
    <w:lvl w:ilvl="1">
      <w:lvlJc w:val="left"/>
      <w:lvlText w:val="(%2)"/>
      <w:numFmt w:val="upperLetter"/>
      <w:start w:val="1"/>
    </w:lvl>
  </w:abstractNum>
  <w:abstractNum w:abstractNumId="156">
    <w:nsid w:val="6B1D2C14"/>
    <w:multiLevelType w:val="hybridMultilevel"/>
    <w:lvl w:ilvl="0">
      <w:lvlJc w:val="left"/>
      <w:lvlText w:val="%1"/>
      <w:numFmt w:val="lowerLetter"/>
      <w:start w:val="1"/>
    </w:lvl>
    <w:lvl w:ilvl="1">
      <w:lvlJc w:val="left"/>
      <w:lvlText w:val="(%2)"/>
      <w:numFmt w:val="lowerRoman"/>
      <w:start w:val="3"/>
    </w:lvl>
  </w:abstractNum>
  <w:abstractNum w:abstractNumId="157">
    <w:nsid w:val="68B867D3"/>
    <w:multiLevelType w:val="hybridMultilevel"/>
    <w:lvl w:ilvl="0">
      <w:lvlJc w:val="left"/>
      <w:lvlText w:val="(%1)"/>
      <w:numFmt w:val="lowerLetter"/>
      <w:start w:val="3"/>
    </w:lvl>
    <w:lvl w:ilvl="1">
      <w:lvlJc w:val="left"/>
      <w:lvlText w:val="%2"/>
      <w:numFmt w:val="lowerRoman"/>
      <w:start w:val="1"/>
    </w:lvl>
  </w:abstractNum>
  <w:abstractNum w:abstractNumId="158">
    <w:nsid w:val="3F7F5DD9"/>
    <w:multiLevelType w:val="hybridMultilevel"/>
    <w:lvl w:ilvl="0">
      <w:lvlJc w:val="left"/>
      <w:lvlText w:val="(%1)"/>
      <w:numFmt w:val="lowerLetter"/>
      <w:start w:val="4"/>
    </w:lvl>
  </w:abstractNum>
  <w:abstractNum w:abstractNumId="159">
    <w:nsid w:val="2AE05A34"/>
    <w:multiLevelType w:val="hybridMultilevel"/>
    <w:lvl w:ilvl="0">
      <w:lvlJc w:val="left"/>
      <w:lvlText w:val="(%1)"/>
      <w:numFmt w:val="lowerLetter"/>
      <w:start w:val="5"/>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lowerLetter"/>
      <w:start w:val="1"/>
    </w:lvl>
    <w:lvl w:ilvl="1">
      <w:lvlJc w:val="left"/>
      <w:lvlText w:val="(%2)"/>
      <w:numFmt w:val="lowerLetter"/>
      <w:start w:val="35"/>
    </w:lvl>
  </w:abstractNum>
  <w:abstractNum w:abstractNumId="162">
    <w:nsid w:val="4DEFDFA0"/>
    <w:multiLevelType w:val="hybridMultilevel"/>
    <w:lvl w:ilvl="0">
      <w:lvlJc w:val="left"/>
      <w:lvlText w:val="(%1)"/>
      <w:numFmt w:val="lowerLetter"/>
      <w:start w:val="2"/>
    </w:lvl>
    <w:lvl w:ilvl="1">
      <w:lvlJc w:val="left"/>
      <w:lvlText w:val="%2"/>
      <w:numFmt w:val="lowerLetter"/>
      <w:start w:val="1"/>
    </w:lvl>
  </w:abstractNum>
  <w:abstractNum w:abstractNumId="163">
    <w:nsid w:val="2123D5F2"/>
    <w:multiLevelType w:val="hybridMultilevel"/>
    <w:lvl w:ilvl="0">
      <w:lvlJc w:val="left"/>
      <w:lvlText w:val="%1"/>
      <w:numFmt w:val="lowerRoman"/>
      <w:start w:val="1"/>
    </w:lvl>
    <w:lvl w:ilvl="1">
      <w:lvlJc w:val="left"/>
      <w:lvlText w:val="(%2)"/>
      <w:numFmt w:val="lowerLetter"/>
      <w:start w:val="3"/>
    </w:lvl>
  </w:abstractNum>
  <w:abstractNum w:abstractNumId="164">
    <w:nsid w:val="135B8110"/>
    <w:multiLevelType w:val="hybridMultilevel"/>
    <w:lvl w:ilvl="0">
      <w:lvlJc w:val="left"/>
      <w:lvlText w:val="(%1)"/>
      <w:numFmt w:val="lowerRoman"/>
      <w:start w:val="4"/>
    </w:lvl>
    <w:lvl w:ilvl="1">
      <w:lvlJc w:val="left"/>
      <w:lvlText w:val="(%2)"/>
      <w:numFmt w:val="lowerLetter"/>
      <w:start w:val="4"/>
    </w:lvl>
  </w:abstractNum>
  <w:abstractNum w:abstractNumId="165">
    <w:nsid w:val="94927A8"/>
    <w:multiLevelType w:val="hybridMultilevel"/>
    <w:lvl w:ilvl="0">
      <w:lvlJc w:val="left"/>
      <w:lvlText w:val="(%1)"/>
      <w:numFmt w:val="lowerLetter"/>
      <w:start w:val="5"/>
    </w:lvl>
  </w:abstractNum>
  <w:abstractNum w:abstractNumId="166">
    <w:nsid w:val="DCDF8F6"/>
    <w:multiLevelType w:val="hybridMultilevel"/>
    <w:lvl w:ilvl="0">
      <w:lvlJc w:val="left"/>
      <w:lvlText w:val="(%1)"/>
      <w:numFmt w:val="lowerLetter"/>
      <w:start w:val="1"/>
    </w:lvl>
  </w:abstractNum>
  <w:abstractNum w:abstractNumId="167">
    <w:nsid w:val="52D7B105"/>
    <w:multiLevelType w:val="hybridMultilevel"/>
    <w:lvl w:ilvl="0">
      <w:lvlJc w:val="left"/>
      <w:lvlText w:val="(%1)"/>
      <w:numFmt w:val="lowerLetter"/>
      <w:start w:val="1"/>
    </w:lvl>
    <w:lvl w:ilvl="1">
      <w:lvlJc w:val="left"/>
      <w:lvlText w:val="(%2)"/>
      <w:numFmt w:val="lowerRoman"/>
      <w:start w:val="1"/>
    </w:lvl>
  </w:abstractNum>
  <w:abstractNum w:abstractNumId="168">
    <w:nsid w:val="2E8A6394"/>
    <w:multiLevelType w:val="hybridMultilevel"/>
    <w:lvl w:ilvl="0">
      <w:lvlJc w:val="left"/>
      <w:lvlText w:val="(%1)"/>
      <w:numFmt w:val="lowerLetter"/>
      <w:start w:val="2"/>
    </w:lvl>
  </w:abstractNum>
  <w:abstractNum w:abstractNumId="169">
    <w:nsid w:val="24E60401"/>
    <w:multiLevelType w:val="hybridMultilevel"/>
    <w:lvl w:ilvl="0">
      <w:lvlJc w:val="left"/>
      <w:lvlText w:val="(%1)"/>
      <w:numFmt w:val="lowerLetter"/>
      <w:start w:val="6"/>
    </w:lvl>
  </w:abstractNum>
  <w:abstractNum w:abstractNumId="170">
    <w:nsid w:val="2A6AD9BE"/>
    <w:multiLevelType w:val="hybridMultilevel"/>
    <w:lvl w:ilvl="0">
      <w:lvlJc w:val="left"/>
      <w:lvlText w:val="(%1)"/>
      <w:numFmt w:val="lowerLetter"/>
      <w:start w:val="1"/>
    </w:lvl>
  </w:abstractNum>
  <w:abstractNum w:abstractNumId="171">
    <w:nsid w:val="BAAC1B4"/>
    <w:multiLevelType w:val="hybridMultilevel"/>
    <w:lvl w:ilvl="0">
      <w:lvlJc w:val="left"/>
      <w:lvlText w:val="(%1)"/>
      <w:numFmt w:val="lowerLetter"/>
      <w:start w:val="25"/>
    </w:lvl>
  </w:abstractNum>
  <w:abstractNum w:abstractNumId="172">
    <w:nsid w:val="36B2ACBC"/>
    <w:multiLevelType w:val="hybridMultilevel"/>
    <w:lvl w:ilvl="0">
      <w:lvlJc w:val="left"/>
      <w:lvlText w:val="(%1)"/>
      <w:numFmt w:val="lowerLetter"/>
      <w:start w:val="1"/>
    </w:lvl>
    <w:lvl w:ilvl="1">
      <w:lvlJc w:val="left"/>
      <w:lvlText w:val="(%2)"/>
      <w:numFmt w:val="lowerRoman"/>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lvl w:ilvl="1">
      <w:lvlJc w:val="left"/>
      <w:lvlText w:val="(%2)"/>
      <w:numFmt w:val="lowerLetter"/>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31" Type="http://schemas.openxmlformats.org/officeDocument/2006/relationships/hyperlink" Target="https://www.sec.gov/ix?doc=/Archives/edgar/data/1743907/000174390725000005/sncy-20241231.htm#if920b000135448cdb334f8440d73925a_118" TargetMode="External"/><Relationship Id="rId41" Type="http://schemas.openxmlformats.org/officeDocument/2006/relationships/hyperlink" Target="https://www.sec.gov/ix?doc=/Archives/edgar/data/1743907/000174390725000005/sncy-20241231.htm#if920b000135448cdb334f8440d73925a_136" TargetMode="External"/><Relationship Id="rId53" Type="http://schemas.openxmlformats.org/officeDocument/2006/relationships/hyperlink" Target="https://www.sec.gov/ix?doc=/Archives/edgar/data/1743907/000174390725000005/sncy-20241231.htm#if920b000135448cdb334f8440d73925a_166" TargetMode="External"/><Relationship Id="rId58" Type="http://schemas.openxmlformats.org/officeDocument/2006/relationships/hyperlink" Target="https://www.sec.gov/ix?doc=/Archives/edgar/data/1743907/000174390725000005/sncy-20241231.htm#if920b000135448cdb334f8440d73925a_52" TargetMode="External"/><Relationship Id="rId59" Type="http://schemas.openxmlformats.org/officeDocument/2006/relationships/hyperlink" Target="https://www.sec.gov/ix?doc=/Archives/edgar/data/1743907/000174390725000005/sncy-20241231.htm#if920b000135448cdb334f8440d73925a_25" TargetMode="External"/><Relationship Id="rId60" Type="http://schemas.openxmlformats.org/officeDocument/2006/relationships/hyperlink" Target="https://www.sec.gov/ix?doc=/Archives/edgar/data/1743907/000174390725000005/sncy-20241231.htm#if920b000135448cdb334f8440d73925a_22" TargetMode="External"/><Relationship Id="rId85" Type="http://schemas.openxmlformats.org/officeDocument/2006/relationships/hyperlink" Target="https://www.sec.gov/ix?doc=/Archives/edgar/data/0001743907/000174390725000005/sncy-20241231.htm#if920b000135448cdb334f8440d73925a_52" TargetMode="External"/><Relationship Id="rId93" Type="http://schemas.openxmlformats.org/officeDocument/2006/relationships/hyperlink" Target="https://www.sec.gov/ix?doc=/Archives/edgar/data/1743907/000174390725000005/sncy-20241231.htm#if920b000135448cdb334f8440d73925a_85" TargetMode="External"/><Relationship Id="rId96" Type="http://schemas.openxmlformats.org/officeDocument/2006/relationships/hyperlink" Target="https://www.sec.gov/Archives/edgar/data/1743907/000174390725000010/sca-syfxprogramagreementre.htm" TargetMode="External"/><Relationship Id="rId97" Type="http://schemas.openxmlformats.org/officeDocument/2006/relationships/hyperlink" Target="https://www.sec.gov/Archives/edgar/data/1743907/000119312525024316/d932164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2025-05-02T08:50:12Z</dcterms:created>
  <dcterms:modified xsi:type="dcterms:W3CDTF">2025-05-02T08:50:12Z</dcterms:modified>
</cp:coreProperties>
</file>