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supplement is not complete and may be changed. This prospectus supplement and the accompanying prospectus are not an offer to sell these securities and they are not soliciting an offer to buy these securities in any jurisdiction where the offer or sale is not permitted.</w:t>
      </w:r>
    </w:p>
    <w:p>
      <w:pPr>
        <w:spacing w:after="0" w:line="1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333-269023</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10, 2025</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Prospectus dated January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83185</wp:posOffset>
            </wp:positionV>
            <wp:extent cx="1988820"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24892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6,346,105 Shares</w:t>
      </w:r>
    </w:p>
    <w:p>
      <w:pPr>
        <w:spacing w:after="0" w:line="1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1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5" w:lineRule="exact"/>
        <w:rPr>
          <w:sz w:val="24"/>
          <w:szCs w:val="24"/>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by reference in this prospectus supplement relates to the resale of an aggregate of 6,346,105 shares of common stock of Sun Country Airlines Holdings, Inc., a Delaware corporation, by SCA Horus Holdings, LLC, or the selling stockholder. The shares of common stock to be sold in this offering represent all the remaining shares owned by the selling stockholder.</w:t>
      </w:r>
    </w:p>
    <w:p>
      <w:pPr>
        <w:spacing w:after="0" w:line="68" w:lineRule="exact"/>
        <w:rPr>
          <w:sz w:val="24"/>
          <w:szCs w:val="24"/>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Global Select Market, or “Nasdaq,” under the symbol “SNCY.” On February 7, 2025, the last reported sale price per share of our common stock on Nasdaq was $16.50</w:t>
      </w:r>
    </w:p>
    <w:p>
      <w:pPr>
        <w:spacing w:after="0" w:line="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shares of common stock by the selling stockholder.</w:t>
      </w:r>
    </w:p>
    <w:p>
      <w:pPr>
        <w:spacing w:after="0" w:line="117" w:lineRule="exact"/>
        <w:rPr>
          <w:sz w:val="24"/>
          <w:szCs w:val="24"/>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Subject to the completion of this offering, we intend to purchase from the underwriter approximately $10.0 million of the shares of common stock that are the subject of this offering at a price per share equal to the price at which the underwriter will purchase the shares from the selling stockholder in this offering, subject to a maximum aggregate repurchase price of $10.0 million. Assuming that the underwriter purchases the shares of common stock that are the subject of this offering from the selling stockholder at a price of $16.50 per share, which was the last reported sale price per share of our common stock on Nasdaq on February 7, 2025, we expect to repurchase 606,060 shares of our common stock from the underwriter as part of this offering. The underwriter will not receive any compensation for the shares of our common stock being repurchased by us. See “</w:t>
      </w:r>
      <w:r>
        <w:rPr>
          <w:rFonts w:ascii="Times New Roman" w:cs="Times New Roman" w:eastAsia="Times New Roman" w:hAnsi="Times New Roman"/>
          <w:sz w:val="18"/>
          <w:szCs w:val="18"/>
          <w:i w:val="1"/>
          <w:iCs w:val="1"/>
          <w:color w:val="auto"/>
        </w:rPr>
        <w:t>Concurrent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Repurchase</w:t>
      </w:r>
      <w:r>
        <w:rPr>
          <w:rFonts w:ascii="Times New Roman" w:cs="Times New Roman" w:eastAsia="Times New Roman" w:hAnsi="Times New Roman"/>
          <w:sz w:val="18"/>
          <w:szCs w:val="18"/>
          <w:color w:val="auto"/>
        </w:rPr>
        <w:t>.”</w:t>
      </w:r>
    </w:p>
    <w:p>
      <w:pPr>
        <w:spacing w:after="0" w:line="81" w:lineRule="exact"/>
        <w:rPr>
          <w:sz w:val="24"/>
          <w:szCs w:val="24"/>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By participating in this offering, you are representing that you are a citizen of the United States, as defined in 49 U.S.C. § 40102(a)(15). See “</w:t>
      </w:r>
      <w:r>
        <w:rPr>
          <w:rFonts w:ascii="Times New Roman" w:cs="Times New Roman" w:eastAsia="Times New Roman" w:hAnsi="Times New Roman"/>
          <w:sz w:val="18"/>
          <w:szCs w:val="18"/>
          <w:i w:val="1"/>
          <w:iCs w:val="1"/>
          <w:color w:val="auto"/>
        </w:rPr>
        <w:t>Description of Capital Stock—Limited Ownership and Voting by Foreign Owners</w:t>
      </w:r>
      <w:r>
        <w:rPr>
          <w:rFonts w:ascii="Times New Roman" w:cs="Times New Roman" w:eastAsia="Times New Roman" w:hAnsi="Times New Roman"/>
          <w:sz w:val="18"/>
          <w:szCs w:val="18"/>
          <w:color w:val="auto"/>
        </w:rPr>
        <w:t>” in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1" w:lineRule="exact"/>
        <w:rPr>
          <w:sz w:val="24"/>
          <w:szCs w:val="24"/>
          <w:color w:val="auto"/>
        </w:rPr>
      </w:pPr>
    </w:p>
    <w:p>
      <w:pPr>
        <w:ind w:left="120" w:right="360" w:firstLine="440"/>
        <w:spacing w:after="0" w:line="288" w:lineRule="auto"/>
        <w:rPr>
          <w:sz w:val="20"/>
          <w:szCs w:val="20"/>
          <w:color w:val="auto"/>
        </w:rPr>
      </w:pPr>
      <w:r>
        <w:rPr>
          <w:rFonts w:ascii="Times New Roman" w:cs="Times New Roman" w:eastAsia="Times New Roman" w:hAnsi="Times New Roman"/>
          <w:sz w:val="21"/>
          <w:szCs w:val="21"/>
          <w:b w:val="1"/>
          <w:bCs w:val="1"/>
          <w:color w:val="auto"/>
        </w:rPr>
        <w:t>Investing in the common stock involves risks that are described in the “</w:t>
      </w:r>
      <w:r>
        <w:rPr>
          <w:rFonts w:ascii="Times New Roman" w:cs="Times New Roman" w:eastAsia="Times New Roman" w:hAnsi="Times New Roman"/>
          <w:sz w:val="21"/>
          <w:szCs w:val="21"/>
          <w:b w:val="1"/>
          <w:bCs w:val="1"/>
          <w:i w:val="1"/>
          <w:iCs w:val="1"/>
          <w:u w:val="single" w:color="auto"/>
          <w:color w:val="0000EE"/>
        </w:rPr>
        <w:t>Risk Factors</w:t>
      </w:r>
      <w:r>
        <w:rPr>
          <w:rFonts w:ascii="Times New Roman" w:cs="Times New Roman" w:eastAsia="Times New Roman" w:hAnsi="Times New Roman"/>
          <w:sz w:val="21"/>
          <w:szCs w:val="21"/>
          <w:b w:val="1"/>
          <w:bCs w:val="1"/>
          <w:color w:val="auto"/>
        </w:rPr>
        <w:t>” section beginning on page S-8 of this prospectus supplement and in the documents incorporated by reference in this prospectus supplement.</w:t>
      </w:r>
    </w:p>
    <w:p>
      <w:pPr>
        <w:spacing w:after="0" w:line="30" w:lineRule="exact"/>
        <w:rPr>
          <w:sz w:val="24"/>
          <w:szCs w:val="24"/>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underwriter has agreed to purchase the shares of common stock at a price of $    per share, which will result in approximately $         of net proceeds (before deducting expenses) to the selling stockholder. The underwriter may offer the shares of common stock from time to time for sale directly or through agents, or through brokers in one or more brokerage transactions on Nasdaq, or to dealers in negotiated transactions or in a combination of such methods of sale, at a fixed price or prices, which may be changed, or at market prices prevailing at the time of sale, at prices related to prevailing market prices or at negotiated prices, subject to its right to reject any order in whole or in part. See “</w:t>
      </w:r>
      <w:r>
        <w:rPr>
          <w:rFonts w:ascii="Times New Roman" w:cs="Times New Roman" w:eastAsia="Times New Roman" w:hAnsi="Times New Roman"/>
          <w:sz w:val="17"/>
          <w:szCs w:val="17"/>
          <w:i w:val="1"/>
          <w:iCs w:val="1"/>
          <w:color w:val="auto"/>
        </w:rPr>
        <w:t>Underwriting (Conflict of Interest)</w:t>
      </w:r>
      <w:r>
        <w:rPr>
          <w:rFonts w:ascii="Times New Roman" w:cs="Times New Roman" w:eastAsia="Times New Roman" w:hAnsi="Times New Roman"/>
          <w:sz w:val="17"/>
          <w:szCs w:val="17"/>
          <w:color w:val="auto"/>
        </w:rPr>
        <w:t>.”</w:t>
      </w:r>
    </w:p>
    <w:p>
      <w:pPr>
        <w:spacing w:after="0" w:line="58" w:lineRule="exact"/>
        <w:rPr>
          <w:sz w:val="24"/>
          <w:szCs w:val="24"/>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References to “underwriter” in this prospectus supplement refer to each underwriter named in the “</w:t>
      </w:r>
      <w:r>
        <w:rPr>
          <w:rFonts w:ascii="Times New Roman" w:cs="Times New Roman" w:eastAsia="Times New Roman" w:hAnsi="Times New Roman"/>
          <w:sz w:val="18"/>
          <w:szCs w:val="18"/>
          <w:i w:val="1"/>
          <w:iCs w:val="1"/>
          <w:color w:val="auto"/>
        </w:rPr>
        <w:t>Underwriting (Conflict of Interest)</w:t>
      </w:r>
      <w:r>
        <w:rPr>
          <w:rFonts w:ascii="Times New Roman" w:cs="Times New Roman" w:eastAsia="Times New Roman" w:hAnsi="Times New Roman"/>
          <w:sz w:val="18"/>
          <w:szCs w:val="18"/>
          <w:color w:val="auto"/>
        </w:rPr>
        <w:t>” section of this prospectus supplement.</w:t>
      </w:r>
    </w:p>
    <w:p>
      <w:pPr>
        <w:spacing w:after="0" w:line="48" w:lineRule="exact"/>
        <w:rPr>
          <w:sz w:val="24"/>
          <w:szCs w:val="24"/>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67" w:lineRule="exact"/>
        <w:rPr>
          <w:sz w:val="24"/>
          <w:szCs w:val="24"/>
          <w:color w:val="auto"/>
        </w:rPr>
      </w:pPr>
    </w:p>
    <w:tbl>
      <w:tblPr>
        <w:tblLayout w:type="fixed"/>
        <w:tblInd w:w="2480" w:type="dxa"/>
        <w:tblCellMar>
          <w:top w:w="0" w:type="dxa"/>
          <w:left w:w="0" w:type="dxa"/>
          <w:bottom w:w="0" w:type="dxa"/>
          <w:right w:w="0" w:type="dxa"/>
        </w:tblCellMar>
      </w:tblPr>
      <w:tr>
        <w:trPr>
          <w:trHeight w:val="234"/>
        </w:trPr>
        <w:tc>
          <w:tcPr>
            <w:tcW w:w="4700" w:type="dxa"/>
            <w:vAlign w:val="bottom"/>
            <w:gridSpan w:val="3"/>
          </w:tcPr>
          <w:p>
            <w:pPr>
              <w:jc w:val="center"/>
              <w:ind w:left="824"/>
              <w:spacing w:after="0"/>
              <w:rPr>
                <w:sz w:val="20"/>
                <w:szCs w:val="20"/>
                <w:color w:val="auto"/>
              </w:rPr>
            </w:pPr>
            <w:r>
              <w:rPr>
                <w:rFonts w:ascii="Times New Roman" w:cs="Times New Roman" w:eastAsia="Times New Roman" w:hAnsi="Times New Roman"/>
                <w:sz w:val="18"/>
                <w:szCs w:val="18"/>
                <w:color w:val="auto"/>
              </w:rPr>
              <w:t xml:space="preserve">The shares will be ready for delivery on or about     </w:t>
            </w:r>
          </w:p>
        </w:tc>
        <w:tc>
          <w:tcPr>
            <w:tcW w:w="2000" w:type="dxa"/>
            <w:vAlign w:val="bottom"/>
          </w:tcPr>
          <w:p>
            <w:pPr>
              <w:jc w:val="right"/>
              <w:ind w:right="1224"/>
              <w:spacing w:after="0"/>
              <w:rPr>
                <w:sz w:val="20"/>
                <w:szCs w:val="20"/>
                <w:color w:val="auto"/>
              </w:rPr>
            </w:pPr>
            <w:r>
              <w:rPr>
                <w:rFonts w:ascii="Times New Roman" w:cs="Times New Roman" w:eastAsia="Times New Roman" w:hAnsi="Times New Roman"/>
                <w:sz w:val="18"/>
                <w:szCs w:val="18"/>
                <w:color w:val="auto"/>
              </w:rPr>
              <w:t>, 2025.</w:t>
            </w:r>
          </w:p>
        </w:tc>
      </w:tr>
      <w:tr>
        <w:trPr>
          <w:trHeight w:val="230"/>
        </w:trPr>
        <w:tc>
          <w:tcPr>
            <w:tcW w:w="198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1"/>
        </w:trPr>
        <w:tc>
          <w:tcPr>
            <w:tcW w:w="47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Morgan Stanley</w:t>
            </w:r>
          </w:p>
        </w:tc>
      </w:tr>
      <w:tr>
        <w:trPr>
          <w:trHeight w:val="312"/>
        </w:trPr>
        <w:tc>
          <w:tcPr>
            <w:tcW w:w="4700" w:type="dxa"/>
            <w:vAlign w:val="bottom"/>
            <w:gridSpan w:val="3"/>
          </w:tcPr>
          <w:p>
            <w:pPr>
              <w:jc w:val="center"/>
              <w:ind w:left="804"/>
              <w:spacing w:after="0"/>
              <w:rPr>
                <w:sz w:val="20"/>
                <w:szCs w:val="20"/>
                <w:color w:val="auto"/>
              </w:rPr>
            </w:pPr>
            <w:r>
              <w:rPr>
                <w:rFonts w:ascii="Times New Roman" w:cs="Times New Roman" w:eastAsia="Times New Roman" w:hAnsi="Times New Roman"/>
                <w:sz w:val="18"/>
                <w:szCs w:val="18"/>
                <w:b w:val="1"/>
                <w:bCs w:val="1"/>
                <w:color w:val="auto"/>
              </w:rPr>
              <w:t xml:space="preserve">The date of this prospectus supplement is     </w:t>
            </w:r>
          </w:p>
        </w:tc>
        <w:tc>
          <w:tcPr>
            <w:tcW w:w="2000" w:type="dxa"/>
            <w:vAlign w:val="bottom"/>
          </w:tcPr>
          <w:p>
            <w:pPr>
              <w:jc w:val="right"/>
              <w:ind w:right="1404"/>
              <w:spacing w:after="0"/>
              <w:rPr>
                <w:sz w:val="20"/>
                <w:szCs w:val="20"/>
                <w:color w:val="auto"/>
              </w:rPr>
            </w:pPr>
            <w:r>
              <w:rPr>
                <w:rFonts w:ascii="Times New Roman" w:cs="Times New Roman" w:eastAsia="Times New Roman" w:hAnsi="Times New Roman"/>
                <w:sz w:val="18"/>
                <w:szCs w:val="18"/>
                <w:b w:val="1"/>
                <w:bCs w:val="1"/>
                <w:color w:val="auto"/>
                <w:w w:val="96"/>
              </w:rPr>
              <w:t>, 2025.</w:t>
            </w:r>
          </w:p>
        </w:tc>
      </w:tr>
    </w:tbl>
    <w:p>
      <w:pPr>
        <w:sectPr>
          <w:pgSz w:w="11900" w:h="16838" w:orient="portrait"/>
          <w:cols w:equalWidth="0" w:num="1">
            <w:col w:w="11140"/>
          </w:cols>
          <w:pgMar w:left="320" w:top="225"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6"/>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57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S-vi</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TRADEMARKS, TRADE NAMES, AND SERVICE MARKS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S-vii</w:t>
            </w:r>
          </w:p>
        </w:tc>
      </w:tr>
      <w:tr>
        <w:trPr>
          <w:trHeight w:val="196"/>
        </w:trPr>
        <w:tc>
          <w:tcPr>
            <w:tcW w:w="120" w:type="dxa"/>
            <w:vAlign w:val="bottom"/>
          </w:tcPr>
          <w:p>
            <w:pPr>
              <w:spacing w:after="0"/>
              <w:rPr>
                <w:sz w:val="17"/>
                <w:szCs w:val="17"/>
                <w:color w:val="auto"/>
              </w:rPr>
            </w:pPr>
          </w:p>
        </w:tc>
        <w:tc>
          <w:tcPr>
            <w:tcW w:w="45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400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S-vii</w:t>
            </w:r>
          </w:p>
        </w:tc>
      </w:tr>
      <w:tr>
        <w:trPr>
          <w:trHeight w:val="196"/>
        </w:trPr>
        <w:tc>
          <w:tcPr>
            <w:tcW w:w="120" w:type="dxa"/>
            <w:vAlign w:val="bottom"/>
          </w:tcPr>
          <w:p>
            <w:pPr>
              <w:spacing w:after="0"/>
              <w:rPr>
                <w:sz w:val="17"/>
                <w:szCs w:val="17"/>
                <w:color w:val="auto"/>
              </w:rPr>
            </w:pPr>
          </w:p>
        </w:tc>
        <w:tc>
          <w:tcPr>
            <w:tcW w:w="26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90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6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CONCURRENT SHARE REPURCHASE</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480" w:type="dxa"/>
            <w:vAlign w:val="bottom"/>
            <w:tcBorders>
              <w:top w:val="single" w:sz="8" w:color="0000EE"/>
            </w:tcBorders>
            <w:gridSpan w:val="9"/>
          </w:tcPr>
          <w:p>
            <w:pPr>
              <w:spacing w:after="0"/>
              <w:rPr>
                <w:sz w:val="17"/>
                <w:szCs w:val="17"/>
                <w:color w:val="auto"/>
              </w:rPr>
            </w:pPr>
          </w:p>
        </w:tc>
        <w:tc>
          <w:tcPr>
            <w:tcW w:w="548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MATERIAL U.S. FEDERAL INCOME TAX CONSIDERATIONS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196"/>
        </w:trPr>
        <w:tc>
          <w:tcPr>
            <w:tcW w:w="1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(CONFLICT OF INTEREST)</w:t>
            </w:r>
          </w:p>
        </w:tc>
        <w:tc>
          <w:tcPr>
            <w:tcW w:w="2060" w:type="dxa"/>
            <w:vAlign w:val="bottom"/>
            <w:tcBorders>
              <w:top w:val="single" w:sz="8" w:color="0000EE"/>
            </w:tcBorders>
            <w:gridSpan w:val="3"/>
          </w:tcPr>
          <w:p>
            <w:pPr>
              <w:spacing w:after="0"/>
              <w:rPr>
                <w:sz w:val="17"/>
                <w:szCs w:val="17"/>
                <w:color w:val="auto"/>
              </w:rPr>
            </w:pPr>
          </w:p>
        </w:tc>
        <w:tc>
          <w:tcPr>
            <w:tcW w:w="288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08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r>
      <w:tr>
        <w:trPr>
          <w:trHeight w:val="669"/>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57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COMPANY OVERVIEW</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8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68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6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68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0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contains specific information about the selling stockholder and the terms on which the selling stockholder is offering and selling shares of our common stock. The second part is the accompanying prospectus, which gives more general information, some of which may not apply to this offering.</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supplement, you should carefully read this prospectus supplement and the accompanying prospectus.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References to “Apollo” refer to Apollo Global Management, Inc. and its subsidiaries. References to the “Apollo Stockholder” refer to SCA Horus Holdings, LLC. References to “Apollo Funds” refer to certain investment funds managed by affiliates of Apollo.</w:t>
      </w:r>
    </w:p>
    <w:p>
      <w:pPr>
        <w:spacing w:after="0" w:line="179"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SECURITIES OFFERED HEREBY HAVE NOT BEEN RECOMMENDED BY ANY UNITED STATES FEDERAL OR STATE SECURITIES COMMISSION OR REGULATORY AUTHORITY. FURTHERMORE, THE FOREGOING AUTHORITIES HAVE NOT CONFIRMED THE ACCURACY OR DETERMINED THE ADEQUACY OF THIS DOCUMENT. ANY REPRESENTATION TO THE CONTRARY IS A CRIMINAL OFFENSE.</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Neither we, the selling stockholder or the underwriter have authorized anyone to provide you with information or to make any representations about anything not contained in this prospectus supplement, the accompanying prospectus or the documents incorporated by reference in this prospectus supplement. We can provide no assurance as to the reliability of any other information.</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and sale of the common stock in certain jurisdictions may be restricted by law. We require persons into whose possession this prospectus supplement and the accompanying prospectus come to inform themselves about and to observe any such restrictions. This prospectus supplement and the accompanying prospectus do not constitute an offer of, or an invitation to purchase, any of the common stock in any jurisdiction in which such offer or invitation would be unlawful.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this prospectus supplement, we “incorporate by reference” certain information that we file with the SEC, which means that we can disclose important information to you by referring you to that information. The information we incorporate by reference is an important part of this prospectus supplement and the accompanying prospectus, and later information that we file with the SEC will automatically update and supersede this information. The following documents have been filed by us with the SEC and are incorporated by reference into this prospectus supplement and the accompanying prospectus:</w:t>
      </w:r>
    </w:p>
    <w:p>
      <w:pPr>
        <w:spacing w:after="0" w:line="89" w:lineRule="exact"/>
        <w:rPr>
          <w:sz w:val="20"/>
          <w:szCs w:val="20"/>
          <w:color w:val="auto"/>
        </w:rPr>
      </w:pPr>
    </w:p>
    <w:p>
      <w:pPr>
        <w:ind w:left="1080" w:right="4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14, 2024 (the “2023 Annual Report”);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Definitive Proxy Statement on </w:t>
      </w:r>
      <w:hyperlink r:id="rId1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2024, that are incorporated by reference into Part III of the 2023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7,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2024, filed with SEC on August 2,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2024, filed with SEC on October 30,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9">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June 20,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(Film Number 241054289);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filed on </w:t>
      </w:r>
      <w:hyperlink r:id="rId2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pursuant to Section 12 of the Securities Exchange Act of 1934, as amended (the “Exchange Act”), with the SEC on March 15, 2021, and any amendment or report filed for the purpose of updating that description.</w:t>
      </w:r>
    </w:p>
    <w:p>
      <w:pPr>
        <w:spacing w:after="0" w:line="176"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supplement until the completion of the offering under this prospectus supplement shall be deemed to be incorporated in this prospectus supplement and the accompanying prospectus by reference. The information contained on or accessible through our website at www.suncountry.com is not incorporated into this prospectus supplement or the accompanying prospectus.</w:t>
      </w:r>
    </w:p>
    <w:p>
      <w:pPr>
        <w:spacing w:after="0" w:line="183" w:lineRule="exact"/>
        <w:rPr>
          <w:rFonts w:ascii="Times New Roman" w:cs="Times New Roman" w:eastAsia="Times New Roman" w:hAnsi="Times New Roman"/>
          <w:sz w:val="18"/>
          <w:szCs w:val="18"/>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Sun Country Airlines Holdings, Inc. at the following address:</w:t>
      </w:r>
    </w:p>
    <w:p>
      <w:pPr>
        <w:spacing w:after="0" w:line="176"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2005 Cargo Road</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681-3900</w:t>
      </w:r>
    </w:p>
    <w:p>
      <w:pPr>
        <w:spacing w:after="0" w:line="9" w:lineRule="exact"/>
        <w:rPr>
          <w:rFonts w:ascii="Times New Roman" w:cs="Times New Roman" w:eastAsia="Times New Roman" w:hAnsi="Times New Roman"/>
          <w:sz w:val="18"/>
          <w:szCs w:val="18"/>
          <w:color w:val="auto"/>
        </w:rPr>
      </w:pP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General Counsel</w:t>
      </w:r>
    </w:p>
    <w:p>
      <w:pPr>
        <w:spacing w:after="0" w:line="207"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supplement, the accompanying prospectus or any free writing prospectus that we authorize or any documents incorporated by reference is accurate as of any date other than the date of the applicable document.</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supplement or the accompanying prospectus will be deemed to be modified or superseded for purposes of this prospectus supplement to the extent that a statement contained in this prospectus supplement or any other subsequently filed document that is deemed to be incorporated by reference into this prospectus supplement or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60"/>
          </w:cols>
          <w:pgMar w:left="320" w:top="455"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with respect to the shares of common stock being sold in this offering. This prospectus supplement and the accompanying prospectus constitute a part of that registration statement. This prospectus supplement and the accompanying prospectus do not contain all the information set forth in the registration statement and the exhibits and schedules to the registration statement, because some parts have been omitted in accordance with the rules and regulations of the SEC. For further information with respect to us and our shares of common stock being sold in this offering, you should refer to the registration statement and the exhibits and schedules filed as part of the registration statement. Statements contained in this prospectus supplement and the accompanying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read and obtain a copy of the registration statement without charge at the SEC’s website. The SEC’s website address is www.sec.gov.</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www.sec.gov. We also make available free of charge on our website at www.suncountry.com all materials that we file electronically with the SEC. Our website and the information contained therein or connected thereto shall not be deemed to be incorporated into this prospectus supplement, the accompanying prospectus or the registration statement of which this prospectus supplement forms a part, and you should not rely on any such information in making your decision whether to purchase our shares of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supplement and the accompanying prospectus, including statements regarding our strategy, future operations, future financial position, future revenue, projected costs, prospects, plans, objectives of management, and expected market growth are forward-looking statements.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inflationary pressures;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aircraft fuel and our ability to control other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and third-party technology and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operate in an exceedingly competitive industry;</w:t>
      </w:r>
    </w:p>
    <w:p>
      <w:pPr>
        <w:spacing w:after="0" w:line="130" w:lineRule="exact"/>
        <w:rPr>
          <w:rFonts w:ascii="Times New Roman" w:cs="Times New Roman" w:eastAsia="Times New Roman" w:hAnsi="Times New Roman"/>
          <w:sz w:val="18"/>
          <w:szCs w:val="18"/>
          <w:color w:val="auto"/>
        </w:rPr>
      </w:pPr>
    </w:p>
    <w:p>
      <w:pPr>
        <w:jc w:val="both"/>
        <w:ind w:left="1080" w:right="3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adverse weather, federal government shutdowns, aircraft-type groundings, threatened or actual terrorist attacks, war or security concerns resulting in increased security measures or outbreaks or rapid spread of disease;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or increased taxes applicable to charges for ancillary products and services;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the Minneapolis-St. Paul market and the concentration of our cargo business with amazon.com Services, Inc. (together with its affiliates, “Amazon”);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presence in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including regulation to reduce emissions of greenhouse gases;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personnel, increased labor costs, union disputes, employee strikes and other labor-related disruptions;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our ability to attract and retain qualified personnel, including but not limited to, pilots and technicians, at a reasonable cost or maintain our company culture;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insurance costs or reductions in insurance coverage;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supplement and the accompanying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those included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2023 Annual Report.</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reflect our views, estimates and assumptions with respect to future events as of the date of this prospectus supplement and the accompanying prospectus, as applicable, and are based on assumptions and subject to risks and uncertainties.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prospectus supplement. We anticipate that subsequent events and developments will cause our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views to change. You should read this prospectus supplement, the accompanying prospectus, the documents incorporated by reference herein and therein and the documents filed as exhibits to the registration statement, of which this prospectus supplement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 looking statements by these cautionary statements.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right="140" w:firstLine="440"/>
        <w:spacing w:after="0" w:line="238" w:lineRule="auto"/>
        <w:rPr>
          <w:sz w:val="20"/>
          <w:szCs w:val="20"/>
          <w:color w:val="auto"/>
        </w:rPr>
      </w:pPr>
      <w:r>
        <w:rPr>
          <w:rFonts w:ascii="Times New Roman" w:cs="Times New Roman" w:eastAsia="Times New Roman" w:hAnsi="Times New Roman"/>
          <w:sz w:val="18"/>
          <w:szCs w:val="18"/>
          <w:color w:val="auto"/>
        </w:rPr>
        <w:t xml:space="preserve">We use various trademarks, trade names and service marks in our business, including “Sun Country,” “Sun Country Airlines,” “Sun Country Connections,” “Sun Country Rewards,” “Sun Country Vacations,” “The Hometown Airline” and “UFLY,” as well as our signature “S” logo. This prospectus supplement and the documents incorporated by reference herein reference to our trademarks, trade names and service marks. Solely for convenience, trademarks and trade names referred to and incorporated by reference in this prospectus supplement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include and incorporate by reference in this prospectus supplement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and incorporated by reference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and incorporated by reference herein, our estimates involve risks and uncertainties and are subject to change based on various factors, including those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in the documents incorporated by reference in this prospectus supplement.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S-vii</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information about us and about this offering that is contained elsewhere in this prospectus supplement, the accompanying prospectus or the documents that are incorporated by reference herein. It does not contain all of the information that is important to you and your investment decision. Before you make an investment decision, you should review this entire prospectus supplement, the accompanying prospectus and the documents incorporated by reference herein and therein, including the sections entitled “Risk Factors” in this prospectus supplement, the accompanying prospectus and in the 2023 Annual Report. Some of the statements in the following summary constitute forward-looking statements. See “Cautionary Note Regarding Forward-Looking Statements.”</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passengers, charter customers, and providing crew, maintenance and insurance service to Amazon, with flights throughout the United States and to destinations in Canada, Mexico, Central America 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This allows us to produce higher unit revenue with a competitive low-cost structure, in line with other ultra low-cost carriers, resulting in best-in-class unit profitability, while also providing greater resiliency to economic or industry downturns. This strategy has been implemented and executed by an experienced management team with deep knowledge of the industry.</w:t>
      </w:r>
    </w:p>
    <w:p>
      <w:pPr>
        <w:spacing w:after="0" w:line="194"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of December 31, 2024, our fleet consisted of 63 Boeing 737-NG aircraft. This includes 45 aircraft in the passenger fleet, 12 cargo operated aircraft through the Amended and Restated Air Transportation Services Agreement (the “A&amp;R ATSA”) with Amazon, and six aircraft that are currently on lease to unaffiliated airlines. Our fleet is managed through our two reportable segments: Passenger, which is comprised of Scheduled Service and Charter, and Cargo. The 12 cargo aircraft are subleased directly from Amazon and we operate them pursuant to the A&amp;R ATSA. The six aircraft that are currently on lease to unaffiliated airlines are expected to be inducted into our passenger fleet upon lease expiry.</w:t>
      </w:r>
    </w:p>
    <w:p>
      <w:pPr>
        <w:spacing w:after="0" w:line="39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Certain Financial Results for the Year Ended December 31, 2024</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On February 3, 2025, we reported earnings for the fourth quarter and fiscal year ended December 31, 2024. Our consolidated financial results for the year ended December 31, 2024 are unaudited and preliminary. The preliminary financial results for the year ended December 31, 2024 included in this prospectus supplement have been prepared by, and are the responsibility of, our management. Such results are based on information available to management as of the date of the earnings report and are subject to completion by management of our financial statements as of and for the year ended December 31, 2024 and the audit of such financial statements by KPMG LLP. There can be no assurance that actual results for the year ended December 31, 2024 will not differ from these preliminary financial results, and any such changes could be material. Our audited consolidated financial statements for the year ended December 31, 2024 will be included in our Annual Report on Form 10-K for the year ended December 31, 2024 and will not be available under after this offering is consummated.</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62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KPMG LLP has not audited, reviewed, compiled, or performed any procedures with respect to the following preliminary financial results. Accordingly, KPMG LLP does not express an opinion or any other form of assurance with respect thereto. See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following are certain of our preliminary financial results for the year ended December 31, 2024 and the related final financial results for the year ended December 31, 2023:</w:t>
      </w:r>
    </w:p>
    <w:p>
      <w:pPr>
        <w:spacing w:after="0" w:line="182"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 (in millions, except per share amounts)</w:t>
            </w: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0"/>
        </w:trPr>
        <w:tc>
          <w:tcPr>
            <w:tcW w:w="3140" w:type="dxa"/>
            <w:vAlign w:val="bottom"/>
            <w:tcBorders>
              <w:bottom w:val="single" w:sz="8" w:color="auto"/>
            </w:tcBorders>
            <w:vMerge w:val="continue"/>
          </w:tcPr>
          <w:p>
            <w:pPr>
              <w:spacing w:after="0"/>
              <w:rPr>
                <w:sz w:val="15"/>
                <w:szCs w:val="15"/>
                <w:color w:val="auto"/>
              </w:rPr>
            </w:pPr>
          </w:p>
        </w:tc>
        <w:tc>
          <w:tcPr>
            <w:tcW w:w="3640" w:type="dxa"/>
            <w:vAlign w:val="bottom"/>
            <w:gridSpan w:val="4"/>
          </w:tcPr>
          <w:p>
            <w:pPr>
              <w:jc w:val="right"/>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Operating Revenue</w:t>
            </w:r>
          </w:p>
        </w:tc>
        <w:tc>
          <w:tcPr>
            <w:tcW w:w="29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$ 1,075.7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1,049.6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6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0.96</w:t>
            </w:r>
          </w:p>
        </w:tc>
        <w:tc>
          <w:tcPr>
            <w:tcW w:w="4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380"/>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 (in millions, except per share amounts)</w:t>
            </w: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0"/>
        </w:trPr>
        <w:tc>
          <w:tcPr>
            <w:tcW w:w="3140" w:type="dxa"/>
            <w:vAlign w:val="bottom"/>
            <w:tcBorders>
              <w:bottom w:val="single" w:sz="8" w:color="auto"/>
            </w:tcBorders>
            <w:vMerge w:val="continue"/>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Operating Income </w:t>
            </w:r>
            <w:r>
              <w:rPr>
                <w:rFonts w:ascii="Times New Roman" w:cs="Times New Roman" w:eastAsia="Times New Roman" w:hAnsi="Times New Roman"/>
                <w:sz w:val="23"/>
                <w:szCs w:val="23"/>
                <w:color w:val="auto"/>
                <w:vertAlign w:val="superscript"/>
              </w:rPr>
              <w:t>(1)</w:t>
            </w:r>
          </w:p>
        </w:tc>
        <w:tc>
          <w:tcPr>
            <w:tcW w:w="30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Income Before Income Tax </w:t>
            </w:r>
            <w:r>
              <w:rPr>
                <w:rFonts w:ascii="Times New Roman" w:cs="Times New Roman" w:eastAsia="Times New Roman" w:hAnsi="Times New Roman"/>
                <w:sz w:val="25"/>
                <w:szCs w:val="25"/>
                <w:color w:val="auto"/>
                <w:vertAlign w:val="superscript"/>
              </w:rPr>
              <w:t>(1)</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Net Income </w:t>
            </w:r>
            <w:r>
              <w:rPr>
                <w:rFonts w:ascii="Times New Roman" w:cs="Times New Roman" w:eastAsia="Times New Roman" w:hAnsi="Times New Roman"/>
                <w:sz w:val="25"/>
                <w:szCs w:val="25"/>
                <w:color w:val="auto"/>
                <w:vertAlign w:val="superscript"/>
              </w:rPr>
              <w:t>(1)</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35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diluted earnings per share </w:t>
            </w:r>
            <w:r>
              <w:rPr>
                <w:rFonts w:ascii="Times New Roman" w:cs="Times New Roman" w:eastAsia="Times New Roman" w:hAnsi="Times New Roman"/>
                <w:sz w:val="26"/>
                <w:szCs w:val="26"/>
                <w:color w:val="auto"/>
                <w:vertAlign w:val="superscript"/>
              </w:rPr>
              <w:t>(1)</w:t>
            </w:r>
          </w:p>
        </w:tc>
        <w:tc>
          <w:tcPr>
            <w:tcW w:w="3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0" w:right="380" w:hanging="422"/>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additional details, including reconciliations to the most comparable GAAP measures, in the section titled “—Non-GAAP Financial Measures— Adjusted Operating Income, Adjusted Income before Income Tax and Adjusted Net Income” below.</w:t>
      </w:r>
    </w:p>
    <w:p>
      <w:pPr>
        <w:spacing w:after="0" w:line="16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certain of our reported balance sheet items and total liquidity as of December 31, 2024:</w:t>
      </w:r>
    </w:p>
    <w:p>
      <w:pPr>
        <w:spacing w:after="0" w:line="246" w:lineRule="exact"/>
        <w:rPr>
          <w:sz w:val="20"/>
          <w:szCs w:val="20"/>
          <w:color w:val="auto"/>
        </w:rPr>
      </w:pPr>
    </w:p>
    <w:tbl>
      <w:tblPr>
        <w:tblLayout w:type="fixed"/>
        <w:tblInd w:w="2000" w:type="dxa"/>
        <w:tblCellMar>
          <w:top w:w="0" w:type="dxa"/>
          <w:left w:w="0" w:type="dxa"/>
          <w:bottom w:w="0" w:type="dxa"/>
          <w:right w:w="0" w:type="dxa"/>
        </w:tblCellMar>
      </w:tblPr>
      <w:tr>
        <w:trPr>
          <w:trHeight w:val="180"/>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8"/>
        </w:trPr>
        <w:tc>
          <w:tcPr>
            <w:tcW w:w="740" w:type="dxa"/>
            <w:vAlign w:val="bottom"/>
            <w:tcBorders>
              <w:top w:val="single" w:sz="8" w:color="auto"/>
            </w:tcBorders>
          </w:tcPr>
          <w:p>
            <w:pPr>
              <w:spacing w:after="0"/>
              <w:rPr>
                <w:sz w:val="12"/>
                <w:szCs w:val="12"/>
                <w:color w:val="auto"/>
              </w:rPr>
            </w:pPr>
          </w:p>
        </w:tc>
        <w:tc>
          <w:tcPr>
            <w:tcW w:w="4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Available Under Revolving Credit Facility</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4860" w:type="dxa"/>
            <w:vAlign w:val="bottom"/>
            <w:gridSpan w:val="2"/>
          </w:tcPr>
          <w:p>
            <w:pPr>
              <w:ind w:left="360"/>
              <w:spacing w:after="0" w:line="223" w:lineRule="exact"/>
              <w:rPr>
                <w:sz w:val="20"/>
                <w:szCs w:val="20"/>
                <w:color w:val="auto"/>
              </w:rPr>
            </w:pPr>
            <w:r>
              <w:rPr>
                <w:rFonts w:ascii="Times New Roman" w:cs="Times New Roman" w:eastAsia="Times New Roman" w:hAnsi="Times New Roman"/>
                <w:sz w:val="17"/>
                <w:szCs w:val="17"/>
                <w:color w:val="auto"/>
              </w:rPr>
              <w:t xml:space="preserve">Total Liquidity </w:t>
            </w:r>
            <w:r>
              <w:rPr>
                <w:rFonts w:ascii="Times New Roman" w:cs="Times New Roman" w:eastAsia="Times New Roman" w:hAnsi="Times New Roman"/>
                <w:sz w:val="25"/>
                <w:szCs w:val="25"/>
                <w:color w:val="auto"/>
                <w:vertAlign w:val="superscript"/>
              </w:rPr>
              <w:t>(1)</w:t>
            </w:r>
          </w:p>
        </w:tc>
        <w:tc>
          <w:tcPr>
            <w:tcW w:w="1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8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9"/>
        </w:trPr>
        <w:tc>
          <w:tcPr>
            <w:tcW w:w="740" w:type="dxa"/>
            <w:vAlign w:val="bottom"/>
            <w:tcBorders>
              <w:top w:val="single" w:sz="8" w:color="auto"/>
            </w:tcBorders>
          </w:tcPr>
          <w:p>
            <w:pPr>
              <w:spacing w:after="0"/>
              <w:rPr>
                <w:sz w:val="12"/>
                <w:szCs w:val="12"/>
                <w:color w:val="auto"/>
              </w:rPr>
            </w:pPr>
          </w:p>
        </w:tc>
        <w:tc>
          <w:tcPr>
            <w:tcW w:w="4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13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Debt and Lease Obligations</w:t>
            </w:r>
          </w:p>
        </w:tc>
        <w:tc>
          <w:tcPr>
            <w:tcW w:w="1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Net Debt </w:t>
            </w:r>
            <w:r>
              <w:rPr>
                <w:rFonts w:ascii="Times New Roman" w:cs="Times New Roman" w:eastAsia="Times New Roman" w:hAnsi="Times New Roman"/>
                <w:sz w:val="25"/>
                <w:szCs w:val="25"/>
                <w:color w:val="auto"/>
                <w:vertAlign w:val="superscript"/>
              </w:rPr>
              <w:t>(2)</w:t>
            </w:r>
          </w:p>
        </w:tc>
        <w:tc>
          <w:tcPr>
            <w:tcW w:w="11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hanging="522"/>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liquidity = cash and cash equivalents + available-for-sale securities + amount available under the Revolving Credit Facility.</w:t>
      </w:r>
    </w:p>
    <w:p>
      <w:pPr>
        <w:spacing w:after="0" w:line="27" w:lineRule="exact"/>
        <w:rPr>
          <w:rFonts w:ascii="Times New Roman" w:cs="Times New Roman" w:eastAsia="Times New Roman" w:hAnsi="Times New Roman"/>
          <w:sz w:val="18"/>
          <w:szCs w:val="18"/>
          <w:color w:val="auto"/>
        </w:rPr>
      </w:pPr>
    </w:p>
    <w:p>
      <w:pPr>
        <w:ind w:left="720" w:right="420" w:hanging="422"/>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 current portion of long-term debt + long-term debt + finance lease obligations + operating lease obligations – cash and cash equivalents - available-for-sale securities.</w:t>
      </w:r>
    </w:p>
    <w:p>
      <w:pPr>
        <w:spacing w:after="0" w:line="2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40"/>
          </w:cols>
          <w:pgMar w:left="320" w:top="455" w:right="7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50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reported total available seat miles (ASMs) of approximately 8.07 billion, total block hours of approximately 148,518, CASM of approximately 12.01 cents and Adjusted CASM of approximately 7.59 cents.</w:t>
      </w:r>
    </w:p>
    <w:p>
      <w:pPr>
        <w:spacing w:after="0" w:line="162"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Adjusted CASM is a metric that uses a non-GAAP measure derived from CASM by excluding fuel costs, costs related to our cargo operations, stock based compensation, depreciation and amortization recognized on certain assets that generate lease income,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a reconciliation of CASM to Adjusted CASM for the year ended December 31, 2024:</w:t>
      </w:r>
    </w:p>
    <w:p>
      <w:pPr>
        <w:spacing w:after="0" w:line="246" w:lineRule="exact"/>
        <w:rPr>
          <w:sz w:val="20"/>
          <w:szCs w:val="20"/>
          <w:color w:val="auto"/>
        </w:rPr>
      </w:pPr>
    </w:p>
    <w:tbl>
      <w:tblPr>
        <w:tblLayout w:type="fixed"/>
        <w:tblInd w:w="1580" w:type="dxa"/>
        <w:tblCellMar>
          <w:top w:w="0" w:type="dxa"/>
          <w:left w:w="0" w:type="dxa"/>
          <w:bottom w:w="0" w:type="dxa"/>
          <w:right w:w="0" w:type="dxa"/>
        </w:tblCellMar>
      </w:tblPr>
      <w:tr>
        <w:trPr>
          <w:trHeight w:val="180"/>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Pr>
          <w:p>
            <w:pPr>
              <w:spacing w:after="0"/>
              <w:rPr>
                <w:sz w:val="15"/>
                <w:szCs w:val="15"/>
                <w:color w:val="auto"/>
              </w:rPr>
            </w:pPr>
          </w:p>
        </w:tc>
        <w:tc>
          <w:tcPr>
            <w:tcW w:w="29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48"/>
        </w:trPr>
        <w:tc>
          <w:tcPr>
            <w:tcW w:w="1220" w:type="dxa"/>
            <w:vAlign w:val="bottom"/>
            <w:tcBorders>
              <w:top w:val="single" w:sz="8" w:color="auto"/>
            </w:tcBorders>
          </w:tcPr>
          <w:p>
            <w:pPr>
              <w:spacing w:after="0"/>
              <w:rPr>
                <w:sz w:val="12"/>
                <w:szCs w:val="12"/>
                <w:color w:val="auto"/>
              </w:rPr>
            </w:pPr>
          </w:p>
        </w:tc>
        <w:tc>
          <w:tcPr>
            <w:tcW w:w="3540" w:type="dxa"/>
            <w:vAlign w:val="bottom"/>
          </w:tcPr>
          <w:p>
            <w:pPr>
              <w:spacing w:after="0"/>
              <w:rPr>
                <w:sz w:val="12"/>
                <w:szCs w:val="12"/>
                <w:color w:val="auto"/>
              </w:rPr>
            </w:pPr>
          </w:p>
        </w:tc>
        <w:tc>
          <w:tcPr>
            <w:tcW w:w="1260" w:type="dxa"/>
            <w:vAlign w:val="bottom"/>
            <w:tcBorders>
              <w:top w:val="single" w:sz="8" w:color="auto"/>
              <w:bottom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0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 ASM (cents)</w:t>
            </w:r>
          </w:p>
        </w:tc>
        <w:tc>
          <w:tcPr>
            <w:tcW w:w="6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2"/>
          </w:tcPr>
          <w:p>
            <w:pPr>
              <w:jc w:val="right"/>
              <w:ind w:right="115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CASM</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969.8</w:t>
            </w:r>
          </w:p>
        </w:tc>
        <w:tc>
          <w:tcPr>
            <w:tcW w:w="2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Fuel</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237.2</w:t>
            </w:r>
          </w:p>
        </w:tc>
        <w:tc>
          <w:tcPr>
            <w:tcW w:w="2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Cargo Expenses, Not Already Adjusted Above</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w:t>
            </w:r>
          </w:p>
        </w:tc>
        <w:tc>
          <w:tcPr>
            <w:tcW w:w="2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 Country Vacations</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Aircraft, Depreciation Expense</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2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CASM</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seat miles (ASMs) (in millions)</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8,071.9</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Measures—Adjusted Operating Income, Adjusted Income before Income Tax and Adjusted Net Income</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Adjusted Operating Income, Adjusted Income before Income Tax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264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998970" cy="42646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For the aforementioned reasons, Adjusted Operating Income, Adjusted Income before Income Tax and Adjusted Net Income have significant limitations which affect their use as indicators of our profitability. Accordingly, readers are cautioned not to place undue reliance on this information. The amounts presented in the below tables may not recalculate due to rounding.</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a reconciliation of GAAP Operating Income to Adjusted Operating Income:</w:t>
      </w:r>
    </w:p>
    <w:p>
      <w:pPr>
        <w:spacing w:after="0" w:line="246"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4"/>
                <w:szCs w:val="14"/>
                <w:color w:val="auto"/>
              </w:rPr>
            </w:pPr>
          </w:p>
        </w:tc>
        <w:tc>
          <w:tcPr>
            <w:tcW w:w="18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7"/>
        </w:trPr>
        <w:tc>
          <w:tcPr>
            <w:tcW w:w="6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8"/>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Borders>
              <w:top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1,049.6</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a reconciliation of GAAP Income before Income Tax to Adjusted Income before Income Tax:</w:t>
      </w:r>
    </w:p>
    <w:p>
      <w:pPr>
        <w:spacing w:after="0" w:line="246"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4"/>
                <w:szCs w:val="14"/>
                <w:color w:val="auto"/>
              </w:rPr>
            </w:pPr>
          </w:p>
        </w:tc>
        <w:tc>
          <w:tcPr>
            <w:tcW w:w="20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7"/>
        </w:trPr>
        <w:tc>
          <w:tcPr>
            <w:tcW w:w="5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2"/>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Borders>
              <w:top w:val="single" w:sz="8" w:color="auto"/>
            </w:tcBorders>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Provision for Income Tax Expense</w:t>
            </w: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as reported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margin</w:t>
            </w: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Debt Refinancing</w:t>
            </w: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Offering Costs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Receivable Agreement Adjustment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before Income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83"/>
              </w:rPr>
              <w:t>     76.1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   104.2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left="5500" w:right="100" w:hanging="5202"/>
        <w:spacing w:after="0" w:line="673" w:lineRule="auto"/>
        <w:tabs>
          <w:tab w:leader="none" w:pos="7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adjustment to the Tax Receivable Agreement for the period, which is recorded in Non-Operating Income (Expense), net. S-4</w:t>
      </w:r>
    </w:p>
    <w:p>
      <w:pPr>
        <w:sectPr>
          <w:pgSz w:w="11900" w:h="16838" w:orient="portrait"/>
          <w:cols w:equalWidth="0" w:num="1">
            <w:col w:w="10880"/>
          </w:cols>
          <w:pgMar w:left="320" w:top="455" w:right="6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47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998970" cy="44786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GAAP Net Income and Earnings per Share to Adjusted Net Income and Adjusted Earnings per Share:</w:t>
      </w:r>
    </w:p>
    <w:p>
      <w:pPr>
        <w:spacing w:after="0" w:line="182"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420" w:type="dxa"/>
            <w:vAlign w:val="bottom"/>
          </w:tcPr>
          <w:p>
            <w:pPr>
              <w:spacing w:after="0"/>
              <w:rPr>
                <w:sz w:val="10"/>
                <w:szCs w:val="10"/>
                <w:color w:val="auto"/>
              </w:rPr>
            </w:pPr>
          </w:p>
        </w:tc>
        <w:tc>
          <w:tcPr>
            <w:tcW w:w="7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 Share -</w:t>
            </w:r>
          </w:p>
        </w:tc>
        <w:tc>
          <w:tcPr>
            <w:tcW w:w="62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420" w:type="dxa"/>
            <w:vAlign w:val="bottom"/>
          </w:tcPr>
          <w:p>
            <w:pPr>
              <w:spacing w:after="0"/>
              <w:rPr>
                <w:sz w:val="10"/>
                <w:szCs w:val="10"/>
                <w:color w:val="auto"/>
              </w:rPr>
            </w:pPr>
          </w:p>
        </w:tc>
        <w:tc>
          <w:tcPr>
            <w:tcW w:w="7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 Share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54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diluted</w:t>
            </w:r>
          </w:p>
        </w:tc>
        <w:tc>
          <w:tcPr>
            <w:tcW w:w="6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1240" w:type="dxa"/>
            <w:vAlign w:val="bottom"/>
            <w:tcBorders>
              <w:top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$ 52.9</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0.96</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$ 72.2</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5"/>
              </w:rPr>
              <w:t>1.23</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0.11</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0.16</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0.01</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Secondary Offering Costs</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81"/>
              </w:rPr>
              <w:t>— </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0.02</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Tax Receivable Agreement Adjustment </w:t>
            </w:r>
            <w:r>
              <w:rPr>
                <w:rFonts w:ascii="Times New Roman" w:cs="Times New Roman" w:eastAsia="Times New Roman" w:hAnsi="Times New Roman"/>
                <w:sz w:val="25"/>
                <w:szCs w:val="25"/>
                <w:color w:val="auto"/>
                <w:vertAlign w:val="superscript"/>
              </w:rPr>
              <w:t>(2)</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81"/>
              </w:rPr>
              <w:t>— </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6"/>
              </w:rPr>
              <w:t>(0.01)</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Income Tax Effect of Adjusting Items, net </w:t>
            </w:r>
            <w:r>
              <w:rPr>
                <w:rFonts w:ascii="Times New Roman" w:cs="Times New Roman" w:eastAsia="Times New Roman" w:hAnsi="Times New Roman"/>
                <w:sz w:val="25"/>
                <w:szCs w:val="25"/>
                <w:color w:val="auto"/>
                <w:vertAlign w:val="superscript"/>
              </w:rPr>
              <w:t>(1)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(0.03)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6"/>
              </w:rPr>
              <w:t>(0.04)</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$ 58.0</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05</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$ 79.9</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5"/>
              </w:rPr>
              <w:t>1.</w:t>
            </w:r>
            <w:r>
              <w:rPr>
                <w:rFonts w:ascii="Times New Roman" w:cs="Times New Roman" w:eastAsia="Times New Roman" w:hAnsi="Times New Roman"/>
                <w:sz w:val="18"/>
                <w:szCs w:val="18"/>
                <w:u w:val="single" w:color="auto"/>
                <w:color w:val="auto"/>
                <w:w w:val="95"/>
              </w:rPr>
              <w:t>37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Diluted share count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4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720" w:hanging="42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adjusting items, net is calculated at the Company’s statutory rate for the application period.</w:t>
      </w:r>
    </w:p>
    <w:p>
      <w:pPr>
        <w:spacing w:after="0" w:line="2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adjustment to the Tax Receivable Agreement for the period, which is recorded in Non-Operating Income (Expense), net.</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In May 2024, the FAA Reauthorization Act of 2024 became law, and it included a number of new rules, regulations, and obligations, including but not limited to, with respect to refunds for cancelled or significantly delayed or changed flights, mobility aids, and an increase in the maximum amount of civil penalty per violation in certain cases.</w:t>
      </w:r>
    </w:p>
    <w:p>
      <w:pPr>
        <w:spacing w:after="0" w:line="38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resale of 6,346,105 shares of our common stock by the selling stockholder. The shares to be sold by the selling stockholder in this offering represent approximately 12.0% of our outstanding shares of common stock. After this offering, the selling stockholder will no longer beneficially own any shares of common stock.</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60"/>
          </w:cols>
          <w:pgMar w:left="320" w:top="455"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50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By participating in this offering, you are representing that you are a citizen of the United States, as defined in 49 U.S.C. § 40102(a)(15). See “</w:t>
      </w:r>
      <w:r>
        <w:rPr>
          <w:rFonts w:ascii="Times New Roman" w:cs="Times New Roman" w:eastAsia="Times New Roman" w:hAnsi="Times New Roman"/>
          <w:sz w:val="18"/>
          <w:szCs w:val="18"/>
          <w:i w:val="1"/>
          <w:iCs w:val="1"/>
          <w:color w:val="auto"/>
        </w:rPr>
        <w:t>Description of Capital Stock—Limited Ownership and Voting by Foreign Owners</w:t>
      </w:r>
      <w:r>
        <w:rPr>
          <w:rFonts w:ascii="Times New Roman" w:cs="Times New Roman" w:eastAsia="Times New Roman" w:hAnsi="Times New Roman"/>
          <w:sz w:val="18"/>
          <w:szCs w:val="18"/>
          <w:color w:val="auto"/>
        </w:rPr>
        <w:t>” in the accompanying prospectus.</w:t>
      </w:r>
    </w:p>
    <w:p>
      <w:pPr>
        <w:sectPr>
          <w:pgSz w:w="11900" w:h="16838" w:orient="portrait"/>
          <w:cols w:equalWidth="0" w:num="1">
            <w:col w:w="11140"/>
          </w:cols>
          <w:pgMar w:left="320" w:top="455" w:right="439" w:bottom="1440" w:gutter="0" w:footer="0" w:header="0"/>
        </w:sectPr>
      </w:pPr>
    </w:p>
    <w:p>
      <w:pPr>
        <w:spacing w:after="0" w:line="189"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Shares of common stock offered for resale by the selling stockholder in this offering</w:t>
      </w:r>
    </w:p>
    <w:p>
      <w:pPr>
        <w:spacing w:after="0" w:line="202" w:lineRule="exact"/>
        <w:rPr>
          <w:sz w:val="20"/>
          <w:szCs w:val="20"/>
          <w:color w:val="auto"/>
        </w:rPr>
      </w:pPr>
    </w:p>
    <w:p>
      <w:pPr>
        <w:ind w:left="380" w:right="80" w:hanging="78"/>
        <w:spacing w:after="0" w:line="282" w:lineRule="auto"/>
        <w:rPr>
          <w:sz w:val="20"/>
          <w:szCs w:val="20"/>
          <w:color w:val="auto"/>
        </w:rPr>
      </w:pPr>
      <w:r>
        <w:rPr>
          <w:rFonts w:ascii="Times New Roman" w:cs="Times New Roman" w:eastAsia="Times New Roman" w:hAnsi="Times New Roman"/>
          <w:sz w:val="18"/>
          <w:szCs w:val="18"/>
          <w:color w:val="auto"/>
        </w:rPr>
        <w:t>Shares of common stock to be outstanding upon completion of this offering</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Concurrent Share Repurchase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6,346,105 shares.</w:t>
      </w:r>
    </w:p>
    <w:p>
      <w:pPr>
        <w:spacing w:after="0" w:line="200" w:lineRule="exact"/>
        <w:rPr>
          <w:sz w:val="20"/>
          <w:szCs w:val="20"/>
          <w:color w:val="auto"/>
        </w:rPr>
      </w:pPr>
    </w:p>
    <w:p>
      <w:pPr>
        <w:spacing w:after="0" w:line="282"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8"/>
          <w:szCs w:val="18"/>
          <w:color w:val="auto"/>
        </w:rPr>
        <w:t>52,333,772 shares (assuming 606,060 shares are repurchased by us in the Concurrent Share Repurchase).</w:t>
      </w:r>
      <w:r>
        <w:rPr>
          <w:rFonts w:ascii="Times New Roman" w:cs="Times New Roman" w:eastAsia="Times New Roman" w:hAnsi="Times New Roman"/>
          <w:sz w:val="26"/>
          <w:szCs w:val="26"/>
          <w:color w:val="auto"/>
          <w:vertAlign w:val="superscript"/>
        </w:rPr>
        <w:t>(1)</w:t>
      </w:r>
    </w:p>
    <w:p>
      <w:pPr>
        <w:spacing w:after="0" w:line="64"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Subject to the completion of this offering, we intend to purchase from the underwriter approximately $10.0 million of the shares of common stock that are the subject of this offering at a price per share equal to the price at which the underwriter will purchase the shares from the selling stockholder in this offering, subject to a maximum aggregate repurchase price of $10.0 million (the “Concurrent Share Repurchase”). Assuming that the underwriter purchases the shares of common stock that are the subject of this offering from the selling stockholder at a price of $16.50 per share, which was the last reported sale price per share of our common stock on Nasdaq on February 7, 2025, we expect to repurchase 606,060 shares of our common stock from the underwriter as part of this offering. The terms and conditions of the Concurrent Share Repurchase were reviewed and approved by the audit committee of our board of directors and by our full board of directors. The Concurrent Share Repurchase will be funded from our existing cash on hand. The underwriter will not receive any compensation for the shares of our common stock being repurchased by us.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840" w:space="500"/>
            <w:col w:w="6800"/>
          </w:cols>
          <w:pgMar w:left="320" w:top="455" w:right="439" w:bottom="1440" w:gutter="0" w:footer="0" w:header="0"/>
          <w:type w:val="continuous"/>
        </w:sectPr>
      </w:pP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have not to date paid any cash dividends on our common stock and we currently do not</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intend to pay cash dividends on our common stock in the foreseeable future. However, we</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may, in the future, decide to pay dividends on our common stock. Any declaration and</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payment of cash dividends in the future, if any, will be at the discretion of our board of</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directors and will depend upon such factors as earnings levels, cash flows, capital</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requirements, levels of indebtedness, deployment of cash for share repurchases, restrictions</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imposed by applicable law, our overall financial condition, restrictions in our debt</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agreements, and any other factors deemed relevant by our board of directors.</w:t>
            </w:r>
          </w:p>
        </w:tc>
      </w:tr>
      <w:tr>
        <w:trPr>
          <w:trHeight w:val="441"/>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As a holding company, our ability to pay dividends also depends on our receipt of cash</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dividends from our operating subsidiaries. Our ability to pay dividends will therefore be</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restricted as a result of restrictions on their ability to pay dividends to us under our</w:t>
            </w:r>
          </w:p>
        </w:tc>
      </w:tr>
      <w:tr>
        <w:trPr>
          <w:trHeight w:val="172"/>
        </w:trPr>
        <w:tc>
          <w:tcPr>
            <w:tcW w:w="278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361"/>
        </w:trPr>
        <w:tc>
          <w:tcPr>
            <w:tcW w:w="2780" w:type="dxa"/>
            <w:vAlign w:val="bottom"/>
          </w:tcPr>
          <w:p>
            <w:pPr>
              <w:spacing w:after="0"/>
              <w:rPr>
                <w:sz w:val="24"/>
                <w:szCs w:val="24"/>
                <w:color w:val="auto"/>
              </w:rPr>
            </w:pPr>
          </w:p>
        </w:tc>
        <w:tc>
          <w:tcPr>
            <w:tcW w:w="82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9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180"/>
        <w:spacing w:after="0" w:line="282" w:lineRule="auto"/>
        <w:rPr>
          <w:sz w:val="20"/>
          <w:szCs w:val="20"/>
          <w:color w:val="auto"/>
        </w:rPr>
      </w:pPr>
      <w:r>
        <w:rPr>
          <w:rFonts w:ascii="Times New Roman" w:cs="Times New Roman" w:eastAsia="Times New Roman" w:hAnsi="Times New Roman"/>
          <w:sz w:val="18"/>
          <w:szCs w:val="18"/>
          <w:color w:val="auto"/>
        </w:rPr>
        <w:t>subsidiaries’ credit agreement and may be restricted under future indebtedness that we or they may incur.</w:t>
      </w:r>
    </w:p>
    <w:p>
      <w:pPr>
        <w:sectPr>
          <w:pgSz w:w="11900" w:h="16838" w:orient="portrait"/>
          <w:cols w:equalWidth="0" w:num="1">
            <w:col w:w="10940"/>
          </w:cols>
          <w:pgMar w:left="320" w:top="455" w:right="639" w:bottom="1440" w:gutter="0" w:footer="0" w:header="0"/>
        </w:sectPr>
      </w:pP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of the shares of common stock offered hereby are being sold by the selling stockholder identified in this prospectus supplement. We will not receive any proceeds from the sale of the shares of common stock offered pursuant to this prospectus supplement. See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symbol “SNCY.”</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You should read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beginning on page S-9 of, and the other information included and incorporated by reference in, this prospectus supplement, as well as the other risk factors included in the accompanying prospectus and incorporated by reference in this prospectus supplement, for a discussion of some of the risks and uncertainties you should carefully consider before deciding to invest in our common stock.</w:t>
      </w:r>
    </w:p>
    <w:p>
      <w:pPr>
        <w:spacing w:after="0" w:line="197"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Conflict of Interest</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Apollo Global Securities, LLC (“AGS”) has a “conflict of interest” within the meaning of FINRA Rule 5121 in this offering because AGS is affiliated with the selling stockholder, who is in turn our affiliate, and because the net proceeds of this offering will be received by the selling stockholder. Accordingly, this offering will be conducted in accordance with the requirements of FINRA Rule 5121 regarding a FINRA member firm’s participation in a public offering of securities of an affiliate. Pursuant to that rule, the appointment of a “qualified independent underwriter” is not required in connection with this offering. In accordance with FINRA Rule 5121, neither AGS nor any other affiliated underwriter, agent or dealer may sell the securities to any account over which it exercises discretionary authority without the specific written approval of the account holder.</w:t>
      </w:r>
    </w:p>
    <w:p>
      <w:pPr>
        <w:spacing w:after="0" w:line="167"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820" w:right="360" w:hanging="522"/>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information in this prospectus supplement regarding the number of shares of our common stock to be outstanding immediately after this offering: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52,939,832 shares of our common stock outstanding as of September 30, 2024;</w:t>
      </w:r>
    </w:p>
    <w:p>
      <w:pPr>
        <w:spacing w:after="0" w:line="130"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3,787,851 shares of our common stock reserved for issuance upon exercise of outstanding stock options as of September 30, 2024, 836,675 shares of our common stock reserved for issuance upon vesting of outstanding restricted stock units as of September 30, 2024 and 2,247,280 shares of our common stock reserved for issuance under our 2021 equity incentive plan as of September 30, 2024; and</w:t>
      </w:r>
    </w:p>
    <w:p>
      <w:pPr>
        <w:spacing w:after="0" w:line="85"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warrants to purchase an aggregate of 9,482,606 shares of common stock issued to Amazon, approximately 40.7% of which have vested as of September 30, 2024.</w:t>
      </w:r>
    </w:p>
    <w:p>
      <w:pPr>
        <w:spacing w:after="0" w:line="67"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606,060 shares of our common stock are repurchased by us in the Concurrent Share Repurchase (which represents the number of shares of our common stock that we would expect to repurchase in the Concurrent Share Repurchase if the underwriter purchases the shares of common stock that are the subject of this offering from the selling stockholder at a price of $16.50 per share, which was the last reported sale price of our common stock on Nasdaq on February 7, 2025).</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invest in our common stock, in addition to the other information contained in this prospectus supplement and the accompanying prospectus, you should carefully consider the discussion of risks under the heading “Item 1A. Risk Factors” in the 2023 Annual Report and the other risks and uncertainties identified in the Company’s reports filed with the SEC that are incorporated or deemed incorporated by reference into this prospectus supplement and the accompanying prospectus. Please see the section of this prospectus supplement entitled “Incorporation by Reference.” The occurrence of one or more of those risk factors could adversely impact our business, financial condition or results of operations. In such a case, you may lose all or part of your original investment. These risks are not the only risks that we face. Our business, financial condition and results of operations could also be affected by additional factors that are not presently known to us or that we currently do not consider to be material. In addition, you should carefully consider the risk factors set forth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 and purchasers of our common stock could incur substantial losses.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8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(if any) of our financial or operational indicators, such as earnings per share, net income, revenues, Adjusted Net Income, Adjusted EBITDA and Adjusted CASM (each, as defined in the 2023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reaction to our press releases, our other public announcements and our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the stock market valuations of other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revenue or earnings estimates made by research analysts or other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changes in recommendations or withdrawal of research coverage, by equity research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or the perception that such sales may occur;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spread of a viral or bacterial infection, disease or similar public health threat and its effects;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 in our internal control over financial reporting;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risks described under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or other risks that may materialize in the future.</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include provisions limiting ownership and voting by non-U.S. citizens.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19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only U.S. citizens may purchase shares in this offering. By participating in this offering, you will be deemed to represent that you are a citizen of the United States, as defined in 49 U.S.C. § 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5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make it more difficult for, or prevent a third-party from, acquiring control of us without the approval of our board of directors. These provisions include:</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will be divided into three classes, with each class of directors serving staggered three-year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removal of directors only for cause and only upon the affirmative vote of the holders of at least 66 2/3% in voting power of all the then-outstanding shares of stock of the Company entitled to vote thereon, voting together as a single class;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only the board of directors to fill any vacancy on our board of directors (other than in respect of an Apollo Director or an Amazon Director, if any (each as defined in the accompanying prospectus)), whether such vacancy occurs as a result of an increase in the number of directors or otherwise;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312"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45" w:lineRule="exact"/>
        <w:rPr>
          <w:rFonts w:ascii="Times New Roman" w:cs="Times New Roman" w:eastAsia="Times New Roman" w:hAnsi="Times New Roman"/>
          <w:sz w:val="17"/>
          <w:szCs w:val="17"/>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on by stockholders at stockholder meetings.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under the heading “</w:t>
      </w:r>
      <w:r>
        <w:rPr>
          <w:rFonts w:ascii="Times New Roman" w:cs="Times New Roman" w:eastAsia="Times New Roman" w:hAnsi="Times New Roman"/>
          <w:sz w:val="18"/>
          <w:szCs w:val="18"/>
          <w:i w:val="1"/>
          <w:iCs w:val="1"/>
          <w:color w:val="auto"/>
        </w:rPr>
        <w:t>Description of Capital Stock — Certain Corporate Anti-takeover Provisions — Delaware Takeover Statute</w:t>
      </w:r>
      <w:r>
        <w:rPr>
          <w:rFonts w:ascii="Times New Roman" w:cs="Times New Roman" w:eastAsia="Times New Roman" w:hAnsi="Times New Roman"/>
          <w:sz w:val="18"/>
          <w:szCs w:val="18"/>
          <w:color w:val="auto"/>
        </w:rPr>
        <w:t>” in the accompanying prospectus.</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Any issuance by us of preferred stock could delay or prevent a change in control of us. Our board of directors will have the authority to cause us to issue, without any further vote or action by the stockholders, shares of preferred stock, par value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87" w:lineRule="exact"/>
        <w:rPr>
          <w:sz w:val="20"/>
          <w:szCs w:val="20"/>
          <w:color w:val="auto"/>
        </w:rPr>
      </w:pPr>
    </w:p>
    <w:p>
      <w:pPr>
        <w:jc w:val="both"/>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Together, the provisions in our certificate of incorporation and bylaws and statutory provisions could make the removal of management more difficult and may discourage transactions that otherwise could involve payment of a premium over prevailing market prices for our common stock.</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the existence of the foregoing provisions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Times New Roman" w:cs="Times New Roman" w:eastAsia="Times New Roman" w:hAnsi="Times New Roman"/>
          <w:sz w:val="18"/>
          <w:szCs w:val="18"/>
          <w:i w:val="1"/>
          <w:iCs w:val="1"/>
          <w:color w:val="auto"/>
        </w:rPr>
        <w:t>Description of Capital Stock—Certain Corporate Anti-takeover Provisions</w:t>
      </w:r>
      <w:r>
        <w:rPr>
          <w:rFonts w:ascii="Times New Roman" w:cs="Times New Roman" w:eastAsia="Times New Roman" w:hAnsi="Times New Roman"/>
          <w:sz w:val="18"/>
          <w:szCs w:val="18"/>
          <w:color w:val="auto"/>
        </w:rPr>
        <w:t>” in the accompanying prospectus.</w:t>
      </w:r>
    </w:p>
    <w:p>
      <w:pPr>
        <w:spacing w:after="0" w:line="284"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or the Exchange Act, or to any claim for which the federal district courts of the United States have exclusive jurisdiction. Our certificate of incorporation further provides that the federal district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a provision renouncing our interest and expectancy in certain corporate opportunities.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For so long as Amazon holds the 2019 Warrants (as defined in the accompanying prospectus) or any shares of common stock issued upon exercise of the 2019 Warrants and the ATSA remains in effect, Amazon will have the right to nominate a member or an observer to our board of directors. As of the date of this prospectus supplement, there are no Apollo Directors on our board of directors and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under the heading “</w:t>
      </w:r>
      <w:r>
        <w:rPr>
          <w:rFonts w:ascii="Times New Roman" w:cs="Times New Roman" w:eastAsia="Times New Roman" w:hAnsi="Times New Roman"/>
          <w:sz w:val="18"/>
          <w:szCs w:val="18"/>
          <w:i w:val="1"/>
          <w:iCs w:val="1"/>
          <w:color w:val="auto"/>
        </w:rPr>
        <w:t>Description of Capital Stock — Corporate Opportunity</w:t>
      </w:r>
      <w:r>
        <w:rPr>
          <w:rFonts w:ascii="Times New Roman" w:cs="Times New Roman" w:eastAsia="Times New Roman" w:hAnsi="Times New Roman"/>
          <w:sz w:val="18"/>
          <w:szCs w:val="18"/>
          <w:color w:val="auto"/>
        </w:rPr>
        <w:t>” in the accompanying prospectus.</w:t>
      </w:r>
    </w:p>
    <w:p>
      <w:pPr>
        <w:spacing w:after="0" w:line="280"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40.7% of which had vested as of September 30, 2024. A portion of the 2019 Warrants will vest incrementally based on aggregate global payments by Amazon to the Company or its affiliates pursuant under both the original and A&amp;R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29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September 30, 2024, we had 935,717,162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September 30, 2024, we had approximately 3,787,851 options outstanding, which are exercisable into approximately 3,787,851 shares of common stock, 836,675 shares of common stock that may be issued upon the vesting of outstanding restricted stock units and the 2019 Warrants outstanding, which are exercisable for 9,482,606 shares of common stock, subject to vesting requirements. Of the 2019 Warrants, approximately 40.7% have vested as of September 30, 2024 and the remainder will vest incrementally based on aggregate global payments by Amazon to the Company or its affiliates pursuant to the A&amp;R ATSA.</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reserved approximately 3,600,000 shares for grant under our 2021 equity incentive plan, of which 2,247,280 remain available as of September 30, 2024. Any common stock that we issue, including under our 2021 equity incentive plan or other equity incentive plans that we may adopt in the future, as well as under outstanding options or warrants would dilute the percentage ownership held by the investors who purchase common stock in this offering.</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or the perception in the public market that such sales may occur, could reduce our stock price.</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of September 30, 2024, we had 52,939,832 shares of common stock outstanding, warrants to purchase 9,482,606 shares of common stock outstanding, options to purchase 3,787,851 shares of common stock outstanding and 836,675 shares of common stock that may be issued upon the vesting of outstanding restricted stock units. We and all of our executive officers and directors have agreed that, for a period of 30 days after the date of this prospectus supplement, we and they will not, without the prior written consent of Barclays Capital Inc. or Morgan Stanley &amp; Co. LLC, dispose of any shares of common stock or any securities convertible into or exchangeable for our common stock, subject to certain exceptions.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(Conflict of Interest)</w:t>
      </w:r>
      <w:r>
        <w:rPr>
          <w:rFonts w:ascii="Times New Roman" w:cs="Times New Roman" w:eastAsia="Times New Roman" w:hAnsi="Times New Roman"/>
          <w:sz w:val="18"/>
          <w:szCs w:val="18"/>
          <w:color w:val="auto"/>
        </w:rPr>
        <w:t>.” Following the expiration of the applicable lock-up period, all of the issued and outstanding shares of our common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future sale, subject to the applicable volume, manner of sale, holding periods, and other limitations of Rule 144. Either Barclays Capital Inc. or Morgan Stanley &amp; Co. LLC may release all or any portion of the shares subject to lock-up agreements at any time and for any reason. In addition, certain of our existing stockholders, including the Apollo Stockholder and Amazon, have certain rights to require us to register the sale of common stock held by them including in connection with underwritten offerings. Pursuant to these registration rights, we filed a “shelf” registration statement, under which, following the consummation of this offering, Amazon could offer and sell, from time-to-time, up to an aggregate of 9,482,606 shares of our common stock issuable upon exercise of outstanding warrants. Additionally, we filed a registration statement in respect of all shares of common stock that we may issue under our 2021 equity incentive plan and our 2018 equity incentive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to sell shares of common stock at a time and price that you deem appropriate.</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Times New Roman" w:cs="Times New Roman" w:eastAsia="Times New Roman" w:hAnsi="Times New Roman"/>
          <w:sz w:val="17"/>
          <w:szCs w:val="17"/>
          <w:color w:val="auto"/>
        </w:rPr>
        <w:t>We do not anticipate paying any dividends on our common stock in the foreseeable future. We intend to retain all future earnings for the operation and expansion of our business, the repayment of outstanding debt, and for general corporate purposes. Our subsidiaries’ credit agreement contains,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only source of gain for the foreseeable future. While we may change this policy at some point in the future, we cannot assure you that we will make such a change.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our stock price could decline.</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securities, the terms of which could adversely affect the voting power or value of our common stock.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pay our pre-IPO stockholders for certain tax benefits, and the amounts of such payments could be material.</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the payments we make under the income tax receivable agreement could be material.</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$97.7 million as of September 30, 2024. Payments in accordance with the terms of the income tax receivable agreement could have an adverse effect on our liquidity and financial condition.</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Airlines are often affected by factors beyond their control, including: air traffic congestion at airports; air traffic control inefficiencies; air traffic control staffing; air traffic incidents; government shutdowns or mandates; FAA grounding of aircraft; major construction or improvements at airports; adverse weather conditions, such as hurricanes or blizzards; threatened or actual terrorist attacks, war or other security concerns; or the outbreak or rapid spread of disease, any of which could have a material adverse effect on our business, results of operations and financial condition.</w:t>
      </w:r>
    </w:p>
    <w:p>
      <w:pPr>
        <w:spacing w:after="0" w:line="5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Like other airlines, our business is affected by factors beyond our control, including air traffic congestion at airports, air traffic control inefficiencies, air traffic incidents, major construction or improvements at airports at which we operate, increased security measures, adverse weather conditions, threatened or actual terrorist attacks, war, natural disasters and the outbreak of disease. Factors that cause flight delays frustrate passengers and increase costs and decrease revenues, which in turn could adversely affect profitability. The federal government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accident, catastrophe or incident could have an adverse effect on the airline industry and our business, results of operations and financial condition if such accident, catastrophe or incident creates a public perception that air travel is not safe or there are air traffic controller staffing shortages. If any such accident, catastrophe or incident were to involve our aircraft or personnel or a type of aircraft in our fleet, the impact to our business, results of operations and financial condition could be even more significant.</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there are proposals before Congress that would treat a wide range of consumer protection issues, which could increase the costs of doing business. Further, implementation of the Next Generation Air Transportation System, or NextGen, by the FAA would result in changes to aircraft routings and flight paths that could lead to increased noise complaints and lawsuits, resulting in increased costs. NextGen is a multi-year modernization project which had an initial target of having all major components in place by 2025. The FAA now expects to complete the remaining components by 2030. Furthermore, a federal government grounding of our aircraft type could result in flight cancellations and adversely affect our business. Governmental mandates requiring certain behaviors from employees, such as vaccine mandates, could limit our ability to staff to meet demand because employees may choose to resign or decide not to apply for or accept open positions.</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Terrorist attacks (including attempted attacks) particularly those involving airlines, heightened security and military action in response thereto, and war could cause substantial revenue losses and increased security costs, and such event, even if not directly involving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customer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w:t>
      </w:r>
    </w:p>
    <w:p>
      <w:pPr>
        <w:spacing w:after="0" w:line="189" w:lineRule="exact"/>
        <w:rPr>
          <w:sz w:val="20"/>
          <w:szCs w:val="20"/>
          <w:color w:val="auto"/>
        </w:rPr>
      </w:pPr>
    </w:p>
    <w:p>
      <w:pPr>
        <w:ind w:left="120" w:right="280" w:firstLine="440"/>
        <w:spacing w:after="0" w:line="255" w:lineRule="auto"/>
        <w:rPr>
          <w:sz w:val="20"/>
          <w:szCs w:val="20"/>
          <w:color w:val="auto"/>
        </w:rPr>
      </w:pPr>
      <w:r>
        <w:rPr>
          <w:rFonts w:ascii="Times New Roman" w:cs="Times New Roman" w:eastAsia="Times New Roman" w:hAnsi="Times New Roman"/>
          <w:sz w:val="18"/>
          <w:szCs w:val="18"/>
          <w:color w:val="auto"/>
        </w:rPr>
        <w:t>Outbreaks or rapid spreads of pandemic or contagious viral or bacterial infections, diseases or similar public health threats, such as Ebola, measles, avian flu, severe acute respiratory syndrome (SARS), COVID-19, H1N1 (swine) flu, pertussis whooping cough and zika virus, or their respective variants, could result in the implementation of restrictions and regulations, including travel restrictions, quarantines, limitations on aircraft capacity, supply chain disruptions, testing requirements and restrictions on our ability to access our facilities or aircraft or requirements to collect additional passenger data or our ability to maintain a suitably skilled and sized workforce. In addition, governments, non-governmental organizations and entities in the private sector may issue non-binding advisories or recommendations regarding air travel or other physical distancing measures, including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limitations on the number of persons that should be present at public gatherings, which may significantly reduce demand. These and other restrictions and regulations, as well as general concerns about traveling during a public health threat, could have a material adverse impact on our business, operating results, financial condition and liquidity. In the past, passenger bookings during a significant disease outbreak were, on average, closer to the date of service than in prior periods, which reduced our visibility into future revenue.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Federal government shutdowns can also affect the availability of federal resources necessary to provide air traffic control and airport security and impact our ability to take delivery of aircraft and commence operations in new domestic stations. Another extended shutdown like the instance in December 2018-January 2019 may have a negative impact on our operations and financial results.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CONCURRENT SHARE REPURCHASE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completion of this offering, we intend to purchase from the underwriter approximately $10.0 million of the shares of common stock that are the subject of this offering at a price per share equal to the price at which the underwriter will purchase the shares from the selling stockholder in this offering, subject to a maximum aggregate repurchase price of $10.0 million. Assuming that the underwriter purchases the shares of common stock that are the subject of this offering from the selling stockholder at a price of $16.50 per share, which was the last reported sale price per share of our common stock on Nasdaq on February 7, 2025, we would repurchase 606,060 shares of our common stock from the underwriter as part of this offering. The terms and conditions of the Concurrent Share Repurchase were reviewed and approved by the audit committee of our board of directors and by our full board of directors. The Concurrent Share Repurchase will be funded from our existing cash on hand. The underwriter will not receive any compensation for the shares of our common stock being repurchased by us.</w:t>
      </w:r>
    </w:p>
    <w:p>
      <w:pPr>
        <w:spacing w:after="0" w:line="192" w:lineRule="exact"/>
        <w:rPr>
          <w:sz w:val="20"/>
          <w:szCs w:val="20"/>
          <w:color w:val="auto"/>
        </w:rPr>
      </w:pPr>
    </w:p>
    <w:p>
      <w:pPr>
        <w:jc w:val="both"/>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This description and the other information in this prospectus supplement regarding the Concurrent Share Repurchase are included in this prospectus supplement solely for informational purposes. Nothing in this prospectus supplement should be construed as an offer to sell, or the solicitation of an offer to buy, any shares of our common stock subject to the Concurrent Share Repurchase.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being offered hereby are being sold by the selling stockholder identified in this prospectus supplement. We will not receive any proceeds from the sale of the shares of common stock by the selling stockholder. The selling stockholder will receive all of the net proceeds from this offering. We have agreed to pay all expenses relating to registering the shares of common stock. See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February 10, 2025 with respect to the ownership of our shares of common stock by the Apollo Stockholder, the selling stockholder.</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 is based on 52,939,832 shares of common stock outstanding as of September 30, 2024.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6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7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21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r>
      <w:tr>
        <w:trPr>
          <w:trHeight w:val="148"/>
        </w:trPr>
        <w:tc>
          <w:tcPr>
            <w:tcW w:w="4480" w:type="dxa"/>
            <w:vAlign w:val="bottom"/>
          </w:tcPr>
          <w:p>
            <w:pPr>
              <w:spacing w:after="0"/>
              <w:rPr>
                <w:sz w:val="12"/>
                <w:szCs w:val="12"/>
                <w:color w:val="auto"/>
              </w:rPr>
            </w:pPr>
          </w:p>
        </w:tc>
        <w:tc>
          <w:tcPr>
            <w:tcW w:w="266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7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Stock Offered</w:t>
            </w:r>
          </w:p>
        </w:tc>
        <w:tc>
          <w:tcPr>
            <w:tcW w:w="21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173"/>
        </w:trPr>
        <w:tc>
          <w:tcPr>
            <w:tcW w:w="4480" w:type="dxa"/>
            <w:vAlign w:val="bottom"/>
          </w:tcPr>
          <w:p>
            <w:pPr>
              <w:spacing w:after="0"/>
              <w:rPr>
                <w:sz w:val="15"/>
                <w:szCs w:val="15"/>
                <w:color w:val="auto"/>
              </w:rPr>
            </w:pPr>
          </w:p>
        </w:tc>
        <w:tc>
          <w:tcPr>
            <w:tcW w:w="26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Before this Offering</w:t>
            </w:r>
          </w:p>
        </w:tc>
        <w:tc>
          <w:tcPr>
            <w:tcW w:w="17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Hereby</w:t>
            </w:r>
          </w:p>
        </w:tc>
        <w:tc>
          <w:tcPr>
            <w:tcW w:w="21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After this Offering</w:t>
            </w:r>
          </w:p>
        </w:tc>
      </w:tr>
      <w:tr>
        <w:trPr>
          <w:trHeight w:val="142"/>
        </w:trPr>
        <w:tc>
          <w:tcPr>
            <w:tcW w:w="44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70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CCEEFF"/>
            </w:tcBorders>
          </w:tcPr>
          <w:p>
            <w:pPr>
              <w:spacing w:after="0"/>
              <w:rPr>
                <w:sz w:val="12"/>
                <w:szCs w:val="12"/>
                <w:color w:val="auto"/>
              </w:rPr>
            </w:pPr>
          </w:p>
        </w:tc>
      </w:tr>
      <w:tr>
        <w:trPr>
          <w:trHeight w:val="209"/>
        </w:trPr>
        <w:tc>
          <w:tcPr>
            <w:tcW w:w="44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SCA Horus Holdings, LLC</w:t>
            </w:r>
            <w:r>
              <w:rPr>
                <w:rFonts w:ascii="Times New Roman" w:cs="Times New Roman" w:eastAsia="Times New Roman" w:hAnsi="Times New Roman"/>
                <w:sz w:val="24"/>
                <w:szCs w:val="24"/>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6,346,105</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6,346,105</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300" w:hanging="424"/>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Antoine Munfakh and Noah Falk. Messrs. Munfakh and Falk each disclaim any beneficial ownership of the shares of common stock held by SCA Horus Holdings, LLC except to the extent of their pecuniary interest therein. The address for SCA Horus Holdings, LLC is 9 West 57th Street, 41st Floor, New York, New York 10019.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The Apollo Stockholder is an affiliate of Apollo. Additionally, the Apollo Stockholder is a party to the Income Tax Receivable Agreement, the Stockholders Agreement and the Registration Rights Agreement, each of which provides Apollo with certain governance and other rights. Apollo’s rights under the Stockholders Agreement and the Registration Rights Agreement will terminate upon the consummation of this offering. For more information on each of these agreements, please refer to the descriptions of these agreements found in our filings, which are incorporated herein by reference.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applicable to Non-U.S. Holders (as defined below) with respect to the ownership and disposition of our common stock. The following discussion is based upon current provisions of the Internal Revenue Code of 1986, as amended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discussion addresses only beneficial owners of our common stock that hold such common stock as a capital asset within the meaning of Section 1221 of the Code (generally, property held for investment) and that are Non-U.S. Holders (as defined below).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foreign governments,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Non-U.S. Holders required to conform the timing of income accruals to financial statements pursuant to Section 451 of the Code, controlled foreign corporations, passive foreign investment companies, former citizens or former long-term residents of the United States, and Non-U.S. Holders that hold our common stock as part of a hedge, straddle, other integrated transaction, constructive sale or conversion transaction). In addition, this discussion does not address U.S. federal tax laws other than those pertaining to U.S. federal income tax (such as U.S. federal estate or gift tax, the Medicare contribution tax on certain net investment income, or the alternative minimum tax), nor does it address any aspects of U.S. state, local or non-U.S. taxes. Non-U.S. Holders are urged to consult with their own tax advisors regarding the possible application of these taxes.</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common stock that is an individual, corporation, estate or trust, other than:</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as determined for U.S. federal income tax purposes;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under the Code) have the authority to control all substantial decisions of the trust; or (ii) it has a valid election in effect under applicable Treasury regulations to be treated as a domestic trust.</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we do not anticipate that we will make any distributions on our common stock in the foreseeable future, 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Times New Roman" w:cs="Times New Roman" w:eastAsia="Times New Roman" w:hAnsi="Times New Roman"/>
          <w:sz w:val="18"/>
          <w:szCs w:val="18"/>
          <w:i w:val="1"/>
          <w:iCs w:val="1"/>
          <w:color w:val="auto"/>
        </w:rPr>
        <w:t>U.S. Trade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Income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you generally will be subject to U.S. federal withholding tax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30% rate, or at a reduced rate prescribed by an applicable income tax treaty, on any dividends received in respect of our common stock.</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order to obtain a reduced rate of U.S. federal withholding tax under an applicable income tax treaty, you will be required to provide a properly executed IRS Form W-8BEN or IRS Form W-8BEN-E (or, in each case, another applicable form or an appropriate successor form) certifying your entitlement to benefits under the treaty.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Dividend income that is effectively connected with your conduct of a trade or business within the United States will be taxed in the manner described in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19"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Subject to the discussions below under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you generally will not be subject to U.S. federal income or withholding tax in respect of any gain on a sale, exchange or other taxable disposition of our common stock unless:</w:t>
      </w:r>
    </w:p>
    <w:p>
      <w:pPr>
        <w:spacing w:after="0" w:line="81" w:lineRule="exact"/>
        <w:rPr>
          <w:sz w:val="20"/>
          <w:szCs w:val="20"/>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gain is effectively connected with your conduct of a U.S. trade or business, in which case, such gain will be taxed as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(provided that you have timely filed U.S. federal income tax returns with respect to such losses); or</w:t>
      </w:r>
    </w:p>
    <w:p>
      <w:pPr>
        <w:spacing w:after="0" w:line="85"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 “USRPHC”) as defined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If we are determined to be a USRPHC, gain on a sale, exchange or other taxable disposition of our common stock will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USRPHC.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Trade or Business Income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you are eligible for the benefits of an income tax treaty with the United States and such treaty requires, such income or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5% ownership exception set forth above in the second paragraph of “—</w:t>
      </w:r>
      <w:r>
        <w:rPr>
          <w:rFonts w:ascii="Times New Roman" w:cs="Times New Roman" w:eastAsia="Times New Roman" w:hAnsi="Times New Roman"/>
          <w:sz w:val="18"/>
          <w:szCs w:val="18"/>
          <w:i w:val="1"/>
          <w:iCs w:val="1"/>
          <w:color w:val="auto"/>
        </w:rPr>
        <w:t>Sale,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Stock</w:t>
      </w:r>
      <w:r>
        <w:rPr>
          <w:rFonts w:ascii="Times New Roman" w:cs="Times New Roman" w:eastAsia="Times New Roman" w:hAnsi="Times New Roman"/>
          <w:sz w:val="18"/>
          <w:szCs w:val="18"/>
          <w:color w:val="auto"/>
        </w:rPr>
        <w:t>”). Generally, U.S. trade or business income is not subject to U.S. federal withholding tax (provided that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with applicable certification and disclosure requirements, including providing a properly executed IRS Form W-8ECI (or other applicable form or an appropriate successor form)); instead, you are subject to U.S. federal income tax on a net basis at regular U.S. federal income tax rates (generally in the same manner as a United States person (as defined under the Code)) on your U.S. trade or business income. If you are a corporation, any U.S. trade or business income that you receive may also be subject to a “branch profits tax” at a 30% rate, or at a lower rate prescribed by an applicable income tax treaty.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IRS Form W-8BEN-E (or, in each case, an appropriate successor form) or otherwise establish an exemption and the applicable withholding agent does not have actual knowledge or reason to know that you are a United States persons (as defined under the Code) or that the conditions of such other exemption are not, in fact, satisfied.</w:t>
      </w:r>
    </w:p>
    <w:p>
      <w:pPr>
        <w:spacing w:after="0" w:line="189"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United States persons (as defined under the Code)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United States persons (as defined under the Code) or a U.S. related financial intermediary, the Treasury regulations require information reporting (but not backup withholding) on the payment unless the broker has documentary evidence in its files that the owner is not a United States persons (as defined under the Code) and the broker has no knowledge to the contrary. You are urged to consult your tax advisor on the application of information reporting and backup withholding in light of your particular circumstances.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Foreign financial institutions located in jurisdictions that have an intergovernmental agreement with the United States governing FATCA may be subject to different rules.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FATCA currently applies to dividends made in respect of our common stock. Pursuant to proposed Treasury regulations, FATCA withholding would not apply to gross proceeds from dispositions of U.S. common stock. Taxpayers may generally rely on those proposed Treasury regulations until final Treasury regulations are issued.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 OF INTEREST)</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Barclays Capital Inc. and Morgan Stanley &amp; Co. LLC are acting as representatives of the underwriters and the book-running managers of this offering. Under the terms of an underwriting agreement, each of the underwriters named below has severally agreed to purchase from the selling stockholder the respective number of shares of common stock shown opposite its name below, which includes the shares subject to the Concurrent Share Repurchase,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Barclays Capital Inc.</w:t>
            </w: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6,346,105</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shares of common stock depends on the satisfaction of the certain conditions contained in the underwriting agreement including:</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purchase all of the shares of common stock offered hereby, if any of the shares are purchased;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us and the selling stockholder to the underwriters are true;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change in our business or the financial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closing documents are delivered to the underwriters.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intend to purchase from the underwriters approximately $10.0 million of the shares of common stock at a price per share equal to the price at which the underwriters will purchase the shares from the selling stockholder in this offering, subject to a maximum aggregate repurchase price of $10.0 million.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the offering that are payable by us are estimated to be approximately $0.6 million.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offered hereby not subject to the Concurrent Share Repurchase from time to time for sale in one or more transactions on Nasdaq, in the over-the-counter market, through negotiated transactions or otherwise at market prices prevailing at the time of sale, subject to receipt and acceptance by them and subject to their right to reject any order in whole or in part. The underwriters may effect such transactions by selling the shares of common stock to or through dealers and such dealers may receive compensation in the form of discounts, concessions or commissions from the underwriters and/or purchasers of shares of common stock for whom they may act as agents or to whom they may sell as principal. The difference between the price at which the underwriters purchase shares of common stock and the price at which the underwriters resell such shares may be deemed underwriting compensation. The underwriters will not receive any compensation for the shares of our common stock being repurchased by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and all of our directors and executive officers have agreed that, for a period of 30 days after the date of this prospectus supplement, we and they will not, without the prior written consent of the underwriters, dispose of any shares of common stock or any securities convertible into or exchangeable for our common stock, subject to certain exceptions.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lock-up agreement applicable to the Company is subject to certain specified exceptions, including: (i) any issuance of common stock, options to purchase shares of common stock, restricted stock units and other equity incentive compensation pursuant to equity plans or similar plans described in this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this prospectus supplement,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 (iii) during the restricted period shall not exceed 5% of the total number of shares of common stock issued and outstanding on the closing date of this offering and provided further that, in the case of any issuance pursuant to (iii), the transferee or distributee agrees in writing to be bound by the lock-up restrictions.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lock-up agreements applicable to all of our directors and executive officers are subject to specified exceptions, including: (i) bona fide gifts;</w:t>
      </w:r>
    </w:p>
    <w:p>
      <w:pPr>
        <w:spacing w:after="0" w:line="27" w:lineRule="exact"/>
        <w:rPr>
          <w:sz w:val="20"/>
          <w:szCs w:val="20"/>
          <w:color w:val="auto"/>
        </w:rPr>
      </w:pPr>
    </w:p>
    <w:p>
      <w:pPr>
        <w:ind w:left="120" w:hanging="4"/>
        <w:spacing w:after="0" w:line="250" w:lineRule="auto"/>
        <w:tabs>
          <w:tab w:leader="none" w:pos="3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any trust for the direct or indirect benefit of the lock-up party or the immediate family of the lockup party;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this prospectus, and the receipt by the lock-up signatory from the Company of shares of common stock upon such exercise; (C) transfers to the Company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in the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this prospectus;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w:t>
      </w:r>
    </w:p>
    <w:p>
      <w:pPr>
        <w:spacing w:after="0" w:line="5" w:lineRule="exact"/>
        <w:rPr>
          <w:rFonts w:ascii="Times New Roman" w:cs="Times New Roman" w:eastAsia="Times New Roman" w:hAnsi="Times New Roman"/>
          <w:sz w:val="18"/>
          <w:szCs w:val="18"/>
          <w:color w:val="auto"/>
        </w:rPr>
      </w:pPr>
    </w:p>
    <w:p>
      <w:pPr>
        <w:ind w:left="120" w:right="140" w:hanging="4"/>
        <w:spacing w:after="0" w:line="265" w:lineRule="auto"/>
        <w:tabs>
          <w:tab w:leader="none" w:pos="37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a trading plan pursuant to Rule 10b5-1 of the Exchange Act or transfers pursuant to an existing 10b5-1 trading plan, provided that no such transfers shall be made prior to the closing date of this offering; (xi) if the holder is a corporation, partnership or limited liability company,</w:t>
      </w:r>
    </w:p>
    <w:p>
      <w:pPr>
        <w:ind w:left="12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distributions to partners, limited liability company members, stockholder or holders of similar interests or (B) transfers to affiliates (as defined in Rule 405 of the Securities Act); and (xii) transfers to the lock-up party’s employer or any affiliate of the lock-up party’s employer as compensation in his or her capacity as a member of the Company’s board of directors; provided that, in the case of any transfer or distribution pursuant to (i) through (v), (vii), (xi) and (xii), the transferee or distributee agrees in writing to be bound by the lockup restrictions.</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Either Barclays Capital Inc. or Morgan Stanley &amp; Co. LLC may release our common stock and other securities subject to the lock-up agreements described above in whole or in part at any time, subject to applicable notice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and the selling stockholder have agreed to indemnify the underwriters against certain liabilities, including liabilities under the Securities Act, and to contribute to payments that the underwriters may be required to make for these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representatives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4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position involves a sale by the underwriters of shares in excess of the number of shares the underwriters are obligated to purchase in this offering, which creates the syndicate short position.</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Nasdaq or otherwise and, if commenced, may be discontinued at any time.</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representatives will engage in these stabilizing transactions or that any transaction,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underwriters and selling group members may engage in passive market making transactions in the common stock on The Nasdaq Global Select Market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Nasdaq</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“SNCY”.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you purchase shares of common stock offered in this prospectus supplement, you may be required to pay stamp taxes and other charges under the laws and practices of the country of purchase, in addition to the offering price listed on the cover page of this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investment banking and financial advisory services for the Company and its affiliates, for which they may in the future receive customary fees and expenses.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the Company or its affiliates. The underwriters and certain of their affiliates may also make investment recommendations or publish or express independent research views in respect of such securities or instruments and may at any time hold, or recommend to clients that they acquire, long or short positions in such securities and instruments. In February 2021, the Company executed a five-year credit agreement with a group of lenders that provides for a $25.0 million revolving credit facility and a $90.0 million delayed draw term loan facility (collectively, the “Credit Facilities”). Barclays Bank PLC, the administrative agent, the collateral agent, a lender and a joint lead arranger under the Credit Facilities, is an affiliate of Barclays Capital Inc., an underwriter in this offering. In addition, affiliates of Morgan Stanley &amp; Co. LLC are lenders and joint lead arrangers under the Credit Facilities.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AGS has a “conflict of interest” within the meaning of FINRA Rule 5121 in this offering because AGS is affiliated with the selling stockholder, who is in turn our affiliate, and because the net proceeds of this offering will be received by the selling stockholder. Accordingly, this offering will be conducted in accordance with the requirements of FINRA Rule 5121 regarding a FINRA member firm’s participation in a public offering of securities of an affiliate. Pursuant to that rule, the appointment of a “qualified independent underwriter” is not required in connection with this offering. In accordance with FINRA Rule 5121, neither AGS nor any other affiliated underwriter, agent or dealer of may sell the securities to any account over which it exercises discretionary authority without the specific written approval of the account holder.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w:t>
      </w:r>
    </w:p>
    <w:p>
      <w:pPr>
        <w:spacing w:after="0" w:line="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of the underwriters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except that it may make an offer to the public in the United Kingdom of any shares at any time under the following exemptions under the UK Prospectus Regulation:</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any of the underwriters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 Where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 (1) to an institutional investor or to a relevant person, or to any person pursuant to Section 275(1A), and in accordance with the conditions, specified in Section 275 of the SFA; (2) where no consideration is given for the transfer; or</w:t>
      </w:r>
    </w:p>
    <w:p>
      <w:pPr>
        <w:spacing w:after="0" w:line="10" w:lineRule="exact"/>
        <w:rPr>
          <w:sz w:val="20"/>
          <w:szCs w:val="20"/>
          <w:color w:val="auto"/>
        </w:rPr>
      </w:pPr>
    </w:p>
    <w:p>
      <w:pPr>
        <w:ind w:left="120" w:right="340" w:hanging="4"/>
        <w:spacing w:after="0" w:line="253"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 N16: Notice on Recommendations on Investment Products).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280" w:firstLine="440"/>
        <w:spacing w:after="0" w:line="255"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 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 Qualified Institutional Investors (“QII”)</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 Non-QII Investors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offered by this prospectus supplement will be passed upon for us by Paul, Weiss, Rifkind, Wharton &amp; Garrison LLP, New York, New York. Davis Polk &amp; Wardwell LLP, New York, New York, acted as counsel for the underwriter.</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2023 and 2022, and for each of the years in the three-year period ended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0980"/>
          </w:cols>
          <w:pgMar w:left="320" w:top="455" w:right="5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173990</wp:posOffset>
            </wp:positionV>
            <wp:extent cx="198882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9888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34,352,603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stockholders named in this prospectus may sell, from time to time, up to 34,352,603 shares of our common stock, including 9,482,606 shares of our common stock issuable upon exercise of outstanding warrants. The selling stockholders may offer for sale the shares of common stock covered by this prospectus directly to purchasers or through underwriters, broker or dealers or agents, in public or private transactions, at fixed prices, prevailing market prices at the times of sale, prices related to the prevailing market prices, varying prices determined at the times of sale or negotiated prices. Information on the selling stockholders and the times and manners in which they may offer and sell shares of our common stock is described under the sections entitled “Selling Stockholders” and “Plan of Distribution” in this prospectus. Our registration of the shares of common stock covered by this prospectus does not mean the selling stockholders will offer or sell any of the shares.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common stock by the selling stockholders. We have agreed to pay all expenses relating to registering the shares of common stock. The selling stockholders will pay any underwriting discounts and commissions, brokerage commissions and/or similar charges incurred for the sale of these shares of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common stock of Sun Country Airlines Holdings, Inc. is listed on the Nasdaq Global Select Market (“Nasdaq”) under the symbol “SNCY.”</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are eligible for reduced public company reporting requirements.</w:t>
      </w:r>
    </w:p>
    <w:p>
      <w:pPr>
        <w:spacing w:after="0" w:line="146" w:lineRule="exact"/>
        <w:rPr>
          <w:sz w:val="20"/>
          <w:szCs w:val="20"/>
          <w:color w:val="auto"/>
        </w:rPr>
      </w:pPr>
    </w:p>
    <w:p>
      <w:pPr>
        <w:ind w:left="120" w:right="4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that are referenced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4 of this prospectus. You should carefully review the risks and uncertainties described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contained in the applicable prospectus supplement and any related free writing prospectus and under similar headings in the documents that are incorporated by reference in this prospectus.</w:t>
      </w:r>
    </w:p>
    <w:p>
      <w:pPr>
        <w:spacing w:after="0" w:line="183"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12, 2023.</w:t>
      </w:r>
    </w:p>
    <w:p>
      <w:pPr>
        <w:sectPr>
          <w:pgSz w:w="11900" w:h="16838" w:orient="portrait"/>
          <w:cols w:equalWidth="0" w:num="1">
            <w:col w:w="11060"/>
          </w:cols>
          <w:pgMar w:left="320" w:top="455" w:right="5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44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6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2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15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60" w:type="dxa"/>
            <w:vAlign w:val="bottom"/>
            <w:gridSpan w:val="5"/>
          </w:tcPr>
          <w:p>
            <w:pPr>
              <w:spacing w:after="0"/>
              <w:rPr>
                <w:sz w:val="24"/>
                <w:szCs w:val="24"/>
                <w:color w:val="auto"/>
              </w:rPr>
            </w:pPr>
          </w:p>
        </w:tc>
        <w:tc>
          <w:tcPr>
            <w:tcW w:w="6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2360" w:type="dxa"/>
            <w:vAlign w:val="bottom"/>
            <w:gridSpan w:val="4"/>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120" w:type="dxa"/>
            <w:vAlign w:val="bottom"/>
          </w:tcPr>
          <w:p>
            <w:pPr>
              <w:spacing w:after="0"/>
              <w:rPr>
                <w:sz w:val="17"/>
                <w:szCs w:val="17"/>
                <w:color w:val="auto"/>
              </w:rPr>
            </w:pP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41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Company Overview</w:t>
            </w:r>
          </w:p>
        </w:tc>
        <w:tc>
          <w:tcPr>
            <w:tcW w:w="200" w:type="dxa"/>
            <w:vAlign w:val="bottom"/>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4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00" w:type="dxa"/>
            <w:vAlign w:val="bottom"/>
            <w:gridSpan w:val="7"/>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2840" w:type="dxa"/>
            <w:vAlign w:val="bottom"/>
            <w:gridSpan w:val="6"/>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00" w:type="dxa"/>
            <w:vAlign w:val="bottom"/>
            <w:gridSpan w:val="3"/>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920" w:type="dxa"/>
            <w:vAlign w:val="bottom"/>
            <w:gridSpan w:val="8"/>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40" w:type="dxa"/>
            <w:vAlign w:val="bottom"/>
            <w:gridSpan w:val="11"/>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you should carefully read this prospectus and any applicable prospectus supplement.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 Certain capitalized terms used in this prospectus are defined elsewhere in this prospectus.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Under this process, the selling stockholders named herein may offer and sell, from time to time in one or more offerings, up to an aggregate of 34,352,603 shares of our common stock, including 9,482,606 shares of our common stock issuable upon exercise of outstanding warrants.</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common stock that the selling stockholders may offer. Each time the selling stockholders offer and sell shares of common stock, such selling stockholders may provide you with a prospectus supplement that will describe the specific amounts, prices and terms of the common stock being offered. The prospectus supplement may also add, update or change information contained or incorporated by reference in this prospectus. If there is any inconsistency between the information in this prospectus and any prospectus supplement, you should rely on the information in the prospectus supplement.</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may also contain information about any material U.S. federal income tax considerations relating to the securities covered by the prospectus supplement.</w:t>
      </w:r>
    </w:p>
    <w:p>
      <w:pPr>
        <w:spacing w:after="0" w:line="16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may sell our common stock to underwriters who will sell the common stock to the public on terms fixed at the time of sale or at variable prices. In addition, the common stock may be sold by the selling stockholders directly or through dealers or agents designated from time to time, which agents may be affiliates of ours. If the selling stockholders, directly or through agents, solicit offers to purchase the common stock, the selling stockholders and their agents reserve the sole right to accept and to reject, in whole or in part, any offer.</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will also contain, with respect to the securities being sold, the names of any underwriters, dealers or agents, together with the terms of the offering, the compensation of any underwriters, dealers or agents and the net proceeds to the selling stockholders.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Any underwriters, dealers or agents participating in the offering may be deemed “underwriters” within the meaning of the Securities Act of 1933, as amended, which we refer to in this prospectus as the “Securities Act.”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this prospectus, we “incorporate by reference” certain information that we file with the SEC, which means that we can disclose important information to you by referring you to that information. The information we incorporate by reference is an important part of this prospectus, and later information that we file with the SEC will automatically update and supersede this information. The following documents have been filed by us with the SEC and are incorporated by reference into this prospectus:</w:t>
      </w:r>
    </w:p>
    <w:p>
      <w:pPr>
        <w:spacing w:after="0" w:line="85" w:lineRule="exact"/>
        <w:rPr>
          <w:sz w:val="20"/>
          <w:szCs w:val="20"/>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auto"/>
          </w:rPr>
          <w:t xml:space="preserve">our Annual Report on </w:t>
        </w:r>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auto"/>
          </w:rPr>
          <w:t xml:space="preserve"> for the fiscal year ended December 31, 2021, filed with the SEC on February 18, 2022, and </w:t>
        </w:r>
        <w:r>
          <w:rPr>
            <w:rFonts w:ascii="Times New Roman" w:cs="Times New Roman" w:eastAsia="Times New Roman" w:hAnsi="Times New Roman"/>
            <w:sz w:val="18"/>
            <w:szCs w:val="18"/>
            <w:u w:val="single" w:color="auto"/>
            <w:color w:val="0000EE"/>
          </w:rPr>
          <w:t>Amendment</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No. 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thereto, filed with the SEC on February 22, 2022 (the “2021 Annual Report”);</w:t>
        </w:r>
      </w:hyperlink>
    </w:p>
    <w:p>
      <w:pPr>
        <w:spacing w:after="0" w:line="67" w:lineRule="exact"/>
        <w:rPr>
          <w:rFonts w:ascii="Times New Roman" w:cs="Times New Roman" w:eastAsia="Times New Roman" w:hAnsi="Times New Roman"/>
          <w:sz w:val="18"/>
          <w:szCs w:val="18"/>
          <w:color w:val="0000EE"/>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Definitive Proxy Statement on </w:t>
      </w:r>
      <w:hyperlink r:id="rId7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2022, that are incorporated by reference into Part III of the 2021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6,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2022, filed with the SEC on August 10,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2022, filed with the SEC on November 2, 2022;</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77">
        <w:r>
          <w:rPr>
            <w:rFonts w:ascii="Times New Roman" w:cs="Times New Roman" w:eastAsia="Times New Roman" w:hAnsi="Times New Roman"/>
            <w:sz w:val="18"/>
            <w:szCs w:val="18"/>
            <w:u w:val="single" w:color="auto"/>
            <w:color w:val="0000EE"/>
          </w:rPr>
          <w:t>February 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t>
      </w:r>
      <w:hyperlink r:id="rId78">
        <w:r>
          <w:rPr>
            <w:rFonts w:ascii="Times New Roman" w:cs="Times New Roman" w:eastAsia="Times New Roman" w:hAnsi="Times New Roman"/>
            <w:sz w:val="18"/>
            <w:szCs w:val="18"/>
            <w:u w:val="single" w:color="auto"/>
            <w:color w:val="0000EE"/>
          </w:rPr>
          <w:t>second report</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EE"/>
          </w:rPr>
          <w:t>April 5, 2022</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April 29,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w:t>
      </w:r>
      <w:hyperlink r:id="rId81">
        <w:r>
          <w:rPr>
            <w:rFonts w:ascii="Times New Roman" w:cs="Times New Roman" w:eastAsia="Times New Roman" w:hAnsi="Times New Roman"/>
            <w:sz w:val="18"/>
            <w:szCs w:val="18"/>
            <w:color w:val="auto"/>
          </w:rPr>
          <w:t xml:space="preserve">our Current Report on Form 8-K/A filed with the SEC on </w:t>
        </w:r>
        <w:r>
          <w:rPr>
            <w:rFonts w:ascii="Times New Roman" w:cs="Times New Roman" w:eastAsia="Times New Roman" w:hAnsi="Times New Roman"/>
            <w:sz w:val="18"/>
            <w:szCs w:val="18"/>
            <w:u w:val="single" w:color="auto"/>
            <w:color w:val="0000EE"/>
          </w:rPr>
          <w:t>May 6,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14,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1, 2022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hyperlink>
      <w:hyperlink r:id="rId82">
        <w:r>
          <w:rPr>
            <w:rFonts w:ascii="Times New Roman" w:cs="Times New Roman" w:eastAsia="Times New Roman" w:hAnsi="Times New Roman"/>
            <w:sz w:val="18"/>
            <w:szCs w:val="18"/>
            <w:u w:val="single" w:color="auto"/>
            <w:color w:val="0000EE"/>
          </w:rPr>
          <w:t>both reports</w:t>
        </w:r>
      </w:hyperlink>
      <w:hyperlink r:id="rId81">
        <w:r>
          <w:rPr>
            <w:rFonts w:ascii="Times New Roman" w:cs="Times New Roman" w:eastAsia="Times New Roman" w:hAnsi="Times New Roman"/>
            <w:sz w:val="18"/>
            <w:szCs w:val="18"/>
            <w:color w:val="000000"/>
          </w:rPr>
          <w:t>) (in each case, other than information furnished pursuant to Item 2.02 or Item 7.01 of any such Current Report 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Form 8-K); and</w:t>
      </w:r>
    </w:p>
    <w:p>
      <w:pPr>
        <w:spacing w:after="0" w:line="85" w:lineRule="exact"/>
        <w:rPr>
          <w:rFonts w:ascii="Times New Roman" w:cs="Times New Roman" w:eastAsia="Times New Roman" w:hAnsi="Times New Roman"/>
          <w:sz w:val="18"/>
          <w:szCs w:val="18"/>
          <w:color w:val="0000EE"/>
        </w:rPr>
      </w:pPr>
    </w:p>
    <w:p>
      <w:pPr>
        <w:ind w:left="1080" w:right="3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filed on </w:t>
      </w:r>
      <w:hyperlink r:id="rId2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pursuant to Section 12 of the Securities Exchange Act of 1934, as amended (the “Exchange Act”), with the SEC on March 15, 2021, and any amendment or report filed for the purpose of updating that description.</w:t>
      </w:r>
    </w:p>
    <w:p>
      <w:pPr>
        <w:spacing w:after="0" w:line="176" w:lineRule="exact"/>
        <w:rPr>
          <w:rFonts w:ascii="Times New Roman" w:cs="Times New Roman" w:eastAsia="Times New Roman" w:hAnsi="Times New Roman"/>
          <w:sz w:val="18"/>
          <w:szCs w:val="18"/>
          <w:color w:val="0000EE"/>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until the completion of the offering under this prospectus shall be deemed to be incorporated in this prospectus by reference. The information contained on or accessible through our website at https://www.suncountry.com is not incorporated into this prospectus.</w:t>
      </w:r>
    </w:p>
    <w:p>
      <w:pPr>
        <w:spacing w:after="0" w:line="180" w:lineRule="exact"/>
        <w:rPr>
          <w:rFonts w:ascii="Times New Roman" w:cs="Times New Roman" w:eastAsia="Times New Roman" w:hAnsi="Times New Roman"/>
          <w:sz w:val="18"/>
          <w:szCs w:val="18"/>
          <w:color w:val="0000EE"/>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the Company at the following address:</w:t>
      </w:r>
    </w:p>
    <w:p>
      <w:pPr>
        <w:spacing w:after="0" w:line="176"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2005 Cargo Road</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681-3900</w:t>
      </w:r>
    </w:p>
    <w:p>
      <w:pPr>
        <w:spacing w:after="0" w:line="9" w:lineRule="exact"/>
        <w:rPr>
          <w:rFonts w:ascii="Times New Roman" w:cs="Times New Roman" w:eastAsia="Times New Roman" w:hAnsi="Times New Roman"/>
          <w:sz w:val="18"/>
          <w:szCs w:val="18"/>
          <w:color w:val="auto"/>
        </w:rPr>
      </w:pP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General Counsel</w:t>
      </w:r>
    </w:p>
    <w:p>
      <w:pPr>
        <w:spacing w:after="0" w:line="207" w:lineRule="exact"/>
        <w:rPr>
          <w:rFonts w:ascii="Times New Roman" w:cs="Times New Roman" w:eastAsia="Times New Roman" w:hAnsi="Times New Roman"/>
          <w:sz w:val="18"/>
          <w:szCs w:val="18"/>
          <w:color w:val="0000EE"/>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prospectus supplement, any free writing prospectus that we authorize and any pricing supplement. We have not authorized any person, including any salesman or broker, to provide information other than that provided in this prospectus, any applicable prospectus supplement, any applicable free writing prospectus that we authorize or any applicable pricing supplement. We have not authorized anyone to provide you with different information.</w:t>
      </w:r>
    </w:p>
    <w:p>
      <w:pPr>
        <w:spacing w:after="0" w:line="112"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do not take responsibility for, and can provide no assurance as to the reliability of, any information that others may give you. We are not making an offer of the securities in any jurisdiction where the offer is not permitted. You should not assume that the information in this prospectus, any applicable prospectus supplement, any applicable free writing prospectus that we authorize, any applicable pricing supplement or any documents incorporated by reference is accurate as of any date other than the date of the applicable document.</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any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00"/>
          </w:cols>
          <w:pgMar w:left="320" w:top="455" w:right="5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or the registration statement of which this prospectus forms a part, and you should not rely on any such information in making your decision whether to purchase our securities.</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40"/>
          </w:cols>
          <w:pgMar w:left="320" w:top="455" w:right="5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Certain information included in this prospectus or in other materials we have filed or will file with the SEC (as well as information included in oral statements or other written statements made or to be made by us) includes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including statements regarding our strategy, future operations, future financial position, future revenue, projected costs, prospects, plans, objectives of management, and expected market growth are forward-looking statements. The forward-looking statements include, among other things, statements relating to:</w:t>
      </w:r>
    </w:p>
    <w:p>
      <w:pPr>
        <w:spacing w:after="0" w:line="9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outlook and growth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targets and dividend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trends in the industry and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225"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81" w:lineRule="exact"/>
        <w:rPr>
          <w:sz w:val="20"/>
          <w:szCs w:val="20"/>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effects including variants, travel restrictions, social distancing measures, vaccination requirements, and decreased demand for air travel;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fuel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global instability and potential U.S. military actions or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weather, security measures, travel-related taxes and outbreak of disease;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in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restrictions on, or increased taxes applicable to charges for, ancillary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travel substitutes;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successfully;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costs 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Minneapolis-St. Paul market;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business being adversely affected in the event of an emergency, accident or similar public incident involving our aircraft or personnel;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providers and other commercial partners to perform functions integral to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or maintain our unit revenues or maintain our ancillary revenues;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union disputes, employee strikes and other labor-related disruptions;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 optimal daily aircraft utilization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expand or operate reliably and efficiently out of airports where we maintain a large presence;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noise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customer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dependence on cash balances and operating cash flows;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liquidity in the event one or more of our credit card processors were to impose holdback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or access capital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aircraft-related fixed obligations that could impair our liquidity;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maintenance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sole-source supplier for our aircraft and engine parts;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including those set forth or referenced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caution you that the foregoing list of important factors may not contain all of the material factors that are important to you. For additional information about factors that could cause actual results to differ materially from those described in the forward-looking statements, please see the documents that we have filed with the SEC, including our most recent annual report on Form 10-K, quarterly reports on Form 10-Q, current reports on Form 8-K and proxy statements.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prospectus or the documents incorporated by reference herein, as applicable,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incorporated by reference herein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passengers and charter customers and providing crew, maintenance and insurance services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9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 filings incorporated by reference in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specific risks discussed or incorporated by reference in the applicable prospectus supplement, together with all the other information contained in any applicable prospectus supplement or incorporated by reference in this prospectus and the applicable prospectus supplement. You should also consider the risks, uncertainties and assumptions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2021 Annual Report and our Quarterly Reports on Form 10-Q, which are incorporated by reference in this prospectus, and which may be amended, supplemented or superseded from time to time in any prospectus supplement and by other reports we file with the SEC in the future. Please see the section of this prospectus under the heading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the common stock offered by this prospectus. We will not receive any proceeds from sales of shares of our common stock by the selling stockholders.</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320" w:top="455" w:right="7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December 27, 2022 by the selling stockholders.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stockholders is based on 58,166,674 shares of common stock outstanding as of September 30, 2022.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also provides the maximum number of shares of our common stock that may be offered by the selling stockholders pursuant to this prospectus and the number of shares of our common stock that will be beneficially owned by the selling stockholders after such an offering, assuming the sale of all of the offered shares. The selling stockholders reserve the right to accept or reject, in whole or in part, any proposed sale of shares. The selling stockholders may also offer and sell less than the number of shares indicated or no shares. The selling stockholders are not making any representation that any shares covered by this prospectus will or will not be offered for sale. Information about each selling stockholder may change over time.</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1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58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218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1340" w:type="dxa"/>
            <w:vAlign w:val="bottom"/>
            <w:gridSpan w:val="2"/>
            <w:vMerge w:val="continue"/>
          </w:tcPr>
          <w:p>
            <w:pPr>
              <w:spacing w:after="0"/>
              <w:rPr>
                <w:sz w:val="12"/>
                <w:szCs w:val="12"/>
                <w:color w:val="auto"/>
              </w:rPr>
            </w:pPr>
          </w:p>
        </w:tc>
        <w:tc>
          <w:tcPr>
            <w:tcW w:w="1580" w:type="dxa"/>
            <w:vAlign w:val="bottom"/>
            <w:gridSpan w:val="4"/>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218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Owned Before this</w:t>
            </w: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80" w:type="dxa"/>
            <w:vAlign w:val="bottom"/>
            <w:gridSpan w:val="4"/>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220" w:type="dxa"/>
            <w:vAlign w:val="bottom"/>
            <w:gridSpan w:val="2"/>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Offered Hereby</w:t>
            </w:r>
          </w:p>
        </w:tc>
        <w:tc>
          <w:tcPr>
            <w:tcW w:w="158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5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SCA Horus Holdings, LLC</w:t>
            </w:r>
            <w:r>
              <w:rPr>
                <w:rFonts w:ascii="Times New Roman" w:cs="Times New Roman" w:eastAsia="Times New Roman" w:hAnsi="Times New Roman"/>
                <w:sz w:val="24"/>
                <w:szCs w:val="24"/>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24,869,997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24,869,997</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Amazon.com NV Investment Holdings LLC</w:t>
            </w:r>
            <w:r>
              <w:rPr>
                <w:rFonts w:ascii="Times New Roman" w:cs="Times New Roman" w:eastAsia="Times New Roman" w:hAnsi="Times New Roman"/>
                <w:sz w:val="26"/>
                <w:szCs w:val="26"/>
                <w:color w:val="auto"/>
                <w:vertAlign w:val="superscript"/>
              </w:rPr>
              <w:t>(2)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9,482,606</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9,482,606</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180" w:hanging="424"/>
        <w:spacing w:after="0" w:line="257"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Patrick Kearney and Antoine Munfakh. Messrs. Kearney and Munfakh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9,482,606 shares of common stock issuable upon exercise of warrants. The address for Amazon.com NV Investment Holdings LLC is c/o Amazon.com, Inc., P.O. Box 81226, Seattle, WA 98108.</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SCA Horus Holdings, LLC (the “Apollo Stockholder”) is an affiliate of certain investment funds managed by affiliates of Apollo Global Management, Inc. (together with its subsidiaries,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December 13, 2019, we signed the Air Transportation Services Agreement (as amended, the “ATSA”) with Amazon.com Services, LLC (together with its affiliates, “Amazon”) to provide air cargo services. In connection with the ATSA, we issued warrants (the “2019 Warrants”) to purchase an aggregate of 9,482,606 shares of common stock at an exercise price of approximately $15.17 per share to Amazon. Additionally, Amazon is a party to the Stockholders Agreement and the Registration Rights Agreement. For more information on these agreements, please refer to the descriptions of these agreements found in our filings, which are incorporated by herein by reference.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Delaware General Corporation Law (the “DGCL”).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capital stock consists of 1,000,000,000 authorized shares, of which 995,000,000 shares, par value $0.01 per share, are designated as “common stock” and 5,000,000 shares, par value $0.01 per share, are designated as “preferred stock.” As of September 30, 2022, there were 58,166,674 shares of common stock outstanding and no shares of preferred stock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left="120" w:right="7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per share on all matters submitted for action by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w:t>
      </w:r>
    </w:p>
    <w:p>
      <w:pPr>
        <w:spacing w:after="0" w:line="158"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any preferential rights of any then outstanding preferred stock, all shares of our common stock are entitled to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equally in any dividends our board of directors may declare from legally available sources.</w:t>
      </w:r>
    </w:p>
    <w:p>
      <w:pPr>
        <w:spacing w:after="0" w:line="158"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our liquidation, dissolution or winding up, whether voluntary or involuntary, after payment in full of the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paid to holders of any the outstanding preferred stock, all shares of our common stock are entitled to share equally in the assets available for distribution to stockholders after payment of all of our prior obligations.</w:t>
      </w:r>
    </w:p>
    <w:p>
      <w:pPr>
        <w:spacing w:after="0" w:line="173" w:lineRule="exact"/>
        <w:rPr>
          <w:sz w:val="20"/>
          <w:szCs w:val="20"/>
          <w:color w:val="auto"/>
        </w:rPr>
      </w:pPr>
    </w:p>
    <w:p>
      <w:pPr>
        <w:ind w:left="120" w:right="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Other Matters</w:t>
      </w:r>
      <w:r>
        <w:rPr>
          <w:rFonts w:ascii="Times New Roman" w:cs="Times New Roman" w:eastAsia="Times New Roman" w:hAnsi="Times New Roman"/>
          <w:sz w:val="17"/>
          <w:szCs w:val="17"/>
          <w:color w:val="auto"/>
        </w:rPr>
        <w:t>. Holders of our common stock have no preemptive or conversion rights, and our common stock is not subject to further calls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ATSA, we issued the 2019 Warrants to purchase an aggregate of 9,482,606 shares of our common stock at an exercise price of approximately $15.17 per share to Amazon. 632,183 of the 2019 Warrants vested upon issuance of the warrants and incremental tranches vest upon certain milestones of aggregate global payments by Amazon to the Company or its affiliates pursuant to the ATSA up to a total of $1.1 billion of aggregate payments. As of September 30, 2022, approximately 23.3% of the 2019 Warrants were vested. Any unvested 2019 Warrants will become vested upon a change of control (as defined in the 2019</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for cash or on a cashless basis until the eighth anniversary of the issue date.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Board of Directors; Election and Removal</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two directors in Class I, three directors in Class II and three directors in Class III. See “— </w:t>
      </w:r>
      <w:r>
        <w:rPr>
          <w:rFonts w:ascii="Times New Roman" w:cs="Times New Roman" w:eastAsia="Times New Roman" w:hAnsi="Times New Roman"/>
          <w:sz w:val="18"/>
          <w:szCs w:val="18"/>
          <w:i w:val="1"/>
          <w:iCs w:val="1"/>
          <w:color w:val="auto"/>
        </w:rPr>
        <w:t>Certain Corporate Anti-takeover Provisions — Classified Board of Directors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our Stockholders’ Agreement (as amended or modified from time to time, the “Stockholders Agreement”) with the Apollo Stockholder and certain other stockholders party thereto,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Corporate Anti-takeover Provisions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 </w:t>
      </w:r>
      <w:r>
        <w:rPr>
          <w:rFonts w:ascii="Times New Roman" w:cs="Times New Roman" w:eastAsia="Times New Roman" w:hAnsi="Times New Roman"/>
          <w:sz w:val="18"/>
          <w:szCs w:val="18"/>
          <w:i w:val="1"/>
          <w:iCs w:val="1"/>
          <w:color w:val="auto"/>
        </w:rPr>
        <w:t>Composition of Board of Directors; Election and Removal</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certificate of incorporation, directors serving on a classified board may be removed by the stockholders only for cause. Our certificate of incorporation provides that directors may only be removed for cause upon the affirmative vote of holders of at least 66 2/3% in voting power of all outstanding shares of stock entitled to vote thereon, voting together as a single class; provided, however, that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w:t>
      </w:r>
      <w:r>
        <w:rPr>
          <w:rFonts w:ascii="Times New Roman" w:cs="Times New Roman" w:eastAsia="Times New Roman" w:hAnsi="Times New Roman"/>
          <w:sz w:val="18"/>
          <w:szCs w:val="18"/>
          <w:i w:val="1"/>
          <w:iCs w:val="1"/>
          <w:color w:val="auto"/>
        </w:rPr>
        <w:t>Composition of Board of Directors; Election and Removal</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our certificate of incorporation, stockholders do not have the right to cumulative votes in the election of directors.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the stockholders may be called only by the chairman of the board of directors or by the secretary at the direction of a majority of the directors then in office. The business transacted at any special meeting will be limited to the proposal or proposals included in the notice of the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rights of the holders of one or more series of our preferred stock then outstanding, any action required or permitted to be taken by stockholders must be effected at a duly called annual or special meeting of our stockholders.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Takeover Statute</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certain investment funds managed by affiliates of Apollo and the Apollo Stockholder, or their direct and indirect transferees, on the one hand, and us, on the other. In addition, such restrictions will not apply if:</w:t>
      </w:r>
    </w:p>
    <w:p>
      <w:pPr>
        <w:spacing w:after="0" w:line="85" w:lineRule="exact"/>
        <w:rPr>
          <w:sz w:val="20"/>
          <w:szCs w:val="20"/>
          <w:color w:val="auto"/>
        </w:rPr>
      </w:pPr>
    </w:p>
    <w:p>
      <w:pPr>
        <w:jc w:val="both"/>
        <w:ind w:left="1080" w:hanging="424"/>
        <w:spacing w:after="0" w:line="289"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101" w:lineRule="exact"/>
        <w:rPr>
          <w:rFonts w:ascii="Times New Roman" w:cs="Times New Roman" w:eastAsia="Times New Roman" w:hAnsi="Times New Roman"/>
          <w:sz w:val="18"/>
          <w:szCs w:val="18"/>
          <w:color w:val="auto"/>
        </w:rPr>
      </w:pPr>
    </w:p>
    <w:p>
      <w:pPr>
        <w:ind w:left="1540" w:right="720" w:hanging="331"/>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Times New Roman" w:cs="Times New Roman" w:eastAsia="Times New Roman" w:hAnsi="Times New Roman"/>
          <w:sz w:val="18"/>
          <w:szCs w:val="18"/>
          <w:color w:val="auto"/>
        </w:rPr>
      </w:pPr>
    </w:p>
    <w:p>
      <w:pPr>
        <w:ind w:left="1540" w:right="180" w:hanging="331"/>
        <w:spacing w:after="0" w:line="258"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Our Certificate of Incorporation</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Under Delaware law, our certificate of incorporation may be amended only with the affirmative vote of holders of at least a majority of the outstanding stock entitled to vote thereon.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our certificate of incorporation provides that,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81" w:lineRule="exact"/>
        <w:rPr>
          <w:sz w:val="20"/>
          <w:szCs w:val="20"/>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authorizing our board of directors to make, alter, amend or repeal our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calling of special meetings and stockholder action by written consent in lieu of a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indemnification and advance of expenses of our directors and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to specified provisions of our certificate of incorporation require the affirmative vote of 66 2/3% in voting power of our outstanding stock, voting as a single class;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by the stockholders to our bylaws require the affirmative vote of 66 2/3% in voting power of our outstanding stock, voting as a single class.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Our Bylaws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Matters that Require Consent of our Stockholders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81" w:lineRule="exact"/>
        <w:rPr>
          <w:sz w:val="20"/>
          <w:szCs w:val="20"/>
          <w:color w:val="auto"/>
        </w:rPr>
      </w:pPr>
    </w:p>
    <w:p>
      <w:pPr>
        <w:ind w:left="1080" w:right="1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455"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disposition of any of our or our subsidiaries’ assets or equity interests, other than dispositions of aircraft or engines in the ordinary course of business;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92"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Limited Ownership and Voting by Foreign Owners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17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restrictions on foreign ownership and control of U.S. airlines, under federal law and DOT policy, “citizen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governed by the internal affairs doctrine,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each such case subject to the Delaware Court of Chancery having personal jurisdiction over the indispensable parties named as defendants.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88"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(governing distributions to stockholders);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these provisions will assist in attracting and retaining qualified individuals to serve as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“SNCY.”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selling stockholder may offer and sell shares of our common stock, in any one or more of the following ways:</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through a combination of any of the above methods of sale.</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any selling stockholder may enter into option, share lending or other types of transactions that require such selling stockholder to deliver the shares of common stock to an underwriter, broker or dealer, who will then resell or transfer the shares of common stock under this prospectus. Any selling stockholder may also enter into hedging transactions with respect to the securities of such selling stockholder. For example, any selling stockholder may:</w:t>
      </w:r>
    </w:p>
    <w:p>
      <w:pPr>
        <w:spacing w:after="0" w:line="8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shares of common stock by underwriters,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short and deliver the shares to close out short positions;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such selling stockholder to deliver shares of common stock to an underwriter or broker-dealer, who will then resell or transfer the shares of common stock under this prospectus;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shares of common stock to an underwriter, broker or dealer, who may sell the loaned shares or, in the event of default, sell the pledged shares.</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selling stockholder will act independently of us in making decisions with respect to the timing, manner and size of each sale of shares of common stock covered by this prospectus.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selling stockholder may enter into derivative transactions with third parties, or sell securities not covered by this prospectus to third parties in privately negotiated transactions, including sales deemed to be an at-the-market offering as defined in Rule 415 promulgated under the Securities Act, which includes sales made directly on or through Nasdaq, the existing trading market for our shares of common stock, or sales made to or through a market maker other than on an exchange. In connection with those derivatives, the third parties may sell securities covered by this prospectus, including in short sale transactions. If so, the third party may use securities pledged by such selling stockholder, or borrowed from such selling stockholder or others to settle those sales or to close out any related open borrowings of stock, and may use securities received from such selling stockholder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the securities of such selling stockholder, or in connection with a concurrent offering of other securities.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Shares of common stock may also be exchanged for satisfaction of any selling stockholder’s obligations or other liabilities to its creditors. Such transactions may or may not involve brokers or dealers.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 rata in-kind distribution of securities to its members, partners or stockholders or purchase or redeem interests held in such entity by its members, partners or stockholders in exchange for securities, in each case pursuant to the registration statement of which this prospectus is a part by delivering a prospectus with a plan of distribution. Such members, partners or stockholders (unless our affiliate) would thereby receive freely tradeable securities pursuant to the distribution.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securities may be sold from time to time by any selling stockholder in one or more transactions:</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sales may be effected:</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on any national securities exchange or quotation service on which the securities may be listed or quoted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the over-the-counter market;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other types of transactions.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to the public either through underwriting syndicates represented by one or more managing underwriters or directly by one or more of such firms.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might not sell any securities under this prospectus. In addition, any of the securities covered by this prospectus that qualify for sale pursuant to Rule 144 under the Securities Act may be sold under Rule 144 rather than pursuant to this prospectus.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sold directly by any selling stockholder or through agents designated by such selling stockholder from time to time. Any such agent will be acting on a best efforts basis for the period of its appointment.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Offers to purchase the securities offered by this prospectus may be solicited, and sales of the securities may be made, by any selling stockholder directly to institutional investors or others, who may be deemed to be underwriters within the meaning of the Securities Act with respect to any resale of the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Underwriters, dealers or agents will be authorized to solicit offers by certain institutional investors to purchase securities from any selling stockholder pursuant to contracts providing for payment and delivery at a future date. Institutional investors with which these contracts may be made include, among others:</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all cases, these purchasers must be approved by the applicable selling stockholder.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any selling stockholder must have sold to these underwriters the securities not subject to delayed delivery. Underwriters and other agents will not have any responsibility in respect of the validity or performance of these contracts.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Some of the underwriters, dealers or agents used by any selling stockholder in any offering of securities under this prospectus may be customers of, engage in transactions with, and perform services for such selling stockholder or affiliates of such selling stockholder in the ordinary course of business. Underwriters, dealers, agents and other persons may be entitled under agreements that may be entered into with any selling stockholder to indemnification against and contribution toward certain civil liabilities, including liabilities under the Securities Act, and to be reimbursed by such selling stockholder for certain expenses.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selling stockholder may be deemed to be an “underwriter” within the meaning of Section 2(a)(11) of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securities initially sold outside the United States may be resold in the United States through underwriters, dealers or otherwise.</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underwriters to which offered securities are sold by any selling stockholder for public offering and sale may make a market in such securities, but those underwriters will not be obligated to do so and may discontinue any market making at any time.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securities offered by this prospectus will be described in the applicable prospectus supplement relating to the offering.</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underwriters or dealers are used in the sale of securities, until the distribution of the securities is completed, rules of the SEC may limit the ability of any underwriters to bid for and purchase our securities. As an exception to these rules, representatives of any underwriters are permitted to engage in transactions that stabilize the price of our securities. These transactions may consist of bids or purchases for the purpose of pegging, fixing or maintaining the price of such securities. If the underwriters create a short position in our securities in connection with an offering (that is, if they sell more securities than are set forth on the cover page of this prospectus) the representatives of the underwriters may reduce that short position by purchasing such securities in the open market. We make no representation or prediction as to the direction or magnitude of any effect that the transactions described above may have on the price of our securities. In addition, we make no representation that the representatives of any underwriters will engage in these transactions or that these transactions, once commenced, will not be discontinued without notice.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a requirement by the Financial Industry Regulatory Authority (“FINRA”), the maximum commission or discount to be received by any FINRA member or independent broker-dealer may not be greater than 8% of the proceeds received by any selling stockholder for the sale of any securities being offered by this prospectus.</w:t>
      </w:r>
    </w:p>
    <w:p>
      <w:pPr>
        <w:spacing w:after="0" w:line="176"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40"/>
          </w:cols>
          <w:pgMar w:left="320" w:top="455" w:right="7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offered securities will be passed upon for us by Paul, Weiss, Rifkind, Wharton &amp; Garrison LLP, New York, New York.</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320" w:top="455"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2021 and 2020, and for each of the years in the three-year period ended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320" w:top="455" w:right="5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9"/>
          <w:szCs w:val="29"/>
          <w:b w:val="1"/>
          <w:bCs w:val="1"/>
          <w:color w:val="auto"/>
        </w:rPr>
        <w:t>6,346,105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344170</wp:posOffset>
            </wp:positionV>
            <wp:extent cx="1988820" cy="248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19888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200" w:lineRule="exact"/>
        <w:rPr>
          <w:sz w:val="20"/>
          <w:szCs w:val="20"/>
          <w:color w:val="auto"/>
        </w:rPr>
      </w:pPr>
    </w:p>
    <w:p>
      <w:pPr>
        <w:spacing w:after="0" w:line="26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2399030</wp:posOffset>
            </wp:positionV>
            <wp:extent cx="1474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65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lvl w:ilvl="1">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lowerRoman"/>
      <w:start w:val="2"/>
    </w:lvl>
  </w:abstractNum>
  <w:abstractNum w:abstractNumId="16">
    <w:nsid w:val="2CA88611"/>
    <w:multiLevelType w:val="hybridMultilevel"/>
    <w:lvl w:ilvl="0">
      <w:lvlJc w:val="left"/>
      <w:lvlText w:val="(%1)"/>
      <w:numFmt w:val="lowerRoman"/>
      <w:start w:val="10"/>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3"/>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65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lvl w:ilvl="1">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jpe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jpe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4" Type="http://schemas.openxmlformats.org/officeDocument/2006/relationships/hyperlink" Target="http://www.sec.gov/ix?doc=/Archives/edgar/data/1743907/000174390724000005/sncy-20231231.htm" TargetMode="External"/><Relationship Id="rId15" Type="http://schemas.openxmlformats.org/officeDocument/2006/relationships/hyperlink" Target="http://www.sec.gov/ix?doc=/Archives/edgar/data/1743907/000119312524122365/d798883ddef14a.htm" TargetMode="External"/><Relationship Id="rId16" Type="http://schemas.openxmlformats.org/officeDocument/2006/relationships/hyperlink" Target="http://www.sec.gov/ix?doc=/Archives/edgar/data/1743907/000174390724000009/sncy-20240331.htm" TargetMode="External"/><Relationship Id="rId17" Type="http://schemas.openxmlformats.org/officeDocument/2006/relationships/hyperlink" Target="http://www.sec.gov/ix?doc=/Archives/edgar/data/1743907/000174390724000015/sncy-20240630.htm" TargetMode="External"/><Relationship Id="rId18" Type="http://schemas.openxmlformats.org/officeDocument/2006/relationships/hyperlink" Target="http://www.sec.gov/ix?doc=/Archives/edgar/data/1743907/000174390724000020/sncy-20240930.htm" TargetMode="External"/><Relationship Id="rId19" Type="http://schemas.openxmlformats.org/officeDocument/2006/relationships/hyperlink" Target="http://www.sec.gov/ix?doc=/Archives/edgar/data/1743907/000119312524161677/d778845d8k.htm" TargetMode="External"/><Relationship Id="rId20" Type="http://schemas.openxmlformats.org/officeDocument/2006/relationships/hyperlink" Target="http://www.sec.gov/ix?doc=/Archives/edgar/data/1743907/000119312524164060/d832220d8k.htm" TargetMode="External"/><Relationship Id="rId21" Type="http://schemas.openxmlformats.org/officeDocument/2006/relationships/hyperlink" Target="http://www.sec.gov/Archives/edgar/data/1743907/000119312521080721/d150407d8a12b.htm" TargetMode="External"/><Relationship Id="rId72" Type="http://schemas.openxmlformats.org/officeDocument/2006/relationships/hyperlink" Target="http://www.sec.gov/ix?doc=/Archives/edgar/data/1743907/000155837022001517/sncy-20211231x10ka.htm" TargetMode="External"/><Relationship Id="rId73" Type="http://schemas.openxmlformats.org/officeDocument/2006/relationships/hyperlink" Target="http://www.sec.gov/Archives/edgar/data/1743907/000114036122017008/ny20002474x1_def14a.htm" TargetMode="External"/><Relationship Id="rId74" Type="http://schemas.openxmlformats.org/officeDocument/2006/relationships/hyperlink" Target="http://www.sec.gov/ix?doc=/Archives/edgar/data/1743907/000174390722000004/sncy-20220331.htm" TargetMode="External"/><Relationship Id="rId75" Type="http://schemas.openxmlformats.org/officeDocument/2006/relationships/hyperlink" Target="http://www.sec.gov/ix?doc=/Archives/edgar/data/1743907/000174390722000010/sncy-20220630.htm" TargetMode="External"/><Relationship Id="rId76" Type="http://schemas.openxmlformats.org/officeDocument/2006/relationships/hyperlink" Target="http://www.sec.gov/ix?doc=/Archives/edgar/data/1743907/000174390722000018/sncy-20220930.htm" TargetMode="External"/><Relationship Id="rId77" Type="http://schemas.openxmlformats.org/officeDocument/2006/relationships/hyperlink" Target="http://www.sec.gov/ix?doc=/Archives/edgar/data/1743907/000095014222000516/eh220223859_8k.htm" TargetMode="External"/><Relationship Id="rId78" Type="http://schemas.openxmlformats.org/officeDocument/2006/relationships/hyperlink" Target="http://www.sec.gov/ix?doc=/Archives/edgar/data/1743907/000095014222000517/eh220223475_8k.htm" TargetMode="External"/><Relationship Id="rId79" Type="http://schemas.openxmlformats.org/officeDocument/2006/relationships/hyperlink" Target="http://www.sec.gov/ix?doc=/Archives/edgar/data/1743907/000119312522095256/d331629d8k.htm" TargetMode="External"/><Relationship Id="rId80" Type="http://schemas.openxmlformats.org/officeDocument/2006/relationships/hyperlink" Target="http://www.sec.gov/ix?doc=/Archives/edgar/data/1743907/000095014222001526/eh220248099_8k.htm" TargetMode="External"/><Relationship Id="rId81" Type="http://schemas.openxmlformats.org/officeDocument/2006/relationships/hyperlink" Target="http://www.sec.gov/ix?doc=/Archives/edgar/data/1743907/000174390722000016/sncy-20221031.htm" TargetMode="External"/><Relationship Id="rId82" Type="http://schemas.openxmlformats.org/officeDocument/2006/relationships/hyperlink" Target="http://www.sec.gov/ix?doc=/Archives/edgar/data/1743907/000095014222003027/eh220300824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2025-02-10T05:29:47Z</dcterms:created>
  <dcterms:modified xsi:type="dcterms:W3CDTF">2025-02-10T05:29:47Z</dcterms:modified>
</cp:coreProperties>
</file>