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35900.00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09/26/2023</w:t>
            </w:r>
          </w:p>
        </w:tc>
        <w:tc>
          <w:tcPr>
            <w:tcW w:w="1580" w:type="dxa"/>
            <w:vAlign w:val="bottom"/>
          </w:tcPr>
          <w:p>
            <w:pPr>
              <w:ind w:left="20"/>
              <w:spacing w:after="0"/>
              <w:rPr>
                <w:sz w:val="20"/>
                <w:szCs w:val="20"/>
                <w:color w:val="auto"/>
              </w:rPr>
            </w:pPr>
            <w:r>
              <w:rPr>
                <w:rFonts w:ascii="Arial" w:cs="Arial" w:eastAsia="Arial" w:hAnsi="Arial"/>
                <w:sz w:val="22"/>
                <w:szCs w:val="22"/>
                <w:color w:val="auto"/>
                <w:w w:val="95"/>
              </w:rPr>
              <w:t>Options Granted</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09/26/2023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11/07/2018</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443</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9932.08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William F. Trousdale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07/05/2023 998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22138.46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2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09/26/2023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3400" w:space="720"/>
            <w:col w:w="71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640" w:type="dxa"/>
            <w:vAlign w:val="bottom"/>
          </w:tcPr>
          <w:p>
            <w:pPr>
              <w:ind w:left="162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8640" w:type="dxa"/>
            <w:vAlign w:val="bottom"/>
            <w:vMerge w:val="restart"/>
          </w:tcPr>
          <w:p>
            <w:pPr>
              <w:ind w:left="1620"/>
              <w:spacing w:after="0"/>
              <w:rPr>
                <w:sz w:val="20"/>
                <w:szCs w:val="20"/>
                <w:color w:val="auto"/>
              </w:rPr>
            </w:pPr>
            <w:r>
              <w:rPr>
                <w:rFonts w:ascii="Arial" w:cs="Arial" w:eastAsia="Arial" w:hAnsi="Arial"/>
                <w:sz w:val="22"/>
                <w:szCs w:val="22"/>
                <w:color w:val="auto"/>
              </w:rPr>
              <w:t>LLC, as attorney-in-fact for William F. Trousdale</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2023-09-26T12:56:45Z</dcterms:created>
  <dcterms:modified xsi:type="dcterms:W3CDTF">2023-09-26T12:56:45Z</dcterms:modified>
</cp:coreProperties>
</file>