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17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September 30, 2022</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2" w:lineRule="exact"/>
        <w:rPr>
          <w:sz w:val="24"/>
          <w:szCs w:val="24"/>
          <w:color w:val="auto"/>
        </w:rPr>
      </w:pPr>
    </w:p>
    <w:p>
      <w:pPr>
        <w:ind w:left="4300" w:right="2500" w:hanging="4274"/>
        <w:spacing w:after="0" w:line="585" w:lineRule="auto"/>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-97155</wp:posOffset>
            </wp:positionV>
            <wp:extent cx="282892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Sun Country Airlines Holdings,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Delaware</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20" w:type="dxa"/>
            <w:vAlign w:val="bottom"/>
          </w:tcPr>
          <w:p>
            <w:pPr>
              <w:jc w:val="right"/>
              <w:ind w:right="2028"/>
              <w:spacing w:after="0"/>
              <w:rPr>
                <w:sz w:val="20"/>
                <w:szCs w:val="20"/>
                <w:color w:val="auto"/>
              </w:rPr>
            </w:pPr>
            <w:r>
              <w:rPr>
                <w:rFonts w:ascii="Arial" w:cs="Arial" w:eastAsia="Arial" w:hAnsi="Arial"/>
                <w:sz w:val="14"/>
                <w:szCs w:val="14"/>
                <w:color w:val="auto"/>
              </w:rPr>
              <w:t>82-4092570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(State or other jurisdiction of incorporation or organization)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48"/>
              <w:spacing w:after="0"/>
              <w:rPr>
                <w:sz w:val="20"/>
                <w:szCs w:val="20"/>
                <w:color w:val="auto"/>
              </w:rPr>
            </w:pPr>
            <w:r>
              <w:rPr>
                <w:rFonts w:ascii="Arial" w:cs="Arial" w:eastAsia="Arial" w:hAnsi="Arial"/>
                <w:sz w:val="14"/>
                <w:szCs w:val="14"/>
                <w:color w:val="auto"/>
              </w:rPr>
              <w:t>(I.R.S. Employer Identification No.)</w:t>
            </w:r>
          </w:p>
        </w:tc>
      </w:tr>
      <w:tr>
        <w:trPr>
          <w:trHeight w:val="378"/>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2005 Cargo Road</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Minneapolis, Minnesota</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right"/>
              <w:ind w:right="2208"/>
              <w:spacing w:after="0"/>
              <w:rPr>
                <w:sz w:val="20"/>
                <w:szCs w:val="20"/>
                <w:color w:val="auto"/>
              </w:rPr>
            </w:pPr>
            <w:r>
              <w:rPr>
                <w:rFonts w:ascii="Arial" w:cs="Arial" w:eastAsia="Arial" w:hAnsi="Arial"/>
                <w:sz w:val="14"/>
                <w:szCs w:val="14"/>
                <w:color w:val="auto"/>
              </w:rPr>
              <w:t>55450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(Address of principal executive offices)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68"/>
              <w:spacing w:after="0"/>
              <w:rPr>
                <w:sz w:val="20"/>
                <w:szCs w:val="20"/>
                <w:color w:val="auto"/>
              </w:rPr>
            </w:pPr>
            <w:r>
              <w:rPr>
                <w:rFonts w:ascii="Arial" w:cs="Arial" w:eastAsia="Arial" w:hAnsi="Arial"/>
                <w:sz w:val="14"/>
                <w:szCs w:val="14"/>
                <w:color w:val="auto"/>
              </w:rPr>
              <w:t>(Zip Code)</w:t>
            </w:r>
          </w:p>
        </w:tc>
      </w:tr>
      <w:tr>
        <w:trPr>
          <w:trHeight w:val="432"/>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Registrant’s telephone number, including area code: (651) 681-3900</w:t>
            </w:r>
          </w:p>
        </w:tc>
      </w:tr>
      <w:tr>
        <w:trPr>
          <w:trHeight w:val="553"/>
        </w:trPr>
        <w:tc>
          <w:tcPr>
            <w:tcW w:w="7520" w:type="dxa"/>
            <w:vAlign w:val="bottom"/>
            <w:gridSpan w:val="6"/>
          </w:tcPr>
          <w:p>
            <w:pPr>
              <w:jc w:val="center"/>
              <w:ind w:left="3668"/>
              <w:spacing w:after="0"/>
              <w:rPr>
                <w:sz w:val="20"/>
                <w:szCs w:val="20"/>
                <w:color w:val="auto"/>
              </w:rPr>
            </w:pPr>
            <w:r>
              <w:rPr>
                <w:rFonts w:ascii="Arial" w:cs="Arial" w:eastAsia="Arial" w:hAnsi="Arial"/>
                <w:sz w:val="14"/>
                <w:szCs w:val="14"/>
                <w:color w:val="auto"/>
              </w:rPr>
              <w:t>Securities registered pursuant to Section 12(b) of the Act:</w:t>
            </w:r>
          </w:p>
        </w:tc>
        <w:tc>
          <w:tcPr>
            <w:tcW w:w="3720" w:type="dxa"/>
            <w:vAlign w:val="bottom"/>
          </w:tcPr>
          <w:p>
            <w:pPr>
              <w:spacing w:after="0"/>
              <w:rPr>
                <w:sz w:val="24"/>
                <w:szCs w:val="24"/>
                <w:color w:val="auto"/>
              </w:rPr>
            </w:pPr>
          </w:p>
        </w:tc>
      </w:tr>
      <w:tr>
        <w:trPr>
          <w:trHeight w:val="328"/>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488"/>
              <w:spacing w:after="0"/>
              <w:rPr>
                <w:sz w:val="20"/>
                <w:szCs w:val="20"/>
                <w:color w:val="auto"/>
              </w:rPr>
            </w:pPr>
            <w:r>
              <w:rPr>
                <w:rFonts w:ascii="Arial" w:cs="Arial" w:eastAsia="Arial" w:hAnsi="Arial"/>
                <w:sz w:val="14"/>
                <w:szCs w:val="14"/>
                <w:color w:val="auto"/>
              </w:rPr>
              <w:t>Trading Symbol</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center"/>
              <w:ind w:right="648"/>
              <w:spacing w:after="0"/>
              <w:rPr>
                <w:sz w:val="20"/>
                <w:szCs w:val="20"/>
                <w:color w:val="auto"/>
              </w:rPr>
            </w:pPr>
            <w:r>
              <w:rPr>
                <w:rFonts w:ascii="Arial" w:cs="Arial" w:eastAsia="Arial" w:hAnsi="Arial"/>
                <w:sz w:val="14"/>
                <w:szCs w:val="14"/>
                <w:color w:val="auto"/>
              </w:rPr>
              <w:t>Name of each exchange on which registered</w:t>
            </w:r>
          </w:p>
        </w:tc>
      </w:tr>
      <w:tr>
        <w:trPr>
          <w:trHeight w:val="205"/>
        </w:trPr>
        <w:tc>
          <w:tcPr>
            <w:tcW w:w="5040" w:type="dxa"/>
            <w:vAlign w:val="bottom"/>
            <w:gridSpan w:val="3"/>
          </w:tcPr>
          <w:p>
            <w:pPr>
              <w:jc w:val="center"/>
              <w:ind w:right="660"/>
              <w:spacing w:after="0"/>
              <w:rPr>
                <w:sz w:val="20"/>
                <w:szCs w:val="20"/>
                <w:color w:val="auto"/>
              </w:rPr>
            </w:pPr>
            <w:r>
              <w:rPr>
                <w:rFonts w:ascii="Arial" w:cs="Arial" w:eastAsia="Arial" w:hAnsi="Arial"/>
                <w:sz w:val="14"/>
                <w:szCs w:val="14"/>
                <w:color w:val="auto"/>
              </w:rPr>
              <w:t>Common Stock, par value $0.01 per share</w:t>
            </w:r>
          </w:p>
        </w:tc>
        <w:tc>
          <w:tcPr>
            <w:tcW w:w="2480" w:type="dxa"/>
            <w:vAlign w:val="bottom"/>
            <w:gridSpan w:val="3"/>
          </w:tcPr>
          <w:p>
            <w:pPr>
              <w:jc w:val="center"/>
              <w:ind w:right="1360"/>
              <w:spacing w:after="0"/>
              <w:rPr>
                <w:sz w:val="20"/>
                <w:szCs w:val="20"/>
                <w:color w:val="auto"/>
              </w:rPr>
            </w:pPr>
            <w:r>
              <w:rPr>
                <w:rFonts w:ascii="Arial" w:cs="Arial" w:eastAsia="Arial" w:hAnsi="Arial"/>
                <w:sz w:val="14"/>
                <w:szCs w:val="14"/>
                <w:color w:val="auto"/>
              </w:rPr>
              <w:t>SNCY</w:t>
            </w:r>
          </w:p>
        </w:tc>
        <w:tc>
          <w:tcPr>
            <w:tcW w:w="3720" w:type="dxa"/>
            <w:vAlign w:val="bottom"/>
          </w:tcPr>
          <w:p>
            <w:pPr>
              <w:jc w:val="center"/>
              <w:ind w:right="648"/>
              <w:spacing w:after="0"/>
              <w:rPr>
                <w:sz w:val="20"/>
                <w:szCs w:val="20"/>
                <w:color w:val="auto"/>
              </w:rPr>
            </w:pPr>
            <w:r>
              <w:rPr>
                <w:rFonts w:ascii="Arial" w:cs="Arial" w:eastAsia="Arial" w:hAnsi="Arial"/>
                <w:sz w:val="14"/>
                <w:szCs w:val="14"/>
                <w:color w:val="auto"/>
              </w:rPr>
              <w:t>The Nasdaq Stock Market LLC</w:t>
            </w:r>
          </w:p>
        </w:tc>
      </w:tr>
    </w:tbl>
    <w:p>
      <w:pPr>
        <w:spacing w:after="0" w:line="201" w:lineRule="exact"/>
        <w:rPr>
          <w:sz w:val="24"/>
          <w:szCs w:val="24"/>
          <w:color w:val="auto"/>
        </w:rPr>
      </w:pPr>
    </w:p>
    <w:p>
      <w:pPr>
        <w:ind w:right="180" w:firstLine="324"/>
        <w:spacing w:after="0" w:line="30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6"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ind w:right="360" w:firstLine="324"/>
        <w:spacing w:after="0" w:line="305"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6"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6" w:lineRule="exact"/>
        <w:rPr>
          <w:sz w:val="24"/>
          <w:szCs w:val="24"/>
          <w:color w:val="auto"/>
        </w:rPr>
      </w:pPr>
    </w:p>
    <w:p>
      <w:pPr>
        <w:ind w:right="140" w:firstLine="324"/>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2" w:right="339" w:bottom="1440" w:gutter="0" w:footer="0" w:header="0"/>
        </w:sectPr>
      </w:pPr>
    </w:p>
    <w:p>
      <w:pPr>
        <w:spacing w:after="0" w:line="67" w:lineRule="exact"/>
        <w:rPr>
          <w:sz w:val="24"/>
          <w:szCs w:val="24"/>
          <w:color w:val="auto"/>
        </w:rPr>
      </w:pPr>
    </w:p>
    <w:p>
      <w:pPr>
        <w:jc w:val="center"/>
        <w:ind w:left="6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3">
            <w:col w:w="5660" w:space="720"/>
            <w:col w:w="2580" w:space="720"/>
            <w:col w:w="1560"/>
          </w:cols>
          <w:pgMar w:left="320" w:top="512" w:right="339" w:bottom="1440" w:gutter="0" w:footer="0" w:header="0"/>
          <w:type w:val="continuous"/>
        </w:sectPr>
      </w:pPr>
    </w:p>
    <w:p>
      <w:pPr>
        <w:ind w:left="570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8620" w:space="720"/>
            <w:col w:w="1900"/>
          </w:cols>
          <w:pgMar w:left="320" w:top="512" w:right="339" w:bottom="1440" w:gutter="0" w:footer="0" w:header="0"/>
          <w:type w:val="continuous"/>
        </w:sectPr>
      </w:pPr>
    </w:p>
    <w:p>
      <w:pPr>
        <w:spacing w:after="0" w:line="98" w:lineRule="exact"/>
        <w:rPr>
          <w:sz w:val="24"/>
          <w:szCs w:val="24"/>
          <w:color w:val="auto"/>
        </w:rPr>
      </w:pPr>
    </w:p>
    <w:p>
      <w:pPr>
        <w:ind w:right="540" w:firstLine="324"/>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2" w:lineRule="exact"/>
        <w:rPr>
          <w:sz w:val="24"/>
          <w:szCs w:val="24"/>
          <w:color w:val="auto"/>
        </w:rPr>
      </w:pPr>
    </w:p>
    <w:p>
      <w:pPr>
        <w:ind w:left="52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Number of shares outstanding by each class of common stock, as of September 30, 2022:</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Common Stock, $0.01 par value – 58,166,674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20" w:type="dxa"/>
            <w:vAlign w:val="bottom"/>
            <w:gridSpan w:val="41"/>
          </w:tcPr>
          <w:p>
            <w:pPr>
              <w:spacing w:after="0"/>
              <w:rPr>
                <w:sz w:val="20"/>
                <w:szCs w:val="20"/>
                <w:color w:val="auto"/>
              </w:rPr>
            </w:pPr>
            <w:r>
              <w:rPr>
                <w:rFonts w:ascii="Arial" w:cs="Arial" w:eastAsia="Arial" w:hAnsi="Arial"/>
                <w:sz w:val="18"/>
                <w:szCs w:val="18"/>
                <w:color w:val="0000FF"/>
              </w:rPr>
              <w:t>Table of Contents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20" w:type="dxa"/>
            <w:vAlign w:val="bottom"/>
            <w:gridSpan w:val="9"/>
          </w:tcPr>
          <w:p>
            <w:pPr>
              <w:jc w:val="center"/>
              <w:ind w:right="2860"/>
              <w:spacing w:after="0"/>
              <w:rPr>
                <w:sz w:val="20"/>
                <w:szCs w:val="20"/>
                <w:color w:val="auto"/>
              </w:rPr>
            </w:pPr>
            <w:r>
              <w:rPr>
                <w:rFonts w:ascii="Arial" w:cs="Arial" w:eastAsia="Arial" w:hAnsi="Arial"/>
                <w:sz w:val="18"/>
                <w:szCs w:val="18"/>
                <w:b w:val="1"/>
                <w:bCs w:val="1"/>
                <w:color w:val="auto"/>
                <w:w w:val="99"/>
              </w:rPr>
              <w:t>Sun Country Airlines Holdings, Inc.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0" w:type="dxa"/>
            <w:vAlign w:val="bottom"/>
            <w:gridSpan w:val="6"/>
          </w:tcPr>
          <w:p>
            <w:pPr>
              <w:jc w:val="center"/>
              <w:ind w:right="3980"/>
              <w:spacing w:after="0"/>
              <w:rPr>
                <w:sz w:val="20"/>
                <w:szCs w:val="20"/>
                <w:color w:val="auto"/>
              </w:rPr>
            </w:pPr>
            <w:r>
              <w:rPr>
                <w:rFonts w:ascii="Arial" w:cs="Arial" w:eastAsia="Arial" w:hAnsi="Arial"/>
                <w:sz w:val="18"/>
                <w:szCs w:val="18"/>
                <w:b w:val="1"/>
                <w:bCs w:val="1"/>
                <w:color w:val="auto"/>
                <w:w w:val="99"/>
              </w:rPr>
              <w:t>Form 10-Q</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0" w:type="dxa"/>
            <w:vAlign w:val="bottom"/>
            <w:gridSpan w:val="7"/>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80" w:type="dxa"/>
            <w:vAlign w:val="bottom"/>
            <w:gridSpan w:val="21"/>
            <w:vMerge w:val="restart"/>
          </w:tcPr>
          <w:p>
            <w:pPr>
              <w:spacing w:after="0"/>
              <w:rPr>
                <w:sz w:val="20"/>
                <w:szCs w:val="20"/>
                <w:color w:val="auto"/>
              </w:rPr>
            </w:pPr>
            <w:r>
              <w:rPr>
                <w:rFonts w:ascii="Arial" w:cs="Arial" w:eastAsia="Arial" w:hAnsi="Arial"/>
                <w:sz w:val="18"/>
                <w:szCs w:val="18"/>
                <w:b w:val="1"/>
                <w:bCs w:val="1"/>
                <w:color w:val="0000FF"/>
                <w:w w:val="99"/>
              </w:rPr>
              <w:t>Part I. Financial Information</w:t>
            </w:r>
          </w:p>
        </w:tc>
        <w:tc>
          <w:tcPr>
            <w:tcW w:w="7820" w:type="dxa"/>
            <w:vAlign w:val="bottom"/>
            <w:gridSpan w:val="19"/>
            <w:vMerge w:val="restart"/>
          </w:tcPr>
          <w:p>
            <w:pPr>
              <w:spacing w:after="0"/>
              <w:rPr>
                <w:sz w:val="21"/>
                <w:szCs w:val="21"/>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380" w:type="dxa"/>
            <w:vAlign w:val="bottom"/>
            <w:tcBorders>
              <w:bottom w:val="single" w:sz="8" w:color="0000FF"/>
            </w:tcBorders>
            <w:gridSpan w:val="21"/>
            <w:vMerge w:val="continue"/>
          </w:tcPr>
          <w:p>
            <w:pPr>
              <w:spacing w:after="0"/>
              <w:rPr>
                <w:sz w:val="14"/>
                <w:szCs w:val="14"/>
                <w:color w:val="auto"/>
              </w:rPr>
            </w:pPr>
          </w:p>
        </w:tc>
        <w:tc>
          <w:tcPr>
            <w:tcW w:w="7820" w:type="dxa"/>
            <w:vAlign w:val="bottom"/>
            <w:gridSpan w:val="19"/>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Item 1. Financial Statements</w:t>
            </w:r>
          </w:p>
        </w:tc>
        <w:tc>
          <w:tcPr>
            <w:tcW w:w="7800" w:type="dxa"/>
            <w:vAlign w:val="bottom"/>
            <w:gridSpan w:val="18"/>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9"/>
              </w:rPr>
              <w:t>Condensed Consolidated Balance Sheets</w:t>
            </w:r>
          </w:p>
        </w:tc>
        <w:tc>
          <w:tcPr>
            <w:tcW w:w="6640" w:type="dxa"/>
            <w:vAlign w:val="bottom"/>
            <w:gridSpan w:val="10"/>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5860" w:type="dxa"/>
            <w:vAlign w:val="bottom"/>
            <w:gridSpan w:val="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Borders>
              <w:bottom w:val="single" w:sz="8" w:color="0000FF"/>
            </w:tcBorders>
            <w:gridSpan w:val="33"/>
          </w:tcPr>
          <w:p>
            <w:pPr>
              <w:spacing w:after="0"/>
              <w:rPr>
                <w:sz w:val="20"/>
                <w:szCs w:val="20"/>
                <w:color w:val="auto"/>
              </w:rPr>
            </w:pPr>
            <w:r>
              <w:rPr>
                <w:rFonts w:ascii="Arial" w:cs="Arial" w:eastAsia="Arial" w:hAnsi="Arial"/>
                <w:sz w:val="18"/>
                <w:szCs w:val="18"/>
                <w:color w:val="0000FF"/>
                <w:w w:val="99"/>
              </w:rPr>
              <w:t>Condensed Consolidated Statements of Comprehensive Income</w:t>
            </w:r>
          </w:p>
        </w:tc>
        <w:tc>
          <w:tcPr>
            <w:tcW w:w="4840" w:type="dxa"/>
            <w:vAlign w:val="bottom"/>
            <w:gridSpan w:val="5"/>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38"/>
          </w:tcPr>
          <w:p>
            <w:pPr>
              <w:spacing w:after="0"/>
              <w:rPr>
                <w:sz w:val="20"/>
                <w:szCs w:val="20"/>
                <w:color w:val="auto"/>
              </w:rPr>
            </w:pPr>
            <w:r>
              <w:rPr>
                <w:rFonts w:ascii="Arial" w:cs="Arial" w:eastAsia="Arial" w:hAnsi="Arial"/>
                <w:sz w:val="18"/>
                <w:szCs w:val="18"/>
                <w:color w:val="0000FF"/>
              </w:rPr>
              <w:t>Condensed Consolidated Statements of Changes in Stockholders’ Equity</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top w:val="single" w:sz="8" w:color="0000FF"/>
              <w:bottom w:val="single" w:sz="8" w:color="0000FF"/>
            </w:tcBorders>
            <w:gridSpan w:val="31"/>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1640" w:type="dxa"/>
            <w:vAlign w:val="bottom"/>
            <w:tcBorders>
              <w:top w:val="single" w:sz="8" w:color="0000FF"/>
            </w:tcBorders>
            <w:gridSpan w:val="5"/>
          </w:tcPr>
          <w:p>
            <w:pPr>
              <w:spacing w:after="0"/>
              <w:rPr>
                <w:sz w:val="18"/>
                <w:szCs w:val="18"/>
                <w:color w:val="auto"/>
              </w:rPr>
            </w:pPr>
          </w:p>
        </w:tc>
        <w:tc>
          <w:tcPr>
            <w:tcW w:w="4160" w:type="dxa"/>
            <w:vAlign w:val="bottom"/>
            <w:gridSpan w:val="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99"/>
              </w:rPr>
              <w:t>Notes to the Condensed Consolidated Financial Statements</w:t>
            </w:r>
          </w:p>
        </w:tc>
        <w:tc>
          <w:tcPr>
            <w:tcW w:w="520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660" w:type="dxa"/>
            <w:vAlign w:val="bottom"/>
            <w:gridSpan w:val="7"/>
          </w:tcPr>
          <w:p>
            <w:pPr>
              <w:jc w:val="right"/>
              <w:spacing w:after="0"/>
              <w:rPr>
                <w:sz w:val="20"/>
                <w:szCs w:val="20"/>
                <w:color w:val="auto"/>
              </w:rPr>
            </w:pPr>
            <w:r>
              <w:rPr>
                <w:rFonts w:ascii="Arial" w:cs="Arial" w:eastAsia="Arial" w:hAnsi="Arial"/>
                <w:sz w:val="18"/>
                <w:szCs w:val="18"/>
                <w:color w:val="0000FF"/>
              </w:rPr>
              <w:t>1</w:t>
            </w:r>
          </w:p>
        </w:tc>
        <w:tc>
          <w:tcPr>
            <w:tcW w:w="100" w:type="dxa"/>
            <w:vAlign w:val="bottom"/>
          </w:tcPr>
          <w:p>
            <w:pPr>
              <w:spacing w:after="0"/>
              <w:rPr>
                <w:sz w:val="24"/>
                <w:szCs w:val="24"/>
                <w:color w:val="auto"/>
              </w:rPr>
            </w:pPr>
          </w:p>
        </w:tc>
        <w:tc>
          <w:tcPr>
            <w:tcW w:w="17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8"/>
              </w:rPr>
              <w:t>Company Background</w:t>
            </w:r>
          </w:p>
        </w:tc>
        <w:tc>
          <w:tcPr>
            <w:tcW w:w="7680" w:type="dxa"/>
            <w:vAlign w:val="bottom"/>
            <w:gridSpan w:val="16"/>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23"/>
        </w:trPr>
        <w:tc>
          <w:tcPr>
            <w:tcW w:w="46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9"/>
                <w:szCs w:val="19"/>
                <w:color w:val="auto"/>
              </w:rPr>
            </w:pPr>
          </w:p>
        </w:tc>
        <w:tc>
          <w:tcPr>
            <w:tcW w:w="9460" w:type="dxa"/>
            <w:vAlign w:val="bottom"/>
            <w:gridSpan w:val="33"/>
          </w:tcPr>
          <w:p>
            <w:pPr>
              <w:spacing w:after="0"/>
              <w:rPr>
                <w:sz w:val="20"/>
                <w:szCs w:val="20"/>
                <w:color w:val="auto"/>
              </w:rPr>
            </w:pPr>
            <w:r>
              <w:rPr>
                <w:rFonts w:ascii="Arial" w:cs="Arial" w:eastAsia="Arial" w:hAnsi="Arial"/>
                <w:sz w:val="18"/>
                <w:szCs w:val="18"/>
                <w:color w:val="0000FF"/>
              </w:rPr>
              <w:t>Basis of Presentation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6"/>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7"/>
                <w:szCs w:val="17"/>
                <w:color w:val="auto"/>
              </w:rPr>
            </w:pPr>
          </w:p>
        </w:tc>
        <w:tc>
          <w:tcPr>
            <w:tcW w:w="9460" w:type="dxa"/>
            <w:vAlign w:val="bottom"/>
            <w:gridSpan w:val="33"/>
          </w:tcPr>
          <w:p>
            <w:pPr>
              <w:spacing w:after="0" w:line="196" w:lineRule="exact"/>
              <w:rPr>
                <w:sz w:val="20"/>
                <w:szCs w:val="20"/>
                <w:color w:val="auto"/>
              </w:rPr>
            </w:pPr>
            <w:r>
              <w:rPr>
                <w:rFonts w:ascii="Arial" w:cs="Arial" w:eastAsia="Arial" w:hAnsi="Arial"/>
                <w:sz w:val="18"/>
                <w:szCs w:val="18"/>
                <w:color w:val="0000FF"/>
              </w:rPr>
              <w:t>Impact of the COVID-19 Pandemic</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18"/>
                <w:szCs w:val="18"/>
                <w:color w:val="auto"/>
              </w:rPr>
            </w:pPr>
          </w:p>
        </w:tc>
        <w:tc>
          <w:tcPr>
            <w:tcW w:w="7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7"/>
              </w:rPr>
              <w:t>Revenue</w:t>
            </w:r>
          </w:p>
        </w:tc>
        <w:tc>
          <w:tcPr>
            <w:tcW w:w="2040" w:type="dxa"/>
            <w:vAlign w:val="bottom"/>
            <w:tcBorders>
              <w:top w:val="single" w:sz="8" w:color="0000FF"/>
            </w:tcBorders>
            <w:gridSpan w:val="16"/>
          </w:tcPr>
          <w:p>
            <w:pPr>
              <w:spacing w:after="0"/>
              <w:rPr>
                <w:sz w:val="18"/>
                <w:szCs w:val="18"/>
                <w:color w:val="auto"/>
              </w:rPr>
            </w:pPr>
          </w:p>
        </w:tc>
        <w:tc>
          <w:tcPr>
            <w:tcW w:w="6700" w:type="dxa"/>
            <w:vAlign w:val="bottom"/>
            <w:gridSpan w:val="11"/>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9460" w:type="dxa"/>
            <w:vAlign w:val="bottom"/>
            <w:gridSpan w:val="33"/>
          </w:tcPr>
          <w:p>
            <w:pPr>
              <w:spacing w:after="0"/>
              <w:rPr>
                <w:sz w:val="20"/>
                <w:szCs w:val="20"/>
                <w:color w:val="auto"/>
              </w:rPr>
            </w:pPr>
            <w:r>
              <w:rPr>
                <w:rFonts w:ascii="Arial" w:cs="Arial" w:eastAsia="Arial" w:hAnsi="Arial"/>
                <w:sz w:val="18"/>
                <w:szCs w:val="18"/>
                <w:color w:val="0000FF"/>
              </w:rPr>
              <w:t>Earnings per Share</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15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Aircraft</w:t>
            </w:r>
          </w:p>
        </w:tc>
        <w:tc>
          <w:tcPr>
            <w:tcW w:w="7920" w:type="dxa"/>
            <w:vAlign w:val="bottom"/>
            <w:gridSpan w:val="21"/>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Debt</w:t>
            </w:r>
          </w:p>
        </w:tc>
        <w:tc>
          <w:tcPr>
            <w:tcW w:w="180" w:type="dxa"/>
            <w:vAlign w:val="bottom"/>
            <w:tcBorders>
              <w:top w:val="single" w:sz="8" w:color="0000FF"/>
            </w:tcBorders>
          </w:tcPr>
          <w:p>
            <w:pPr>
              <w:spacing w:after="0"/>
              <w:rPr>
                <w:sz w:val="18"/>
                <w:szCs w:val="18"/>
                <w:color w:val="auto"/>
              </w:rPr>
            </w:pPr>
          </w:p>
        </w:tc>
        <w:tc>
          <w:tcPr>
            <w:tcW w:w="8900" w:type="dxa"/>
            <w:vAlign w:val="bottom"/>
            <w:gridSpan w:val="30"/>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18"/>
                <w:szCs w:val="18"/>
                <w:color w:val="auto"/>
              </w:rPr>
            </w:pPr>
          </w:p>
        </w:tc>
        <w:tc>
          <w:tcPr>
            <w:tcW w:w="314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Fuel Derivatives and Risk Management</w:t>
            </w:r>
          </w:p>
        </w:tc>
        <w:tc>
          <w:tcPr>
            <w:tcW w:w="6320" w:type="dxa"/>
            <w:vAlign w:val="bottom"/>
            <w:gridSpan w:val="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9</w:t>
            </w:r>
          </w:p>
        </w:tc>
        <w:tc>
          <w:tcPr>
            <w:tcW w:w="100" w:type="dxa"/>
            <w:vAlign w:val="bottom"/>
          </w:tcPr>
          <w:p>
            <w:pPr>
              <w:spacing w:after="0"/>
              <w:rPr>
                <w:sz w:val="18"/>
                <w:szCs w:val="18"/>
                <w:color w:val="auto"/>
              </w:rPr>
            </w:pPr>
          </w:p>
        </w:tc>
        <w:tc>
          <w:tcPr>
            <w:tcW w:w="9460" w:type="dxa"/>
            <w:vAlign w:val="bottom"/>
            <w:gridSpan w:val="33"/>
          </w:tcPr>
          <w:p>
            <w:pPr>
              <w:spacing w:after="0"/>
              <w:rPr>
                <w:sz w:val="20"/>
                <w:szCs w:val="20"/>
                <w:color w:val="auto"/>
              </w:rPr>
            </w:pPr>
            <w:r>
              <w:rPr>
                <w:rFonts w:ascii="Arial" w:cs="Arial" w:eastAsia="Arial" w:hAnsi="Arial"/>
                <w:sz w:val="18"/>
                <w:szCs w:val="18"/>
                <w:color w:val="0000FF"/>
              </w:rPr>
              <w:t>Investments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gridSpan w:val="4"/>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0000FF"/>
                <w:w w:val="89"/>
              </w:rPr>
              <w:t>10</w:t>
            </w:r>
          </w:p>
        </w:tc>
        <w:tc>
          <w:tcPr>
            <w:tcW w:w="100" w:type="dxa"/>
            <w:vAlign w:val="bottom"/>
          </w:tcPr>
          <w:p>
            <w:pPr>
              <w:spacing w:after="0"/>
              <w:rPr>
                <w:sz w:val="18"/>
                <w:szCs w:val="18"/>
                <w:color w:val="auto"/>
              </w:rPr>
            </w:pPr>
          </w:p>
        </w:tc>
        <w:tc>
          <w:tcPr>
            <w:tcW w:w="9460" w:type="dxa"/>
            <w:vAlign w:val="bottom"/>
            <w:gridSpan w:val="33"/>
          </w:tcPr>
          <w:p>
            <w:pPr>
              <w:spacing w:after="0"/>
              <w:rPr>
                <w:sz w:val="20"/>
                <w:szCs w:val="20"/>
                <w:color w:val="auto"/>
              </w:rPr>
            </w:pPr>
            <w:r>
              <w:rPr>
                <w:rFonts w:ascii="Arial" w:cs="Arial" w:eastAsia="Arial" w:hAnsi="Arial"/>
                <w:sz w:val="18"/>
                <w:szCs w:val="18"/>
                <w:color w:val="0000FF"/>
              </w:rPr>
              <w:t>Fair Value Measurements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11</w:t>
            </w:r>
          </w:p>
        </w:tc>
        <w:tc>
          <w:tcPr>
            <w:tcW w:w="100" w:type="dxa"/>
            <w:vAlign w:val="bottom"/>
          </w:tcPr>
          <w:p>
            <w:pPr>
              <w:spacing w:after="0"/>
              <w:rPr>
                <w:sz w:val="18"/>
                <w:szCs w:val="18"/>
                <w:color w:val="auto"/>
              </w:rPr>
            </w:pPr>
          </w:p>
        </w:tc>
        <w:tc>
          <w:tcPr>
            <w:tcW w:w="204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Income Taxes</w:t>
            </w:r>
          </w:p>
        </w:tc>
        <w:tc>
          <w:tcPr>
            <w:tcW w:w="7420" w:type="dxa"/>
            <w:vAlign w:val="bottom"/>
            <w:gridSpan w:val="14"/>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0"/>
        </w:trPr>
        <w:tc>
          <w:tcPr>
            <w:tcW w:w="48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0000FF"/>
                <w:w w:val="89"/>
              </w:rPr>
              <w:t>12</w:t>
            </w:r>
          </w:p>
        </w:tc>
        <w:tc>
          <w:tcPr>
            <w:tcW w:w="100" w:type="dxa"/>
            <w:vAlign w:val="bottom"/>
          </w:tcPr>
          <w:p>
            <w:pPr>
              <w:spacing w:after="0"/>
              <w:rPr>
                <w:sz w:val="18"/>
                <w:szCs w:val="18"/>
                <w:color w:val="auto"/>
              </w:rPr>
            </w:pPr>
          </w:p>
        </w:tc>
        <w:tc>
          <w:tcPr>
            <w:tcW w:w="9460" w:type="dxa"/>
            <w:vAlign w:val="bottom"/>
            <w:gridSpan w:val="33"/>
          </w:tcPr>
          <w:p>
            <w:pPr>
              <w:spacing w:after="0"/>
              <w:rPr>
                <w:sz w:val="20"/>
                <w:szCs w:val="20"/>
                <w:color w:val="auto"/>
              </w:rPr>
            </w:pPr>
            <w:r>
              <w:rPr>
                <w:rFonts w:ascii="Arial" w:cs="Arial" w:eastAsia="Arial" w:hAnsi="Arial"/>
                <w:sz w:val="18"/>
                <w:szCs w:val="18"/>
                <w:color w:val="0000FF"/>
              </w:rPr>
              <w:t>Special Items, net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0000FF"/>
                <w:w w:val="89"/>
              </w:rPr>
              <w:t>13</w:t>
            </w:r>
          </w:p>
        </w:tc>
        <w:tc>
          <w:tcPr>
            <w:tcW w:w="100" w:type="dxa"/>
            <w:vAlign w:val="bottom"/>
          </w:tcPr>
          <w:p>
            <w:pPr>
              <w:spacing w:after="0"/>
              <w:rPr>
                <w:sz w:val="18"/>
                <w:szCs w:val="18"/>
                <w:color w:val="auto"/>
              </w:rPr>
            </w:pPr>
          </w:p>
        </w:tc>
        <w:tc>
          <w:tcPr>
            <w:tcW w:w="9460" w:type="dxa"/>
            <w:vAlign w:val="bottom"/>
            <w:gridSpan w:val="33"/>
          </w:tcPr>
          <w:p>
            <w:pPr>
              <w:spacing w:after="0"/>
              <w:rPr>
                <w:sz w:val="20"/>
                <w:szCs w:val="20"/>
                <w:color w:val="auto"/>
              </w:rPr>
            </w:pPr>
            <w:r>
              <w:rPr>
                <w:rFonts w:ascii="Arial" w:cs="Arial" w:eastAsia="Arial" w:hAnsi="Arial"/>
                <w:sz w:val="18"/>
                <w:szCs w:val="18"/>
                <w:color w:val="0000FF"/>
              </w:rPr>
              <w:t>Commitments and Contingencies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09"/>
        </w:trPr>
        <w:tc>
          <w:tcPr>
            <w:tcW w:w="460" w:type="dxa"/>
            <w:vAlign w:val="bottom"/>
            <w:gridSpan w:val="4"/>
          </w:tcPr>
          <w:p>
            <w:pPr>
              <w:spacing w:after="0"/>
              <w:rPr>
                <w:sz w:val="18"/>
                <w:szCs w:val="18"/>
                <w:color w:val="auto"/>
              </w:rPr>
            </w:pPr>
          </w:p>
        </w:tc>
        <w:tc>
          <w:tcPr>
            <w:tcW w:w="2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14</w:t>
            </w:r>
          </w:p>
        </w:tc>
        <w:tc>
          <w:tcPr>
            <w:tcW w:w="100" w:type="dxa"/>
            <w:vAlign w:val="bottom"/>
          </w:tcPr>
          <w:p>
            <w:pPr>
              <w:spacing w:after="0"/>
              <w:rPr>
                <w:sz w:val="18"/>
                <w:szCs w:val="18"/>
                <w:color w:val="auto"/>
              </w:rPr>
            </w:pPr>
          </w:p>
        </w:tc>
        <w:tc>
          <w:tcPr>
            <w:tcW w:w="264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Operating Segments</w:t>
            </w:r>
          </w:p>
        </w:tc>
        <w:tc>
          <w:tcPr>
            <w:tcW w:w="6820" w:type="dxa"/>
            <w:vAlign w:val="bottom"/>
            <w:gridSpan w:val="1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15</w:t>
            </w:r>
          </w:p>
        </w:tc>
        <w:tc>
          <w:tcPr>
            <w:tcW w:w="100" w:type="dxa"/>
            <w:vAlign w:val="bottom"/>
          </w:tcPr>
          <w:p>
            <w:pPr>
              <w:spacing w:after="0"/>
              <w:rPr>
                <w:sz w:val="18"/>
                <w:szCs w:val="18"/>
                <w:color w:val="auto"/>
              </w:rPr>
            </w:pPr>
          </w:p>
        </w:tc>
        <w:tc>
          <w:tcPr>
            <w:tcW w:w="156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8"/>
              </w:rPr>
              <w:t>Subsequent Events</w:t>
            </w:r>
          </w:p>
        </w:tc>
        <w:tc>
          <w:tcPr>
            <w:tcW w:w="80" w:type="dxa"/>
            <w:vAlign w:val="bottom"/>
            <w:tcBorders>
              <w:top w:val="single" w:sz="8" w:color="0000FF"/>
            </w:tcBorders>
          </w:tcPr>
          <w:p>
            <w:pPr>
              <w:spacing w:after="0"/>
              <w:rPr>
                <w:sz w:val="18"/>
                <w:szCs w:val="18"/>
                <w:color w:val="auto"/>
              </w:rPr>
            </w:pPr>
          </w:p>
        </w:tc>
        <w:tc>
          <w:tcPr>
            <w:tcW w:w="7820" w:type="dxa"/>
            <w:vAlign w:val="bottom"/>
            <w:gridSpan w:val="1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tcBorders>
              <w:bottom w:val="single" w:sz="8" w:color="0000FF"/>
            </w:tcBorders>
            <w:gridSpan w:val="38"/>
          </w:tcPr>
          <w:p>
            <w:pPr>
              <w:spacing w:after="0"/>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24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Borders>
              <w:top w:val="single" w:sz="8" w:color="0000FF"/>
            </w:tcBorders>
            <w:gridSpan w:val="35"/>
          </w:tcPr>
          <w:p>
            <w:pPr>
              <w:spacing w:after="0"/>
              <w:rPr>
                <w:sz w:val="20"/>
                <w:szCs w:val="20"/>
                <w:color w:val="auto"/>
              </w:rPr>
            </w:pPr>
            <w:r>
              <w:rPr>
                <w:rFonts w:ascii="Arial" w:cs="Arial" w:eastAsia="Arial" w:hAnsi="Arial"/>
                <w:sz w:val="18"/>
                <w:szCs w:val="18"/>
                <w:color w:val="0000FF"/>
              </w:rPr>
              <w:t>Item 4. Controls and Procedures</w:t>
            </w:r>
          </w:p>
        </w:tc>
        <w:tc>
          <w:tcPr>
            <w:tcW w:w="4780" w:type="dxa"/>
            <w:vAlign w:val="bottom"/>
            <w:gridSpan w:val="4"/>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7"/>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10"/>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b w:val="1"/>
                <w:bCs w:val="1"/>
                <w:color w:val="0000FF"/>
                <w:w w:val="99"/>
              </w:rPr>
              <w:t>Part II. Other Information</w:t>
            </w:r>
          </w:p>
        </w:tc>
        <w:tc>
          <w:tcPr>
            <w:tcW w:w="8040" w:type="dxa"/>
            <w:vAlign w:val="bottom"/>
            <w:gridSpan w:val="23"/>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Arial" w:cs="Arial" w:eastAsia="Arial" w:hAnsi="Arial"/>
                <w:sz w:val="18"/>
                <w:szCs w:val="18"/>
                <w:color w:val="0000FF"/>
              </w:rPr>
              <w:t>Item 1. Legal Proceedings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8"/>
              </w:rPr>
              <w:t>Item 1A. Risk Factors</w:t>
            </w:r>
          </w:p>
        </w:tc>
        <w:tc>
          <w:tcPr>
            <w:tcW w:w="340" w:type="dxa"/>
            <w:vAlign w:val="bottom"/>
            <w:tcBorders>
              <w:top w:val="single" w:sz="8" w:color="0000FF"/>
            </w:tcBorders>
            <w:gridSpan w:val="3"/>
          </w:tcPr>
          <w:p>
            <w:pPr>
              <w:spacing w:after="0"/>
              <w:rPr>
                <w:sz w:val="18"/>
                <w:szCs w:val="18"/>
                <w:color w:val="auto"/>
              </w:rPr>
            </w:pPr>
          </w:p>
        </w:tc>
        <w:tc>
          <w:tcPr>
            <w:tcW w:w="8000" w:type="dxa"/>
            <w:vAlign w:val="bottom"/>
            <w:gridSpan w:val="2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Borders>
              <w:top w:val="single" w:sz="8" w:color="0000FF"/>
            </w:tcBorders>
            <w:gridSpan w:val="36"/>
          </w:tcPr>
          <w:p>
            <w:pPr>
              <w:spacing w:after="0"/>
              <w:rPr>
                <w:sz w:val="20"/>
                <w:szCs w:val="20"/>
                <w:color w:val="auto"/>
              </w:rPr>
            </w:pPr>
            <w:r>
              <w:rPr>
                <w:rFonts w:ascii="Arial" w:cs="Arial" w:eastAsia="Arial" w:hAnsi="Arial"/>
                <w:sz w:val="18"/>
                <w:szCs w:val="18"/>
                <w:color w:val="0000FF"/>
              </w:rPr>
              <w:t>Item 3. Defaults Upon Senior Securities</w:t>
            </w:r>
          </w:p>
        </w:tc>
        <w:tc>
          <w:tcPr>
            <w:tcW w:w="4640" w:type="dxa"/>
            <w:vAlign w:val="bottom"/>
            <w:gridSpan w:val="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Item 4. Mine Safety Disclosures</w:t>
            </w:r>
          </w:p>
        </w:tc>
        <w:tc>
          <w:tcPr>
            <w:tcW w:w="6940" w:type="dxa"/>
            <w:vAlign w:val="bottom"/>
            <w:gridSpan w:val="1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8"/>
              </w:rPr>
              <w:t>Item 5. Other Information</w:t>
            </w:r>
          </w:p>
        </w:tc>
        <w:tc>
          <w:tcPr>
            <w:tcW w:w="580" w:type="dxa"/>
            <w:vAlign w:val="bottom"/>
            <w:tcBorders>
              <w:top w:val="single" w:sz="8" w:color="0000FF"/>
            </w:tcBorders>
            <w:gridSpan w:val="9"/>
          </w:tcPr>
          <w:p>
            <w:pPr>
              <w:spacing w:after="0"/>
              <w:rPr>
                <w:sz w:val="18"/>
                <w:szCs w:val="18"/>
                <w:color w:val="auto"/>
              </w:rPr>
            </w:pPr>
          </w:p>
        </w:tc>
        <w:tc>
          <w:tcPr>
            <w:tcW w:w="7500" w:type="dxa"/>
            <w:vAlign w:val="bottom"/>
            <w:gridSpan w:val="15"/>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Arial" w:cs="Arial" w:eastAsia="Arial" w:hAnsi="Arial"/>
                <w:sz w:val="18"/>
                <w:szCs w:val="18"/>
                <w:color w:val="0000FF"/>
              </w:rPr>
              <w:t>Item 6. Exhibits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860" w:type="dxa"/>
            <w:vAlign w:val="bottom"/>
            <w:gridSpan w:val="2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200" w:type="dxa"/>
            <w:vAlign w:val="bottom"/>
            <w:gridSpan w:val="40"/>
          </w:tcPr>
          <w:p>
            <w:pPr>
              <w:spacing w:after="0"/>
              <w:rPr>
                <w:sz w:val="20"/>
                <w:szCs w:val="20"/>
                <w:color w:val="auto"/>
              </w:rPr>
            </w:pPr>
            <w:r>
              <w:rPr>
                <w:rFonts w:ascii="Arial" w:cs="Arial" w:eastAsia="Arial" w:hAnsi="Arial"/>
                <w:sz w:val="18"/>
                <w:szCs w:val="18"/>
                <w:color w:val="0000FF"/>
              </w:rPr>
              <w:t>Signatures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929"/>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gridSpan w:val="2"/>
          </w:tcPr>
          <w:p>
            <w:pPr>
              <w:spacing w:after="0"/>
              <w:rPr>
                <w:sz w:val="24"/>
                <w:szCs w:val="24"/>
                <w:color w:val="auto"/>
              </w:rPr>
            </w:pPr>
          </w:p>
        </w:tc>
        <w:tc>
          <w:tcPr>
            <w:tcW w:w="5180" w:type="dxa"/>
            <w:vAlign w:val="bottom"/>
            <w:gridSpan w:val="30"/>
          </w:tcPr>
          <w:p>
            <w:pPr>
              <w:jc w:val="center"/>
              <w:ind w:left="4230"/>
              <w:spacing w:after="0"/>
              <w:rPr>
                <w:sz w:val="20"/>
                <w:szCs w:val="20"/>
                <w:color w:val="auto"/>
              </w:rPr>
            </w:pPr>
            <w:r>
              <w:rPr>
                <w:rFonts w:ascii="Arial" w:cs="Arial" w:eastAsia="Arial" w:hAnsi="Arial"/>
                <w:sz w:val="18"/>
                <w:szCs w:val="18"/>
                <w:color w:val="auto"/>
                <w:w w:val="99"/>
              </w:rPr>
              <w:t>-2-</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September 30, 2022</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54"/>
        </w:trPr>
        <w:tc>
          <w:tcPr>
            <w:tcW w:w="7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5"/>
        </w:trPr>
        <w:tc>
          <w:tcPr>
            <w:tcW w:w="734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131,912</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309,338</w:t>
            </w:r>
          </w:p>
        </w:tc>
      </w:tr>
      <w:tr>
        <w:trPr>
          <w:trHeight w:val="217"/>
        </w:trPr>
        <w:tc>
          <w:tcPr>
            <w:tcW w:w="7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8,447</w:t>
            </w:r>
          </w:p>
        </w:tc>
      </w:tr>
      <w:tr>
        <w:trPr>
          <w:trHeight w:val="215"/>
        </w:trPr>
        <w:tc>
          <w:tcPr>
            <w:tcW w:w="7340" w:type="dxa"/>
            <w:vAlign w:val="bottom"/>
          </w:tcPr>
          <w:p>
            <w:pPr>
              <w:ind w:left="100"/>
              <w:spacing w:after="0"/>
              <w:rPr>
                <w:sz w:val="20"/>
                <w:szCs w:val="20"/>
                <w:color w:val="auto"/>
              </w:rPr>
            </w:pPr>
            <w:r>
              <w:rPr>
                <w:rFonts w:ascii="Arial" w:cs="Arial" w:eastAsia="Arial" w:hAnsi="Arial"/>
                <w:sz w:val="16"/>
                <w:szCs w:val="16"/>
                <w:color w:val="auto"/>
              </w:rPr>
              <w:t>Investments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135,170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6,283</w:t>
            </w:r>
          </w:p>
        </w:tc>
      </w:tr>
      <w:tr>
        <w:trPr>
          <w:trHeight w:val="217"/>
        </w:trPr>
        <w:tc>
          <w:tcPr>
            <w:tcW w:w="7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 net of an allowance for credit losses of $175 and $250, respectively</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30,156</w:t>
            </w:r>
          </w:p>
        </w:tc>
      </w:tr>
      <w:tr>
        <w:trPr>
          <w:trHeight w:val="215"/>
        </w:trPr>
        <w:tc>
          <w:tcPr>
            <w:tcW w:w="7340" w:type="dxa"/>
            <w:vAlign w:val="bottom"/>
          </w:tcPr>
          <w:p>
            <w:pPr>
              <w:ind w:left="100"/>
              <w:spacing w:after="0"/>
              <w:rPr>
                <w:sz w:val="20"/>
                <w:szCs w:val="20"/>
                <w:color w:val="auto"/>
              </w:rPr>
            </w:pPr>
            <w:r>
              <w:rPr>
                <w:rFonts w:ascii="Arial" w:cs="Arial" w:eastAsia="Arial" w:hAnsi="Arial"/>
                <w:sz w:val="16"/>
                <w:szCs w:val="16"/>
                <w:color w:val="auto"/>
              </w:rPr>
              <w:t>Short-term Lessor Maintenance Deposits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5,505</w:t>
            </w:r>
          </w:p>
        </w:tc>
      </w:tr>
      <w:tr>
        <w:trPr>
          <w:trHeight w:val="217"/>
        </w:trPr>
        <w:tc>
          <w:tcPr>
            <w:tcW w:w="7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 net of a reserve for obsolescence of $1,255 and $1,275, respectively</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w:t>
            </w:r>
          </w:p>
        </w:tc>
      </w:tr>
      <w:tr>
        <w:trPr>
          <w:trHeight w:val="215"/>
        </w:trPr>
        <w:tc>
          <w:tcPr>
            <w:tcW w:w="7340" w:type="dxa"/>
            <w:vAlign w:val="bottom"/>
          </w:tcPr>
          <w:p>
            <w:pPr>
              <w:ind w:left="10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11,692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8,511</w:t>
            </w:r>
          </w:p>
        </w:tc>
      </w:tr>
      <w:tr>
        <w:trPr>
          <w:trHeight w:val="217"/>
        </w:trPr>
        <w:tc>
          <w:tcPr>
            <w:tcW w:w="7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w:t>
            </w:r>
          </w:p>
        </w:tc>
      </w:tr>
      <w:tr>
        <w:trPr>
          <w:trHeight w:val="248"/>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337,740</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375,443</w:t>
            </w:r>
          </w:p>
        </w:tc>
      </w:tr>
      <w:tr>
        <w:trPr>
          <w:trHeight w:val="216"/>
        </w:trPr>
        <w:tc>
          <w:tcPr>
            <w:tcW w:w="734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Property &amp; Equipment, net:</w:t>
            </w:r>
          </w:p>
        </w:tc>
        <w:tc>
          <w:tcPr>
            <w:tcW w:w="1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and Flight Equipment</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628,375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447,319</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Ground Equipment and Leasehold Improvements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33,809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20,876</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Computer Hardware and Software</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8,785</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Finance Lease Assets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262,060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209,457</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Rotable Parts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9,150</w:t>
            </w:r>
          </w:p>
        </w:tc>
      </w:tr>
      <w:tr>
        <w:trPr>
          <w:trHeight w:val="209"/>
        </w:trPr>
        <w:tc>
          <w:tcPr>
            <w:tcW w:w="7340" w:type="dxa"/>
            <w:vAlign w:val="bottom"/>
          </w:tcPr>
          <w:p>
            <w:pPr>
              <w:ind w:left="240"/>
              <w:spacing w:after="0"/>
              <w:rPr>
                <w:sz w:val="20"/>
                <w:szCs w:val="20"/>
                <w:color w:val="auto"/>
              </w:rPr>
            </w:pPr>
            <w:r>
              <w:rPr>
                <w:rFonts w:ascii="Arial" w:cs="Arial" w:eastAsia="Arial" w:hAnsi="Arial"/>
                <w:sz w:val="16"/>
                <w:szCs w:val="16"/>
                <w:color w:val="auto"/>
              </w:rPr>
              <w:t>Total Property &amp; Equipment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948,638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695,587</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Depreciation &amp;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(159,779)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(117,069)</w:t>
            </w:r>
          </w:p>
        </w:tc>
      </w:tr>
      <w:tr>
        <w:trPr>
          <w:trHeight w:val="248"/>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Property &amp; Equipment, net</w:t>
            </w:r>
          </w:p>
        </w:tc>
        <w:tc>
          <w:tcPr>
            <w:tcW w:w="1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788,859</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578,518</w:t>
            </w:r>
          </w:p>
        </w:tc>
      </w:tr>
      <w:tr>
        <w:trPr>
          <w:trHeight w:val="216"/>
        </w:trPr>
        <w:tc>
          <w:tcPr>
            <w:tcW w:w="734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Other Assets:</w:t>
            </w:r>
          </w:p>
        </w:tc>
        <w:tc>
          <w:tcPr>
            <w:tcW w:w="1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222,223</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86,110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89,110</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61,658</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Aircraft Deposits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9,128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10,021</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Lessor Maintenance Deposits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20,346</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Deferred Tax Asset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14,734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17,608</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5,495</w:t>
            </w:r>
          </w:p>
        </w:tc>
      </w:tr>
      <w:tr>
        <w:trPr>
          <w:trHeight w:val="209"/>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394,845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426,461</w:t>
            </w:r>
          </w:p>
        </w:tc>
      </w:tr>
      <w:tr>
        <w:trPr>
          <w:trHeight w:val="235"/>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1,521,444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1,380,422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2"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49,969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39,805</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Accrued Salaries, Wages, and Benefits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28,527</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Accrued Transportation Taxes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12,736</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Air Traffic Liabilities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118,562</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Over-market Liabilities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4,309</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Finance Lease Obligations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11,705</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Loyalty Program Liabilities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13,045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11,451</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Operating Lease Obligations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17,231</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Current Maturities of Long-term Debt</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45,535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29,412</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Income Tax Receivable Agreement Liability</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2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7,913</w:t>
            </w:r>
          </w:p>
        </w:tc>
        <w:tc>
          <w:tcPr>
            <w:tcW w:w="0" w:type="dxa"/>
            <w:vAlign w:val="bottom"/>
          </w:tcPr>
          <w:p>
            <w:pPr>
              <w:spacing w:after="0"/>
              <w:rPr>
                <w:sz w:val="1"/>
                <w:szCs w:val="1"/>
                <w:color w:val="auto"/>
              </w:rPr>
            </w:pPr>
          </w:p>
        </w:tc>
      </w:tr>
      <w:tr>
        <w:trPr>
          <w:trHeight w:val="210"/>
        </w:trPr>
        <w:tc>
          <w:tcPr>
            <w:tcW w:w="73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320,689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281,651</w:t>
            </w:r>
          </w:p>
        </w:tc>
        <w:tc>
          <w:tcPr>
            <w:tcW w:w="0" w:type="dxa"/>
            <w:vAlign w:val="bottom"/>
          </w:tcPr>
          <w:p>
            <w:pPr>
              <w:spacing w:after="0"/>
              <w:rPr>
                <w:sz w:val="1"/>
                <w:szCs w:val="1"/>
                <w:color w:val="auto"/>
              </w:rPr>
            </w:pPr>
          </w:p>
        </w:tc>
      </w:tr>
      <w:tr>
        <w:trPr>
          <w:trHeight w:val="34"/>
        </w:trPr>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Over-market Liabilities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10,428</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Finance Lease Obligations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180,450</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Loyalty Program Liabilities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3,272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8,267</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Operating Lease Obligations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58,810</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324,662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248,014</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Income Tax Receivable Agreement Liability</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98,800</w:t>
            </w:r>
          </w:p>
        </w:tc>
        <w:tc>
          <w:tcPr>
            <w:tcW w:w="0" w:type="dxa"/>
            <w:vAlign w:val="bottom"/>
          </w:tcPr>
          <w:p>
            <w:pPr>
              <w:spacing w:after="0"/>
              <w:rPr>
                <w:sz w:val="1"/>
                <w:szCs w:val="1"/>
                <w:color w:val="auto"/>
              </w:rPr>
            </w:pPr>
          </w:p>
        </w:tc>
      </w:tr>
      <w:tr>
        <w:trPr>
          <w:trHeight w:val="215"/>
        </w:trPr>
        <w:tc>
          <w:tcPr>
            <w:tcW w:w="732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w:t>
            </w:r>
          </w:p>
        </w:tc>
        <w:tc>
          <w:tcPr>
            <w:tcW w:w="0" w:type="dxa"/>
            <w:vAlign w:val="bottom"/>
          </w:tcPr>
          <w:p>
            <w:pPr>
              <w:spacing w:after="0"/>
              <w:rPr>
                <w:sz w:val="1"/>
                <w:szCs w:val="1"/>
                <w:color w:val="auto"/>
              </w:rPr>
            </w:pPr>
          </w:p>
        </w:tc>
      </w:tr>
      <w:tr>
        <w:trPr>
          <w:trHeight w:val="210"/>
        </w:trPr>
        <w:tc>
          <w:tcPr>
            <w:tcW w:w="73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692,750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608,182</w:t>
            </w:r>
          </w:p>
        </w:tc>
        <w:tc>
          <w:tcPr>
            <w:tcW w:w="0" w:type="dxa"/>
            <w:vAlign w:val="bottom"/>
          </w:tcPr>
          <w:p>
            <w:pPr>
              <w:spacing w:after="0"/>
              <w:rPr>
                <w:sz w:val="1"/>
                <w:szCs w:val="1"/>
                <w:color w:val="auto"/>
              </w:rPr>
            </w:pPr>
          </w:p>
        </w:tc>
      </w:tr>
      <w:tr>
        <w:trPr>
          <w:trHeight w:val="249"/>
        </w:trPr>
        <w:tc>
          <w:tcPr>
            <w:tcW w:w="73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1,013,439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889,833</w:t>
            </w:r>
          </w:p>
        </w:tc>
        <w:tc>
          <w:tcPr>
            <w:tcW w:w="0" w:type="dxa"/>
            <w:vAlign w:val="bottom"/>
          </w:tcPr>
          <w:p>
            <w:pPr>
              <w:spacing w:after="0"/>
              <w:rPr>
                <w:sz w:val="1"/>
                <w:szCs w:val="1"/>
                <w:color w:val="auto"/>
              </w:rPr>
            </w:pPr>
          </w:p>
        </w:tc>
      </w:tr>
      <w:tr>
        <w:trPr>
          <w:trHeight w:val="175"/>
        </w:trPr>
        <w:tc>
          <w:tcPr>
            <w:tcW w:w="7320" w:type="dxa"/>
            <w:vAlign w:val="bottom"/>
            <w:tcBorders>
              <w:top w:val="single" w:sz="8" w:color="CCEEFF"/>
            </w:tcBorders>
            <w:gridSpan w:val="3"/>
          </w:tcPr>
          <w:p>
            <w:pPr>
              <w:ind w:left="20"/>
              <w:spacing w:after="0" w:line="175" w:lineRule="exact"/>
              <w:rPr>
                <w:sz w:val="20"/>
                <w:szCs w:val="20"/>
                <w:color w:val="auto"/>
              </w:rPr>
            </w:pPr>
            <w:r>
              <w:rPr>
                <w:rFonts w:ascii="Arial" w:cs="Arial" w:eastAsia="Arial" w:hAnsi="Arial"/>
                <w:sz w:val="16"/>
                <w:szCs w:val="16"/>
                <w:b w:val="1"/>
                <w:bCs w:val="1"/>
                <w:color w:val="auto"/>
              </w:rPr>
              <w:t xml:space="preserve">Commitments and Contingencies (see </w:t>
            </w:r>
            <w:r>
              <w:rPr>
                <w:rFonts w:ascii="Arial" w:cs="Arial" w:eastAsia="Arial" w:hAnsi="Arial"/>
                <w:sz w:val="16"/>
                <w:szCs w:val="16"/>
                <w:b w:val="1"/>
                <w:bCs w:val="1"/>
                <w:color w:val="0000FF"/>
              </w:rPr>
              <w:t>Note 13</w:t>
            </w:r>
            <w:r>
              <w:rPr>
                <w:rFonts w:ascii="Arial" w:cs="Arial" w:eastAsia="Arial" w:hAnsi="Arial"/>
                <w:sz w:val="16"/>
                <w:szCs w:val="16"/>
                <w:b w:val="1"/>
                <w:bCs w:val="1"/>
                <w:color w:val="auto"/>
              </w:rPr>
              <w:t>)</w:t>
            </w:r>
          </w:p>
        </w:tc>
        <w:tc>
          <w:tcPr>
            <w:tcW w:w="200" w:type="dxa"/>
            <w:vAlign w:val="bottom"/>
            <w:tcBorders>
              <w:top w:val="single" w:sz="8" w:color="CCEEFF"/>
            </w:tcBorders>
          </w:tcPr>
          <w:p>
            <w:pPr>
              <w:spacing w:after="0"/>
              <w:rPr>
                <w:sz w:val="15"/>
                <w:szCs w:val="15"/>
                <w:color w:val="auto"/>
              </w:rPr>
            </w:pPr>
          </w:p>
        </w:tc>
        <w:tc>
          <w:tcPr>
            <w:tcW w:w="17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3020" w:type="dxa"/>
            <w:vAlign w:val="bottom"/>
            <w:tcBorders>
              <w:bottom w:val="single" w:sz="8" w:color="CCEEFF"/>
            </w:tcBorders>
          </w:tcPr>
          <w:p>
            <w:pPr>
              <w:spacing w:after="0"/>
              <w:rPr>
                <w:sz w:val="4"/>
                <w:szCs w:val="4"/>
                <w:color w:val="auto"/>
              </w:rPr>
            </w:pPr>
          </w:p>
        </w:tc>
        <w:tc>
          <w:tcPr>
            <w:tcW w:w="580" w:type="dxa"/>
            <w:vAlign w:val="bottom"/>
            <w:tcBorders>
              <w:top w:val="single" w:sz="8" w:color="0000FF"/>
              <w:bottom w:val="single" w:sz="8" w:color="CCEEFF"/>
            </w:tcBorders>
          </w:tcPr>
          <w:p>
            <w:pPr>
              <w:spacing w:after="0"/>
              <w:rPr>
                <w:sz w:val="4"/>
                <w:szCs w:val="4"/>
                <w:color w:val="auto"/>
              </w:rPr>
            </w:pPr>
          </w:p>
        </w:tc>
        <w:tc>
          <w:tcPr>
            <w:tcW w:w="37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7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Common stock, with $0.01 par value, 995,000,000 shares authorized, 58,168,497 and 57,872,452</w:t>
            </w: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issued at September 30, 2022 and December 31, 2021, respectively</w:t>
            </w: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02"/>
        </w:trPr>
        <w:tc>
          <w:tcPr>
            <w:tcW w:w="7320" w:type="dxa"/>
            <w:vAlign w:val="bottom"/>
            <w:gridSpan w:val="3"/>
          </w:tcPr>
          <w:p>
            <w:pPr>
              <w:ind w:left="100"/>
              <w:spacing w:after="0"/>
              <w:rPr>
                <w:sz w:val="20"/>
                <w:szCs w:val="20"/>
                <w:color w:val="auto"/>
              </w:rPr>
            </w:pPr>
            <w:r>
              <w:rPr>
                <w:rFonts w:ascii="Arial" w:cs="Arial" w:eastAsia="Arial" w:hAnsi="Arial"/>
                <w:sz w:val="16"/>
                <w:szCs w:val="16"/>
                <w:color w:val="auto"/>
              </w:rPr>
              <w:t>Preferred stock, with $0.01 par value, 5,000,000 shares authorized, no shares issued and</w:t>
            </w: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outstanding at September 30, 2022 and December 31, 2021</w:t>
            </w:r>
          </w:p>
        </w:tc>
        <w:tc>
          <w:tcPr>
            <w:tcW w:w="200" w:type="dxa"/>
            <w:vAlign w:val="bottom"/>
          </w:tcPr>
          <w:p>
            <w:pPr>
              <w:spacing w:after="0"/>
              <w:rPr>
                <w:sz w:val="21"/>
                <w:szCs w:val="21"/>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7320" w:type="dxa"/>
            <w:vAlign w:val="bottom"/>
            <w:gridSpan w:val="3"/>
            <w:shd w:val="clear" w:color="auto" w:fill="CCEEFF"/>
          </w:tcPr>
          <w:p>
            <w:pPr>
              <w:ind w:left="100"/>
              <w:spacing w:after="0" w:line="163" w:lineRule="exact"/>
              <w:rPr>
                <w:sz w:val="20"/>
                <w:szCs w:val="20"/>
                <w:color w:val="auto"/>
              </w:rPr>
            </w:pPr>
            <w:r>
              <w:rPr>
                <w:rFonts w:ascii="Arial" w:cs="Arial" w:eastAsia="Arial" w:hAnsi="Arial"/>
                <w:sz w:val="16"/>
                <w:szCs w:val="16"/>
                <w:color w:val="auto"/>
              </w:rPr>
              <w:t>Treasury stock, at cost, 1,823 shares held at September 30, 2022 and no shares held at</w:t>
            </w:r>
          </w:p>
        </w:tc>
        <w:tc>
          <w:tcPr>
            <w:tcW w:w="20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December 31, 2021</w:t>
            </w:r>
          </w:p>
        </w:tc>
        <w:tc>
          <w:tcPr>
            <w:tcW w:w="200" w:type="dxa"/>
            <w:vAlign w:val="bottom"/>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493,493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485,638</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4,372</w:t>
            </w:r>
          </w:p>
        </w:tc>
        <w:tc>
          <w:tcPr>
            <w:tcW w:w="0" w:type="dxa"/>
            <w:vAlign w:val="bottom"/>
          </w:tcPr>
          <w:p>
            <w:pPr>
              <w:spacing w:after="0"/>
              <w:rPr>
                <w:sz w:val="1"/>
                <w:szCs w:val="1"/>
                <w:color w:val="auto"/>
              </w:rPr>
            </w:pPr>
          </w:p>
        </w:tc>
      </w:tr>
      <w:tr>
        <w:trPr>
          <w:trHeight w:val="215"/>
        </w:trPr>
        <w:tc>
          <w:tcPr>
            <w:tcW w:w="7320" w:type="dxa"/>
            <w:vAlign w:val="bottom"/>
            <w:tcBorders>
              <w:bottom w:val="single" w:sz="8" w:color="CCEEFF"/>
            </w:tcBorders>
            <w:gridSpan w:val="3"/>
          </w:tcPr>
          <w:p>
            <w:pPr>
              <w:ind w:left="10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3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508,005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490,589</w:t>
            </w:r>
          </w:p>
        </w:tc>
        <w:tc>
          <w:tcPr>
            <w:tcW w:w="0" w:type="dxa"/>
            <w:vAlign w:val="bottom"/>
          </w:tcPr>
          <w:p>
            <w:pPr>
              <w:spacing w:after="0"/>
              <w:rPr>
                <w:sz w:val="1"/>
                <w:szCs w:val="1"/>
                <w:color w:val="auto"/>
              </w:rPr>
            </w:pPr>
          </w:p>
        </w:tc>
      </w:tr>
      <w:tr>
        <w:trPr>
          <w:trHeight w:val="210"/>
        </w:trPr>
        <w:tc>
          <w:tcPr>
            <w:tcW w:w="7320" w:type="dxa"/>
            <w:vAlign w:val="bottom"/>
            <w:gridSpan w:val="3"/>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1,521,444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1,380,422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2"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29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140"/>
              <w:spacing w:after="0"/>
              <w:rPr>
                <w:sz w:val="20"/>
                <w:szCs w:val="20"/>
                <w:color w:val="auto"/>
              </w:rPr>
            </w:pPr>
            <w:r>
              <w:rPr>
                <w:rFonts w:ascii="Arial" w:cs="Arial" w:eastAsia="Arial" w:hAnsi="Arial"/>
                <w:sz w:val="18"/>
                <w:szCs w:val="18"/>
                <w:color w:val="auto"/>
              </w:rPr>
              <w:t>Passenger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195,360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147,718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592,753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377,042</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Cargo</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68,084</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Revenue</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173,663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450,464</w:t>
            </w:r>
          </w:p>
        </w:tc>
        <w:tc>
          <w:tcPr>
            <w:tcW w:w="0" w:type="dxa"/>
            <w:vAlign w:val="bottom"/>
          </w:tcPr>
          <w:p>
            <w:pPr>
              <w:spacing w:after="0"/>
              <w:rPr>
                <w:sz w:val="1"/>
                <w:szCs w:val="1"/>
                <w:color w:val="auto"/>
              </w:rPr>
            </w:pPr>
          </w:p>
        </w:tc>
      </w:tr>
      <w:tr>
        <w:trPr>
          <w:trHeight w:val="34"/>
        </w:trPr>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140"/>
              <w:spacing w:after="0"/>
              <w:rPr>
                <w:sz w:val="20"/>
                <w:szCs w:val="20"/>
                <w:color w:val="auto"/>
              </w:rPr>
            </w:pPr>
            <w:r>
              <w:rPr>
                <w:rFonts w:ascii="Arial" w:cs="Arial" w:eastAsia="Arial" w:hAnsi="Arial"/>
                <w:sz w:val="18"/>
                <w:szCs w:val="18"/>
                <w:color w:val="auto"/>
              </w:rPr>
              <w:t>Aircraft Fuel</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64,843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90,631</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Wages, and Benefits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129,815</w:t>
            </w: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rPr>
                <w:sz w:val="20"/>
                <w:szCs w:val="20"/>
                <w:color w:val="auto"/>
              </w:rPr>
            </w:pPr>
            <w:r>
              <w:rPr>
                <w:rFonts w:ascii="Arial" w:cs="Arial" w:eastAsia="Arial" w:hAnsi="Arial"/>
                <w:sz w:val="18"/>
                <w:szCs w:val="18"/>
                <w:color w:val="auto"/>
              </w:rPr>
              <w:t>Aircraft Rent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13,339</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30,170</w:t>
            </w:r>
          </w:p>
        </w:tc>
        <w:tc>
          <w:tcPr>
            <w:tcW w:w="0" w:type="dxa"/>
            <w:vAlign w:val="bottom"/>
          </w:tcPr>
          <w:p>
            <w:pPr>
              <w:spacing w:after="0"/>
              <w:rPr>
                <w:sz w:val="1"/>
                <w:szCs w:val="1"/>
                <w:color w:val="auto"/>
              </w:rPr>
            </w:pPr>
          </w:p>
        </w:tc>
      </w:tr>
      <w:tr>
        <w:trPr>
          <w:trHeight w:val="229"/>
        </w:trPr>
        <w:tc>
          <w:tcPr>
            <w:tcW w:w="46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16,402</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41,532</w:t>
            </w:r>
          </w:p>
        </w:tc>
        <w:tc>
          <w:tcPr>
            <w:tcW w:w="0" w:type="dxa"/>
            <w:vAlign w:val="bottom"/>
          </w:tcPr>
          <w:p>
            <w:pPr>
              <w:spacing w:after="0"/>
              <w:rPr>
                <w:sz w:val="1"/>
                <w:szCs w:val="1"/>
                <w:color w:val="auto"/>
              </w:rPr>
            </w:pPr>
          </w:p>
        </w:tc>
      </w:tr>
      <w:tr>
        <w:trPr>
          <w:trHeight w:val="229"/>
        </w:trPr>
        <w:tc>
          <w:tcPr>
            <w:tcW w:w="4600" w:type="dxa"/>
            <w:vAlign w:val="bottom"/>
          </w:tcPr>
          <w:p>
            <w:pPr>
              <w:ind w:left="140"/>
              <w:spacing w:after="0"/>
              <w:rPr>
                <w:sz w:val="20"/>
                <w:szCs w:val="20"/>
                <w:color w:val="auto"/>
              </w:rPr>
            </w:pPr>
            <w:r>
              <w:rPr>
                <w:rFonts w:ascii="Arial" w:cs="Arial" w:eastAsia="Arial" w:hAnsi="Arial"/>
                <w:sz w:val="18"/>
                <w:szCs w:val="18"/>
                <w:color w:val="auto"/>
              </w:rPr>
              <w:t>Ground Handling</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19,654</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Landing Fees and Airport Rent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29,606</w:t>
            </w:r>
          </w:p>
        </w:tc>
        <w:tc>
          <w:tcPr>
            <w:tcW w:w="0" w:type="dxa"/>
            <w:vAlign w:val="bottom"/>
          </w:tcPr>
          <w:p>
            <w:pPr>
              <w:spacing w:after="0"/>
              <w:rPr>
                <w:sz w:val="1"/>
                <w:szCs w:val="1"/>
                <w:color w:val="auto"/>
              </w:rPr>
            </w:pPr>
          </w:p>
        </w:tc>
      </w:tr>
      <w:tr>
        <w:trPr>
          <w:trHeight w:val="229"/>
        </w:trPr>
        <w:tc>
          <w:tcPr>
            <w:tcW w:w="4600" w:type="dxa"/>
            <w:vAlign w:val="bottom"/>
          </w:tcPr>
          <w:p>
            <w:pPr>
              <w:ind w:left="140"/>
              <w:spacing w:after="0"/>
              <w:rPr>
                <w:sz w:val="20"/>
                <w:szCs w:val="20"/>
                <w:color w:val="auto"/>
              </w:rPr>
            </w:pPr>
            <w:r>
              <w:rPr>
                <w:rFonts w:ascii="Arial" w:cs="Arial" w:eastAsia="Arial" w:hAnsi="Arial"/>
                <w:sz w:val="18"/>
                <w:szCs w:val="18"/>
                <w:color w:val="auto"/>
              </w:rPr>
              <w:t>Special Items, net</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(72,419)</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net</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50,026</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152,342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348,756</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101,708</w:t>
            </w:r>
          </w:p>
        </w:tc>
        <w:tc>
          <w:tcPr>
            <w:tcW w:w="0" w:type="dxa"/>
            <w:vAlign w:val="bottom"/>
          </w:tcPr>
          <w:p>
            <w:pPr>
              <w:spacing w:after="0"/>
              <w:rPr>
                <w:sz w:val="1"/>
                <w:szCs w:val="1"/>
                <w:color w:val="auto"/>
              </w:rPr>
            </w:pPr>
          </w:p>
        </w:tc>
      </w:tr>
      <w:tr>
        <w:trPr>
          <w:trHeight w:val="34"/>
        </w:trPr>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(19,487)</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18,505</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Non-operating Expense,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Before Income Tax</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100,778</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18,444</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82,334</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to common stockholders: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for computation: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58,146,606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57,355,104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58,039,201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54,368,231</w:t>
            </w:r>
          </w:p>
        </w:tc>
        <w:tc>
          <w:tcPr>
            <w:tcW w:w="0" w:type="dxa"/>
            <w:vAlign w:val="bottom"/>
          </w:tcPr>
          <w:p>
            <w:pPr>
              <w:spacing w:after="0"/>
              <w:rPr>
                <w:sz w:val="1"/>
                <w:szCs w:val="1"/>
                <w:color w:val="auto"/>
              </w:rPr>
            </w:pPr>
          </w:p>
        </w:tc>
      </w:tr>
      <w:tr>
        <w:trPr>
          <w:trHeight w:val="239"/>
        </w:trPr>
        <w:tc>
          <w:tcPr>
            <w:tcW w:w="46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60,793,516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61,712,378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61,372,735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58,699,991</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60" w:type="dxa"/>
            <w:vAlign w:val="bottom"/>
          </w:tcPr>
          <w:p>
            <w:pPr>
              <w:spacing w:after="0"/>
              <w:rPr>
                <w:sz w:val="17"/>
                <w:szCs w:val="17"/>
                <w:color w:val="auto"/>
              </w:rPr>
            </w:pPr>
          </w:p>
        </w:tc>
        <w:tc>
          <w:tcPr>
            <w:tcW w:w="352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306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10,677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82,334</w:t>
            </w: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260" w:type="dxa"/>
            <w:vAlign w:val="bottom"/>
          </w:tcPr>
          <w:p>
            <w:pPr>
              <w:ind w:left="240"/>
              <w:spacing w:after="0" w:line="183" w:lineRule="exact"/>
              <w:rPr>
                <w:sz w:val="20"/>
                <w:szCs w:val="20"/>
                <w:color w:val="auto"/>
              </w:rPr>
            </w:pPr>
            <w:r>
              <w:rPr>
                <w:rFonts w:ascii="Arial" w:cs="Arial" w:eastAsia="Arial" w:hAnsi="Arial"/>
                <w:sz w:val="18"/>
                <w:szCs w:val="18"/>
                <w:color w:val="auto"/>
              </w:rPr>
              <w:t>Net unrealized loss on Available-for-Sale</w:t>
            </w: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60" w:type="dxa"/>
            <w:vAlign w:val="bottom"/>
          </w:tcPr>
          <w:p>
            <w:pPr>
              <w:ind w:left="240"/>
              <w:spacing w:after="0" w:line="181" w:lineRule="exact"/>
              <w:rPr>
                <w:sz w:val="20"/>
                <w:szCs w:val="20"/>
                <w:color w:val="auto"/>
              </w:rPr>
            </w:pPr>
            <w:r>
              <w:rPr>
                <w:rFonts w:ascii="Arial" w:cs="Arial" w:eastAsia="Arial" w:hAnsi="Arial"/>
                <w:sz w:val="18"/>
                <w:szCs w:val="18"/>
                <w:color w:val="auto"/>
              </w:rPr>
              <w:t>securities, net of deferred tax benefit of $244, $—,</w:t>
            </w:r>
          </w:p>
        </w:tc>
        <w:tc>
          <w:tcPr>
            <w:tcW w:w="10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$309 and $—, respectively</w:t>
            </w:r>
          </w:p>
        </w:tc>
        <w:tc>
          <w:tcPr>
            <w:tcW w:w="10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10,115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13,379</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2"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4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ind w:left="100"/>
              <w:spacing w:after="0"/>
              <w:rPr>
                <w:sz w:val="20"/>
                <w:szCs w:val="20"/>
                <w:color w:val="auto"/>
              </w:rPr>
            </w:pPr>
            <w:r>
              <w:rPr>
                <w:rFonts w:ascii="Arial" w:cs="Arial" w:eastAsia="Arial" w:hAnsi="Arial"/>
                <w:sz w:val="11"/>
                <w:szCs w:val="11"/>
                <w:b w:val="1"/>
                <w:bCs w:val="1"/>
                <w:color w:val="auto"/>
              </w:rPr>
              <w:t>Nine Months Ended September 30, 2021</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Loans to</w:t>
            </w:r>
          </w:p>
        </w:tc>
        <w:tc>
          <w:tcPr>
            <w:tcW w:w="180" w:type="dxa"/>
            <w:vAlign w:val="bottom"/>
          </w:tcPr>
          <w:p>
            <w:pPr>
              <w:spacing w:after="0"/>
              <w:rPr>
                <w:sz w:val="15"/>
                <w:szCs w:val="15"/>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96"/>
              </w:rPr>
              <w:t>Additional</w:t>
            </w:r>
          </w:p>
        </w:tc>
        <w:tc>
          <w:tcPr>
            <w:tcW w:w="14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8"/>
              </w:rPr>
              <w:t>Retained</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30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380" w:type="dxa"/>
            <w:vAlign w:val="bottom"/>
            <w:gridSpan w:val="2"/>
          </w:tcPr>
          <w:p>
            <w:pPr>
              <w:ind w:left="460"/>
              <w:spacing w:after="0"/>
              <w:rPr>
                <w:sz w:val="20"/>
                <w:szCs w:val="20"/>
                <w:color w:val="auto"/>
              </w:rPr>
            </w:pPr>
            <w:r>
              <w:rPr>
                <w:rFonts w:ascii="Arial" w:cs="Arial" w:eastAsia="Arial" w:hAnsi="Arial"/>
                <w:sz w:val="11"/>
                <w:szCs w:val="11"/>
                <w:b w:val="1"/>
                <w:bCs w:val="1"/>
                <w:color w:val="auto"/>
              </w:rPr>
              <w:t>Shares</w:t>
            </w:r>
          </w:p>
        </w:tc>
        <w:tc>
          <w:tcPr>
            <w:tcW w:w="40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Stockholders</w:t>
            </w:r>
          </w:p>
        </w:tc>
        <w:tc>
          <w:tcPr>
            <w:tcW w:w="18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Paid-in Capital</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Earnings (Deficit)</w:t>
            </w:r>
          </w:p>
        </w:tc>
        <w:tc>
          <w:tcPr>
            <w:tcW w:w="300" w:type="dxa"/>
            <w:vAlign w:val="bottom"/>
          </w:tcPr>
          <w:p>
            <w:pPr>
              <w:spacing w:after="0"/>
              <w:rPr>
                <w:sz w:val="13"/>
                <w:szCs w:val="13"/>
                <w:color w:val="auto"/>
              </w:rPr>
            </w:pPr>
          </w:p>
        </w:tc>
        <w:tc>
          <w:tcPr>
            <w:tcW w:w="980" w:type="dxa"/>
            <w:vAlign w:val="bottom"/>
          </w:tcPr>
          <w:p>
            <w:pPr>
              <w:jc w:val="right"/>
              <w:ind w:right="45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December 31, 2020</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46,839,659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248,525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38,324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283,817</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Arial" w:cs="Arial" w:eastAsia="Arial" w:hAnsi="Arial"/>
                <w:sz w:val="13"/>
                <w:szCs w:val="13"/>
                <w:color w:val="auto"/>
              </w:rPr>
              <w:t>Shares Surrendered by Stockholders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(140,737)</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3,500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(3,499)</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Initial Public Offering, net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10,454,545</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224,552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224,657</w:t>
            </w: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16,778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16,778</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Tax Receivable Agreement</w:t>
            </w: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(115,200)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(115,200)</w:t>
            </w: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Arial" w:cs="Arial" w:eastAsia="Arial" w:hAnsi="Arial"/>
                <w:sz w:val="13"/>
                <w:szCs w:val="13"/>
                <w:color w:val="auto"/>
              </w:rPr>
              <w:t>Amazon Warrants</w:t>
            </w: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1,400</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2,870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2,870</w:t>
            </w:r>
          </w:p>
        </w:tc>
        <w:tc>
          <w:tcPr>
            <w:tcW w:w="0" w:type="dxa"/>
            <w:vAlign w:val="bottom"/>
          </w:tcPr>
          <w:p>
            <w:pPr>
              <w:spacing w:after="0"/>
              <w:rPr>
                <w:sz w:val="1"/>
                <w:szCs w:val="1"/>
                <w:color w:val="auto"/>
              </w:rPr>
            </w:pPr>
          </w:p>
        </w:tc>
      </w:tr>
      <w:tr>
        <w:trPr>
          <w:trHeight w:val="196"/>
        </w:trPr>
        <w:tc>
          <w:tcPr>
            <w:tcW w:w="3040" w:type="dxa"/>
            <w:vAlign w:val="bottom"/>
          </w:tcPr>
          <w:p>
            <w:pPr>
              <w:ind w:left="20"/>
              <w:spacing w:after="0"/>
              <w:rPr>
                <w:sz w:val="20"/>
                <w:szCs w:val="20"/>
                <w:color w:val="auto"/>
              </w:rPr>
            </w:pPr>
            <w:r>
              <w:rPr>
                <w:rFonts w:ascii="Arial" w:cs="Arial" w:eastAsia="Arial" w:hAnsi="Arial"/>
                <w:sz w:val="13"/>
                <w:szCs w:val="13"/>
                <w:color w:val="auto"/>
              </w:rPr>
              <w:t>March 31, 2021</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57,153,467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473,848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(60,098)</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414,322</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Initial Public Offering Expense Adjustment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3"/>
                <w:szCs w:val="13"/>
                <w:color w:val="auto"/>
              </w:rPr>
              <w:t>5,000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52,177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52,177</w:t>
            </w: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Arial" w:cs="Arial" w:eastAsia="Arial" w:hAnsi="Arial"/>
                <w:sz w:val="13"/>
                <w:szCs w:val="13"/>
                <w:color w:val="auto"/>
              </w:rPr>
              <w:t>Amazon Warrants</w:t>
            </w:r>
          </w:p>
        </w:tc>
        <w:tc>
          <w:tcPr>
            <w:tcW w:w="1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1,400</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744</w:t>
            </w:r>
          </w:p>
        </w:tc>
        <w:tc>
          <w:tcPr>
            <w:tcW w:w="0" w:type="dxa"/>
            <w:vAlign w:val="bottom"/>
          </w:tcPr>
          <w:p>
            <w:pPr>
              <w:spacing w:after="0"/>
              <w:rPr>
                <w:sz w:val="1"/>
                <w:szCs w:val="1"/>
                <w:color w:val="auto"/>
              </w:rPr>
            </w:pPr>
          </w:p>
        </w:tc>
      </w:tr>
      <w:tr>
        <w:trPr>
          <w:trHeight w:val="196"/>
        </w:trPr>
        <w:tc>
          <w:tcPr>
            <w:tcW w:w="3040" w:type="dxa"/>
            <w:vAlign w:val="bottom"/>
          </w:tcPr>
          <w:p>
            <w:pPr>
              <w:ind w:left="20"/>
              <w:spacing w:after="0"/>
              <w:rPr>
                <w:sz w:val="20"/>
                <w:szCs w:val="20"/>
                <w:color w:val="auto"/>
              </w:rPr>
            </w:pPr>
            <w:r>
              <w:rPr>
                <w:rFonts w:ascii="Arial" w:cs="Arial" w:eastAsia="Arial" w:hAnsi="Arial"/>
                <w:sz w:val="13"/>
                <w:szCs w:val="13"/>
                <w:color w:val="auto"/>
              </w:rPr>
              <w:t>June 30, 2021</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57,158,467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476,368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(7,921)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469,019</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393,274</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2,376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2,380</w:t>
            </w: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13,379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13,379</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Amazon Warrants</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1,400</w:t>
            </w: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964</w:t>
            </w:r>
          </w:p>
        </w:tc>
        <w:tc>
          <w:tcPr>
            <w:tcW w:w="0" w:type="dxa"/>
            <w:vAlign w:val="bottom"/>
          </w:tcPr>
          <w:p>
            <w:pPr>
              <w:spacing w:after="0"/>
              <w:rPr>
                <w:sz w:val="1"/>
                <w:szCs w:val="1"/>
                <w:color w:val="auto"/>
              </w:rPr>
            </w:pPr>
          </w:p>
        </w:tc>
      </w:tr>
      <w:tr>
        <w:trPr>
          <w:trHeight w:val="28"/>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September 30, 2021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57,551,741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481,108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487,142</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tcPr>
          <w:p>
            <w:pPr>
              <w:jc w:val="right"/>
              <w:ind w:right="57"/>
              <w:spacing w:after="0"/>
              <w:rPr>
                <w:sz w:val="20"/>
                <w:szCs w:val="20"/>
                <w:color w:val="auto"/>
              </w:rPr>
            </w:pPr>
            <w:r>
              <w:rPr>
                <w:rFonts w:ascii="Arial" w:cs="Arial" w:eastAsia="Arial" w:hAnsi="Arial"/>
                <w:sz w:val="11"/>
                <w:szCs w:val="11"/>
                <w:b w:val="1"/>
                <w:bCs w:val="1"/>
                <w:color w:val="auto"/>
                <w:w w:val="99"/>
              </w:rPr>
              <w:t>Nine Months Ended September 30, 2022</w:t>
            </w: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2280" w:type="dxa"/>
            <w:vAlign w:val="bottom"/>
          </w:tcPr>
          <w:p>
            <w:pPr>
              <w:spacing w:after="0"/>
              <w:rPr>
                <w:sz w:val="24"/>
                <w:szCs w:val="24"/>
                <w:color w:val="auto"/>
              </w:rPr>
            </w:pPr>
          </w:p>
        </w:tc>
        <w:tc>
          <w:tcPr>
            <w:tcW w:w="2160" w:type="dxa"/>
            <w:vAlign w:val="bottom"/>
            <w:gridSpan w:val="5"/>
          </w:tcPr>
          <w:p>
            <w:pPr>
              <w:ind w:left="640"/>
              <w:spacing w:after="0"/>
              <w:rPr>
                <w:sz w:val="20"/>
                <w:szCs w:val="20"/>
                <w:color w:val="auto"/>
              </w:rPr>
            </w:pPr>
            <w:r>
              <w:rPr>
                <w:rFonts w:ascii="Arial" w:cs="Arial" w:eastAsia="Arial" w:hAnsi="Arial"/>
                <w:sz w:val="11"/>
                <w:szCs w:val="11"/>
                <w:b w:val="1"/>
                <w:bCs w:val="1"/>
                <w:color w:val="auto"/>
              </w:rPr>
              <w:t>Common Stock</w:t>
            </w:r>
          </w:p>
        </w:tc>
        <w:tc>
          <w:tcPr>
            <w:tcW w:w="2160" w:type="dxa"/>
            <w:vAlign w:val="bottom"/>
            <w:gridSpan w:val="5"/>
          </w:tcPr>
          <w:p>
            <w:pPr>
              <w:ind w:left="660"/>
              <w:spacing w:after="0"/>
              <w:rPr>
                <w:sz w:val="20"/>
                <w:szCs w:val="20"/>
                <w:color w:val="auto"/>
              </w:rPr>
            </w:pPr>
            <w:r>
              <w:rPr>
                <w:rFonts w:ascii="Arial" w:cs="Arial" w:eastAsia="Arial" w:hAnsi="Arial"/>
                <w:sz w:val="11"/>
                <w:szCs w:val="11"/>
                <w:b w:val="1"/>
                <w:bCs w:val="1"/>
                <w:color w:val="auto"/>
              </w:rPr>
              <w:t>Treasury Stock</w:t>
            </w:r>
          </w:p>
        </w:tc>
        <w:tc>
          <w:tcPr>
            <w:tcW w:w="11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Additional Paid-in</w:t>
            </w:r>
          </w:p>
        </w:tc>
        <w:tc>
          <w:tcPr>
            <w:tcW w:w="180" w:type="dxa"/>
            <w:vAlign w:val="bottom"/>
          </w:tcPr>
          <w:p>
            <w:pPr>
              <w:spacing w:after="0"/>
              <w:rPr>
                <w:sz w:val="24"/>
                <w:szCs w:val="24"/>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Retained</w:t>
            </w:r>
          </w:p>
        </w:tc>
        <w:tc>
          <w:tcPr>
            <w:tcW w:w="10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Accumulated Other</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2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rPr>
              <w:t>Amount</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Amount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b w:val="1"/>
                <w:bCs w:val="1"/>
                <w:color w:val="auto"/>
              </w:rPr>
              <w:t>Capital</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Earnings</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Comprehensive Loss</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3"/>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December 31, 2021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57,872,452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579</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gridSpan w:val="2"/>
            <w:shd w:val="clear" w:color="auto" w:fill="CCEEFF"/>
          </w:tcPr>
          <w:p>
            <w:pPr>
              <w:jc w:val="center"/>
              <w:ind w:left="458"/>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485,638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4,372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490,589</w:t>
            </w:r>
          </w:p>
        </w:tc>
        <w:tc>
          <w:tcPr>
            <w:tcW w:w="0" w:type="dxa"/>
            <w:vAlign w:val="bottom"/>
          </w:tcPr>
          <w:p>
            <w:pPr>
              <w:spacing w:after="0"/>
              <w:rPr>
                <w:sz w:val="1"/>
                <w:szCs w:val="1"/>
                <w:color w:val="auto"/>
              </w:rPr>
            </w:pPr>
          </w:p>
        </w:tc>
      </w:tr>
      <w:tr>
        <w:trPr>
          <w:trHeight w:val="168"/>
        </w:trPr>
        <w:tc>
          <w:tcPr>
            <w:tcW w:w="2280" w:type="dxa"/>
            <w:vAlign w:val="bottom"/>
          </w:tcPr>
          <w:p>
            <w:pPr>
              <w:ind w:left="20"/>
              <w:spacing w:after="0"/>
              <w:rPr>
                <w:sz w:val="20"/>
                <w:szCs w:val="20"/>
                <w:color w:val="auto"/>
              </w:rPr>
            </w:pPr>
            <w:r>
              <w:rPr>
                <w:rFonts w:ascii="Arial" w:cs="Arial" w:eastAsia="Arial" w:hAnsi="Arial"/>
                <w:sz w:val="13"/>
                <w:szCs w:val="13"/>
                <w:color w:val="auto"/>
              </w:rPr>
              <w:t>Stock Option Exercises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91,868</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ind w:left="53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ind w:left="10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523</w:t>
            </w:r>
          </w:p>
        </w:tc>
        <w:tc>
          <w:tcPr>
            <w:tcW w:w="0" w:type="dxa"/>
            <w:vAlign w:val="bottom"/>
          </w:tcPr>
          <w:p>
            <w:pPr>
              <w:spacing w:after="0"/>
              <w:rPr>
                <w:sz w:val="1"/>
                <w:szCs w:val="1"/>
                <w:color w:val="auto"/>
              </w:rPr>
            </w:pPr>
          </w:p>
        </w:tc>
      </w:tr>
      <w:tr>
        <w:trPr>
          <w:trHeight w:val="28"/>
        </w:trPr>
        <w:tc>
          <w:tcPr>
            <w:tcW w:w="2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center"/>
              <w:ind w:left="458"/>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3,637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3,637</w:t>
            </w: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rPr>
                <w:sz w:val="20"/>
                <w:szCs w:val="20"/>
                <w:color w:val="auto"/>
              </w:rPr>
            </w:pPr>
            <w:r>
              <w:rPr>
                <w:rFonts w:ascii="Arial" w:cs="Arial" w:eastAsia="Arial" w:hAnsi="Arial"/>
                <w:sz w:val="13"/>
                <w:szCs w:val="13"/>
                <w:color w:val="auto"/>
              </w:rPr>
              <w:t>Amazon Warrants</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gridSpan w:val="2"/>
          </w:tcPr>
          <w:p>
            <w:pPr>
              <w:jc w:val="center"/>
              <w:ind w:left="45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80" w:type="dxa"/>
            <w:vAlign w:val="bottom"/>
            <w:gridSpan w:val="2"/>
          </w:tcPr>
          <w:p>
            <w:pPr>
              <w:ind w:left="10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1,400</w:t>
            </w:r>
          </w:p>
        </w:tc>
        <w:tc>
          <w:tcPr>
            <w:tcW w:w="0" w:type="dxa"/>
            <w:vAlign w:val="bottom"/>
          </w:tcPr>
          <w:p>
            <w:pPr>
              <w:spacing w:after="0"/>
              <w:rPr>
                <w:sz w:val="1"/>
                <w:szCs w:val="1"/>
                <w:color w:val="auto"/>
              </w:rPr>
            </w:pPr>
          </w:p>
        </w:tc>
      </w:tr>
      <w:tr>
        <w:trPr>
          <w:trHeight w:val="28"/>
        </w:trPr>
        <w:tc>
          <w:tcPr>
            <w:tcW w:w="2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center"/>
              <w:ind w:left="458"/>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920</w:t>
            </w:r>
          </w:p>
        </w:tc>
        <w:tc>
          <w:tcPr>
            <w:tcW w:w="0" w:type="dxa"/>
            <w:vAlign w:val="bottom"/>
          </w:tcPr>
          <w:p>
            <w:pPr>
              <w:spacing w:after="0"/>
              <w:rPr>
                <w:sz w:val="1"/>
                <w:szCs w:val="1"/>
                <w:color w:val="auto"/>
              </w:rPr>
            </w:pPr>
          </w:p>
        </w:tc>
      </w:tr>
      <w:tr>
        <w:trPr>
          <w:trHeight w:val="196"/>
        </w:trPr>
        <w:tc>
          <w:tcPr>
            <w:tcW w:w="2280" w:type="dxa"/>
            <w:vAlign w:val="bottom"/>
          </w:tcPr>
          <w:p>
            <w:pPr>
              <w:ind w:left="20"/>
              <w:spacing w:after="0"/>
              <w:rPr>
                <w:sz w:val="20"/>
                <w:szCs w:val="20"/>
                <w:color w:val="auto"/>
              </w:rPr>
            </w:pPr>
            <w:r>
              <w:rPr>
                <w:rFonts w:ascii="Arial" w:cs="Arial" w:eastAsia="Arial" w:hAnsi="Arial"/>
                <w:sz w:val="13"/>
                <w:szCs w:val="13"/>
                <w:color w:val="auto"/>
              </w:rPr>
              <w:t>March 31, 2022</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57,964,320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580</w:t>
            </w:r>
          </w:p>
        </w:tc>
        <w:tc>
          <w:tcPr>
            <w:tcW w:w="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center"/>
              <w:ind w:left="53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488,480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8,009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497,069</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Issued for Stock-Based Awards</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181,404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left="458"/>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1,038</w:t>
            </w:r>
          </w:p>
        </w:tc>
        <w:tc>
          <w:tcPr>
            <w:tcW w:w="0" w:type="dxa"/>
            <w:vAlign w:val="bottom"/>
          </w:tcPr>
          <w:p>
            <w:pPr>
              <w:spacing w:after="0"/>
              <w:rPr>
                <w:sz w:val="1"/>
                <w:szCs w:val="1"/>
                <w:color w:val="auto"/>
              </w:rPr>
            </w:pPr>
          </w:p>
        </w:tc>
      </w:tr>
      <w:tr>
        <w:trPr>
          <w:trHeight w:val="158"/>
        </w:trPr>
        <w:tc>
          <w:tcPr>
            <w:tcW w:w="2280" w:type="dxa"/>
            <w:vAlign w:val="bottom"/>
          </w:tcPr>
          <w:p>
            <w:pPr>
              <w:ind w:left="20"/>
              <w:spacing w:after="0"/>
              <w:rPr>
                <w:sz w:val="20"/>
                <w:szCs w:val="20"/>
                <w:color w:val="auto"/>
              </w:rPr>
            </w:pPr>
            <w:r>
              <w:rPr>
                <w:rFonts w:ascii="Arial" w:cs="Arial" w:eastAsia="Arial" w:hAnsi="Arial"/>
                <w:sz w:val="13"/>
                <w:szCs w:val="13"/>
                <w:color w:val="auto"/>
              </w:rPr>
              <w:t>Net Stock Settlement of Stock-Based</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center"/>
              <w:ind w:left="498"/>
              <w:spacing w:after="0"/>
              <w:rPr>
                <w:sz w:val="20"/>
                <w:szCs w:val="20"/>
                <w:color w:val="auto"/>
              </w:rPr>
            </w:pPr>
            <w:r>
              <w:rPr>
                <w:rFonts w:ascii="Arial" w:cs="Arial" w:eastAsia="Arial" w:hAnsi="Arial"/>
                <w:sz w:val="13"/>
                <w:szCs w:val="13"/>
                <w:color w:val="auto"/>
                <w:w w:val="94"/>
              </w:rPr>
              <w:t>(52)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vMerge w:val="restart"/>
          </w:tcPr>
          <w:p>
            <w:pPr>
              <w:ind w:left="10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3"/>
        </w:trPr>
        <w:tc>
          <w:tcPr>
            <w:tcW w:w="2280" w:type="dxa"/>
            <w:vAlign w:val="bottom"/>
          </w:tcPr>
          <w:p>
            <w:pPr>
              <w:ind w:left="180"/>
              <w:spacing w:after="0"/>
              <w:rPr>
                <w:sz w:val="20"/>
                <w:szCs w:val="20"/>
                <w:color w:val="auto"/>
              </w:rPr>
            </w:pPr>
            <w:r>
              <w:rPr>
                <w:rFonts w:ascii="Arial" w:cs="Arial" w:eastAsia="Arial" w:hAnsi="Arial"/>
                <w:sz w:val="13"/>
                <w:szCs w:val="13"/>
                <w:color w:val="auto"/>
              </w:rPr>
              <w:t>Awards</w:t>
            </w: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458"/>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(3,922)</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Arial" w:cs="Arial" w:eastAsia="Arial" w:hAnsi="Arial"/>
                <w:sz w:val="13"/>
                <w:szCs w:val="13"/>
                <w:color w:val="auto"/>
              </w:rPr>
              <w:t>Amazon Warrants</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40" w:type="dxa"/>
            <w:vAlign w:val="bottom"/>
            <w:gridSpan w:val="2"/>
          </w:tcPr>
          <w:p>
            <w:pPr>
              <w:jc w:val="center"/>
              <w:ind w:left="45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80" w:type="dxa"/>
            <w:vAlign w:val="bottom"/>
            <w:gridSpan w:val="2"/>
          </w:tcPr>
          <w:p>
            <w:pPr>
              <w:ind w:left="10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1,400</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458"/>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gridSpan w:val="2"/>
          </w:tcPr>
          <w:p>
            <w:pPr>
              <w:jc w:val="center"/>
              <w:ind w:left="45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tcPr>
          <w:p>
            <w:pPr>
              <w:ind w:left="880"/>
              <w:spacing w:after="0"/>
              <w:rPr>
                <w:sz w:val="20"/>
                <w:szCs w:val="20"/>
                <w:color w:val="auto"/>
              </w:rPr>
            </w:pPr>
            <w:r>
              <w:rPr>
                <w:rFonts w:ascii="Arial" w:cs="Arial" w:eastAsia="Arial" w:hAnsi="Arial"/>
                <w:sz w:val="13"/>
                <w:szCs w:val="13"/>
                <w:color w:val="auto"/>
                <w:w w:val="98"/>
              </w:rPr>
              <w:t>(220)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28"/>
        </w:trPr>
        <w:tc>
          <w:tcPr>
            <w:tcW w:w="2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June 30, 2022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58,145,724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center"/>
              <w:ind w:left="498"/>
              <w:spacing w:after="0"/>
              <w:rPr>
                <w:sz w:val="20"/>
                <w:szCs w:val="20"/>
                <w:color w:val="auto"/>
              </w:rPr>
            </w:pPr>
            <w:r>
              <w:rPr>
                <w:rFonts w:ascii="Arial" w:cs="Arial" w:eastAsia="Arial" w:hAnsi="Arial"/>
                <w:sz w:val="13"/>
                <w:szCs w:val="13"/>
                <w:color w:val="auto"/>
                <w:w w:val="94"/>
              </w:rPr>
              <w:t>(52)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491,492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3"/>
                <w:szCs w:val="13"/>
                <w:color w:val="auto"/>
                <w:w w:val="98"/>
              </w:rPr>
              <w:t>(220)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495,888</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Stock Issued for Stock-Based Awards</w:t>
            </w: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280" w:type="dxa"/>
            <w:vAlign w:val="bottom"/>
            <w:tcBorders>
              <w:top w:val="single" w:sz="8" w:color="CCEEFF"/>
            </w:tcBorders>
            <w:vMerge w:val="continue"/>
          </w:tcPr>
          <w:p>
            <w:pPr>
              <w:spacing w:after="0"/>
              <w:rPr>
                <w:sz w:val="12"/>
                <w:szCs w:val="12"/>
                <w:color w:val="auto"/>
              </w:rPr>
            </w:pPr>
          </w:p>
        </w:tc>
        <w:tc>
          <w:tcPr>
            <w:tcW w:w="10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22,773</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10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left="538"/>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114</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ind w:left="100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207"/>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458"/>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10,677</w:t>
            </w:r>
          </w:p>
        </w:tc>
        <w:tc>
          <w:tcPr>
            <w:tcW w:w="0" w:type="dxa"/>
            <w:vAlign w:val="bottom"/>
          </w:tcPr>
          <w:p>
            <w:pPr>
              <w:spacing w:after="0"/>
              <w:rPr>
                <w:sz w:val="1"/>
                <w:szCs w:val="1"/>
                <w:color w:val="auto"/>
              </w:rPr>
            </w:pPr>
          </w:p>
        </w:tc>
      </w:tr>
      <w:tr>
        <w:trPr>
          <w:trHeight w:val="196"/>
        </w:trPr>
        <w:tc>
          <w:tcPr>
            <w:tcW w:w="2280" w:type="dxa"/>
            <w:vAlign w:val="bottom"/>
          </w:tcPr>
          <w:p>
            <w:pPr>
              <w:ind w:left="20"/>
              <w:spacing w:after="0"/>
              <w:rPr>
                <w:sz w:val="20"/>
                <w:szCs w:val="20"/>
                <w:color w:val="auto"/>
              </w:rPr>
            </w:pPr>
            <w:r>
              <w:rPr>
                <w:rFonts w:ascii="Arial" w:cs="Arial" w:eastAsia="Arial" w:hAnsi="Arial"/>
                <w:sz w:val="13"/>
                <w:szCs w:val="13"/>
                <w:color w:val="auto"/>
              </w:rPr>
              <w:t>Amazon Warrants</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40" w:type="dxa"/>
            <w:vAlign w:val="bottom"/>
            <w:gridSpan w:val="2"/>
          </w:tcPr>
          <w:p>
            <w:pPr>
              <w:jc w:val="center"/>
              <w:ind w:left="45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80" w:type="dxa"/>
            <w:vAlign w:val="bottom"/>
            <w:gridSpan w:val="2"/>
          </w:tcPr>
          <w:p>
            <w:pPr>
              <w:ind w:left="10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1,400</w:t>
            </w: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458"/>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196"/>
        </w:trPr>
        <w:tc>
          <w:tcPr>
            <w:tcW w:w="228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40" w:type="dxa"/>
            <w:vAlign w:val="bottom"/>
            <w:gridSpan w:val="2"/>
          </w:tcPr>
          <w:p>
            <w:pPr>
              <w:jc w:val="center"/>
              <w:ind w:left="45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0" w:type="dxa"/>
            <w:vAlign w:val="bottom"/>
          </w:tcPr>
          <w:p>
            <w:pPr>
              <w:ind w:left="880"/>
              <w:spacing w:after="0"/>
              <w:rPr>
                <w:sz w:val="20"/>
                <w:szCs w:val="20"/>
                <w:color w:val="auto"/>
              </w:rPr>
            </w:pPr>
            <w:r>
              <w:rPr>
                <w:rFonts w:ascii="Arial" w:cs="Arial" w:eastAsia="Arial" w:hAnsi="Arial"/>
                <w:sz w:val="13"/>
                <w:szCs w:val="13"/>
                <w:color w:val="auto"/>
                <w:w w:val="98"/>
              </w:rPr>
              <w:t>(562)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(562)</w:t>
            </w:r>
          </w:p>
        </w:tc>
        <w:tc>
          <w:tcPr>
            <w:tcW w:w="0" w:type="dxa"/>
            <w:vAlign w:val="bottom"/>
          </w:tcPr>
          <w:p>
            <w:pPr>
              <w:spacing w:after="0"/>
              <w:rPr>
                <w:sz w:val="1"/>
                <w:szCs w:val="1"/>
                <w:color w:val="auto"/>
              </w:rPr>
            </w:pPr>
          </w:p>
        </w:tc>
      </w:tr>
      <w:tr>
        <w:trPr>
          <w:trHeight w:val="228"/>
        </w:trPr>
        <w:tc>
          <w:tcPr>
            <w:tcW w:w="2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September 30,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58,168,497</w:t>
            </w: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center"/>
              <w:ind w:left="498"/>
              <w:spacing w:after="0"/>
              <w:rPr>
                <w:sz w:val="20"/>
                <w:szCs w:val="20"/>
                <w:color w:val="auto"/>
              </w:rPr>
            </w:pPr>
            <w:r>
              <w:rPr>
                <w:rFonts w:ascii="Arial" w:cs="Arial" w:eastAsia="Arial" w:hAnsi="Arial"/>
                <w:sz w:val="13"/>
                <w:szCs w:val="13"/>
                <w:color w:val="auto"/>
                <w:w w:val="94"/>
              </w:rPr>
              <w:t>(52)</w:t>
            </w: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493,493</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14,764</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3"/>
                <w:szCs w:val="13"/>
                <w:color w:val="auto"/>
                <w:w w:val="98"/>
              </w:rPr>
              <w:t>(782)</w:t>
            </w: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508,005</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ectPr>
          <w:pgSz w:w="11900" w:h="16838" w:orient="portrait"/>
          <w:cols w:equalWidth="0" w:num="1">
            <w:col w:w="11220"/>
          </w:cols>
          <w:pgMar w:left="320" w:top="512"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rPr>
              <w:t>Nine Months Ended September 30,</w:t>
            </w: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2022</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1060" w:type="dxa"/>
            <w:vAlign w:val="bottom"/>
            <w:shd w:val="clear" w:color="auto" w:fill="CCEEFF"/>
          </w:tcPr>
          <w:p>
            <w:pPr>
              <w:jc w:val="right"/>
              <w:ind w:right="91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720" w:type="dxa"/>
            <w:vAlign w:val="bottom"/>
          </w:tcPr>
          <w:p>
            <w:pPr>
              <w:ind w:left="140"/>
              <w:spacing w:after="0"/>
              <w:rPr>
                <w:sz w:val="20"/>
                <w:szCs w:val="20"/>
                <w:color w:val="auto"/>
              </w:rPr>
            </w:pPr>
            <w:r>
              <w:rPr>
                <w:rFonts w:ascii="Arial" w:cs="Arial" w:eastAsia="Arial" w:hAnsi="Arial"/>
                <w:sz w:val="13"/>
                <w:szCs w:val="13"/>
                <w:b w:val="1"/>
                <w:bCs w:val="1"/>
                <w:color w:val="auto"/>
              </w:rPr>
              <w:t>Adjustments to reconcile Net Income to Cash from Operating Activities:</w:t>
            </w: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49,364</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Tax Receivable Agreement Adjustment</w:t>
            </w: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5,000</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(19,800)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Right-of-use Assets</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Non-Cash (Gain) Loss on Asset Transactions, net</w:t>
            </w: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Unrealized (Gain) on Fuel Derivatives</w:t>
            </w:r>
          </w:p>
        </w:tc>
        <w:tc>
          <w:tcPr>
            <w:tcW w:w="10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Amortization of Over-market Liabilities</w:t>
            </w: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(2,453)</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Deferred Income Taxes</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3,183</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Amazon Warrants Vested</w:t>
            </w: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4,200</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Amortization of Debt Issuance Costs and Debt Securities</w:t>
            </w: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467</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1,557</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7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Changes in Operating Assets and Liabilities:</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Accounts Receivable</w:t>
            </w: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Inventory</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Prepaid Expenses</w:t>
            </w: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(3,188)</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Lessor Maintenance Deposits</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Aircraft Deposits</w:t>
            </w: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(2,569)</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Assets</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8,674</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Transportation Taxes</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Air Traffic Liabilities</w:t>
            </w: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14,269</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Loyalty Program Liabilities</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Operating Lease Obligations</w:t>
            </w: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(32,651)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Liabilities</w:t>
            </w:r>
          </w:p>
        </w:tc>
        <w:tc>
          <w:tcPr>
            <w:tcW w:w="10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3,733</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Provided by Operating Activities</w:t>
            </w: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71,671</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116,358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720" w:type="dxa"/>
            <w:vAlign w:val="bottom"/>
            <w:tcBorders>
              <w:top w:val="single" w:sz="8" w:color="CCEEFF"/>
            </w:tcBorders>
          </w:tcPr>
          <w:p>
            <w:pPr>
              <w:ind w:left="140"/>
              <w:spacing w:after="0"/>
              <w:rPr>
                <w:sz w:val="20"/>
                <w:szCs w:val="20"/>
                <w:color w:val="auto"/>
              </w:rPr>
            </w:pPr>
            <w:r>
              <w:rPr>
                <w:rFonts w:ascii="Arial" w:cs="Arial" w:eastAsia="Arial" w:hAnsi="Arial"/>
                <w:sz w:val="13"/>
                <w:szCs w:val="13"/>
                <w:b w:val="1"/>
                <w:bCs w:val="1"/>
                <w:color w:val="auto"/>
              </w:rPr>
              <w:t>Cash Flows from Investing Activities:</w:t>
            </w:r>
          </w:p>
        </w:tc>
        <w:tc>
          <w:tcPr>
            <w:tcW w:w="10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Property &amp; Equipment</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(177,658)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Proceeds from the Sale of Property &amp; Equipment</w:t>
            </w: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777</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Insurance Settlements</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8,865</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Purchases of Investments</w:t>
            </w: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(130,529)</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the Sale of Investments</w:t>
            </w:r>
          </w:p>
        </w:tc>
        <w:tc>
          <w:tcPr>
            <w:tcW w:w="10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Used in Investing Activities</w:t>
            </w: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(297,610)</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(118,390)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720" w:type="dxa"/>
            <w:vAlign w:val="bottom"/>
            <w:tcBorders>
              <w:top w:val="single" w:sz="8" w:color="CCEEFF"/>
            </w:tcBorders>
          </w:tcPr>
          <w:p>
            <w:pPr>
              <w:ind w:left="140"/>
              <w:spacing w:after="0"/>
              <w:rPr>
                <w:sz w:val="20"/>
                <w:szCs w:val="20"/>
                <w:color w:val="auto"/>
              </w:rPr>
            </w:pPr>
            <w:r>
              <w:rPr>
                <w:rFonts w:ascii="Arial" w:cs="Arial" w:eastAsia="Arial" w:hAnsi="Arial"/>
                <w:sz w:val="13"/>
                <w:szCs w:val="13"/>
                <w:b w:val="1"/>
                <w:bCs w:val="1"/>
                <w:color w:val="auto"/>
              </w:rPr>
              <w:t>Cash Flows from Financing Activities:</w:t>
            </w:r>
          </w:p>
        </w:tc>
        <w:tc>
          <w:tcPr>
            <w:tcW w:w="10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Received from Stock Offering</w:t>
            </w:r>
          </w:p>
        </w:tc>
        <w:tc>
          <w:tcPr>
            <w:tcW w:w="10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Costs of Stock Offering</w:t>
            </w:r>
          </w:p>
        </w:tc>
        <w:tc>
          <w:tcPr>
            <w:tcW w:w="10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(8,706)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Stock Option and Warrant Exercises</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Taxes Paid for Net Stock Settlement of Stock-Based Awards</w:t>
            </w: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Borrowings</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188,277</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40"/>
              <w:spacing w:after="0"/>
              <w:rPr>
                <w:sz w:val="20"/>
                <w:szCs w:val="20"/>
                <w:color w:val="auto"/>
              </w:rPr>
            </w:pPr>
            <w:r>
              <w:rPr>
                <w:rFonts w:ascii="Arial" w:cs="Arial" w:eastAsia="Arial" w:hAnsi="Arial"/>
                <w:sz w:val="13"/>
                <w:szCs w:val="13"/>
                <w:color w:val="auto"/>
              </w:rPr>
              <w:t>Repayment of Finance Lease Obligations</w:t>
            </w: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(37,842)</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(9,113)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Repayment of Borrowings</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(95,305)</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Debt Issuance Costs</w:t>
            </w:r>
          </w:p>
        </w:tc>
        <w:tc>
          <w:tcPr>
            <w:tcW w:w="10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(2,526)</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72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Net Cash Provided by Financing Activities</w:t>
            </w:r>
          </w:p>
        </w:tc>
        <w:tc>
          <w:tcPr>
            <w:tcW w:w="10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54,229</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222,694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7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(Decrease) Increase in Cash, Cash Equivalents and Restricted Cash</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(171,710)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220,662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7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Cash--Beginning of the Period</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317,785</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77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Cash--End of the Period</w:t>
            </w:r>
          </w:p>
        </w:tc>
        <w:tc>
          <w:tcPr>
            <w:tcW w:w="1060" w:type="dxa"/>
            <w:vAlign w:val="bottom"/>
            <w:tcBorders>
              <w:bottom w:val="single" w:sz="8" w:color="auto"/>
            </w:tcBorders>
            <w:shd w:val="clear" w:color="auto" w:fill="CCEEFF"/>
          </w:tcPr>
          <w:p>
            <w:pPr>
              <w:jc w:val="right"/>
              <w:ind w:right="91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146,075</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SUN COUNTRY AIRLINES HOLDINGS, INC.</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77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72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72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77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3"/>
                <w:szCs w:val="13"/>
                <w:b w:val="1"/>
                <w:bCs w:val="1"/>
                <w:color w:val="auto"/>
              </w:rPr>
              <w:t>Nine Months Ended September 30,</w:t>
            </w:r>
          </w:p>
        </w:tc>
      </w:tr>
      <w:tr>
        <w:trPr>
          <w:trHeight w:val="171"/>
        </w:trPr>
        <w:tc>
          <w:tcPr>
            <w:tcW w:w="7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2021</w:t>
            </w:r>
          </w:p>
        </w:tc>
      </w:tr>
      <w:tr>
        <w:trPr>
          <w:trHeight w:val="157"/>
        </w:trPr>
        <w:tc>
          <w:tcPr>
            <w:tcW w:w="7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Non-cash transactions:</w:t>
            </w: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71"/>
        </w:trPr>
        <w:tc>
          <w:tcPr>
            <w:tcW w:w="7740" w:type="dxa"/>
            <w:vAlign w:val="bottom"/>
          </w:tcPr>
          <w:p>
            <w:pPr>
              <w:ind w:left="140"/>
              <w:spacing w:after="0"/>
              <w:rPr>
                <w:sz w:val="20"/>
                <w:szCs w:val="20"/>
                <w:color w:val="auto"/>
              </w:rPr>
            </w:pPr>
            <w:r>
              <w:rPr>
                <w:rFonts w:ascii="Arial" w:cs="Arial" w:eastAsia="Arial" w:hAnsi="Arial"/>
                <w:sz w:val="13"/>
                <w:szCs w:val="13"/>
                <w:color w:val="auto"/>
              </w:rPr>
              <w:t>Lease Deposits Applied Against the Purchase of Aircraft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1,085</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3,296</w:t>
            </w:r>
          </w:p>
        </w:tc>
      </w:tr>
      <w:tr>
        <w:trPr>
          <w:trHeight w:val="180"/>
        </w:trPr>
        <w:tc>
          <w:tcPr>
            <w:tcW w:w="7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Aircraft and Flight Equipment Acquired through Finance Leases</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71,856</w:t>
            </w:r>
          </w:p>
        </w:tc>
      </w:tr>
      <w:tr>
        <w:trPr>
          <w:trHeight w:val="171"/>
        </w:trPr>
        <w:tc>
          <w:tcPr>
            <w:tcW w:w="7740" w:type="dxa"/>
            <w:vAlign w:val="bottom"/>
          </w:tcPr>
          <w:p>
            <w:pPr>
              <w:ind w:left="140"/>
              <w:spacing w:after="0"/>
              <w:rPr>
                <w:sz w:val="20"/>
                <w:szCs w:val="20"/>
                <w:color w:val="auto"/>
              </w:rPr>
            </w:pPr>
            <w:r>
              <w:rPr>
                <w:rFonts w:ascii="Arial" w:cs="Arial" w:eastAsia="Arial" w:hAnsi="Arial"/>
                <w:sz w:val="13"/>
                <w:szCs w:val="13"/>
                <w:color w:val="auto"/>
              </w:rPr>
              <w:t>Finance Lease Asset Modifications</w:t>
            </w: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46,311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Aircraft Acquired From Exercise of Finance Lease Purchase Option, net of Accumulated Depreciation</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740" w:type="dxa"/>
            <w:vAlign w:val="bottom"/>
          </w:tcPr>
          <w:p>
            <w:pPr>
              <w:ind w:left="140"/>
              <w:spacing w:after="0"/>
              <w:rPr>
                <w:sz w:val="20"/>
                <w:szCs w:val="20"/>
                <w:color w:val="auto"/>
              </w:rPr>
            </w:pPr>
            <w:r>
              <w:rPr>
                <w:rFonts w:ascii="Arial" w:cs="Arial" w:eastAsia="Arial" w:hAnsi="Arial"/>
                <w:sz w:val="13"/>
                <w:szCs w:val="13"/>
                <w:color w:val="auto"/>
              </w:rPr>
              <w:t>Derecognition of Operating Lease Right-of-Use Assets, net</w:t>
            </w: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8,674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41,135</w:t>
            </w:r>
          </w:p>
        </w:tc>
      </w:tr>
      <w:tr>
        <w:trPr>
          <w:trHeight w:val="180"/>
        </w:trPr>
        <w:tc>
          <w:tcPr>
            <w:tcW w:w="7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Derecognition of Operating Lease Obligations</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44,726</w:t>
            </w:r>
          </w:p>
        </w:tc>
      </w:tr>
      <w:tr>
        <w:trPr>
          <w:trHeight w:val="94"/>
        </w:trPr>
        <w:tc>
          <w:tcPr>
            <w:tcW w:w="944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76"/>
        </w:trPr>
        <w:tc>
          <w:tcPr>
            <w:tcW w:w="95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The following provides a reconciliation of Cash, Cash Equivalents and Restricted Cash to the amounts reported on the Condensed Consolidated Balance Sheets:</w:t>
            </w: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4"/>
        </w:trPr>
        <w:tc>
          <w:tcPr>
            <w:tcW w:w="7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2022</w:t>
            </w:r>
          </w:p>
        </w:tc>
        <w:tc>
          <w:tcPr>
            <w:tcW w:w="180" w:type="dxa"/>
            <w:vAlign w:val="bottom"/>
          </w:tcPr>
          <w:p>
            <w:pPr>
              <w:spacing w:after="0"/>
              <w:rPr>
                <w:sz w:val="15"/>
                <w:szCs w:val="15"/>
                <w:color w:val="auto"/>
              </w:rPr>
            </w:pPr>
          </w:p>
        </w:tc>
        <w:tc>
          <w:tcPr>
            <w:tcW w:w="1500" w:type="dxa"/>
            <w:vAlign w:val="bottom"/>
          </w:tcPr>
          <w:p>
            <w:pPr>
              <w:jc w:val="right"/>
              <w:ind w:right="177"/>
              <w:spacing w:after="0"/>
              <w:rPr>
                <w:sz w:val="20"/>
                <w:szCs w:val="20"/>
                <w:color w:val="auto"/>
              </w:rPr>
            </w:pPr>
            <w:r>
              <w:rPr>
                <w:rFonts w:ascii="Arial" w:cs="Arial" w:eastAsia="Arial" w:hAnsi="Arial"/>
                <w:sz w:val="13"/>
                <w:szCs w:val="13"/>
                <w:b w:val="1"/>
                <w:bCs w:val="1"/>
                <w:color w:val="auto"/>
              </w:rPr>
              <w:t>September 30, 2021</w:t>
            </w:r>
          </w:p>
        </w:tc>
      </w:tr>
      <w:tr>
        <w:trPr>
          <w:trHeight w:val="171"/>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131,912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275,332</w:t>
            </w:r>
          </w:p>
        </w:tc>
      </w:tr>
      <w:tr>
        <w:trPr>
          <w:trHeight w:val="171"/>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w:t>
            </w: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14,163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15,693</w:t>
            </w:r>
          </w:p>
        </w:tc>
      </w:tr>
      <w:tr>
        <w:trPr>
          <w:trHeight w:val="199"/>
        </w:trPr>
        <w:tc>
          <w:tcPr>
            <w:tcW w:w="7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Cash, Cash Equivalents and Restricted Cash</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146,075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291,025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1">
            <w:col w:w="11240"/>
          </w:cols>
          <w:pgMar w:left="320" w:top="512" w:right="339" w:bottom="30" w:gutter="0" w:footer="0" w:header="0"/>
        </w:sectPr>
      </w:pPr>
    </w:p>
    <w:p>
      <w:pPr>
        <w:spacing w:after="0"/>
        <w:rPr>
          <w:sz w:val="20"/>
          <w:szCs w:val="20"/>
          <w:color w:val="auto"/>
        </w:rPr>
      </w:pPr>
      <w:r>
        <w:rPr>
          <w:rFonts w:ascii="Arial" w:cs="Arial" w:eastAsia="Arial" w:hAnsi="Arial"/>
          <w:sz w:val="12"/>
          <w:szCs w:val="12"/>
          <w:color w:val="auto"/>
        </w:rPr>
        <w:t>See accompanying Notes to Condensed Consolidated Financial Statements</w:t>
      </w:r>
    </w:p>
    <w:p>
      <w:pPr>
        <w:sectPr>
          <w:pgSz w:w="11900" w:h="16838" w:orient="portrait"/>
          <w:cols w:equalWidth="0" w:num="1">
            <w:col w:w="11240"/>
          </w:cols>
          <w:pgMar w:left="320" w:top="512" w:right="339" w:bottom="3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COMPANY BACKGROUND</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Sun Country Airlines Holdings, Inc. (together with its consolidated subsidiaries, "Sun Country" or the "Company") is the parent company of Sun Country, Inc., which is a certificated air carrier providing scheduled passenger service, air cargo service, charter air transportation and related services. Services are provided to the general public, cargo customers, military branches, wholesale tour operators, schools, companies and other individual entities for air transportation to various U.S. and international destinations. Except as otherwise stated, the financial information, accounting policies, and activities of Sun Country Airlines Holdings, Inc. are referred to as those of the "Company" or "Sun Country".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Transactions</w:t>
      </w:r>
    </w:p>
    <w:p>
      <w:pPr>
        <w:spacing w:after="0" w:line="225" w:lineRule="exact"/>
        <w:rPr>
          <w:sz w:val="20"/>
          <w:szCs w:val="20"/>
          <w:color w:val="auto"/>
        </w:rPr>
      </w:pPr>
    </w:p>
    <w:p>
      <w:pPr>
        <w:jc w:val="both"/>
        <w:ind w:left="34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On April 11, 2018 (the "Acquisition Date"), certain investment funds (the “Apollo Funds”) managed by affiliates of Apollo Global Management, Inc. (“Apollo”) acquired Sun Country, Inc. For more information on the Company’s equity transactions, see </w:t>
      </w:r>
      <w:hyperlink r:id="rId29">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Notes to the Consolidated Financial Statements included in Part II, Item 8 “Financial Statements” in the Company’s Annual Report on Form 10-K for the year ended December 31, 2021 as filed with the U.S. Securities and Exchange Commission (“2021 10-K”).</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Initial Public Offering of Common Stock</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March 16, 2021, the Company priced its initial public offering of 9,090,909 shares of common stock to the public at $24.00 per share. The stock began trading on the NASDAQ on March 17, 2021 under the symbol "SNCY". The underwriters had an option to purchase an additional 1,363,636 shares from the Company at the public offering price, which they exercised. In total, all 10,454,545 shares were issued on March 19, 2021 and the net proceeds to the Company were $225,329 after deducting underwriting discounts and commissions, and other offering expenses.</w:t>
      </w:r>
    </w:p>
    <w:p>
      <w:pPr>
        <w:spacing w:after="0" w:line="17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Concurrently with the closing of the initial public offering, SCA Horus Holdings, LLC, an affiliate of investment funds managed by affiliates of Apollo (the “Apollo Stockholder”), also completed a private placement in which the Apollo Stockholder sold 2,216,312 and 2,216,308 shares of common stock to PAR Investment Partners, L.P. and certain funds or accounts managed by an investment adviser subsidiary of Blackrock, Inc., respectively. Each of the two sales was based on an aggregate purchase price of $50,000 and a price per share equal to 94% of the initial public offering price of $24.00 per share.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Secondary Offerings</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During May 2021 and October 2021, the Apollo Stockholder and other selling stockholders sold 7,250,000 and 8,500,000 shares of the Company's common stock at the public offering prices of $34.50 and $32.50, respectively. Under both transactions, the underwriters were given options to purchase additional shares of the Company's common stock at the public offering price. During the May 2021 and October 2021 offerings, the underwriters elected to purchase 1,087,500 and 435,291 of the option shares, respectively. The Company incurred offering expenses of $1,763 in conjunction with the two secondary offerings and did not receive any of the proceeds from these offerings.</w:t>
      </w:r>
    </w:p>
    <w:p>
      <w:pPr>
        <w:spacing w:after="0" w:line="182" w:lineRule="exact"/>
        <w:rPr>
          <w:sz w:val="20"/>
          <w:szCs w:val="20"/>
          <w:color w:val="auto"/>
        </w:rPr>
      </w:pPr>
    </w:p>
    <w:p>
      <w:pPr>
        <w:jc w:val="both"/>
        <w:ind w:left="34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more information on the 2021 secondary offerings, see </w:t>
      </w:r>
      <w:hyperlink r:id="rId29">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Notes to the Consolidated Financial Statements included in Part II, Item 8 “Financial Statements” in the 2021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Amazon Agreement</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On December 13, 2019, the Company signed a six-year contract (with two, two-year extension options, for a maximum term of 10 years) with Amazon.com Services, Inc. (together with its affiliates, “Amazon”) to provide cargo services under an Air Transportation Services Agreement (the “ATSA”).</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connection with the ATSA, the Company issued warrants to Amazon to purchase an aggregate of up to 9,482,606 shares of common stock at an exercise price of approximately $15.17 per share. There were 632,183 warrants that vested upon execution of the ATSA and 63,217 warrants will vest for each milestone of $8,000 in qualifying payments made by Amazon to the Company. During the nine months ended September 30, 2022 and September 30, 2021, 568,956 warrants vested in each respective period. As of September 30, 2022 and September 30, 2021, the cumulative vested warrants held by Amazon were 2,212,615 and 1,454,008, respectively. The exercise period of these warrants is through the eighth anniversary of the issue date.</w:t>
      </w:r>
    </w:p>
    <w:p>
      <w:pPr>
        <w:spacing w:after="0" w:line="18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Company has prepared the Condensed Consolidated Financial Statements according to U.S. Generally Accepted Accounting Principles (“GAAP”) and has included the accounts of Sun Country Airlines Holdings, Inc. and its subsidiaries. The accompanying unaudited Condensed Consolidated Financial Statements of Sun Country Airlines Holdings, Inc. should be read in conjunction with the Consolidated Financial Statements contained in the 2021 10-K. Management believes that all adjustments necessary for the fair presentation of results, consisting of normally recurring items, have been included in the unaudited Condensed Consolidated Financial Statements for the interim periods presented. The Company reclassified certain prior period amounts to conform to the current period presentation. All material intercompany balances and transactions have been eliminated in consolidation.</w:t>
      </w:r>
    </w:p>
    <w:p>
      <w:pPr>
        <w:spacing w:after="0" w:line="18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Significant areas of judgment relate to passenger revenue recognition, maintenance under the built-in overhaul method, equity-based compensation, tax receivable agreement, lease accounting, impairment of goodwill, impairment of long-lived and intangible assets, air traffic liabilities, the loyalty program, as well as the valuation of Amazon warrants. During the nine months ended September 30, 2022, there were no significant changes to the Company’s critical accounting policies.</w:t>
      </w:r>
    </w:p>
    <w:p>
      <w:pPr>
        <w:spacing w:after="0" w:line="18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Due to impacts from the global coronavirus (“COVID-19”) pandemic, seasonal variations in the demand for air travel, the volatility of aircraft fuel prices, uncertainties in pilot staffing, the impact of macroeconomic conditions including inflationary pressures, and other factors, operating results for the nine months ended September 30, 2022 are not necessarily indicative of operating results for future quarters or for the year ending December 31, 2022. Air travel is also significantly impacted by general economic conditions, the amount of disposable income available to consumers, unemployment levels, corporate travel budgets, extreme or severe weather and natural disasters, disease outbreaks, fears of terrorism or war, and other factors beyond the Company's control.</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Revision of Previously Issued Consolidated Financial Statements</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During the second quarter of 2022, the Company identified an immaterial misstatement in its Condensed Consolidated Financial Statements for the quarter and year-to-date interim periods in the year ended December 31, 2021 (the "previously issued financial statements"). The error related to the improper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 xml:space="preserve">application of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regarding the treatment of the incremental difference between the net purchase price of the leased aircraft and the net operating lease recorded on the balance sheet immediately prior to the transaction. This difference should have been capitalized as part of the acquisition costs incurred to purchase the aircraft off the operating lease. The Company incorrectly expensed this amount as incurred within Special Items, net on the Condensed Consolidated Statements of Operations. The error resulted in an understatement of the benefit within Special Items, net, partially offset by incremental Depreciation and Amortization Expense for the three and nine months ended September 30, 2021, and an understatement of Aircraft and Flight Equipment.</w:t>
      </w:r>
    </w:p>
    <w:p>
      <w:pPr>
        <w:spacing w:after="0" w:line="18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 xml:space="preserve">The Company assessed the materiality of the errors on the prior period financial statements in accordance with Securities and Exchange Commission Staff Accounting Bulletin No. 99, </w:t>
      </w:r>
      <w:r>
        <w:rPr>
          <w:rFonts w:ascii="Arial" w:cs="Arial" w:eastAsia="Arial" w:hAnsi="Arial"/>
          <w:sz w:val="18"/>
          <w:szCs w:val="18"/>
          <w:i w:val="1"/>
          <w:iCs w:val="1"/>
          <w:color w:val="auto"/>
        </w:rPr>
        <w:t>Materiality</w:t>
      </w:r>
      <w:r>
        <w:rPr>
          <w:rFonts w:ascii="Arial" w:cs="Arial" w:eastAsia="Arial" w:hAnsi="Arial"/>
          <w:sz w:val="18"/>
          <w:szCs w:val="18"/>
          <w:color w:val="auto"/>
        </w:rPr>
        <w:t xml:space="preserve">, codified in ASC 250,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Management concluded it was immaterial to the Company's previously issued annual or interim financial statements.</w:t>
      </w:r>
    </w:p>
    <w:p>
      <w:pPr>
        <w:spacing w:after="0" w:line="1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Company has revised the previously issued financial statements as presented in these Condensed Consolidated Financial Statements included in this Quarterly Report on Form 10-Q. In addition, the immaterial error has and will continue to be corrected in the comparative amounts presented in the Company’s subsequent quarterly and annual filings.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the revision on the Company's previously issued Consolidated Balance Sheets as of December 31, 2021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Previously Issued</w:t>
            </w:r>
          </w:p>
        </w:tc>
        <w:tc>
          <w:tcPr>
            <w:tcW w:w="26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Correction</w:t>
            </w:r>
          </w:p>
        </w:tc>
        <w:tc>
          <w:tcPr>
            <w:tcW w:w="240" w:type="dxa"/>
            <w:vAlign w:val="bottom"/>
          </w:tcPr>
          <w:p>
            <w:pPr>
              <w:spacing w:after="0"/>
              <w:rPr>
                <w:sz w:val="17"/>
                <w:szCs w:val="17"/>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Revised</w:t>
            </w:r>
          </w:p>
        </w:tc>
      </w:tr>
      <w:tr>
        <w:trPr>
          <w:trHeight w:val="210"/>
        </w:trPr>
        <w:tc>
          <w:tcPr>
            <w:tcW w:w="34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29"/>
        </w:trPr>
        <w:tc>
          <w:tcPr>
            <w:tcW w:w="340" w:type="dxa"/>
            <w:vAlign w:val="bottom"/>
          </w:tcPr>
          <w:p>
            <w:pPr>
              <w:spacing w:after="0"/>
              <w:rPr>
                <w:sz w:val="19"/>
                <w:szCs w:val="19"/>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Aircraft and Flight Equipment</w:t>
            </w:r>
          </w:p>
        </w:tc>
        <w:tc>
          <w:tcPr>
            <w:tcW w:w="18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440,356</w:t>
            </w:r>
          </w:p>
        </w:tc>
        <w:tc>
          <w:tcPr>
            <w:tcW w:w="8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532"/>
              <w:spacing w:after="0"/>
              <w:rPr>
                <w:sz w:val="20"/>
                <w:szCs w:val="20"/>
                <w:color w:val="auto"/>
              </w:rPr>
            </w:pPr>
            <w:r>
              <w:rPr>
                <w:rFonts w:ascii="Arial" w:cs="Arial" w:eastAsia="Arial" w:hAnsi="Arial"/>
                <w:sz w:val="18"/>
                <w:szCs w:val="18"/>
                <w:color w:val="auto"/>
              </w:rPr>
              <w:t>6,963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447,319</w:t>
            </w:r>
          </w:p>
        </w:tc>
        <w:tc>
          <w:tcPr>
            <w:tcW w:w="4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&amp; Equipment</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rPr>
              <w:t>6,963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695,587</w:t>
            </w:r>
          </w:p>
        </w:tc>
        <w:tc>
          <w:tcPr>
            <w:tcW w:w="4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Accumulated Depreciation &amp; Amortization</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(115,013)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512"/>
              <w:spacing w:after="0"/>
              <w:rPr>
                <w:sz w:val="20"/>
                <w:szCs w:val="20"/>
                <w:color w:val="auto"/>
              </w:rPr>
            </w:pPr>
            <w:r>
              <w:rPr>
                <w:rFonts w:ascii="Arial" w:cs="Arial" w:eastAsia="Arial" w:hAnsi="Arial"/>
                <w:sz w:val="18"/>
                <w:szCs w:val="18"/>
                <w:color w:val="auto"/>
                <w:w w:val="98"/>
              </w:rPr>
              <w:t>(2,056)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(117,069)</w:t>
            </w:r>
          </w:p>
        </w:tc>
        <w:tc>
          <w:tcPr>
            <w:tcW w:w="4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&amp; Equipment, net</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rPr>
              <w:t>4,907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578,518</w:t>
            </w:r>
          </w:p>
        </w:tc>
        <w:tc>
          <w:tcPr>
            <w:tcW w:w="46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Deferred Tax Asset</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512"/>
              <w:spacing w:after="0"/>
              <w:rPr>
                <w:sz w:val="20"/>
                <w:szCs w:val="20"/>
                <w:color w:val="auto"/>
              </w:rPr>
            </w:pPr>
            <w:r>
              <w:rPr>
                <w:rFonts w:ascii="Arial" w:cs="Arial" w:eastAsia="Arial" w:hAnsi="Arial"/>
                <w:sz w:val="18"/>
                <w:szCs w:val="18"/>
                <w:color w:val="auto"/>
                <w:w w:val="98"/>
              </w:rPr>
              <w:t>(1,129)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17,608</w:t>
            </w:r>
          </w:p>
        </w:tc>
        <w:tc>
          <w:tcPr>
            <w:tcW w:w="4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Other Assets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98"/>
              </w:rPr>
              <w:t>(1,129)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426,461</w:t>
            </w:r>
          </w:p>
        </w:tc>
        <w:tc>
          <w:tcPr>
            <w:tcW w:w="4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1,376,644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532"/>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1,380,422</w:t>
            </w:r>
          </w:p>
        </w:tc>
        <w:tc>
          <w:tcPr>
            <w:tcW w:w="4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532"/>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4,372</w:t>
            </w:r>
          </w:p>
        </w:tc>
        <w:tc>
          <w:tcPr>
            <w:tcW w:w="4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Stockholders' Equity</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490,589</w:t>
            </w:r>
          </w:p>
        </w:tc>
        <w:tc>
          <w:tcPr>
            <w:tcW w:w="460" w:type="dxa"/>
            <w:vAlign w:val="bottom"/>
          </w:tcPr>
          <w:p>
            <w:pPr>
              <w:spacing w:after="0"/>
              <w:rPr>
                <w:sz w:val="19"/>
                <w:szCs w:val="19"/>
                <w:color w:val="auto"/>
              </w:rPr>
            </w:pPr>
          </w:p>
        </w:tc>
      </w:tr>
      <w:tr>
        <w:trPr>
          <w:trHeight w:val="239"/>
        </w:trPr>
        <w:tc>
          <w:tcPr>
            <w:tcW w:w="34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1,376,644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center"/>
              <w:ind w:left="532"/>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1,380,422</w:t>
            </w:r>
          </w:p>
        </w:tc>
        <w:tc>
          <w:tcPr>
            <w:tcW w:w="460" w:type="dxa"/>
            <w:vAlign w:val="bottom"/>
          </w:tcPr>
          <w:p>
            <w:pPr>
              <w:spacing w:after="0"/>
              <w:rPr>
                <w:sz w:val="20"/>
                <w:szCs w:val="20"/>
                <w:color w:val="auto"/>
              </w:rPr>
            </w:pPr>
          </w:p>
        </w:tc>
      </w:tr>
      <w:tr>
        <w:trPr>
          <w:trHeight w:val="899"/>
        </w:trPr>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11"/>
        </w:trPr>
        <w:tc>
          <w:tcPr>
            <w:tcW w:w="34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impact of the revision on the Company's previously issued Condensed Consolidated Statements of Operations for the three and nine-month periods ended September 30, 2021 are as follows: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3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rPr>
              <w:t>Three Months Ended September 30, 2021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Nine Months Ended September 30, 2021</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12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As Previously</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Correction</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Revised</w:t>
            </w:r>
          </w:p>
        </w:tc>
        <w:tc>
          <w:tcPr>
            <w:tcW w:w="12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rPr>
              <w:t>As Previously</w:t>
            </w:r>
          </w:p>
        </w:tc>
        <w:tc>
          <w:tcPr>
            <w:tcW w:w="1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Correction</w:t>
            </w:r>
          </w:p>
        </w:tc>
        <w:tc>
          <w:tcPr>
            <w:tcW w:w="160" w:type="dxa"/>
            <w:vAlign w:val="bottom"/>
          </w:tcPr>
          <w:p>
            <w:pPr>
              <w:spacing w:after="0"/>
              <w:rPr>
                <w:sz w:val="12"/>
                <w:szCs w:val="12"/>
                <w:color w:val="auto"/>
              </w:rPr>
            </w:pPr>
          </w:p>
        </w:tc>
        <w:tc>
          <w:tcPr>
            <w:tcW w:w="9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14,710</w:t>
            </w:r>
          </w:p>
        </w:tc>
        <w:tc>
          <w:tcPr>
            <w:tcW w:w="12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41,532</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Special Items,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(65,456)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(72,419)</w:t>
            </w:r>
          </w:p>
        </w:tc>
        <w:tc>
          <w:tcPr>
            <w:tcW w:w="0" w:type="dxa"/>
            <w:vAlign w:val="bottom"/>
          </w:tcPr>
          <w:p>
            <w:pPr>
              <w:spacing w:after="0"/>
              <w:rPr>
                <w:sz w:val="1"/>
                <w:szCs w:val="1"/>
                <w:color w:val="auto"/>
              </w:rPr>
            </w:pPr>
          </w:p>
        </w:tc>
      </w:tr>
      <w:tr>
        <w:trPr>
          <w:trHeight w:val="230"/>
        </w:trPr>
        <w:tc>
          <w:tcPr>
            <w:tcW w:w="312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151,661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152,342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348,756</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96,174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101,708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100,778</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18,444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82,334</w:t>
            </w:r>
          </w:p>
        </w:tc>
        <w:tc>
          <w:tcPr>
            <w:tcW w:w="0" w:type="dxa"/>
            <w:vAlign w:val="bottom"/>
          </w:tcPr>
          <w:p>
            <w:pPr>
              <w:spacing w:after="0"/>
              <w:rPr>
                <w:sz w:val="1"/>
                <w:szCs w:val="1"/>
                <w:color w:val="auto"/>
              </w:rPr>
            </w:pPr>
          </w:p>
        </w:tc>
      </w:tr>
      <w:tr>
        <w:trPr>
          <w:trHeight w:val="229"/>
        </w:trPr>
        <w:tc>
          <w:tcPr>
            <w:tcW w:w="3120" w:type="dxa"/>
            <w:vAlign w:val="bottom"/>
          </w:tcPr>
          <w:p>
            <w:pPr>
              <w:ind w:left="220"/>
              <w:spacing w:after="0"/>
              <w:rPr>
                <w:sz w:val="20"/>
                <w:szCs w:val="20"/>
                <w:color w:val="auto"/>
              </w:rPr>
            </w:pPr>
            <w:r>
              <w:rPr>
                <w:rFonts w:ascii="Arial" w:cs="Arial" w:eastAsia="Arial" w:hAnsi="Arial"/>
                <w:sz w:val="18"/>
                <w:szCs w:val="18"/>
                <w:color w:val="auto"/>
              </w:rPr>
              <w:t>Basic Income per share</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Income per share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revision also impacted the Company's previously issued Condensed Consolidated Statements of Changes in Stockholders Equity as follows: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2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15"/>
          </w:tcPr>
          <w:p>
            <w:pPr>
              <w:jc w:val="center"/>
              <w:ind w:right="55"/>
              <w:spacing w:after="0"/>
              <w:rPr>
                <w:sz w:val="20"/>
                <w:szCs w:val="20"/>
                <w:color w:val="auto"/>
              </w:rPr>
            </w:pPr>
            <w:r>
              <w:rPr>
                <w:rFonts w:ascii="Arial" w:cs="Arial" w:eastAsia="Arial" w:hAnsi="Arial"/>
                <w:sz w:val="14"/>
                <w:szCs w:val="14"/>
                <w:b w:val="1"/>
                <w:bCs w:val="1"/>
                <w:color w:val="auto"/>
              </w:rPr>
              <w:t>For the Three Months Ended June 30, 2021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13"/>
          </w:tcPr>
          <w:p>
            <w:pPr>
              <w:jc w:val="center"/>
              <w:ind w:right="400"/>
              <w:spacing w:after="0"/>
              <w:rPr>
                <w:sz w:val="20"/>
                <w:szCs w:val="20"/>
                <w:color w:val="auto"/>
              </w:rPr>
            </w:pPr>
            <w:r>
              <w:rPr>
                <w:rFonts w:ascii="Arial" w:cs="Arial" w:eastAsia="Arial" w:hAnsi="Arial"/>
                <w:sz w:val="14"/>
                <w:szCs w:val="14"/>
                <w:b w:val="1"/>
                <w:bCs w:val="1"/>
                <w:color w:val="auto"/>
              </w:rPr>
              <w:t>For the Three Months Ended March 31, 2021</w:t>
            </w:r>
          </w:p>
        </w:tc>
        <w:tc>
          <w:tcPr>
            <w:tcW w:w="0" w:type="dxa"/>
            <w:vAlign w:val="bottom"/>
          </w:tcPr>
          <w:p>
            <w:pPr>
              <w:spacing w:after="0"/>
              <w:rPr>
                <w:sz w:val="1"/>
                <w:szCs w:val="1"/>
                <w:color w:val="auto"/>
              </w:rPr>
            </w:pPr>
          </w:p>
        </w:tc>
      </w:tr>
      <w:tr>
        <w:trPr>
          <w:trHeight w:val="143"/>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17"/>
              <w:spacing w:after="0" w:line="143" w:lineRule="exact"/>
              <w:rPr>
                <w:sz w:val="20"/>
                <w:szCs w:val="20"/>
                <w:color w:val="auto"/>
              </w:rPr>
            </w:pPr>
            <w:r>
              <w:rPr>
                <w:rFonts w:ascii="Arial" w:cs="Arial" w:eastAsia="Arial" w:hAnsi="Arial"/>
                <w:sz w:val="14"/>
                <w:szCs w:val="14"/>
                <w:b w:val="1"/>
                <w:bCs w:val="1"/>
                <w:color w:val="auto"/>
              </w:rPr>
              <w:t>As Previously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rPr>
              <w:t>Correction</w:t>
            </w:r>
          </w:p>
        </w:tc>
        <w:tc>
          <w:tcPr>
            <w:tcW w:w="240" w:type="dxa"/>
            <w:vAlign w:val="bottom"/>
          </w:tcPr>
          <w:p>
            <w:pPr>
              <w:spacing w:after="0"/>
              <w:rPr>
                <w:sz w:val="12"/>
                <w:szCs w:val="12"/>
                <w:color w:val="auto"/>
              </w:rPr>
            </w:pPr>
          </w:p>
        </w:tc>
        <w:tc>
          <w:tcPr>
            <w:tcW w:w="11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As Revised</w:t>
            </w:r>
          </w:p>
        </w:tc>
        <w:tc>
          <w:tcPr>
            <w:tcW w:w="140" w:type="dxa"/>
            <w:vAlign w:val="bottom"/>
          </w:tcPr>
          <w:p>
            <w:pPr>
              <w:spacing w:after="0"/>
              <w:rPr>
                <w:sz w:val="12"/>
                <w:szCs w:val="12"/>
                <w:color w:val="auto"/>
              </w:rPr>
            </w:pPr>
          </w:p>
        </w:tc>
        <w:tc>
          <w:tcPr>
            <w:tcW w:w="1240" w:type="dxa"/>
            <w:vAlign w:val="bottom"/>
            <w:gridSpan w:val="6"/>
          </w:tcPr>
          <w:p>
            <w:pPr>
              <w:jc w:val="right"/>
              <w:ind w:right="280"/>
              <w:spacing w:after="0" w:line="143" w:lineRule="exact"/>
              <w:rPr>
                <w:sz w:val="20"/>
                <w:szCs w:val="20"/>
                <w:color w:val="auto"/>
              </w:rPr>
            </w:pPr>
            <w:r>
              <w:rPr>
                <w:rFonts w:ascii="Arial" w:cs="Arial" w:eastAsia="Arial" w:hAnsi="Arial"/>
                <w:sz w:val="14"/>
                <w:szCs w:val="14"/>
                <w:b w:val="1"/>
                <w:bCs w:val="1"/>
                <w:color w:val="auto"/>
              </w:rPr>
              <w:t>As Previously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rPr>
              <w:t>Correction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w w:val="99"/>
              </w:rPr>
              <w:t>Issued</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9"/>
              </w:rPr>
              <w:t>Issued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shd w:val="clear" w:color="auto" w:fill="CCEEFF"/>
          </w:tcPr>
          <w:p>
            <w:pPr>
              <w:ind w:left="520"/>
              <w:spacing w:after="0"/>
              <w:rPr>
                <w:sz w:val="20"/>
                <w:szCs w:val="20"/>
                <w:color w:val="auto"/>
              </w:rPr>
            </w:pPr>
            <w:r>
              <w:rPr>
                <w:rFonts w:ascii="Arial" w:cs="Arial" w:eastAsia="Arial" w:hAnsi="Arial"/>
                <w:sz w:val="18"/>
                <w:szCs w:val="18"/>
                <w:color w:val="auto"/>
              </w:rPr>
              <w:t>51,753</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22"/>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25"/>
        </w:trPr>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9"/>
          </w:tcPr>
          <w:p>
            <w:pPr>
              <w:jc w:val="center"/>
              <w:ind w:left="162"/>
              <w:spacing w:after="0"/>
              <w:rPr>
                <w:sz w:val="20"/>
                <w:szCs w:val="20"/>
                <w:color w:val="auto"/>
              </w:rPr>
            </w:pPr>
            <w:r>
              <w:rPr>
                <w:rFonts w:ascii="Arial" w:cs="Arial" w:eastAsia="Arial" w:hAnsi="Arial"/>
                <w:sz w:val="14"/>
                <w:szCs w:val="14"/>
                <w:b w:val="1"/>
                <w:bCs w:val="1"/>
                <w:color w:val="auto"/>
              </w:rPr>
              <w:t>As of March 31, 2022</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2"/>
          </w:tcPr>
          <w:p>
            <w:pPr>
              <w:jc w:val="center"/>
              <w:ind w:right="17"/>
              <w:spacing w:after="0"/>
              <w:rPr>
                <w:sz w:val="20"/>
                <w:szCs w:val="20"/>
                <w:color w:val="auto"/>
              </w:rPr>
            </w:pPr>
            <w:r>
              <w:rPr>
                <w:rFonts w:ascii="Arial" w:cs="Arial" w:eastAsia="Arial" w:hAnsi="Arial"/>
                <w:sz w:val="14"/>
                <w:szCs w:val="14"/>
                <w:b w:val="1"/>
                <w:bCs w:val="1"/>
                <w:color w:val="auto"/>
              </w:rPr>
              <w:t>As of September 30, 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5"/>
          </w:tcPr>
          <w:p>
            <w:pPr>
              <w:jc w:val="center"/>
              <w:spacing w:after="0" w:line="147" w:lineRule="exact"/>
              <w:rPr>
                <w:sz w:val="20"/>
                <w:szCs w:val="20"/>
                <w:color w:val="auto"/>
              </w:rPr>
            </w:pPr>
            <w:r>
              <w:rPr>
                <w:rFonts w:ascii="Arial" w:cs="Arial" w:eastAsia="Arial" w:hAnsi="Arial"/>
                <w:sz w:val="14"/>
                <w:szCs w:val="14"/>
                <w:b w:val="1"/>
                <w:bCs w:val="1"/>
                <w:color w:val="auto"/>
              </w:rPr>
              <w:t>As Previously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restart"/>
          </w:tcPr>
          <w:p>
            <w:pPr>
              <w:jc w:val="center"/>
              <w:ind w:right="10"/>
              <w:spacing w:after="0"/>
              <w:rPr>
                <w:sz w:val="20"/>
                <w:szCs w:val="20"/>
                <w:color w:val="auto"/>
              </w:rPr>
            </w:pPr>
            <w:r>
              <w:rPr>
                <w:rFonts w:ascii="Arial" w:cs="Arial" w:eastAsia="Arial" w:hAnsi="Arial"/>
                <w:sz w:val="14"/>
                <w:szCs w:val="14"/>
                <w:b w:val="1"/>
                <w:bCs w:val="1"/>
                <w:color w:val="auto"/>
              </w:rPr>
              <w:t>Correction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Revised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left="19"/>
              <w:spacing w:after="0" w:line="147" w:lineRule="exact"/>
              <w:rPr>
                <w:sz w:val="20"/>
                <w:szCs w:val="20"/>
                <w:color w:val="auto"/>
              </w:rPr>
            </w:pPr>
            <w:r>
              <w:rPr>
                <w:rFonts w:ascii="Arial" w:cs="Arial" w:eastAsia="Arial" w:hAnsi="Arial"/>
                <w:sz w:val="14"/>
                <w:szCs w:val="14"/>
                <w:b w:val="1"/>
                <w:bCs w:val="1"/>
                <w:color w:val="auto"/>
              </w:rPr>
              <w:t>As Previously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Correction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4"/>
          </w:tcPr>
          <w:p>
            <w:pPr>
              <w:jc w:val="center"/>
              <w:ind w:right="222"/>
              <w:spacing w:after="0"/>
              <w:rPr>
                <w:sz w:val="20"/>
                <w:szCs w:val="20"/>
                <w:color w:val="auto"/>
              </w:rPr>
            </w:pPr>
            <w:r>
              <w:rPr>
                <w:rFonts w:ascii="Arial" w:cs="Arial" w:eastAsia="Arial" w:hAnsi="Arial"/>
                <w:sz w:val="14"/>
                <w:szCs w:val="14"/>
                <w:b w:val="1"/>
                <w:bCs w:val="1"/>
                <w:color w:val="auto"/>
              </w:rPr>
              <w:t>Issued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Issued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Retained Earnings</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3"/>
            <w:shd w:val="clear" w:color="auto" w:fill="CCEEFF"/>
          </w:tcPr>
          <w:p>
            <w:pPr>
              <w:jc w:val="right"/>
              <w:ind w:right="2"/>
              <w:spacing w:after="0"/>
              <w:rPr>
                <w:sz w:val="20"/>
                <w:szCs w:val="20"/>
                <w:color w:val="auto"/>
              </w:rPr>
            </w:pPr>
            <w:r>
              <w:rPr>
                <w:rFonts w:ascii="Arial" w:cs="Arial" w:eastAsia="Arial" w:hAnsi="Arial"/>
                <w:sz w:val="18"/>
                <w:szCs w:val="18"/>
                <w:color w:val="auto"/>
              </w:rPr>
              <w:t>4,231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10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4"/>
          </w:tcPr>
          <w:p>
            <w:pPr>
              <w:jc w:val="right"/>
              <w:ind w:right="2"/>
              <w:spacing w:after="0"/>
              <w:rPr>
                <w:sz w:val="20"/>
                <w:szCs w:val="20"/>
                <w:color w:val="auto"/>
              </w:rPr>
            </w:pPr>
            <w:r>
              <w:rPr>
                <w:rFonts w:ascii="Arial" w:cs="Arial" w:eastAsia="Arial" w:hAnsi="Arial"/>
                <w:sz w:val="18"/>
                <w:szCs w:val="18"/>
                <w:color w:val="auto"/>
              </w:rPr>
              <w:t>493,291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3,778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497,069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482,880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4,262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8"/>
          </w:tcPr>
          <w:p>
            <w:pPr>
              <w:jc w:val="center"/>
              <w:ind w:right="90"/>
              <w:spacing w:after="0"/>
              <w:rPr>
                <w:sz w:val="20"/>
                <w:szCs w:val="20"/>
                <w:color w:val="auto"/>
              </w:rPr>
            </w:pPr>
            <w:r>
              <w:rPr>
                <w:rFonts w:ascii="Arial" w:cs="Arial" w:eastAsia="Arial" w:hAnsi="Arial"/>
                <w:sz w:val="14"/>
                <w:szCs w:val="14"/>
                <w:b w:val="1"/>
                <w:bCs w:val="1"/>
                <w:color w:val="auto"/>
              </w:rPr>
              <w:t>As of June 30, 2021</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As of March 31, 2021</w:t>
            </w: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5"/>
          </w:tcPr>
          <w:p>
            <w:pPr>
              <w:jc w:val="center"/>
              <w:spacing w:after="0" w:line="147" w:lineRule="exact"/>
              <w:rPr>
                <w:sz w:val="20"/>
                <w:szCs w:val="20"/>
                <w:color w:val="auto"/>
              </w:rPr>
            </w:pPr>
            <w:r>
              <w:rPr>
                <w:rFonts w:ascii="Arial" w:cs="Arial" w:eastAsia="Arial" w:hAnsi="Arial"/>
                <w:sz w:val="14"/>
                <w:szCs w:val="14"/>
                <w:b w:val="1"/>
                <w:bCs w:val="1"/>
                <w:color w:val="auto"/>
              </w:rPr>
              <w:t>As Previously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restart"/>
          </w:tcPr>
          <w:p>
            <w:pPr>
              <w:jc w:val="center"/>
              <w:ind w:right="10"/>
              <w:spacing w:after="0"/>
              <w:rPr>
                <w:sz w:val="20"/>
                <w:szCs w:val="20"/>
                <w:color w:val="auto"/>
              </w:rPr>
            </w:pPr>
            <w:r>
              <w:rPr>
                <w:rFonts w:ascii="Arial" w:cs="Arial" w:eastAsia="Arial" w:hAnsi="Arial"/>
                <w:sz w:val="14"/>
                <w:szCs w:val="14"/>
                <w:b w:val="1"/>
                <w:bCs w:val="1"/>
                <w:color w:val="auto"/>
              </w:rPr>
              <w:t>Correction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Revised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left="19"/>
              <w:spacing w:after="0" w:line="147" w:lineRule="exact"/>
              <w:rPr>
                <w:sz w:val="20"/>
                <w:szCs w:val="20"/>
                <w:color w:val="auto"/>
              </w:rPr>
            </w:pPr>
            <w:r>
              <w:rPr>
                <w:rFonts w:ascii="Arial" w:cs="Arial" w:eastAsia="Arial" w:hAnsi="Arial"/>
                <w:sz w:val="14"/>
                <w:szCs w:val="14"/>
                <w:b w:val="1"/>
                <w:bCs w:val="1"/>
                <w:color w:val="auto"/>
              </w:rPr>
              <w:t>As Previously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Correction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4"/>
          </w:tcPr>
          <w:p>
            <w:pPr>
              <w:jc w:val="center"/>
              <w:ind w:right="222"/>
              <w:spacing w:after="0"/>
              <w:rPr>
                <w:sz w:val="20"/>
                <w:szCs w:val="20"/>
                <w:color w:val="auto"/>
              </w:rPr>
            </w:pPr>
            <w:r>
              <w:rPr>
                <w:rFonts w:ascii="Arial" w:cs="Arial" w:eastAsia="Arial" w:hAnsi="Arial"/>
                <w:sz w:val="14"/>
                <w:szCs w:val="14"/>
                <w:b w:val="1"/>
                <w:bCs w:val="1"/>
                <w:color w:val="auto"/>
              </w:rPr>
              <w:t>Issued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Issued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Retained Earnings (Deficit)</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(12,707)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(64,460)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60" w:type="dxa"/>
            <w:vAlign w:val="bottom"/>
          </w:tcPr>
          <w:p>
            <w:pPr>
              <w:ind w:left="10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4"/>
          </w:tcPr>
          <w:p>
            <w:pPr>
              <w:jc w:val="right"/>
              <w:ind w:right="2"/>
              <w:spacing w:after="0"/>
              <w:rPr>
                <w:sz w:val="20"/>
                <w:szCs w:val="20"/>
                <w:color w:val="auto"/>
              </w:rPr>
            </w:pPr>
            <w:r>
              <w:rPr>
                <w:rFonts w:ascii="Arial" w:cs="Arial" w:eastAsia="Arial" w:hAnsi="Arial"/>
                <w:sz w:val="18"/>
                <w:szCs w:val="18"/>
                <w:color w:val="auto"/>
              </w:rPr>
              <w:t>464,233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4,786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469,019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409,960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4,362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414,322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Company's Condensed Consolidated Statement of Changes Stockholders' Equity as of December 31, 2021 has been corrected to reflect the changes to the impacted Stockholders' Equity accounts as described above.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The impact of the revision on the Company's previously issued Condensed Consolidated Statements of Cash Flow for the nine months ended September 30, 2021 is as follows: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57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gridSpan w:val="7"/>
          </w:tcPr>
          <w:p>
            <w:pPr>
              <w:jc w:val="center"/>
              <w:ind w:right="332"/>
              <w:spacing w:after="0"/>
              <w:rPr>
                <w:sz w:val="20"/>
                <w:szCs w:val="20"/>
                <w:color w:val="auto"/>
              </w:rPr>
            </w:pPr>
            <w:r>
              <w:rPr>
                <w:rFonts w:ascii="Arial" w:cs="Arial" w:eastAsia="Arial" w:hAnsi="Arial"/>
                <w:sz w:val="14"/>
                <w:szCs w:val="14"/>
                <w:b w:val="1"/>
                <w:bCs w:val="1"/>
                <w:color w:val="auto"/>
              </w:rPr>
              <w:t>Nine Months Ended September 30, 2021</w:t>
            </w:r>
          </w:p>
        </w:tc>
      </w:tr>
      <w:tr>
        <w:trPr>
          <w:trHeight w:val="196"/>
        </w:trPr>
        <w:tc>
          <w:tcPr>
            <w:tcW w:w="5780" w:type="dxa"/>
            <w:vAlign w:val="bottom"/>
          </w:tcPr>
          <w:p>
            <w:pPr>
              <w:spacing w:after="0"/>
              <w:rPr>
                <w:sz w:val="17"/>
                <w:szCs w:val="17"/>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Previously Issued</w:t>
            </w:r>
          </w:p>
        </w:tc>
        <w:tc>
          <w:tcPr>
            <w:tcW w:w="26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Correction</w:t>
            </w:r>
          </w:p>
        </w:tc>
        <w:tc>
          <w:tcPr>
            <w:tcW w:w="240" w:type="dxa"/>
            <w:vAlign w:val="bottom"/>
          </w:tcPr>
          <w:p>
            <w:pPr>
              <w:spacing w:after="0"/>
              <w:rPr>
                <w:sz w:val="17"/>
                <w:szCs w:val="17"/>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b w:val="1"/>
                <w:bCs w:val="1"/>
                <w:color w:val="auto"/>
              </w:rPr>
              <w:t>As Revised</w:t>
            </w:r>
          </w:p>
        </w:tc>
      </w:tr>
      <w:tr>
        <w:trPr>
          <w:trHeight w:val="211"/>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57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78,072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4,262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82,334</w:t>
            </w:r>
          </w:p>
        </w:tc>
      </w:tr>
      <w:tr>
        <w:trPr>
          <w:trHeight w:val="229"/>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41,532</w:t>
            </w:r>
          </w:p>
        </w:tc>
      </w:tr>
      <w:tr>
        <w:trPr>
          <w:trHeight w:val="230"/>
        </w:trPr>
        <w:tc>
          <w:tcPr>
            <w:tcW w:w="5780" w:type="dxa"/>
            <w:vAlign w:val="bottom"/>
          </w:tcPr>
          <w:p>
            <w:pPr>
              <w:ind w:left="120"/>
              <w:spacing w:after="0"/>
              <w:rPr>
                <w:sz w:val="20"/>
                <w:szCs w:val="20"/>
                <w:color w:val="auto"/>
              </w:rPr>
            </w:pPr>
            <w:r>
              <w:rPr>
                <w:rFonts w:ascii="Arial" w:cs="Arial" w:eastAsia="Arial" w:hAnsi="Arial"/>
                <w:sz w:val="18"/>
                <w:szCs w:val="18"/>
                <w:color w:val="auto"/>
              </w:rPr>
              <w:t>Non-Cash (Gain) Loss on Asset Transaction, Net</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18,340</w:t>
            </w:r>
          </w:p>
        </w:tc>
      </w:tr>
      <w:tr>
        <w:trPr>
          <w:trHeight w:val="230"/>
        </w:trPr>
        <w:tc>
          <w:tcPr>
            <w:tcW w:w="5780" w:type="dxa"/>
            <w:vAlign w:val="bottom"/>
          </w:tcPr>
          <w:p>
            <w:pPr>
              <w:ind w:left="120"/>
              <w:spacing w:after="0"/>
              <w:rPr>
                <w:sz w:val="20"/>
                <w:szCs w:val="20"/>
                <w:color w:val="auto"/>
              </w:rPr>
            </w:pPr>
            <w:r>
              <w:rPr>
                <w:rFonts w:ascii="Arial" w:cs="Arial" w:eastAsia="Arial" w:hAnsi="Arial"/>
                <w:sz w:val="18"/>
                <w:szCs w:val="18"/>
                <w:color w:val="auto"/>
              </w:rPr>
              <w:t>Operating Lease Obligations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(32,651)</w:t>
            </w:r>
          </w:p>
        </w:tc>
      </w:tr>
      <w:tr>
        <w:trPr>
          <w:trHeight w:val="229"/>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116,358</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&amp; Equipment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(118,016)</w:t>
            </w:r>
          </w:p>
        </w:tc>
      </w:tr>
      <w:tr>
        <w:trPr>
          <w:trHeight w:val="239"/>
        </w:trPr>
        <w:tc>
          <w:tcPr>
            <w:tcW w:w="5780" w:type="dxa"/>
            <w:vAlign w:val="bottom"/>
          </w:tcPr>
          <w:p>
            <w:pPr>
              <w:ind w:left="1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(111,427)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(118,390)</w:t>
            </w:r>
          </w:p>
        </w:tc>
      </w:tr>
    </w:tbl>
    <w:p>
      <w:pPr>
        <w:spacing w:after="0" w:line="282"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revision had no impact on the Company's Net Cash Provided by Financing Activities for the nine months ended September 30, 2021.</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Investments consist of debt securities and Certificates of Deposit. The Certificates of Deposit are recorded at cost, plus accrued interest. These certificates serve as collateral for letters of credit required by various airports and other vendors. All of the certificates have original maturities greater than 90 days.</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During the nine months ended September 30, 2022, the Company purchased debt securities with original maturities of three months or greater. The investments are classified as Current Assets on the Condensed Consolidated Balance Sheets because the securities are highly liquid and are available to be quickly converted into known amounts of cash to fund current operations. Most of the Company's Available-for-Sale securities will mature within one year. The Company limits its exposure to any one issuer or market sector, and largely limits its investments to investment grade quality securities.</w:t>
      </w:r>
    </w:p>
    <w:p>
      <w:pPr>
        <w:spacing w:after="0" w:line="179"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Company's investment securities are classified as Available-for-Sale and are reported at fair value on the Company's Condensed Consolidated Balance Sheets. Unrealized gains and losses on the Company's Available-for-Sale securities are excluded from net earnings and are reported as a component of Accumulated Other Comprehensive Income, net of income tax effects, within Stockholders' Equity on the Condensed Consolidated Balance Sheets until realized. Realized gains and losses are recorded using the specific identification method and reflected in Other, net within Non-operating Income (Expense) on the Company's Condensed Consolidated Statement of Operations. Premiums and discounts recorded on Available-for-Sale debt securities are accounted for in Interest Income within Non-operating Income (Expense) on the Company's Condensed Consolidated Statement of Operations.</w:t>
      </w:r>
    </w:p>
    <w:p>
      <w:pPr>
        <w:spacing w:after="0" w:line="183"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At each reporting period, the Company assesses its Available-for-Sale investments in an unrealized loss position to determine whether an impairment exists. The Company will record an impairment if management intends to sell an impaired security, will likely be required to sell a security before recovery of the entire amortized cost, or the same level of collectible cash flows from the security is no longer expected.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entire impairment will be included in Other, net within Non-operating Income (Expense) on the Company's Condensed Consolidated Statement of Operations.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 xml:space="preserve">In May 2021, the Financial Accounting Standards Board ("FASB") issued Accounting Standard Update ("ASU") 2021-04, Earnings Per Share (Topic 260), </w:t>
      </w:r>
      <w:r>
        <w:rPr>
          <w:rFonts w:ascii="Arial" w:cs="Arial" w:eastAsia="Arial" w:hAnsi="Arial"/>
          <w:sz w:val="18"/>
          <w:szCs w:val="18"/>
          <w:i w:val="1"/>
          <w:iCs w:val="1"/>
          <w:color w:val="auto"/>
        </w:rPr>
        <w:t>Debt—Modifications and Extinguishments (Subtopic 470-50), Compensation—Stock Compensation (Topic 718),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Derivatives and Hedging—Contracts in Entity’s Own Equity (Subtopic 815-40): Issuer’s Accounting for Certain Modifications or Exchanges of Freestanding Equity-Classified Written Call Options. </w:t>
      </w:r>
      <w:r>
        <w:rPr>
          <w:rFonts w:ascii="Arial" w:cs="Arial" w:eastAsia="Arial" w:hAnsi="Arial"/>
          <w:sz w:val="18"/>
          <w:szCs w:val="18"/>
          <w:color w:val="auto"/>
        </w:rPr>
        <w:t>This new standard provides clarification and reduces diversity in an</w:t>
      </w:r>
      <w:r>
        <w:rPr>
          <w:rFonts w:ascii="Arial" w:cs="Arial" w:eastAsia="Arial" w:hAnsi="Arial"/>
          <w:sz w:val="18"/>
          <w:szCs w:val="18"/>
          <w:i w:val="1"/>
          <w:iCs w:val="1"/>
          <w:color w:val="auto"/>
        </w:rPr>
        <w:t xml:space="preserve"> </w:t>
      </w:r>
      <w:r>
        <w:rPr>
          <w:rFonts w:ascii="Arial" w:cs="Arial" w:eastAsia="Arial" w:hAnsi="Arial"/>
          <w:sz w:val="18"/>
          <w:szCs w:val="18"/>
          <w:color w:val="auto"/>
        </w:rPr>
        <w:t>issuer’s accounting for modifications or exchanges of freestanding equity-classified written call options (such as warrants) that remain equity classified after modification or exchange. On January 1, 2022, the Company adopted ASU 2021-04 on a prospective basis, as required by the Standard. There was no financial statement impact upon adoption.</w:t>
      </w:r>
    </w:p>
    <w:p>
      <w:pPr>
        <w:spacing w:after="0" w:line="18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 xml:space="preserve">In November 2021, the FASB issued ASU 2021-10, Government Assistance (Topic 832), </w:t>
      </w:r>
      <w:r>
        <w:rPr>
          <w:rFonts w:ascii="Arial" w:cs="Arial" w:eastAsia="Arial" w:hAnsi="Arial"/>
          <w:sz w:val="18"/>
          <w:szCs w:val="18"/>
          <w:i w:val="1"/>
          <w:iCs w:val="1"/>
          <w:color w:val="auto"/>
        </w:rPr>
        <w:t>Disclosures by Business Entities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Assistance</w:t>
      </w:r>
      <w:r>
        <w:rPr>
          <w:rFonts w:ascii="Arial" w:cs="Arial" w:eastAsia="Arial" w:hAnsi="Arial"/>
          <w:sz w:val="18"/>
          <w:szCs w:val="18"/>
          <w:color w:val="auto"/>
        </w:rPr>
        <w:t>. The new standard requires additional disclosures regarding government grants and money contributions.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standard requires disclosures on the nature of the transactions and related accounting policies, including significant terms and conditions, as well as the amounts and specific financial statement line items affected by the transactions. The Company adopted this standard as of January 1, 2022. See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for additional information on COVID-19 related government assistance the Company has received.</w:t>
      </w:r>
    </w:p>
    <w:p>
      <w:pPr>
        <w:spacing w:after="0" w:line="18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THE COVID-19 PANDEMIC</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COVID-19 pandemic resulted in a dramatic decline in passenger demand across the U.S. airline industry. Sun Country experienced a significant decrease in demand related to the COVID-19 pandemic, which caused a material decline in 2021 revenues as compared to pre-pandemic levels, and negatively impacted the Company’s financial condition and operating results.</w:t>
      </w:r>
    </w:p>
    <w:p>
      <w:pPr>
        <w:spacing w:after="0" w:line="1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During the third quarter of 2022, Sun Country continued to see recovery in demand from the COVID-19 pandemic relative to demand in 2021, which may impact the comparability of results to prior periods. However, the ongoing impact of the COVID-19 pandemic on overall demand for air travel remains uncertain and cannot be predicted at this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Coronavirus Aid, Relief, and Economic Security Act (“CARES Act”)</w:t>
      </w:r>
    </w:p>
    <w:p>
      <w:pPr>
        <w:spacing w:after="0" w:line="22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During 2021 and 2020, the Company received certain funds from the CARES Act. The cash awarded to the Company through the CARES Act was accounted for as grants, debt, and tax credits based on the terms and nature of the funds awarded.</w:t>
      </w:r>
    </w:p>
    <w:p>
      <w:pPr>
        <w:spacing w:after="0" w:line="153" w:lineRule="exact"/>
        <w:rPr>
          <w:sz w:val="20"/>
          <w:szCs w:val="20"/>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During the nine months ended September 30, 2021, the Company received and recognized as income within Special Items, net $71,587 from the U.S. Treasury under the Payroll Support Program Extension (“PSP2”) and the American Rescue Plan Act of 2021 ("PSP3"). The CARES Act provides an employee retention credit (“CARES Employee Retention Credit”), which is a refundable tax credit against certain employment taxes. During the nine months ended September 30, 2021, the Company recorded $848 related to the CARES Employee Retention Credit within Special Items, net. Under the CARES Act Loan Program, the Company received a $45,000 loan (the “CARES Act Loan”) from the U.S. Treasury, which was repaid in full on March 24, 2021 using proceeds from the IPO. For more information on funds awarded through the CARES Act, see </w:t>
      </w:r>
      <w:hyperlink r:id="rId41">
        <w:r>
          <w:rPr>
            <w:rFonts w:ascii="Arial" w:cs="Arial" w:eastAsia="Arial" w:hAnsi="Arial"/>
            <w:sz w:val="18"/>
            <w:szCs w:val="18"/>
            <w:u w:val="single" w:color="auto"/>
            <w:color w:val="0000FF"/>
          </w:rPr>
          <w:t>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Notes to the Consolidated Financial Statements included in Part II, Item 8 “Financial Statements” in the 2021 10-K.</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In accordance with any grants and/or loans received under the CARES Act, the Company is required to comply with the relevant provisions of the CARES Act and the related implementing agreements which, among other things, include the following: the requirement to use the Payroll Support Program payments exclusively for the continuation of payment of crewmember and employee wages, salaries and benefits; the requirement that certain levels of commercial air service be maintained through March 1, 2022, if ordered by the Department of Transportation ("DOT"); the prohibitions on share repurchases of listed securities and the payment of common stock (or equivalent) dividends through September 30, 2022; and restrictions on the payment of certain executive compensation through April 1, 2023. As of September 30, 2022, the Company was in compliance with these provisions.</w:t>
      </w:r>
    </w:p>
    <w:p>
      <w:pPr>
        <w:spacing w:after="0" w:line="183"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passenger interface fee and on-board sales. Cargo consists of revenue earned from flying cargo aircraft under the ATSA. Other revenue consists primarily of revenue from services in connection with Sun Country Vacations products.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94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9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r>
      <w:tr>
        <w:trPr>
          <w:trHeight w:val="224"/>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Scheduled Service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201,905</w:t>
            </w:r>
          </w:p>
        </w:tc>
      </w:tr>
      <w:tr>
        <w:trPr>
          <w:trHeight w:val="229"/>
        </w:trPr>
        <w:tc>
          <w:tcPr>
            <w:tcW w:w="3980" w:type="dxa"/>
            <w:vAlign w:val="bottom"/>
          </w:tcPr>
          <w:p>
            <w:pPr>
              <w:ind w:left="120"/>
              <w:spacing w:after="0"/>
              <w:rPr>
                <w:sz w:val="20"/>
                <w:szCs w:val="20"/>
                <w:color w:val="auto"/>
              </w:rPr>
            </w:pPr>
            <w:r>
              <w:rPr>
                <w:rFonts w:ascii="Arial" w:cs="Arial" w:eastAsia="Arial" w:hAnsi="Arial"/>
                <w:sz w:val="18"/>
                <w:szCs w:val="18"/>
                <w:color w:val="auto"/>
              </w:rPr>
              <w:t>Charter Service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118,526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88,511</w:t>
            </w:r>
          </w:p>
        </w:tc>
      </w:tr>
      <w:tr>
        <w:trPr>
          <w:trHeight w:val="230"/>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Ancillary</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139,548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86,626</w:t>
            </w:r>
          </w:p>
        </w:tc>
      </w:tr>
      <w:tr>
        <w:trPr>
          <w:trHeight w:val="223"/>
        </w:trPr>
        <w:tc>
          <w:tcPr>
            <w:tcW w:w="3980" w:type="dxa"/>
            <w:vAlign w:val="bottom"/>
          </w:tcPr>
          <w:p>
            <w:pPr>
              <w:ind w:left="260"/>
              <w:spacing w:after="0"/>
              <w:rPr>
                <w:sz w:val="20"/>
                <w:szCs w:val="20"/>
                <w:color w:val="auto"/>
              </w:rPr>
            </w:pPr>
            <w:r>
              <w:rPr>
                <w:rFonts w:ascii="Arial" w:cs="Arial" w:eastAsia="Arial" w:hAnsi="Arial"/>
                <w:sz w:val="18"/>
                <w:szCs w:val="18"/>
                <w:color w:val="auto"/>
              </w:rPr>
              <w:t>Passenger</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195,360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147,718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592,753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377,042</w:t>
            </w:r>
          </w:p>
        </w:tc>
      </w:tr>
      <w:tr>
        <w:trPr>
          <w:trHeight w:val="230"/>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Cargo</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68,084</w:t>
            </w:r>
          </w:p>
        </w:tc>
      </w:tr>
      <w:tr>
        <w:trPr>
          <w:trHeight w:val="230"/>
        </w:trPr>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w:t>
            </w:r>
          </w:p>
        </w:tc>
      </w:tr>
      <w:tr>
        <w:trPr>
          <w:trHeight w:val="248"/>
        </w:trPr>
        <w:tc>
          <w:tcPr>
            <w:tcW w:w="3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221,700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667,290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450,464</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Company attributes and measures its Operating Revenue by geographic region as defined by the DOT for airline reporting based upon the origin of each passenger and cargo flight segment.</w:t>
      </w:r>
    </w:p>
    <w:p>
      <w:pPr>
        <w:spacing w:after="0" w:line="153" w:lineRule="exact"/>
        <w:rPr>
          <w:sz w:val="20"/>
          <w:szCs w:val="20"/>
          <w:color w:val="auto"/>
        </w:rPr>
      </w:pPr>
    </w:p>
    <w:p>
      <w:pPr>
        <w:ind w:left="340" w:right="20"/>
        <w:spacing w:after="0" w:line="287" w:lineRule="auto"/>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Operating Revenues by geographic region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342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40" w:type="dxa"/>
            <w:vAlign w:val="bottom"/>
          </w:tcPr>
          <w:p>
            <w:pPr>
              <w:spacing w:after="0"/>
              <w:rPr>
                <w:sz w:val="17"/>
                <w:szCs w:val="17"/>
                <w:color w:val="auto"/>
              </w:rPr>
            </w:pPr>
          </w:p>
        </w:tc>
        <w:tc>
          <w:tcPr>
            <w:tcW w:w="38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7"/>
                <w:szCs w:val="17"/>
                <w:color w:val="auto"/>
              </w:rPr>
            </w:pPr>
          </w:p>
        </w:tc>
      </w:tr>
      <w:tr>
        <w:trPr>
          <w:trHeight w:val="224"/>
        </w:trPr>
        <w:tc>
          <w:tcPr>
            <w:tcW w:w="3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429,508</w:t>
            </w:r>
          </w:p>
        </w:tc>
        <w:tc>
          <w:tcPr>
            <w:tcW w:w="42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19,870</w:t>
            </w:r>
          </w:p>
        </w:tc>
        <w:tc>
          <w:tcPr>
            <w:tcW w:w="42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42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Total Operating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221,700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173,663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667,290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450,464</w:t>
            </w:r>
          </w:p>
        </w:tc>
        <w:tc>
          <w:tcPr>
            <w:tcW w:w="420" w:type="dxa"/>
            <w:vAlign w:val="bottom"/>
          </w:tcPr>
          <w:p>
            <w:pPr>
              <w:spacing w:after="0"/>
              <w:rPr>
                <w:sz w:val="19"/>
                <w:szCs w:val="19"/>
                <w:color w:val="auto"/>
              </w:rPr>
            </w:pPr>
          </w:p>
        </w:tc>
      </w:tr>
      <w:tr>
        <w:trPr>
          <w:trHeight w:val="21"/>
        </w:trPr>
        <w:tc>
          <w:tcPr>
            <w:tcW w:w="3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902"/>
        </w:trPr>
        <w:tc>
          <w:tcPr>
            <w:tcW w:w="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98"/>
        </w:trPr>
        <w:tc>
          <w:tcPr>
            <w:tcW w:w="34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 Balances</w:t>
      </w:r>
    </w:p>
    <w:p>
      <w:pPr>
        <w:spacing w:after="0" w:line="225" w:lineRule="exact"/>
        <w:rPr>
          <w:sz w:val="20"/>
          <w:szCs w:val="20"/>
          <w:color w:val="auto"/>
        </w:rPr>
      </w:pPr>
    </w:p>
    <w:p>
      <w:pPr>
        <w:jc w:val="both"/>
        <w:ind w:left="340"/>
        <w:spacing w:after="0" w:line="267" w:lineRule="auto"/>
        <w:rPr>
          <w:sz w:val="20"/>
          <w:szCs w:val="20"/>
          <w:color w:val="auto"/>
        </w:rPr>
      </w:pPr>
      <w:r>
        <w:rPr>
          <w:rFonts w:ascii="Arial" w:cs="Arial" w:eastAsia="Arial" w:hAnsi="Arial"/>
          <w:sz w:val="18"/>
          <w:szCs w:val="18"/>
          <w:color w:val="auto"/>
        </w:rPr>
        <w:t>The Company’s contract assets primarily relate to costs incurred to get Amazon cargo aircraft ready for service. The balances are included in Other Current Assets and Other Assets on the Condensed Consolidated Balance Sheets. These deferred up-front costs are being amortized into Maintenance Expense on a pro-rata basis over the initial six years of the ATSA. The amount expensed during the three and nine months ended September 30, 2022 was $151 and $469, respectively. The expense for both the three and nine months ended September 30, 2021 was $208 and $515, respectively.</w:t>
      </w:r>
    </w:p>
    <w:p>
      <w:pPr>
        <w:spacing w:after="0" w:line="172"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Company’s significant contract liabilities are comprised of: 1) ticket sales for transportation that has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the Amazon Deferred Up-front Payment received (reported within Other Liabilities on the Condensed Consolidated Balance Sheets).</w:t>
      </w:r>
    </w:p>
    <w:p>
      <w:pPr>
        <w:spacing w:after="0" w:line="176"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$5,633 was recorded in Other Liabilities on the Company’s Condensed Consolidated Balance Sheets. This deferred up-front payment is being amortized into revenue on a pro-rata basis over the initial six years of the ATSA. For the three and nine months ended September 30, 2022, $225 and $699 was amortized into Cargo revenue, respectively. For the three and nine months ended September 30, 2021, $310 and $779 was amortized into Cargo revenue, respectively.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Assets and Liabilities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7"/>
                <w:szCs w:val="17"/>
                <w:color w:val="auto"/>
              </w:rPr>
            </w:pPr>
          </w:p>
        </w:tc>
        <w:tc>
          <w:tcPr>
            <w:tcW w:w="1600" w:type="dxa"/>
            <w:vAlign w:val="bottom"/>
          </w:tcPr>
          <w:p>
            <w:pPr>
              <w:jc w:val="right"/>
              <w:ind w:right="153"/>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Costs to fulfill contract with Amazon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6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Air Traffic Liabilities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132,830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118,562</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Liabilities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w:t>
            </w:r>
          </w:p>
        </w:tc>
      </w:tr>
      <w:tr>
        <w:trPr>
          <w:trHeight w:val="23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Deferred Up-front Payment</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w:t>
            </w:r>
          </w:p>
        </w:tc>
      </w:tr>
      <w:tr>
        <w:trPr>
          <w:trHeight w:val="248"/>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Contract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142,480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nine months ended September 30, 2022, $109,852 of revenue was recognized in Passenger revenue that was included in the Air Traffic Liabilities as of December 31, 2021.</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Loyalty Program</w:t>
      </w:r>
    </w:p>
    <w:p>
      <w:pPr>
        <w:spacing w:after="0" w:line="225"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estimated loyalty points that will expire unused, or breakage; and (2) a liability for points attributed to</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loyalty points issued to the Company’s Visa card holders is established by deferring a portion of payments received from the Company’s co-branded agreement.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73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24"/>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22,069</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Loyalty Points Earned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3,058</w:t>
            </w:r>
          </w:p>
        </w:tc>
      </w:tr>
      <w:tr>
        <w:trPr>
          <w:trHeight w:val="229"/>
        </w:trPr>
        <w:tc>
          <w:tcPr>
            <w:tcW w:w="7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Loyalty Points Redeemed </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Balance – September 30</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20,311</w:t>
            </w:r>
          </w:p>
        </w:tc>
      </w:tr>
      <w:tr>
        <w:trPr>
          <w:trHeight w:val="21"/>
        </w:trPr>
        <w:tc>
          <w:tcPr>
            <w:tcW w:w="7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______________________</w:t>
      </w:r>
    </w:p>
    <w:p>
      <w:pPr>
        <w:spacing w:after="0" w:line="61" w:lineRule="exact"/>
        <w:rPr>
          <w:sz w:val="20"/>
          <w:szCs w:val="20"/>
          <w:color w:val="auto"/>
        </w:rPr>
      </w:pPr>
    </w:p>
    <w:p>
      <w:pPr>
        <w:jc w:val="both"/>
        <w:ind w:left="900" w:right="500" w:hanging="550"/>
        <w:spacing w:after="0" w:line="263" w:lineRule="auto"/>
        <w:tabs>
          <w:tab w:leader="none" w:pos="900" w:val="left"/>
        </w:tabs>
        <w:numPr>
          <w:ilvl w:val="1"/>
          <w:numId w:val="7"/>
        </w:numPr>
        <w:rPr>
          <w:rFonts w:ascii="Arial" w:cs="Arial" w:eastAsia="Arial" w:hAnsi="Arial"/>
          <w:sz w:val="14"/>
          <w:szCs w:val="14"/>
          <w:color w:val="auto"/>
        </w:rPr>
      </w:pPr>
      <w:r>
        <w:rPr>
          <w:rFonts w:ascii="Arial" w:cs="Arial" w:eastAsia="Arial" w:hAnsi="Arial"/>
          <w:sz w:val="14"/>
          <w:szCs w:val="14"/>
          <w:color w:val="auto"/>
        </w:rPr>
        <w:t>Loyalty points are combined in one homogenous pool, that includes both air and non-air travel awards, and are not separately identifiable. As such, the revenue recognized is comprised of points that were part of the Loyalty Program Liabilities balance at the beginning of the period, as well as points that were earned during the period.</w:t>
      </w:r>
    </w:p>
    <w:p>
      <w:pPr>
        <w:spacing w:after="0" w:line="284" w:lineRule="exact"/>
        <w:rPr>
          <w:rFonts w:ascii="Arial" w:cs="Arial" w:eastAsia="Arial" w:hAnsi="Arial"/>
          <w:sz w:val="14"/>
          <w:szCs w:val="14"/>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computation of basic and diluted earnings per share:</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6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6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r>
      <w:tr>
        <w:trPr>
          <w:trHeight w:val="18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8"/>
        </w:trPr>
        <w:tc>
          <w:tcPr>
            <w:tcW w:w="466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10,677</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13,379</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10,392</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82,334</w:t>
            </w:r>
          </w:p>
        </w:tc>
      </w:tr>
      <w:tr>
        <w:trPr>
          <w:trHeight w:val="261"/>
        </w:trPr>
        <w:tc>
          <w:tcPr>
            <w:tcW w:w="4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02"/>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Denominator:</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Weighted Average Common Shares Outstanding - Basic</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58,146,606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57,355,104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58,039,201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54,368,231</w:t>
            </w:r>
          </w:p>
        </w:tc>
      </w:tr>
      <w:tr>
        <w:trPr>
          <w:trHeight w:val="203"/>
        </w:trPr>
        <w:tc>
          <w:tcPr>
            <w:tcW w:w="466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4"/>
                <w:szCs w:val="14"/>
                <w:color w:val="auto"/>
              </w:rPr>
              <w:t xml:space="preserve">Dilutive effect of Stock Options, RSUs and Warrants </w:t>
            </w:r>
            <w:r>
              <w:rPr>
                <w:rFonts w:ascii="Arial" w:cs="Arial" w:eastAsia="Arial" w:hAnsi="Arial"/>
                <w:sz w:val="18"/>
                <w:szCs w:val="18"/>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2,646,910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4,357,274</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3,333,534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4,331,760</w:t>
            </w:r>
          </w:p>
        </w:tc>
      </w:tr>
      <w:tr>
        <w:trPr>
          <w:trHeight w:val="221"/>
        </w:trPr>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Weighted Average Common Shares Outstanding - Diluted</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60,793,516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61,712,378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61,372,735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58,699,991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r>
      <w:tr>
        <w:trPr>
          <w:trHeight w:val="195"/>
        </w:trPr>
        <w:tc>
          <w:tcPr>
            <w:tcW w:w="46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0.22</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1.40</w:t>
            </w:r>
          </w:p>
        </w:tc>
      </w:tr>
    </w:tbl>
    <w:p>
      <w:pPr>
        <w:spacing w:after="0" w:line="7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______________________</w:t>
      </w:r>
    </w:p>
    <w:p>
      <w:pPr>
        <w:spacing w:after="0" w:line="48" w:lineRule="exact"/>
        <w:rPr>
          <w:sz w:val="20"/>
          <w:szCs w:val="20"/>
          <w:color w:val="auto"/>
        </w:rPr>
      </w:pPr>
    </w:p>
    <w:p>
      <w:pPr>
        <w:jc w:val="both"/>
        <w:ind w:left="900" w:right="500" w:hanging="550"/>
        <w:spacing w:after="0" w:line="256" w:lineRule="auto"/>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There were 3,221,617 and 3,626,851 performance-based stock options outstanding at September 30, 2022 and 2021, respectively. As of September 30, 2022 and 2021, the Company expected approximately 63% and 75% of these options to vest, respectively. As of September 30, 2022, 32.5% of the eligible outstanding performance-based stock options vested and were considered exercisable. These amounts are included in the measure above to the extent they are dilutive.</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anti-dilutive shares for the periods presented were immaterial to the Condensed Consolidated Financial Statements.</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Warrants held by Amazon are included in the calculation of dilutive weighted average shares outstanding as of the date the warrants vest. The unvested warrants held by Amazon have not been included in dilutive shares as their performance condition has not been satisfied.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AIRCRAFT</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As of September 30, 2022, Sun Country operated a fleet of 54 Boeing 737-NG aircraft, consisting of 53 Boeing 737-800s and one Boeing 737-700.</w:t>
      </w:r>
    </w:p>
    <w:p>
      <w:pPr>
        <w:spacing w:after="0" w:line="153"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following tables summarize the Company’s aircraft fleet activity for the nine months ended September 30, 2022 and 2021, respectively:</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2021</w:t>
            </w: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Reclassifications</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Removals</w:t>
            </w:r>
          </w:p>
        </w:tc>
        <w:tc>
          <w:tcPr>
            <w:tcW w:w="1760" w:type="dxa"/>
            <w:vAlign w:val="bottom"/>
          </w:tcPr>
          <w:p>
            <w:pPr>
              <w:jc w:val="right"/>
              <w:ind w:right="133"/>
              <w:spacing w:after="0"/>
              <w:rPr>
                <w:sz w:val="20"/>
                <w:szCs w:val="20"/>
                <w:color w:val="auto"/>
              </w:rPr>
            </w:pPr>
            <w:r>
              <w:rPr>
                <w:rFonts w:ascii="Arial" w:cs="Arial" w:eastAsia="Arial" w:hAnsi="Arial"/>
                <w:sz w:val="14"/>
                <w:szCs w:val="14"/>
                <w:b w:val="1"/>
                <w:bCs w:val="1"/>
                <w:color w:val="auto"/>
              </w:rPr>
              <w:t>September 30, 2022</w:t>
            </w:r>
          </w:p>
        </w:tc>
      </w:tr>
      <w:tr>
        <w:trPr>
          <w:trHeight w:val="238"/>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spacing w:after="0"/>
              <w:rPr>
                <w:sz w:val="20"/>
                <w:szCs w:val="20"/>
                <w:color w:val="auto"/>
              </w:rPr>
            </w:pPr>
          </w:p>
        </w:tc>
      </w:tr>
      <w:tr>
        <w:trPr>
          <w:trHeight w:val="257"/>
        </w:trPr>
        <w:tc>
          <w:tcPr>
            <w:tcW w:w="2500" w:type="dxa"/>
            <w:vAlign w:val="bottom"/>
          </w:tcPr>
          <w:p>
            <w:pPr>
              <w:ind w:left="8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7"/>
        </w:trPr>
        <w:tc>
          <w:tcPr>
            <w:tcW w:w="2500" w:type="dxa"/>
            <w:vAlign w:val="bottom"/>
            <w:shd w:val="clear" w:color="auto" w:fill="CCEEFF"/>
          </w:tcPr>
          <w:p>
            <w:pPr>
              <w:ind w:left="80"/>
              <w:spacing w:after="0" w:line="256"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25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Operating leases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Sun Country Airlines’ Fleet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52"/>
        </w:trPr>
        <w:tc>
          <w:tcPr>
            <w:tcW w:w="2500" w:type="dxa"/>
            <w:vAlign w:val="bottom"/>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61"/>
        </w:trPr>
        <w:tc>
          <w:tcPr>
            <w:tcW w:w="2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Operated for Amazon</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2500" w:type="dxa"/>
            <w:vAlign w:val="bottom"/>
          </w:tcPr>
          <w:p>
            <w:pPr>
              <w:ind w:left="180"/>
              <w:spacing w:after="0"/>
              <w:rPr>
                <w:sz w:val="20"/>
                <w:szCs w:val="20"/>
                <w:color w:val="auto"/>
              </w:rPr>
            </w:pPr>
            <w:r>
              <w:rPr>
                <w:rFonts w:ascii="Arial" w:cs="Arial" w:eastAsia="Arial" w:hAnsi="Arial"/>
                <w:sz w:val="18"/>
                <w:szCs w:val="18"/>
                <w:color w:val="auto"/>
              </w:rPr>
              <w:t>Total Aircraft Operated</w:t>
            </w:r>
          </w:p>
        </w:tc>
        <w:tc>
          <w:tcPr>
            <w:tcW w:w="16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ind w:left="100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5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15"/>
        </w:trPr>
        <w:tc>
          <w:tcPr>
            <w:tcW w:w="250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2020</w:t>
            </w: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Reclassifications</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Removals</w:t>
            </w:r>
          </w:p>
        </w:tc>
        <w:tc>
          <w:tcPr>
            <w:tcW w:w="1760" w:type="dxa"/>
            <w:vAlign w:val="bottom"/>
          </w:tcPr>
          <w:p>
            <w:pPr>
              <w:jc w:val="right"/>
              <w:ind w:right="133"/>
              <w:spacing w:after="0"/>
              <w:rPr>
                <w:sz w:val="20"/>
                <w:szCs w:val="20"/>
                <w:color w:val="auto"/>
              </w:rPr>
            </w:pPr>
            <w:r>
              <w:rPr>
                <w:rFonts w:ascii="Arial" w:cs="Arial" w:eastAsia="Arial" w:hAnsi="Arial"/>
                <w:sz w:val="14"/>
                <w:szCs w:val="14"/>
                <w:b w:val="1"/>
                <w:bCs w:val="1"/>
                <w:color w:val="auto"/>
              </w:rPr>
              <w:t>September 30, 2021</w:t>
            </w:r>
          </w:p>
        </w:tc>
      </w:tr>
      <w:tr>
        <w:trPr>
          <w:trHeight w:val="210"/>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2500" w:type="dxa"/>
            <w:vAlign w:val="bottom"/>
          </w:tcPr>
          <w:p>
            <w:pPr>
              <w:ind w:left="12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25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Sun Country Airlines’ Fleet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 Operated for Amazon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2500" w:type="dxa"/>
            <w:vAlign w:val="bottom"/>
          </w:tcPr>
          <w:p>
            <w:pPr>
              <w:ind w:left="220"/>
              <w:spacing w:after="0"/>
              <w:rPr>
                <w:sz w:val="20"/>
                <w:szCs w:val="20"/>
                <w:color w:val="auto"/>
              </w:rPr>
            </w:pPr>
            <w:r>
              <w:rPr>
                <w:rFonts w:ascii="Arial" w:cs="Arial" w:eastAsia="Arial" w:hAnsi="Arial"/>
                <w:sz w:val="18"/>
                <w:szCs w:val="18"/>
                <w:color w:val="auto"/>
              </w:rPr>
              <w:t>Total Aircraft Operated</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25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900" w:right="500" w:hanging="550"/>
        <w:spacing w:after="0" w:line="285" w:lineRule="auto"/>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Two aircraft operating leases were reclassified into finance lease and two separate aircraft finance lease purchase options were exercised, resulting in a net change of zero finance lease reclassifications.</w:t>
      </w:r>
    </w:p>
    <w:p>
      <w:pPr>
        <w:spacing w:after="0" w:line="270"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 xml:space="preserve">During the nine months ended September 30, 2022, the Company acquired seven incremental aircraft, five of which were financed using proceeds from the issuance of Class A and Class B pass-through trust certificates (the "2022-1 EETC"), and two through finance lease arrangements. As of September 30, 2022, 26 of the owned aircraft were financed and three aircraft were unencumbered. For more information on the Company's financing arrangements,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of these Condensed Consolidated Financial Statements.</w:t>
      </w:r>
    </w:p>
    <w:p>
      <w:pPr>
        <w:spacing w:after="0" w:line="17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During the nine months ended September 30, 2022, the Company completed transactions that adjusted the composition of its fleet. The Company executed lease amendments to purchase two aircraft at the end of the lease term, which modified the classification from operating leases to finance leases with expiration dates in fiscal year 2026. The Company purchased two aircraft previously classified as finance leases, using proceeds from the 2022-1 EETC. Additionally, the Company purchased two aircraft previously classified as operating leases, both of which are now unencumbered.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 xml:space="preserve">During the nine months ended September 30, 2022, an owned aircraft was retired due to the aircraft sustaining damage beyond economic repair. The retirement had no impact on the Company's Condensed Consolidated Results of Operations. See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for more information.</w:t>
      </w:r>
    </w:p>
    <w:p>
      <w:pPr>
        <w:spacing w:after="0" w:line="1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 xml:space="preserve">Six of the aircraft purchased during the nine months ended September 30, 2021 were financed through the Delayed Draw Term Loan Facility.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for additional information. All six aircraft were previously accounted for as operating leases. The Company also acquired four incremental aircraft, one of which was purchased, and three through finance lease arrangements.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amortization, and rent expense on aircraft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8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9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Aircraft Status</w:t>
            </w:r>
          </w:p>
        </w:tc>
        <w:tc>
          <w:tcPr>
            <w:tcW w:w="20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Expense Type</w:t>
            </w: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4"/>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26,514</w:t>
            </w: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Finance Leased</w:t>
            </w:r>
          </w:p>
        </w:tc>
        <w:tc>
          <w:tcPr>
            <w:tcW w:w="20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7,846</w:t>
            </w:r>
          </w:p>
        </w:tc>
      </w:tr>
      <w:tr>
        <w:trPr>
          <w:trHeight w:val="229"/>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Leased</w:t>
            </w:r>
          </w:p>
        </w:tc>
        <w:tc>
          <w:tcPr>
            <w:tcW w:w="208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13,339</w:t>
            </w:r>
          </w:p>
        </w:tc>
      </w:tr>
      <w:tr>
        <w:trPr>
          <w:trHeight w:val="223"/>
        </w:trPr>
        <w:tc>
          <w:tcPr>
            <w:tcW w:w="18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47,699</w:t>
            </w:r>
          </w:p>
        </w:tc>
      </w:tr>
      <w:tr>
        <w:trPr>
          <w:trHeight w:val="20"/>
        </w:trPr>
        <w:tc>
          <w:tcPr>
            <w:tcW w:w="1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820" w:hanging="470"/>
        <w:spacing w:after="0"/>
        <w:tabs>
          <w:tab w:leader="none" w:pos="8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Aircraft Rent expense includes credits for the amortization of over-market liabilities established at the Acquisition Date.</w:t>
      </w:r>
    </w:p>
    <w:p>
      <w:pPr>
        <w:spacing w:after="0" w:line="329"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Depreciation expense on owned aircraft and amortization expense on finance leased aircraft are both classified in Depreciation and Amortization on the Condensed Consolidated Statements of Operations.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Aircraft Maintenance Deposits Contra-Assets</w:t>
      </w:r>
    </w:p>
    <w:p>
      <w:pPr>
        <w:spacing w:after="0" w:line="22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As of the Acquisition Date, the Company established a maintenance deposit contra-asset to offset the acquired maintenance deposits assets included in Short-term Lessor Maintenance Deposits on the Condensed Consolidated Balance Sheets. The assets represent deposits remitted by the previous owners of the Company to the lessor for maintenance events. The contra-assets represent the Company’s obligation to perform planned maintenance events on leased aircraft held as of the Acquisition date. As reimbursable maintenance events are performed and Maintenance Expense is incurred, a portion of the contra-asset is recognized as a reduction to Maintenance Expense on the Condensed Consolidated Statements of Operations due to the fact that the previously acquired maintenance deposit is partially funding the maintenance event. As of September 30, 2022 and December 31, 2021, the remaining balance of the contra-asset was $13,211 and $22,348, respectively. Of the $9,137 reduction in the contra-asset during the nine months ended September 30, 2022, $8,362 is related to the purchase of two aircraft previously under operating leases. The contra-assets reduced the acquisition costs incurred to purchase the aircraft off the operating lease.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Over-market Liabilities</w:t>
      </w:r>
    </w:p>
    <w:p>
      <w:pPr>
        <w:spacing w:after="0" w:line="22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As of the Acquisition Date, the Company recognized a liability representing lease terms which are unfavorable compared with market terms of similar leases. The over-market lease liability is recorded as a contra-asset offsetting the corresponding lease asset. The remaining unamortized balance of this contra-asset as of September 30, 2022 and December 31, 2021 was $132 and $10,363, respectively and is recorded within Operating Lease Right-of-Use Assets. During the first quarter of 2022, the Company executed lease amendments which modified two aircraft from operating leases to finance leases. As a result of the modifications, the Company reclassified $9,687 of the over-market lease liability from Operating Lease Right-of-Use Assets to Finance Lease Assets. The resulting reclassification reduced the go-forward Depreciation and Amortization for the related Finance Lease Assets. Additionally, $173 of the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reduction is related to the purchase of two aircraft previously under operating leases in the three months ended September 30, 2022.</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contra-assets reduced the acquisition costs incurred to purchase the aircraft off the operating lease.</w:t>
      </w:r>
    </w:p>
    <w:p>
      <w:pPr>
        <w:spacing w:after="0" w:line="20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As of the Acquisition Date, Sun Country’s existing leases included payments for maintenance reserves in addition to the stated aircraft lease payments. For a substantial portion of these maintenance reserve payments, the Company does not expect to be reimbursed by the lessor. Therefore, a liability was established representing over-market maintenance reserve lease terms compared to market terms of similar leases. The remaining balance of this liability at September 30, 2022 and December 31, 2021 was $2,958 and $14,737, respectively. Of the $11,779 reduction in the over-market maintenance reserve liabilities during the nine months ended September 30, 2022, $6,023 was incorporated into the Finance Lease Assets in accordance with the terms of the executed lease amendments, as described above. Additionally, $3,303 of the reduction is related to the purchase of two aircraft previously under operating leases. The maintenance deposits were allocated to the acquisition costs incurred to purchase the aircraft off the operating lease.</w:t>
      </w:r>
    </w:p>
    <w:p>
      <w:pPr>
        <w:spacing w:after="0" w:line="185"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jc w:val="both"/>
        <w:ind w:left="260"/>
        <w:spacing w:after="0" w:line="255"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On February 10, 2021, the Company executed a five-year credit agreement (the “Credit Agreement”) with a group of</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that replaced the Company’s prior $25,000 asset-based revolving credit facility. The Credit Agreement includes a $25,000 Revolving Credit Facility (the "Revolving Credit Facility") and a $90,000 Delayed Draw Term Loan Facility (“DDTL”), which are collectively referred to as the “Credit Facilities.” The proceeds from the Revolving Credit Facility can be used for general corporate purposes, whereas the proceeds from the DDTL were to be used solely to finance the acquisition of aircraft or engines to be registered in the United States. The Credit Agreement includes financial covenants that require a minimum trailing 12-month EBITDAR ($87,700 as of March 31, 2022 and beyond) and minimum liquidity of $30,000 at the close of any business day. The Company was in compliance with these covenants as of September 30, 2022.</w:t>
      </w:r>
    </w:p>
    <w:p>
      <w:pPr>
        <w:spacing w:after="0" w:line="185" w:lineRule="exact"/>
        <w:rPr>
          <w:sz w:val="20"/>
          <w:szCs w:val="20"/>
          <w:color w:val="auto"/>
        </w:rPr>
      </w:pPr>
    </w:p>
    <w:p>
      <w:pPr>
        <w:jc w:val="both"/>
        <w:ind w:left="260"/>
        <w:spacing w:after="0" w:line="257" w:lineRule="auto"/>
        <w:rPr>
          <w:sz w:val="20"/>
          <w:szCs w:val="20"/>
          <w:color w:val="auto"/>
        </w:rPr>
      </w:pPr>
      <w:r>
        <w:rPr>
          <w:rFonts w:ascii="Arial" w:cs="Arial" w:eastAsia="Arial" w:hAnsi="Arial"/>
          <w:sz w:val="18"/>
          <w:szCs w:val="18"/>
          <w:color w:val="auto"/>
        </w:rPr>
        <w:t>During 2021, the Company drew $80,500 on the DDTL to purchase six aircraft, which were previously under operating leases. During the first quarter of 2022, the Company repaid the outstanding balance of the DDTL in full using proceeds it received from the 2022-1 EETC, which terminated the DDTL. As a result, no amounts under the DDTL were available to the Company as of September 30, 2022. The Company recorded a $1,557 loss on extinguishment of debt related to the repayment of the DDTL, which represents the write-off of the unamortized deferred financing costs. As of September 30, 2022, the Revolving Credit Facility remained undrawn and $24,650 was available to the Company.</w:t>
      </w:r>
    </w:p>
    <w:p>
      <w:pPr>
        <w:spacing w:after="0" w:line="182"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 In December 2019, the Company arranged for the issuance of Class A, Class B and Class C pass-through trust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Series 2019-1 (the “2019-1 EETC”), in an aggregate face amount of $248,587 for the purpose of financing or refinancing 13 used aircraft, which was completed in 2020.</w:t>
      </w:r>
    </w:p>
    <w:p>
      <w:pPr>
        <w:spacing w:after="0" w:line="184" w:lineRule="exact"/>
        <w:rPr>
          <w:sz w:val="20"/>
          <w:szCs w:val="20"/>
          <w:color w:val="auto"/>
        </w:rPr>
      </w:pPr>
    </w:p>
    <w:p>
      <w:pPr>
        <w:jc w:val="both"/>
        <w:ind w:left="260"/>
        <w:spacing w:after="0" w:line="238" w:lineRule="auto"/>
        <w:rPr>
          <w:sz w:val="20"/>
          <w:szCs w:val="20"/>
          <w:color w:val="auto"/>
        </w:rPr>
      </w:pPr>
      <w:r>
        <w:rPr>
          <w:rFonts w:ascii="Arial" w:cs="Arial" w:eastAsia="Arial" w:hAnsi="Arial"/>
          <w:sz w:val="18"/>
          <w:szCs w:val="18"/>
          <w:color w:val="auto"/>
        </w:rPr>
        <w:t>In March 2022, the Company arranged for the issuance of the 2022-1 EETC in an aggregate face amount of $188,277 for the purpose of financing or refinancing 13 aircraft. The Company recorded $2,526 in debt issuance costs associated with the 2022-1 EETC. Of the 13 aircraft financed by the 2022-1 EETC during the nine months ended September 30, 2022, five were existing owned aircraft previously financed by the DDTL, two of the aircraft were owned outright, four of the aircraft were acquired incrementally, and two aircraft were bought-out from an existing finance lease. The Company is required to make semi-annual principal and interest payments each March and September, the first payment occurred on September 15, 2022. The 2022-1 EETC is secured by a lien on the financed or refinanced</w:t>
      </w:r>
    </w:p>
    <w:p>
      <w:pPr>
        <w:spacing w:after="0" w:line="1" w:lineRule="exact"/>
        <w:rPr>
          <w:sz w:val="20"/>
          <w:szCs w:val="20"/>
          <w:color w:val="auto"/>
        </w:rPr>
      </w:pPr>
    </w:p>
    <w:p>
      <w:pPr>
        <w:jc w:val="both"/>
        <w:ind w:left="260" w:right="20"/>
        <w:spacing w:after="0" w:line="237" w:lineRule="auto"/>
        <w:rPr>
          <w:sz w:val="20"/>
          <w:szCs w:val="20"/>
          <w:color w:val="auto"/>
        </w:rPr>
      </w:pPr>
      <w:r>
        <w:rPr>
          <w:rFonts w:ascii="Arial" w:cs="Arial" w:eastAsia="Arial" w:hAnsi="Arial"/>
          <w:sz w:val="18"/>
          <w:szCs w:val="18"/>
          <w:color w:val="auto"/>
        </w:rPr>
        <w:t>aircraft and will be cross-collateralized by the other aircraft financed through the issuance. Total appraised value of the aircraft and engines financed by the 2022-1 EETC was approximately $259,688 as of the original date of the agreement.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260"/>
        <w:spacing w:after="0" w:line="287" w:lineRule="auto"/>
        <w:rPr>
          <w:sz w:val="20"/>
          <w:szCs w:val="20"/>
          <w:color w:val="auto"/>
        </w:rPr>
      </w:pPr>
      <w:r>
        <w:rPr>
          <w:rFonts w:ascii="Arial" w:cs="Arial" w:eastAsia="Arial" w:hAnsi="Arial"/>
          <w:sz w:val="18"/>
          <w:szCs w:val="18"/>
          <w:color w:val="auto"/>
        </w:rPr>
        <w:t>During the nine months ended September 30, 2022, the Company capitalized $2,327 of Interest Expense related to aircraft financed with the proceeds of the 2022-1 EETC while undergoing induction.</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includes the following:</w:t>
      </w:r>
    </w:p>
    <w:p>
      <w:pPr>
        <w:spacing w:after="0" w:line="275"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September 30, 2022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70"/>
        </w:trPr>
        <w:tc>
          <w:tcPr>
            <w:tcW w:w="676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Notes payable under the Company's 2019-1 EETC agreement dated December</w:t>
            </w: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194,884</w:t>
            </w: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gridSpan w:val="2"/>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202,984</w:t>
            </w:r>
          </w:p>
        </w:tc>
        <w:tc>
          <w:tcPr>
            <w:tcW w:w="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2019, with original loan amounts of $248,587 payable in bi-annual installments, in</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760" w:type="dxa"/>
            <w:vAlign w:val="bottom"/>
            <w:gridSpan w:val="3"/>
            <w:shd w:val="clear" w:color="auto" w:fill="CCEEFF"/>
          </w:tcPr>
          <w:p>
            <w:pPr>
              <w:spacing w:after="0" w:line="181" w:lineRule="exact"/>
              <w:rPr>
                <w:sz w:val="20"/>
                <w:szCs w:val="20"/>
                <w:color w:val="auto"/>
              </w:rPr>
            </w:pPr>
            <w:r>
              <w:rPr>
                <w:rFonts w:ascii="Arial" w:cs="Arial" w:eastAsia="Arial" w:hAnsi="Arial"/>
                <w:sz w:val="18"/>
                <w:szCs w:val="18"/>
                <w:color w:val="auto"/>
              </w:rPr>
              <w:t>June and December, through December 2027. These notes bear interest at an</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annual rate between 4.13% and 6.95% and the weighted average interest rate is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4.73% as of September 30, 2022.</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60" w:type="dxa"/>
            <w:vAlign w:val="bottom"/>
            <w:gridSpan w:val="3"/>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6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Notes payable under the Company's 2022-1 EETC agreement dated March 2022,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179,019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676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with a face amount of $188,277 payable in bi-annual installments, in March and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60" w:type="dxa"/>
            <w:vAlign w:val="bottom"/>
            <w:gridSpan w:val="3"/>
            <w:shd w:val="clear" w:color="auto" w:fill="CCEEFF"/>
          </w:tcPr>
          <w:p>
            <w:pPr>
              <w:spacing w:after="0" w:line="181" w:lineRule="exact"/>
              <w:rPr>
                <w:sz w:val="20"/>
                <w:szCs w:val="20"/>
                <w:color w:val="auto"/>
              </w:rPr>
            </w:pPr>
            <w:r>
              <w:rPr>
                <w:rFonts w:ascii="Arial" w:cs="Arial" w:eastAsia="Arial" w:hAnsi="Arial"/>
                <w:sz w:val="18"/>
                <w:szCs w:val="18"/>
                <w:color w:val="auto"/>
              </w:rPr>
              <w:t>September, through March 2031. These notes bear interest at an annual rate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between 4.84% and 5.75% and the weighted average interest rate is 5.06% as of</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2022.</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Delayed Draw Term Loan Facility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Notes payable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373,903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280,931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(29,412)</w:t>
            </w:r>
          </w:p>
        </w:tc>
        <w:tc>
          <w:tcPr>
            <w:tcW w:w="0" w:type="dxa"/>
            <w:vAlign w:val="bottom"/>
          </w:tcPr>
          <w:p>
            <w:pPr>
              <w:spacing w:after="0"/>
              <w:rPr>
                <w:sz w:val="1"/>
                <w:szCs w:val="1"/>
                <w:color w:val="auto"/>
              </w:rPr>
            </w:pPr>
          </w:p>
        </w:tc>
      </w:tr>
      <w:tr>
        <w:trPr>
          <w:trHeight w:val="223"/>
        </w:trPr>
        <w:tc>
          <w:tcPr>
            <w:tcW w:w="5120" w:type="dxa"/>
            <w:vAlign w:val="bottom"/>
          </w:tcPr>
          <w:p>
            <w:pPr>
              <w:ind w:left="120"/>
              <w:spacing w:after="0"/>
              <w:rPr>
                <w:sz w:val="20"/>
                <w:szCs w:val="20"/>
                <w:color w:val="auto"/>
              </w:rPr>
            </w:pPr>
            <w:r>
              <w:rPr>
                <w:rFonts w:ascii="Arial" w:cs="Arial" w:eastAsia="Arial" w:hAnsi="Arial"/>
                <w:sz w:val="18"/>
                <w:szCs w:val="18"/>
                <w:color w:val="auto"/>
              </w:rPr>
              <w:t>Total Long-term Debt</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324,662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248,014</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Future maturities of the outstanding Debt are as follows:</w:t>
            </w: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5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center"/>
              <w:ind w:right="54"/>
              <w:spacing w:after="0"/>
              <w:rPr>
                <w:sz w:val="20"/>
                <w:szCs w:val="20"/>
                <w:color w:val="auto"/>
              </w:rPr>
            </w:pPr>
            <w:r>
              <w:rPr>
                <w:rFonts w:ascii="Arial" w:cs="Arial" w:eastAsia="Arial" w:hAnsi="Arial"/>
                <w:sz w:val="14"/>
                <w:szCs w:val="14"/>
                <w:b w:val="1"/>
                <w:bCs w:val="1"/>
                <w:color w:val="auto"/>
              </w:rPr>
              <w:t>Debt Principal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 of Debt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center"/>
              <w:ind w:right="54"/>
              <w:spacing w:after="0"/>
              <w:rPr>
                <w:sz w:val="20"/>
                <w:szCs w:val="20"/>
                <w:color w:val="auto"/>
              </w:rPr>
            </w:pPr>
            <w:r>
              <w:rPr>
                <w:rFonts w:ascii="Arial" w:cs="Arial" w:eastAsia="Arial" w:hAnsi="Arial"/>
                <w:sz w:val="14"/>
                <w:szCs w:val="14"/>
                <w:b w:val="1"/>
                <w:bCs w:val="1"/>
                <w:color w:val="auto"/>
              </w:rPr>
              <w:t>Payments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Issuance Costs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58,518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65,241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(602)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126,132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 of September 30, 2022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373,903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color w:val="auto"/>
        </w:rPr>
        <w:t>The fair value of Debt was $340,067 as of September 30, 2022 and $ 272,004 as of December 31, 2021. The fair value of the Company’s debt was based on the discounted amount of future cash flows using the Company’s end-of-period estimated incremental borrowing rate for similar obligations. The estimates were primarily based on Level 3 inputs.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FUEL DERIVATIVES AND RISK MANAGEMENT</w:t>
      </w:r>
    </w:p>
    <w:p>
      <w:pPr>
        <w:spacing w:after="0" w:line="225"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 As of September 30, 2022 and December 31, 2021, the Company had no outstanding fuel derivative contracts.</w:t>
      </w:r>
    </w:p>
    <w:p>
      <w:pPr>
        <w:spacing w:after="0" w:line="176"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Fuel derivative contracts are recognized at fair value on the Condensed Consolidated Balance Sheets as Derivative Assets, if the fair value is in an asset position, or as Derivative Liabilities, if the fair value is in a liability position. Derivatives where the payment due date is greater than one year from the balance sheet date are classified as long-term. Fuel derivative gains and losses are classified in Aircraft Fuel on the Condensed Consolidated Statements of Operations.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Derivative Assets (Liabilities)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7040" w:type="dxa"/>
            <w:vAlign w:val="bottom"/>
          </w:tcPr>
          <w:p>
            <w:pPr>
              <w:spacing w:after="0"/>
              <w:rPr>
                <w:sz w:val="17"/>
                <w:szCs w:val="17"/>
                <w:color w:val="auto"/>
              </w:rPr>
            </w:pPr>
          </w:p>
        </w:tc>
        <w:tc>
          <w:tcPr>
            <w:tcW w:w="3400" w:type="dxa"/>
            <w:vAlign w:val="bottom"/>
            <w:tcBorders>
              <w:bottom w:val="single" w:sz="8" w:color="auto"/>
            </w:tcBorders>
            <w:gridSpan w:val="5"/>
          </w:tcPr>
          <w:p>
            <w:pPr>
              <w:jc w:val="right"/>
              <w:ind w:right="434"/>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0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r>
      <w:tr>
        <w:trPr>
          <w:trHeight w:val="224"/>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Non-cash Gains</w:t>
            </w:r>
          </w:p>
        </w:tc>
        <w:tc>
          <w:tcPr>
            <w:tcW w:w="118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3,527</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Settlements</w:t>
            </w:r>
          </w:p>
        </w:tc>
        <w:tc>
          <w:tcPr>
            <w:tcW w:w="1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Balance - September 30</w:t>
            </w:r>
          </w:p>
        </w:tc>
        <w:tc>
          <w:tcPr>
            <w:tcW w:w="118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0"/>
        </w:trPr>
        <w:tc>
          <w:tcPr>
            <w:tcW w:w="7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Fuel Derivative Gains (Losses) consist of the following:</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3780" w:type="dxa"/>
            <w:vAlign w:val="bottom"/>
          </w:tcPr>
          <w:p>
            <w:pPr>
              <w:spacing w:after="0"/>
              <w:rPr>
                <w:sz w:val="17"/>
                <w:szCs w:val="17"/>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780" w:type="dxa"/>
            <w:vAlign w:val="bottom"/>
          </w:tcPr>
          <w:p>
            <w:pPr>
              <w:spacing w:after="0"/>
              <w:rPr>
                <w:sz w:val="17"/>
                <w:szCs w:val="17"/>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174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Fuel Derivative Gains (Losses)</w:t>
            </w:r>
          </w:p>
        </w:tc>
        <w:tc>
          <w:tcPr>
            <w:tcW w:w="1140" w:type="dxa"/>
            <w:vAlign w:val="bottom"/>
            <w:tcBorders>
              <w:top w:val="single" w:sz="8" w:color="auto"/>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cash premiums were paid in any of the periods presented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debt securities by major security type:</w:t>
      </w: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 xml:space="preserve">September 30, 2022 </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Unrealized Gains</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Pr>
          <w:p>
            <w:pPr>
              <w:spacing w:after="0"/>
              <w:rPr>
                <w:sz w:val="12"/>
                <w:szCs w:val="12"/>
                <w:color w:val="auto"/>
              </w:rPr>
            </w:pPr>
          </w:p>
        </w:tc>
        <w:tc>
          <w:tcPr>
            <w:tcW w:w="13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Losses</w:t>
            </w:r>
          </w:p>
        </w:tc>
        <w:tc>
          <w:tcPr>
            <w:tcW w:w="3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0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41,108</w:t>
            </w: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40,777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82,852</w:t>
            </w:r>
          </w:p>
        </w:tc>
        <w:tc>
          <w:tcPr>
            <w:tcW w:w="0" w:type="dxa"/>
            <w:vAlign w:val="bottom"/>
          </w:tcPr>
          <w:p>
            <w:pPr>
              <w:spacing w:after="0"/>
              <w:rPr>
                <w:sz w:val="1"/>
                <w:szCs w:val="1"/>
                <w:color w:val="auto"/>
              </w:rPr>
            </w:pPr>
          </w:p>
        </w:tc>
      </w:tr>
      <w:tr>
        <w:trPr>
          <w:trHeight w:val="229"/>
        </w:trPr>
        <w:tc>
          <w:tcPr>
            <w:tcW w:w="3780" w:type="dxa"/>
            <w:vAlign w:val="bottom"/>
          </w:tcPr>
          <w:p>
            <w:pPr>
              <w:ind w:left="10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128,569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760" w:hanging="410"/>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the Company began purchasing these investment securities during the second quarter of 2022, there is no comparable prior period information.</w:t>
      </w:r>
    </w:p>
    <w:p>
      <w:pPr>
        <w:spacing w:after="0" w:line="55" w:lineRule="exact"/>
        <w:rPr>
          <w:rFonts w:ascii="Arial" w:cs="Arial" w:eastAsia="Arial" w:hAnsi="Arial"/>
          <w:sz w:val="14"/>
          <w:szCs w:val="14"/>
          <w:color w:val="auto"/>
        </w:rPr>
      </w:pPr>
    </w:p>
    <w:p>
      <w:pPr>
        <w:ind w:left="760" w:right="200" w:hanging="410"/>
        <w:spacing w:after="0" w:line="285" w:lineRule="auto"/>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also holds Certificates of Deposit that are included in Investments on the Condensed Consolidated Balance Sheets totaling $6,601 and $6,283 as of September 30, 2022 and December 31, 2021, respectively.</w:t>
      </w:r>
    </w:p>
    <w:p>
      <w:pPr>
        <w:spacing w:after="0" w:line="25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As of September 30, 2022, the Company's investments that have unrealized losses have been in a continuous unrealized loss position for less than 12 months. The unrealized losses were the result of increases in market interest rates and were not the result of a deterioration in the credit quality of the securities. As of September 30, 2022, the Company believes that any unrealized losses are recoverable prior to the investment's conversion to cash. Therefore, the Company believes these losses to be temporary.</w:t>
      </w:r>
    </w:p>
    <w:p>
      <w:pPr>
        <w:spacing w:after="0" w:line="18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sz w:val="20"/>
          <w:szCs w:val="20"/>
          <w:color w:val="auto"/>
        </w:rPr>
      </w:pPr>
    </w:p>
    <w:p>
      <w:pPr>
        <w:jc w:val="both"/>
        <w:ind w:left="34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For a description of the methods and assumptions that are used to estimate the fair value and determine the fair value hierarchy classification of each class of financial instrument, see </w:t>
      </w:r>
      <w:hyperlink r:id="rId61">
        <w:r>
          <w:rPr>
            <w:rFonts w:ascii="Arial" w:cs="Arial" w:eastAsia="Arial" w:hAnsi="Arial"/>
            <w:sz w:val="18"/>
            <w:szCs w:val="18"/>
            <w:u w:val="single" w:color="auto"/>
            <w:color w:val="0000FF"/>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Part II, Item 8, “Financial Statements” in the 2021 10-K.</w:t>
      </w:r>
    </w:p>
    <w:p>
      <w:pPr>
        <w:spacing w:after="0" w:line="171"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 Financial instruments including Restricted Cash, Certificates of Deposit, Accounts Receivable,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and all other Current Liabilities have carrying values that approximate fair value.</w:t>
      </w:r>
    </w:p>
    <w:p>
      <w:pPr>
        <w:spacing w:after="0" w:line="153"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b w:val="1"/>
          <w:bCs w:val="1"/>
          <w:color w:val="auto"/>
        </w:rPr>
        <w:t xml:space="preserve">Cash &amp; Cash Equivalents </w:t>
      </w:r>
      <w:r>
        <w:rPr>
          <w:rFonts w:ascii="Arial" w:cs="Arial" w:eastAsia="Arial" w:hAnsi="Arial"/>
          <w:sz w:val="18"/>
          <w:szCs w:val="18"/>
          <w:color w:val="auto"/>
        </w:rPr>
        <w:t>– The carrying value of cash and cash equivalents approximates fair value. Fair values of cash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that do not trade on a regular basis in active markets are classified as Level 2.</w:t>
      </w:r>
    </w:p>
    <w:p>
      <w:pPr>
        <w:spacing w:after="0" w:line="153"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b w:val="1"/>
          <w:bCs w:val="1"/>
          <w:color w:val="auto"/>
        </w:rPr>
        <w:t xml:space="preserve">Available-for-Sale Securities </w:t>
      </w:r>
      <w:r>
        <w:rPr>
          <w:rFonts w:ascii="Arial" w:cs="Arial" w:eastAsia="Arial" w:hAnsi="Arial"/>
          <w:sz w:val="18"/>
          <w:szCs w:val="18"/>
          <w:color w:val="auto"/>
        </w:rPr>
        <w:t>- Available-for-Sale investment securities include debt securities, such as municipal, corporate, and U.S.</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agency notes. All of these investments are classified as Level 2 because they do not trade in active markets on a regular basis. The Company obtains its pricing per security from a third-party, which uses quoted market prices, when available, or other observable inputs for determination of fair value.</w:t>
      </w:r>
    </w:p>
    <w:p>
      <w:pPr>
        <w:spacing w:after="0" w:line="17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color w:val="auto"/>
        </w:rPr>
        <w:t xml:space="preserve">Non-Financial Assets </w:t>
      </w:r>
      <w:r>
        <w:rPr>
          <w:rFonts w:ascii="Arial" w:cs="Arial" w:eastAsia="Arial" w:hAnsi="Arial"/>
          <w:sz w:val="18"/>
          <w:szCs w:val="18"/>
          <w:color w:val="auto"/>
        </w:rPr>
        <w:t>– Certain assets are measured at fair value on a nonrecurring basis. The Company’s non-financial assets, which</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consist of Property &amp; Equipment, Goodwill and Other Intangible Assets are not required to be measured at fair value on a recurring basis and are reported at carrying value. However, on a periodic basis whenever events or changes in circumstances indicate that their carrying value may not be recoverable, non-financial assets are assessed for impairment and, if applicable, written down to fair value using significant unobservable inputs, classified as Level 3.</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See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Note 7</w:t>
      </w:r>
      <w:r>
        <w:rPr>
          <w:rFonts w:ascii="Arial" w:cs="Arial" w:eastAsia="Arial" w:hAnsi="Arial"/>
          <w:sz w:val="18"/>
          <w:szCs w:val="18"/>
          <w:b w:val="1"/>
          <w:bCs w:val="1"/>
          <w:color w:val="auto"/>
        </w:rPr>
        <w:t xml:space="preserve"> </w:t>
      </w:r>
      <w:r>
        <w:rPr>
          <w:rFonts w:ascii="Arial" w:cs="Arial" w:eastAsia="Arial" w:hAnsi="Arial"/>
          <w:sz w:val="18"/>
          <w:szCs w:val="18"/>
          <w:color w:val="auto"/>
        </w:rPr>
        <w:t>for more information on the Company's debt financings and related fair values.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assets measured at fair value on a recurring basis: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3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 2022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60,987</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131,912</w:t>
            </w: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3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40,777</w:t>
            </w: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82,852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82,852</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3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Available-for-Sale Securities</w:t>
            </w: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128,569</w:t>
            </w:r>
          </w:p>
        </w:tc>
        <w:tc>
          <w:tcPr>
            <w:tcW w:w="10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128,569</w:t>
            </w:r>
          </w:p>
        </w:tc>
        <w:tc>
          <w:tcPr>
            <w:tcW w:w="0" w:type="dxa"/>
            <w:vAlign w:val="bottom"/>
          </w:tcPr>
          <w:p>
            <w:pPr>
              <w:spacing w:after="0"/>
              <w:rPr>
                <w:sz w:val="1"/>
                <w:szCs w:val="1"/>
                <w:color w:val="auto"/>
              </w:rPr>
            </w:pPr>
          </w:p>
        </w:tc>
      </w:tr>
      <w:tr>
        <w:trPr>
          <w:trHeight w:val="155"/>
        </w:trPr>
        <w:tc>
          <w:tcPr>
            <w:tcW w:w="388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70,925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189,556</w:t>
            </w:r>
          </w:p>
        </w:tc>
        <w:tc>
          <w:tcPr>
            <w:tcW w:w="1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4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260,481</w:t>
            </w:r>
          </w:p>
        </w:tc>
        <w:tc>
          <w:tcPr>
            <w:tcW w:w="0" w:type="dxa"/>
            <w:vAlign w:val="bottom"/>
          </w:tcPr>
          <w:p>
            <w:pPr>
              <w:spacing w:after="0"/>
              <w:rPr>
                <w:sz w:val="1"/>
                <w:szCs w:val="1"/>
                <w:color w:val="auto"/>
              </w:rPr>
            </w:pPr>
          </w:p>
        </w:tc>
      </w:tr>
      <w:tr>
        <w:trPr>
          <w:trHeight w:val="236"/>
        </w:trPr>
        <w:tc>
          <w:tcPr>
            <w:tcW w:w="3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Recurring Basis</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38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2021</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3"/>
          </w:tcPr>
          <w:p>
            <w:pPr>
              <w:ind w:left="22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309,338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309,338</w:t>
            </w:r>
          </w:p>
        </w:tc>
        <w:tc>
          <w:tcPr>
            <w:tcW w:w="0" w:type="dxa"/>
            <w:vAlign w:val="bottom"/>
          </w:tcPr>
          <w:p>
            <w:pPr>
              <w:spacing w:after="0"/>
              <w:rPr>
                <w:sz w:val="1"/>
                <w:szCs w:val="1"/>
                <w:color w:val="auto"/>
              </w:rPr>
            </w:pPr>
          </w:p>
        </w:tc>
      </w:tr>
      <w:tr>
        <w:trPr>
          <w:trHeight w:val="155"/>
        </w:trPr>
        <w:tc>
          <w:tcPr>
            <w:tcW w:w="3880" w:type="dxa"/>
            <w:vAlign w:val="bottom"/>
          </w:tcPr>
          <w:p>
            <w:pPr>
              <w:ind w:left="34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309,338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976"/>
              <w:spacing w:after="0"/>
              <w:rPr>
                <w:sz w:val="20"/>
                <w:szCs w:val="20"/>
                <w:color w:val="auto"/>
              </w:rPr>
            </w:pPr>
            <w:r>
              <w:rPr>
                <w:rFonts w:ascii="Arial" w:cs="Arial" w:eastAsia="Arial" w:hAnsi="Arial"/>
                <w:sz w:val="18"/>
                <w:szCs w:val="18"/>
                <w:color w:val="auto"/>
                <w:w w:val="99"/>
              </w:rPr>
              <w:t>$</w:t>
            </w:r>
          </w:p>
        </w:tc>
        <w:tc>
          <w:tcPr>
            <w:tcW w:w="50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309,338</w:t>
            </w:r>
          </w:p>
        </w:tc>
        <w:tc>
          <w:tcPr>
            <w:tcW w:w="0" w:type="dxa"/>
            <w:vAlign w:val="bottom"/>
          </w:tcPr>
          <w:p>
            <w:pPr>
              <w:spacing w:after="0"/>
              <w:rPr>
                <w:sz w:val="1"/>
                <w:szCs w:val="1"/>
                <w:color w:val="auto"/>
              </w:rPr>
            </w:pPr>
          </w:p>
        </w:tc>
      </w:tr>
      <w:tr>
        <w:trPr>
          <w:trHeight w:val="216"/>
        </w:trPr>
        <w:tc>
          <w:tcPr>
            <w:tcW w:w="3880" w:type="dxa"/>
            <w:vAlign w:val="bottom"/>
          </w:tcPr>
          <w:p>
            <w:pPr>
              <w:ind w:left="500"/>
              <w:spacing w:after="0"/>
              <w:rPr>
                <w:sz w:val="20"/>
                <w:szCs w:val="20"/>
                <w:color w:val="auto"/>
              </w:rPr>
            </w:pPr>
            <w:r>
              <w:rPr>
                <w:rFonts w:ascii="Arial" w:cs="Arial" w:eastAsia="Arial" w:hAnsi="Arial"/>
                <w:sz w:val="18"/>
                <w:szCs w:val="18"/>
                <w:color w:val="auto"/>
              </w:rPr>
              <w:t>Recurring Basis</w:t>
            </w:r>
          </w:p>
        </w:tc>
        <w:tc>
          <w:tcPr>
            <w:tcW w:w="3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Company's effective tax rate for the three and nine months ended September 30, 2022 was 17.4% and 28.4%, respectively. The effective tax rate for the three and nine months ended September 30, 2021 was 13.8% and 18.3%, respectively. The effective tax rate represents a blend of federal and state taxes and includes the impact of certain nondeductible or nontaxable items. The increase for the three and nine months ended September 30, 2022 effective tax rate is primarily due to the non-taxable adjustment to the tax receivable liability related to the Tax Receivable Agreement (the "Tax Receivable Agreement" or "TRA"), partially offset by stock compensation benefits.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Receivable Agreement</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connection with the Company’s IPO, the Company entered into the TRA with our pre-IPO stockholders (the “TRA holders”). The TRA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The Company will retain the benefit of the remaining 15% of these cash savings.</w:t>
      </w:r>
    </w:p>
    <w:p>
      <w:pPr>
        <w:spacing w:after="0" w:line="17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Upon the closing of the IPO in the first quarter of 2021, the Company recognized a non-current liability of $115,200, which represented undiscounted aggregate payments that were expected to be paid to the TRA holders under the TRA, with an offset to Stockholders’ Equity. The TRA balance as of September 30, 2022 and December 31, 2021 was $103,800 and $ 98,800, respectively. The TRA liability is an estimate and actual amounts payable under the Tax Receivable Agreement could differ from this estimate. During the nine months ended September 30, 2022, the Company recorded an adjustment to the estimated TRA</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liability of $5,000. Adjustments to the TRA are recorded in Other, net Non-Operating Income (Expense) on the Company’s Condensed Consolidated Statements of Operations.</w:t>
      </w:r>
    </w:p>
    <w:p>
      <w:pPr>
        <w:spacing w:after="0" w:line="153" w:lineRule="exact"/>
        <w:rPr>
          <w:sz w:val="20"/>
          <w:szCs w:val="20"/>
          <w:color w:val="auto"/>
        </w:rPr>
      </w:pPr>
    </w:p>
    <w:p>
      <w:pPr>
        <w:ind w:left="34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more information on the TRA, see </w:t>
      </w:r>
      <w:hyperlink r:id="rId66">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Part II, Item 8, “Financial Statements” in the 2021 10-K.</w:t>
      </w:r>
    </w:p>
    <w:p>
      <w:pPr>
        <w:spacing w:after="0" w:line="15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212" w:lineRule="exact"/>
        <w:rPr>
          <w:sz w:val="20"/>
          <w:szCs w:val="20"/>
          <w:color w:val="auto"/>
        </w:rPr>
      </w:pPr>
    </w:p>
    <w:p>
      <w:pPr>
        <w:ind w:left="340" w:right="340"/>
        <w:spacing w:after="0" w:line="256" w:lineRule="auto"/>
        <w:rPr>
          <w:sz w:val="20"/>
          <w:szCs w:val="20"/>
          <w:color w:val="auto"/>
        </w:rPr>
      </w:pPr>
      <w:r>
        <w:rPr>
          <w:rFonts w:ascii="Arial" w:cs="Arial" w:eastAsia="Arial" w:hAnsi="Arial"/>
          <w:sz w:val="18"/>
          <w:szCs w:val="18"/>
          <w:color w:val="auto"/>
        </w:rPr>
        <w:t>Special Items, net reflects expenses, or credits to expense, that are not representative of our ongoing costs for the periods presented and may vary from period to period in nature, frequency, and amount.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Special Items, net on the Condensed Consolidated Statements of Operations consist of the following:</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r>
      <w:tr>
        <w:trPr>
          <w:trHeight w:val="183"/>
        </w:trPr>
        <w:tc>
          <w:tcPr>
            <w:tcW w:w="3980" w:type="dxa"/>
            <w:vAlign w:val="bottom"/>
            <w:gridSpan w:val="7"/>
            <w:shd w:val="clear" w:color="auto" w:fill="CCEEFF"/>
          </w:tcPr>
          <w:p>
            <w:pPr>
              <w:ind w:left="20"/>
              <w:spacing w:after="0" w:line="183" w:lineRule="exact"/>
              <w:rPr>
                <w:sz w:val="20"/>
                <w:szCs w:val="20"/>
                <w:color w:val="auto"/>
              </w:rPr>
            </w:pPr>
            <w:r>
              <w:rPr>
                <w:rFonts w:ascii="Arial" w:cs="Arial" w:eastAsia="Arial" w:hAnsi="Arial"/>
                <w:sz w:val="18"/>
                <w:szCs w:val="18"/>
                <w:color w:val="auto"/>
              </w:rPr>
              <w:t xml:space="preserve">CARES Act grant recognition (see </w:t>
            </w:r>
            <w:r>
              <w:rPr>
                <w:rFonts w:ascii="Arial" w:cs="Arial" w:eastAsia="Arial" w:hAnsi="Arial"/>
                <w:sz w:val="18"/>
                <w:szCs w:val="18"/>
                <w:color w:val="0000FF"/>
              </w:rPr>
              <w:t>Note 3</w:t>
            </w:r>
            <w:r>
              <w:rPr>
                <w:rFonts w:ascii="Arial" w:cs="Arial" w:eastAsia="Arial" w:hAnsi="Arial"/>
                <w:sz w:val="18"/>
                <w:szCs w:val="18"/>
                <w:color w:val="auto"/>
              </w:rPr>
              <w:t>)</w:t>
            </w:r>
          </w:p>
        </w:tc>
        <w:tc>
          <w:tcPr>
            <w:tcW w:w="1120" w:type="dxa"/>
            <w:vAlign w:val="bottom"/>
            <w:shd w:val="clear" w:color="auto" w:fill="CCEEFF"/>
          </w:tcPr>
          <w:p>
            <w:pPr>
              <w:jc w:val="right"/>
              <w:ind w:right="919"/>
              <w:spacing w:after="0" w:line="183"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76"/>
              <w:spacing w:after="0" w:line="183"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1020"/>
              <w:spacing w:after="0" w:line="18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70"/>
              <w:spacing w:after="0" w:line="183"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(71,587)</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182"/>
        </w:trPr>
        <w:tc>
          <w:tcPr>
            <w:tcW w:w="3980" w:type="dxa"/>
            <w:vAlign w:val="bottom"/>
            <w:gridSpan w:val="7"/>
          </w:tcPr>
          <w:p>
            <w:pPr>
              <w:ind w:left="20"/>
              <w:spacing w:after="0" w:line="176" w:lineRule="exact"/>
              <w:rPr>
                <w:sz w:val="20"/>
                <w:szCs w:val="20"/>
                <w:color w:val="auto"/>
              </w:rPr>
            </w:pPr>
            <w:r>
              <w:rPr>
                <w:rFonts w:ascii="Arial" w:cs="Arial" w:eastAsia="Arial" w:hAnsi="Arial"/>
                <w:sz w:val="18"/>
                <w:szCs w:val="18"/>
                <w:color w:val="auto"/>
              </w:rPr>
              <w:t xml:space="preserve">CARES Act employee retention credit (See </w:t>
            </w:r>
            <w:r>
              <w:rPr>
                <w:rFonts w:ascii="Arial" w:cs="Arial" w:eastAsia="Arial" w:hAnsi="Arial"/>
                <w:sz w:val="18"/>
                <w:szCs w:val="18"/>
                <w:color w:val="0000FF"/>
              </w:rPr>
              <w:t>Note</w:t>
            </w: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62"/>
        </w:trPr>
        <w:tc>
          <w:tcPr>
            <w:tcW w:w="2780" w:type="dxa"/>
            <w:vAlign w:val="bottom"/>
            <w:gridSpan w:val="3"/>
          </w:tcPr>
          <w:p>
            <w:pPr>
              <w:ind w:left="180"/>
              <w:spacing w:after="0" w:line="142" w:lineRule="exact"/>
              <w:rPr>
                <w:sz w:val="20"/>
                <w:szCs w:val="20"/>
                <w:color w:val="auto"/>
              </w:rPr>
            </w:pPr>
            <w:r>
              <w:rPr>
                <w:rFonts w:ascii="Arial" w:cs="Arial" w:eastAsia="Arial" w:hAnsi="Arial"/>
                <w:sz w:val="16"/>
                <w:szCs w:val="16"/>
                <w:color w:val="0000FF"/>
              </w:rPr>
              <w:t>3</w:t>
            </w:r>
            <w:r>
              <w:rPr>
                <w:rFonts w:ascii="Arial" w:cs="Arial" w:eastAsia="Arial" w:hAnsi="Arial"/>
                <w:sz w:val="16"/>
                <w:szCs w:val="16"/>
                <w:color w:val="000000"/>
              </w:rPr>
              <w:t>)</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gridSpan w:val="2"/>
          </w:tcPr>
          <w:p>
            <w:pPr>
              <w:ind w:left="180"/>
              <w:spacing w:after="0" w:line="142" w:lineRule="exact"/>
              <w:rPr>
                <w:sz w:val="20"/>
                <w:szCs w:val="20"/>
                <w:color w:val="auto"/>
              </w:rPr>
            </w:pPr>
            <w:r>
              <w:rPr>
                <w:rFonts w:ascii="Arial" w:cs="Arial" w:eastAsia="Arial" w:hAnsi="Arial"/>
                <w:sz w:val="16"/>
                <w:szCs w:val="16"/>
                <w:color w:val="auto"/>
              </w:rPr>
              <w:t>—</w:t>
            </w:r>
          </w:p>
        </w:tc>
        <w:tc>
          <w:tcPr>
            <w:tcW w:w="1180" w:type="dxa"/>
            <w:vAlign w:val="bottom"/>
          </w:tcPr>
          <w:p>
            <w:pPr>
              <w:spacing w:after="0"/>
              <w:rPr>
                <w:sz w:val="14"/>
                <w:szCs w:val="14"/>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6"/>
                <w:szCs w:val="16"/>
                <w:color w:val="auto"/>
              </w:rPr>
              <w:t>(68)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020"/>
              <w:spacing w:after="0" w:line="142"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6"/>
                <w:szCs w:val="16"/>
                <w:color w:val="auto"/>
              </w:rPr>
              <w:t>(848)</w:t>
            </w:r>
          </w:p>
        </w:tc>
      </w:tr>
      <w:tr>
        <w:trPr>
          <w:trHeight w:val="34"/>
        </w:trPr>
        <w:tc>
          <w:tcPr>
            <w:tcW w:w="18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398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3980" w:type="dxa"/>
            <w:vAlign w:val="bottom"/>
            <w:gridSpan w:val="7"/>
          </w:tcPr>
          <w:p>
            <w:pPr>
              <w:ind w:left="120"/>
              <w:spacing w:after="0"/>
              <w:rPr>
                <w:sz w:val="20"/>
                <w:szCs w:val="20"/>
                <w:color w:val="auto"/>
              </w:rPr>
            </w:pPr>
            <w:r>
              <w:rPr>
                <w:rFonts w:ascii="Arial" w:cs="Arial" w:eastAsia="Arial" w:hAnsi="Arial"/>
                <w:sz w:val="18"/>
                <w:szCs w:val="18"/>
                <w:color w:val="auto"/>
              </w:rPr>
              <w:t>Total Special Items, net</w:t>
            </w: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(72,419)</w:t>
            </w: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 xml:space="preserve">The Company has contractual obligations and commitments primarily with regard to lease arrangements, repayment of debt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7</w:t>
      </w:r>
      <w:r>
        <w:rPr>
          <w:rFonts w:ascii="Arial" w:cs="Arial" w:eastAsia="Arial" w:hAnsi="Arial"/>
          <w:sz w:val="18"/>
          <w:szCs w:val="18"/>
          <w:color w:val="000000"/>
        </w:rPr>
        <w:t>), payments under the TRA (see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11</w:t>
      </w:r>
      <w:r>
        <w:rPr>
          <w:rFonts w:ascii="Arial" w:cs="Arial" w:eastAsia="Arial" w:hAnsi="Arial"/>
          <w:sz w:val="18"/>
          <w:szCs w:val="18"/>
          <w:color w:val="000000"/>
        </w:rPr>
        <w:t>), and probable future purchases of aircraft.</w:t>
      </w:r>
    </w:p>
    <w:p>
      <w:pPr>
        <w:spacing w:after="0" w:line="15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During the second quarter of 2022, an owned aircraft was retired due to the aircraft sustaining damage beyond economic repair. The best estimate of this event was recorded as of the second quarter and had no financial impact on the Company's Condensed Consolidated Statement of Operations. The estimate will be revised when additional information becomes available or when the contingency is finalized. The Company does not believe the finalization of the contingency will have a material effect on the Company's Condensed Consolidated Results of Operations.</w:t>
      </w:r>
    </w:p>
    <w:p>
      <w:pPr>
        <w:spacing w:after="0" w:line="179"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During the nine months ended September 30, 2022, the Company executed an agreement to purchase a flight simulator at a total purchase price of $9,745. To date, $ 8,781 has been remitted to the seller. The remaining purchase price will be remitted to the seller upon receipt and installation of the simulator. Payments for the simulator are accounted for within Property &amp; Equipment on the Condensed Consolidated Balance Sheets as of September 30, 2022.</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subject to various legal proceedings in the normal course of business and expenses legal costs as incurred.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does not believe these proceedings will have a materially adverse effect on the Company.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25" w:lineRule="exact"/>
        <w:rPr>
          <w:sz w:val="20"/>
          <w:szCs w:val="20"/>
          <w:color w:val="auto"/>
        </w:rPr>
      </w:pPr>
    </w:p>
    <w:p>
      <w:pPr>
        <w:jc w:val="both"/>
        <w:ind w:left="34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The following tables present financial information for the Company’s two operating segments: Passenger and Cargo. For more information on the Company’s segments, see </w:t>
      </w:r>
      <w:hyperlink r:id="rId69">
        <w:r>
          <w:rPr>
            <w:rFonts w:ascii="Arial" w:cs="Arial" w:eastAsia="Arial" w:hAnsi="Arial"/>
            <w:sz w:val="18"/>
            <w:szCs w:val="18"/>
            <w:u w:val="single" w:color="auto"/>
            <w:color w:val="0000FF"/>
          </w:rPr>
          <w:t>Note 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Part II, Item 8, “Financial Statements” in the 2021 10-K.</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23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11"/>
          </w:tcPr>
          <w:p>
            <w:pPr>
              <w:jc w:val="center"/>
              <w:ind w:right="132"/>
              <w:spacing w:after="0"/>
              <w:rPr>
                <w:sz w:val="20"/>
                <w:szCs w:val="20"/>
                <w:color w:val="auto"/>
              </w:rPr>
            </w:pPr>
            <w:r>
              <w:rPr>
                <w:rFonts w:ascii="Arial" w:cs="Arial" w:eastAsia="Arial" w:hAnsi="Arial"/>
                <w:sz w:val="14"/>
                <w:szCs w:val="14"/>
                <w:b w:val="1"/>
                <w:bCs w:val="1"/>
                <w:color w:val="auto"/>
              </w:rPr>
              <w:t>Three Months Ended September 30, 2022</w:t>
            </w:r>
          </w:p>
        </w:tc>
        <w:tc>
          <w:tcPr>
            <w:tcW w:w="8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11"/>
          </w:tcPr>
          <w:p>
            <w:pPr>
              <w:jc w:val="right"/>
              <w:ind w:right="512"/>
              <w:spacing w:after="0"/>
              <w:rPr>
                <w:sz w:val="20"/>
                <w:szCs w:val="20"/>
                <w:color w:val="auto"/>
              </w:rPr>
            </w:pPr>
            <w:r>
              <w:rPr>
                <w:rFonts w:ascii="Arial" w:cs="Arial" w:eastAsia="Arial" w:hAnsi="Arial"/>
                <w:sz w:val="14"/>
                <w:szCs w:val="14"/>
                <w:b w:val="1"/>
                <w:bCs w:val="1"/>
                <w:color w:val="auto"/>
              </w:rPr>
              <w:t>Three Months Ended September 30, 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Passenger</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Cargo</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Passenger</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3"/>
          </w:tcPr>
          <w:p>
            <w:pPr>
              <w:ind w:left="120"/>
              <w:spacing w:after="0"/>
              <w:rPr>
                <w:sz w:val="20"/>
                <w:szCs w:val="20"/>
                <w:color w:val="auto"/>
              </w:rPr>
            </w:pPr>
            <w:r>
              <w:rPr>
                <w:rFonts w:ascii="Arial" w:cs="Arial" w:eastAsia="Arial" w:hAnsi="Arial"/>
                <w:sz w:val="14"/>
                <w:szCs w:val="14"/>
                <w:b w:val="1"/>
                <w:bCs w:val="1"/>
                <w:color w:val="auto"/>
              </w:rPr>
              <w:t>Cargo</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24"/>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198,013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23,687</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221,700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149,263</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360" w:type="dxa"/>
            <w:vAlign w:val="bottom"/>
          </w:tcPr>
          <w:p>
            <w:pPr>
              <w:ind w:left="100"/>
              <w:spacing w:after="0" w:line="156" w:lineRule="exact"/>
              <w:rPr>
                <w:sz w:val="20"/>
                <w:szCs w:val="20"/>
                <w:color w:val="auto"/>
              </w:rPr>
            </w:pPr>
            <w:r>
              <w:rPr>
                <w:rFonts w:ascii="Arial" w:cs="Arial" w:eastAsia="Arial" w:hAnsi="Arial"/>
                <w:sz w:val="18"/>
                <w:szCs w:val="18"/>
                <w:color w:val="auto"/>
              </w:rPr>
              <w:t>Non-Fuel Operating</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117,788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23,678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141,466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99,960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15,800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115,760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260"/>
              <w:spacing w:after="0"/>
              <w:rPr>
                <w:sz w:val="20"/>
                <w:szCs w:val="20"/>
                <w:color w:val="auto"/>
              </w:rPr>
            </w:pPr>
            <w:r>
              <w:rPr>
                <w:rFonts w:ascii="Arial" w:cs="Arial" w:eastAsia="Arial" w:hAnsi="Arial"/>
                <w:sz w:val="18"/>
                <w:szCs w:val="18"/>
                <w:color w:val="auto"/>
              </w:rPr>
              <w:t>Expenses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 Fuel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60" w:type="dxa"/>
            <w:vAlign w:val="bottom"/>
          </w:tcPr>
          <w:p>
            <w:pPr>
              <w:ind w:left="120"/>
              <w:spacing w:after="0"/>
              <w:rPr>
                <w:sz w:val="20"/>
                <w:szCs w:val="20"/>
                <w:color w:val="auto"/>
              </w:rPr>
            </w:pPr>
            <w:r>
              <w:rPr>
                <w:rFonts w:ascii="Arial" w:cs="Arial" w:eastAsia="Arial" w:hAnsi="Arial"/>
                <w:sz w:val="18"/>
                <w:szCs w:val="18"/>
                <w:color w:val="auto"/>
              </w:rPr>
              <w:t>Special Items, net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182,551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23,758</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206,309</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136,451</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15,391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3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360" w:type="dxa"/>
            <w:vAlign w:val="bottom"/>
            <w:tcBorders>
              <w:top w:val="single" w:sz="8" w:color="CCEEFF"/>
            </w:tcBorders>
            <w:shd w:val="clear" w:color="auto" w:fill="CCEEFF"/>
          </w:tcPr>
          <w:p>
            <w:pPr>
              <w:ind w:left="120"/>
              <w:spacing w:after="0" w:line="190" w:lineRule="exact"/>
              <w:rPr>
                <w:sz w:val="20"/>
                <w:szCs w:val="20"/>
                <w:color w:val="auto"/>
              </w:rPr>
            </w:pPr>
            <w:r>
              <w:rPr>
                <w:rFonts w:ascii="Arial" w:cs="Arial" w:eastAsia="Arial" w:hAnsi="Arial"/>
                <w:sz w:val="18"/>
                <w:szCs w:val="18"/>
                <w:color w:val="auto"/>
              </w:rPr>
              <w:t>Interest Income</w:t>
            </w: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1,610</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(7,493)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tcPr>
          <w:p>
            <w:pPr>
              <w:ind w:left="20"/>
              <w:spacing w:after="0"/>
              <w:rPr>
                <w:sz w:val="20"/>
                <w:szCs w:val="20"/>
                <w:color w:val="auto"/>
              </w:rPr>
            </w:pPr>
            <w:r>
              <w:rPr>
                <w:rFonts w:ascii="Arial" w:cs="Arial" w:eastAsia="Arial" w:hAnsi="Arial"/>
                <w:sz w:val="18"/>
                <w:szCs w:val="18"/>
                <w:color w:val="auto"/>
              </w:rPr>
              <w:t>Income Before Income Tax</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2"/>
          </w:tcPr>
          <w:p>
            <w:pPr>
              <w:jc w:val="right"/>
              <w:ind w:right="600"/>
              <w:spacing w:after="0"/>
              <w:rPr>
                <w:sz w:val="20"/>
                <w:szCs w:val="20"/>
                <w:color w:val="auto"/>
              </w:rPr>
            </w:pPr>
            <w:r>
              <w:rPr>
                <w:rFonts w:ascii="Arial" w:cs="Arial" w:eastAsia="Arial" w:hAnsi="Arial"/>
                <w:sz w:val="14"/>
                <w:szCs w:val="14"/>
                <w:b w:val="1"/>
                <w:bCs w:val="1"/>
                <w:color w:val="auto"/>
              </w:rPr>
              <w:t>Nine Months Ended September 30, 2022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2"/>
          </w:tcPr>
          <w:p>
            <w:pPr>
              <w:jc w:val="right"/>
              <w:ind w:right="640"/>
              <w:spacing w:after="0"/>
              <w:rPr>
                <w:sz w:val="20"/>
                <w:szCs w:val="20"/>
                <w:color w:val="auto"/>
              </w:rPr>
            </w:pPr>
            <w:r>
              <w:rPr>
                <w:rFonts w:ascii="Arial" w:cs="Arial" w:eastAsia="Arial" w:hAnsi="Arial"/>
                <w:sz w:val="14"/>
                <w:szCs w:val="14"/>
                <w:b w:val="1"/>
                <w:bCs w:val="1"/>
                <w:color w:val="auto"/>
              </w:rPr>
              <w:t>Nine Months Ended September 30, 2021</w:t>
            </w: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Passenger</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rPr>
              <w:t>Cargo</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Consolidated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Passenger</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rPr>
              <w:t>Cargo</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24"/>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601,360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65,930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667,290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382,380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450,464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360" w:type="dxa"/>
            <w:vAlign w:val="bottom"/>
          </w:tcPr>
          <w:p>
            <w:pPr>
              <w:ind w:left="100"/>
              <w:spacing w:after="0" w:line="156" w:lineRule="exact"/>
              <w:rPr>
                <w:sz w:val="20"/>
                <w:szCs w:val="20"/>
                <w:color w:val="auto"/>
              </w:rPr>
            </w:pPr>
            <w:r>
              <w:rPr>
                <w:rFonts w:ascii="Arial" w:cs="Arial" w:eastAsia="Arial" w:hAnsi="Arial"/>
                <w:sz w:val="18"/>
                <w:szCs w:val="18"/>
                <w:color w:val="auto"/>
              </w:rPr>
              <w:t>Non-Fuel Operating</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355,894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64,470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420,364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280,272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50,272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330,544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260"/>
              <w:spacing w:after="0"/>
              <w:rPr>
                <w:sz w:val="20"/>
                <w:szCs w:val="20"/>
                <w:color w:val="auto"/>
              </w:rPr>
            </w:pPr>
            <w:r>
              <w:rPr>
                <w:rFonts w:ascii="Arial" w:cs="Arial" w:eastAsia="Arial" w:hAnsi="Arial"/>
                <w:sz w:val="18"/>
                <w:szCs w:val="18"/>
                <w:color w:val="auto"/>
              </w:rPr>
              <w:t>Expenses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 Fuel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206,334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20"/>
              <w:spacing w:after="0"/>
              <w:rPr>
                <w:sz w:val="20"/>
                <w:szCs w:val="20"/>
                <w:color w:val="auto"/>
              </w:rPr>
            </w:pPr>
            <w:r>
              <w:rPr>
                <w:rFonts w:ascii="Arial" w:cs="Arial" w:eastAsia="Arial" w:hAnsi="Arial"/>
                <w:sz w:val="18"/>
                <w:szCs w:val="18"/>
                <w:color w:val="auto"/>
              </w:rPr>
              <w:t>Special Items, net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(54,018)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(18,401)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(72,419)</w:t>
            </w:r>
          </w:p>
        </w:tc>
        <w:tc>
          <w:tcPr>
            <w:tcW w:w="0" w:type="dxa"/>
            <w:vAlign w:val="bottom"/>
          </w:tcPr>
          <w:p>
            <w:pPr>
              <w:spacing w:after="0"/>
              <w:rPr>
                <w:sz w:val="1"/>
                <w:szCs w:val="1"/>
                <w:color w:val="auto"/>
              </w:rPr>
            </w:pPr>
          </w:p>
        </w:tc>
      </w:tr>
      <w:tr>
        <w:trPr>
          <w:trHeight w:val="223"/>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562,148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64,550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626,698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316,722</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348,756</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40,592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65,658</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36,050</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101,708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3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360" w:type="dxa"/>
            <w:vAlign w:val="bottom"/>
            <w:tcBorders>
              <w:top w:val="single" w:sz="8" w:color="CCEEFF"/>
            </w:tcBorders>
            <w:shd w:val="clear" w:color="auto" w:fill="CCEEFF"/>
          </w:tcPr>
          <w:p>
            <w:pPr>
              <w:ind w:left="120"/>
              <w:spacing w:after="0" w:line="190" w:lineRule="exact"/>
              <w:rPr>
                <w:sz w:val="20"/>
                <w:szCs w:val="20"/>
                <w:color w:val="auto"/>
              </w:rPr>
            </w:pPr>
            <w:r>
              <w:rPr>
                <w:rFonts w:ascii="Arial" w:cs="Arial" w:eastAsia="Arial" w:hAnsi="Arial"/>
                <w:sz w:val="18"/>
                <w:szCs w:val="18"/>
                <w:color w:val="auto"/>
              </w:rPr>
              <w:t>Interest Income</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2,166</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52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(23,097)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(19,487)</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18,505</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tcPr>
          <w:p>
            <w:pPr>
              <w:ind w:left="20"/>
              <w:spacing w:after="0"/>
              <w:rPr>
                <w:sz w:val="20"/>
                <w:szCs w:val="20"/>
                <w:color w:val="auto"/>
              </w:rPr>
            </w:pPr>
            <w:r>
              <w:rPr>
                <w:rFonts w:ascii="Arial" w:cs="Arial" w:eastAsia="Arial" w:hAnsi="Arial"/>
                <w:sz w:val="18"/>
                <w:szCs w:val="18"/>
                <w:color w:val="auto"/>
              </w:rPr>
              <w:t>Income Before Income Tax</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100,778</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Company evaluated subsequent events for the period from the Balance Sheet date through November 2, 2022, the date that the Condensed Consolidated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On October 31, 2022, the Company’s Board of Directors authorized a stock repurchase program pursuant to which the Company may purchase up to $50,000 of its Common Stock, $0.01 par value per share (“Common Stock”). The Company may purchase shares of its Common Stock on a discretionary basis from time-to-time through open market repurchases, privately negotiated transactions, accelerated share repurchase, or other means, including through Rule 10b5-1 trading plans. Whether any repurchases are made, and the timing and actual number of any shares repurchased, will be determined by management depending on a variety of factors, including stock price, trading volume, market conditions and other general business considerations. The stock repurchase program has no</w:t>
      </w:r>
    </w:p>
    <w:p>
      <w:pPr>
        <w:spacing w:after="0" w:line="1"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expiration date and may be modified, suspended, or terminated at any time. Any repurchases made under this program will be funded from the Company’s existing cash flows, or future cash flows.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w:t>
      </w:r>
    </w:p>
    <w:p>
      <w:pPr>
        <w:spacing w:after="0" w:line="176"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Our significant accounting policies are described in </w:t>
      </w:r>
      <w:hyperlink r:id="rId74">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Part II, Item 8, “Financial Statements” in the 2021 10-K. Some of those significant accounting policies require us to make difficult, subjective, or complex judgments, or estimates. An accounting estimate is considered to be critical if it meets both of the following criteria:</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estimate requires assumptions about matters that are highly uncertain at the time the accounting estimate is made, and</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estimates reasonably could have been used, or changes in the estimate that are reasonably likely to occur from period to period may have a material impact on the presentation of our financial condition, changes in financial condition, or 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identified the following critical accounting policies: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Revenue Recognition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Loyalty Program Accounting</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Asset Impairment Analysis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Valuation of the TRA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Scheduled passenger service, charter service, and most ancillary revenues are recognized when the passenger flight occurs. Revenues exclude amounts collected on behalf of other parties, including transportation taxes.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including ancillary fees, less applicable change fees. Revenue for change fees is deferred and recognized when the passenger travel is provided.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Travel credits may generally be redeemed toward future travel for up to 12 months after the date of the original booking. As of September 30, 2022, the Company’s air traffic liability included $ 8,378 related to travel credits for future travel. The Company records an estimate for travel credits that will expire unused, otherwise known as breakage, in Passenger Revenue upon issuance of the travel credit. During the nine months ended September 30, 2022 and 2021, the Company recorded $7,837 and $9,008 of estimated travel credit breakage, respectively. A portion of travel credits will expire unused, at which time any remaining revenue is recognized.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estimated breakage rate is primarily based on historical experience of travel credit activity and other factors that may not be indicative of future trends, such as the COVID-19 pandemic, program changes or modifications that could affect the ultimate usage patterns of tickets and travel credits. The Company continuously monitors its breakage rate assumptions and may adjust its estimated breakage rate in the future. Changes in the Company’s estimated breakage rate impact revenue recognition prospectively.</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the nine months ended September 30, 2022, a 10% change in the Company’s estimated travel credit breakage rate would have resulted in a change to Passenger Revenue of approximately $626.</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are no critical accounting estimates associated with Charter or Cargo revenue recognition that would materially impact the amount of revenue recognized in any specific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 Accounting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Visa card holders is established by deferring a portion of payments received from the Company’s co-branded agreement. The Company’s Sun Country Rewards program allows for the redemption of points to include payment towards air travel, land travel, taxes, and other ancillary purchases. The balance of the Loyalty Program Liabilities fluctuates based on seasonal patterns, which impacts the volume of loyalty points awarded through travel or issued to co-branded credit card and other partners (deferral of revenue) and loyalty points redeemed (recognition of revenue). The Company records an estimate for loyalty points breakage in Passenger Revenue upon issuance of the loyalty points. Loyalty points held by co-branded credit card members do not expire. All other loyalty points expire if unused after three years.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Points Earned Through Travel Purchases</w:t>
      </w:r>
      <w:r>
        <w:rPr>
          <w:rFonts w:ascii="Arial" w:cs="Arial" w:eastAsia="Arial" w:hAnsi="Arial"/>
          <w:sz w:val="18"/>
          <w:szCs w:val="18"/>
          <w:color w:val="auto"/>
        </w:rPr>
        <w:t>. Passenger sales that earn Sun Country Rewards provide customers with travel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loyalty points, which are each considered distinct performance obligations. The Company values each performance obligation on a standalone basis. The Company determines the standalone selling price of loyalty points issued using a redemption value approach, which considers the value a passenger will receive upon redemption of the loyalty points. Consideration allocated to loyalty points is deferred, net of estimated breakage, and recognized as Passenger Revenue when both the loyalty points have been redeemed and the passenger travel occurs.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Points Earned through the Co-Branded Credit Card Program</w:t>
      </w:r>
      <w:r>
        <w:rPr>
          <w:rFonts w:ascii="Arial" w:cs="Arial" w:eastAsia="Arial" w:hAnsi="Arial"/>
          <w:sz w:val="18"/>
          <w:szCs w:val="18"/>
          <w:color w:val="auto"/>
        </w:rPr>
        <w:t>. Under the Company's co-branded credit card program, funds received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 a co-branded credit card and delivery of loyalty points are accounted for as a multiple-deliverable arrangement. The Company determined that the arrangement has two distinct performance obligations: (1) loyalty points to be awarded; and, (2) use of our brand and access to our customer lists, and certain other advertising and marketing elements (collectively, the marketing performance obligation). Funds received from the co-branded credit card program are allocated to the two performance obligations based on relative standalone selling price. The assumptions used to allocate the funds received are not considered critical to the application of the accounting model for the Company’s loyalty program. Consideration allocated to loyalty points is deferred and recognized as Passenger Revenue when both the loyalty points have been redeemed and the passenger travel occurs. Consideration allocated to the marketing performance obligation is recognized as revenue as the spend occurs and is recorded in Other Revenue.</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estimates breakage for loyalty points that are not likely to be redeemed. Loyalty points are combined in one homogenous pool, that includes both air and non-air travel awards, and are not separately identifiable. The estimated breakage rate is primarily based on historical experience of loyalty point redemption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activity and other factors that may not be indicative of future trends, such as the COVID-19 pandemic, program changes or modifications that could affect the ultimate usage pattern of loyalty points. The Company continuously monitors its breakage rate assumptions and may adjust its estimated breakage rate for loyalty points in the future. Changes in the Company’s estimated breakage rate assumptions impact revenue recognition prospectively.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nine months ended September 30, 2022, the Company recognized $1,134 of loyalty points breakage within Passenger Revenue. A 10% change in the Company’s loyalty point estimated breakage rate would have resulted in a change to Passenger Revenue of approximately $141.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 Analysis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long-lived assets, such as Property &amp; Equipment and finite-lived Intangible Assets, are reviewed for impairment whenever events or changes in circumstances indicate that the carrying amount of an asset may not be recoverable. The Company’s assets include aircraft and associated engines, operating and finance lease assets, the Company’s customer relationship finite-lived intangible assets, and other long-lived assets. The Company reviews the current economic and operating environment to determine whether events or circumstances indicate that these assets may be impaired. Such indicators include, but are not limited to: (1) significant, permanent decrease in the market price of the Company’s long-lived assets, (2) significant decrease in the projected cash flows generated from the use of its long-lived assets, (3) changes in the estimated useful life or productive capacity of the asset, (4) changes in the regulatory environment in which the Company operates, and (5) a decision to permanently remove flight equipment or other long-lived assets from operations. If such factors are identified and the Company determines that the carrying amount of the long-lived asset (or asset group) is not recoverable on an undiscounted cash flow basis, an impairment is recognized to the extent that the asset (or asset group’s) carrying amount exceeds its fair value. Fair value is determined using various valuation techniques, including discounted cash flow models, quoted market values and third-party independent appraisals, as considered necessary.</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the Company assesses its long-lived assets for impairment, it utilizes certain assumptions, including, but not limited to: (1) estimated fair value of the assets and (2) estimated future undiscounted cash flows expected to be generated by those assets. Cash flow estimates are determined based on additional assumptions, including asset utilization, average fares, projected fuel costs and other operating costs, along with the estimated service life of the asset. Certain of these assumptions are highly volatile and could change significantly from period to period due to various macroeconomic and industry-specific events.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determine whether impairment exists, the Company groups its assets based on the lowest level of identifiable cash flows, which is its operating segments. This is due to the Company operating a Passenger Service fleet comprised exclusively of one type of aircraft, the Boeing 737-NG. None of the Company’s long-lived assets are owned by, or associated with, the Cargo operating segment.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not recorded an impairment on its long-lived assets for any of the periods presented in these Condensed Consolidated Financial Statements, nor did it identify any triggering events during the nine months ended September 30, 2022 and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the TRA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its IPO, the Company entered into a TRA with pre-IPO stockholders (the “TRA holders”). The TRA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Amounts payable under the TRA are contingent upon, among other things, (i) generation of future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taxable income over the term of the TRA, (ii) the Company’s participation in future government programs, (iii) stock option activity during periods prior to the commencement of payments under the TRA and (iv) future changes in tax laws. These factors could result in an increase or decrease in the related liability, which would be recognized in the Company’s earnings in the period of such change.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does not generate sufficient taxable income in the aggregate over the term of the TRA to utilize the tax benefits, then it would not be required to make the related TRA payments. Estimating future taxable income is inherently uncertain and requires judgment. In projecting future taxable income, the Company considers its historical results and incorporates certain assumptions, including revenue growth, operating margin, stock option exercises and tax depreciation expense. The TRA liability estimates related to the generation of future taxable income and stock option activity during the periods prior to the commencement of payments only applies through fiscal year 2022, due to the expiration of the CARES Act dividend and capital distribution restrictions in 2022.</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$10,000 change in forecasted taxable income would have resulted in a change to the TRA Liability of approximately $1,200. Stock option exercises during the nine months ended September 30, 2022 did not significantly impact the TRA liability. Adjustments to the TRA are recorded in the current period in Other, net within Non-operating Income (Expense) on the Company’s Condensed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to our Condensed Consolidated Financial Statements included elsewhere in this Quarterly Report on Form 10-Q for more information regarding recently adopted accounting pronouncements.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jc w:val="both"/>
        <w:spacing w:after="0" w:line="254"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nine months ended September 30, 2022 and 2021. Also discussed is our financial position as of September 30, 2022 and December 31, 2021. This section should be read in conjunction with our unaudited Condensed Consolidated Financial Statements and related notes appearing elsewhere in this Quarterly Report on Form 10-Q and our audited Consolidated Financial Statements and related notes and discussion under the heading, “Management’s Discussion and Analysis of Financial Condition and Results of Operations” in our 2021 10-K.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w:t>
      </w:r>
      <w:hyperlink r:id="rId81">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 included in our 2021 10-K to gain an understanding of the important factors that could cause actual results to differ materially from our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Sun Country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as well as providing crew, maintenance and insurance (“CMI”) services to Amazon, with flights throughout the United States and to destinations in Canada, Mexico, Central America and the Caribbean. Based in Minnesota, we operate an agile network that includes our scheduled service business, our synergistic charter, and cargo businesses. We share resources, such as flight crews, across our scheduled service, charter, and cargo business lines with the objective of generating higher returns and margins and mitigating the seasonality of our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scheduled service business combines low costs with a high-quality product to generate higher Total Revenue per Available Seat Mile (“TRASM”) than Ultra Low-Cost Carriers (“ULCCs”) while maintaining lower Adjusted Cost per Available Seat Mile (“CASM”) than Low Cost Carriers (“LCCs”), resulting in best-in-class unit profitability. Our business includes many cost characteristics of ULCCs (which includes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high-quality product that we believe is superior to ULCCs and consistent with that of LCCs (which includes Southwest Airlines and JetBlue Airways). For example, our product includes more legroom than ULCCs, complimentary beverages, in-flight entertainment, and in-seat power, none of which are offered by ULCCs.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charter business, which is one of the largest narrow body charter operations in the United States, is a key component of our strategy because it provides both inherent diversification and downside protection because it is synergistic with our other businesses.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and professional sports teams. Our charter business includes ad hoc, repeat, short-term and long-term service contracts with pass through fuel arrangements and annual rate escalations. Most of our business is non-cyclical because the U.S. Department of Defense and sports teams continue to fly during normal economic downturns and our casino contracts are long-term in nature.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13, 2019, we signed the ATSA with Amazon to provide air cargo services. We are currently flying 12 Boeing 737-800 cargo aircraft for Amazon.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Our cargo business also enables us to leverage certain assets, capabilities, and fixed costs to enhance profitability and promote growth across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in Review</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United States by attracting customers with low fares and garnering repeat business by delivering a high-quality passenger experience, offering state-of-the-art interiors, free streaming of in-flight entertainment to passenger devices, seat reclining and seat-back power in all of our aircraft.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COVID-19 pandemic resulted in a dramatic decline in passenger demand across the U.S. airline industry. We experienced a significant decrease in demand related to the COVID-19 pandemic, which caused a material decline in our 2021 results as compared to pre-pandemic levels, and negatively impacted our financial condition and operating results.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third quarter of 2022, we have continued to see recovery in demand from the COVID-19 pandemic relative to demand in 2021, which may impact the comparability of results presented. However, the ongoing impact of the COVID-19 pandemic on overall demand for air travel remains uncertain and cannot be predicted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this time. In addition, the impact of COVID-19 vaccine mandates, uncertainties in pilot staffing, higher aircraft fuel prices due to global geopolitical events, and the impact of macroeconomic conditions including inflationary pressures could impact our business and results of operations in the near term. While the COVID-19 pandemic-induced industry downturn delayed our growth in 2020 and 2021, we believe that our investments have positioned us to profitably grow our business in the long term following a rebound in the U.S. airline industry.</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Operational challenges, driven by training throughput issues, fuel price increases and other inflationary pressures have impacted the Company, as well as the industry. In the near term, current airline travel demand will partially offset the additional costs associated with operational challenges, fuel price increases, and other inflationary pressures. Our flexible business model gives us the ability to adjust our services in response to these market conditions, which is targeted at producing the highest possible returns for Sun Country.</w:t>
      </w:r>
    </w:p>
    <w:p>
      <w:pPr>
        <w:spacing w:after="0" w:line="176"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more information on our business and strategic advantages, see the "Business" and “Management’s Discussion and Analysis of Operations” sections within Part I, </w:t>
      </w:r>
      <w:hyperlink r:id="rId86">
        <w:r>
          <w:rPr>
            <w:rFonts w:ascii="Arial" w:cs="Arial" w:eastAsia="Arial" w:hAnsi="Arial"/>
            <w:sz w:val="18"/>
            <w:szCs w:val="18"/>
            <w:u w:val="single" w:color="auto"/>
            <w:color w:val="0000FF"/>
          </w:rPr>
          <w:t>Item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Part II, </w:t>
      </w:r>
      <w:hyperlink r:id="rId87">
        <w:r>
          <w:rPr>
            <w:rFonts w:ascii="Arial" w:cs="Arial" w:eastAsia="Arial" w:hAnsi="Arial"/>
            <w:sz w:val="18"/>
            <w:szCs w:val="18"/>
            <w:u w:val="single" w:color="auto"/>
            <w:color w:val="0000FF"/>
          </w:rPr>
          <w:t>Item 7</w:t>
        </w:r>
      </w:hyperlink>
      <w:r>
        <w:rPr>
          <w:rFonts w:ascii="Arial" w:cs="Arial" w:eastAsia="Arial" w:hAnsi="Arial"/>
          <w:sz w:val="18"/>
          <w:szCs w:val="18"/>
          <w:color w:val="auto"/>
        </w:rPr>
        <w:t>, respectively, in our 2021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Operations</w:t>
      </w:r>
    </w:p>
    <w:p>
      <w:pPr>
        <w:spacing w:after="0" w:line="225"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more detailed discussion on the nature of transactions included in the separate line items of our Condensed Consolidated Statement of Operations, see “Management’s Discussion and Analysis of Operations” in Part II, </w:t>
      </w:r>
      <w:hyperlink r:id="rId87">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2021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Periods' Financial Statement Revisions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to the Condensed Consolidated Financial Statements, we have revised previously issued financial statements to correct an immaterial misstatement. Accordingly, all prior period numbers included in this Management's Discussion and Analysis of Financial Condition reflect the effect of the revisions.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1"/>
                <w:szCs w:val="11"/>
                <w:b w:val="1"/>
                <w:bCs w:val="1"/>
                <w:color w:val="auto"/>
                <w:w w:val="96"/>
              </w:rPr>
              <w:t xml:space="preserve">Three Months Ended September 30, 2022 </w:t>
            </w:r>
            <w:r>
              <w:rPr>
                <w:rFonts w:ascii="Arial" w:cs="Arial" w:eastAsia="Arial" w:hAnsi="Arial"/>
                <w:sz w:val="14"/>
                <w:szCs w:val="14"/>
                <w:b w:val="1"/>
                <w:bCs w:val="1"/>
                <w:color w:val="auto"/>
                <w:w w:val="96"/>
                <w:vertAlign w:val="superscript"/>
              </w:rPr>
              <w:t>(1)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1"/>
                <w:szCs w:val="11"/>
                <w:b w:val="1"/>
                <w:bCs w:val="1"/>
                <w:color w:val="auto"/>
              </w:rPr>
              <w:t xml:space="preserve">Three Months Ended September 30, 2021 </w:t>
            </w:r>
            <w:r>
              <w:rPr>
                <w:rFonts w:ascii="Arial" w:cs="Arial" w:eastAsia="Arial" w:hAnsi="Arial"/>
                <w:sz w:val="14"/>
                <w:szCs w:val="14"/>
                <w:b w:val="1"/>
                <w:bCs w:val="1"/>
                <w:color w:val="auto"/>
                <w:vertAlign w:val="superscript"/>
              </w:rPr>
              <w:t>(1)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420"/>
              <w:spacing w:after="0" w:line="102" w:lineRule="exact"/>
              <w:rPr>
                <w:sz w:val="20"/>
                <w:szCs w:val="20"/>
                <w:color w:val="auto"/>
              </w:rPr>
            </w:pPr>
            <w:r>
              <w:rPr>
                <w:rFonts w:ascii="Arial" w:cs="Arial" w:eastAsia="Arial" w:hAnsi="Arial"/>
                <w:sz w:val="11"/>
                <w:szCs w:val="11"/>
                <w:b w:val="1"/>
                <w:bCs w:val="1"/>
                <w:color w:val="auto"/>
                <w:w w:val="96"/>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80" w:type="dxa"/>
            <w:vAlign w:val="bottom"/>
            <w:gridSpan w:val="3"/>
            <w:vMerge w:val="restart"/>
          </w:tcPr>
          <w:p>
            <w:pPr>
              <w:jc w:val="right"/>
              <w:ind w:right="660"/>
              <w:spacing w:after="0"/>
              <w:rPr>
                <w:sz w:val="20"/>
                <w:szCs w:val="20"/>
                <w:color w:val="auto"/>
              </w:rPr>
            </w:pPr>
            <w:r>
              <w:rPr>
                <w:rFonts w:ascii="Arial" w:cs="Arial" w:eastAsia="Arial" w:hAnsi="Arial"/>
                <w:sz w:val="11"/>
                <w:szCs w:val="11"/>
                <w:b w:val="1"/>
                <w:bCs w:val="1"/>
                <w:color w:val="auto"/>
              </w:rPr>
              <w:t>Cargo</w:t>
            </w:r>
          </w:p>
        </w:tc>
        <w:tc>
          <w:tcPr>
            <w:tcW w:w="1040" w:type="dxa"/>
            <w:vAlign w:val="bottom"/>
            <w:gridSpan w:val="3"/>
            <w:vMerge w:val="restart"/>
          </w:tcPr>
          <w:p>
            <w:pPr>
              <w:jc w:val="right"/>
              <w:ind w:right="640"/>
              <w:spacing w:after="0"/>
              <w:rPr>
                <w:sz w:val="20"/>
                <w:szCs w:val="20"/>
                <w:color w:val="auto"/>
              </w:rPr>
            </w:pPr>
            <w:r>
              <w:rPr>
                <w:rFonts w:ascii="Arial" w:cs="Arial" w:eastAsia="Arial" w:hAnsi="Arial"/>
                <w:sz w:val="11"/>
                <w:szCs w:val="11"/>
                <w:b w:val="1"/>
                <w:bCs w:val="1"/>
                <w:color w:val="auto"/>
              </w:rPr>
              <w:t>Total</w:t>
            </w:r>
          </w:p>
        </w:tc>
        <w:tc>
          <w:tcPr>
            <w:tcW w:w="1140" w:type="dxa"/>
            <w:vAlign w:val="bottom"/>
            <w:gridSpan w:val="3"/>
          </w:tcPr>
          <w:p>
            <w:pPr>
              <w:jc w:val="center"/>
              <w:ind w:right="420"/>
              <w:spacing w:after="0" w:line="102" w:lineRule="exact"/>
              <w:rPr>
                <w:sz w:val="20"/>
                <w:szCs w:val="20"/>
                <w:color w:val="auto"/>
              </w:rPr>
            </w:pPr>
            <w:r>
              <w:rPr>
                <w:rFonts w:ascii="Arial" w:cs="Arial" w:eastAsia="Arial" w:hAnsi="Arial"/>
                <w:sz w:val="11"/>
                <w:szCs w:val="11"/>
                <w:b w:val="1"/>
                <w:bCs w:val="1"/>
                <w:color w:val="auto"/>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40" w:type="dxa"/>
            <w:vAlign w:val="bottom"/>
            <w:gridSpan w:val="3"/>
            <w:vMerge w:val="restart"/>
          </w:tcPr>
          <w:p>
            <w:pPr>
              <w:jc w:val="right"/>
              <w:ind w:right="620"/>
              <w:spacing w:after="0"/>
              <w:rPr>
                <w:sz w:val="20"/>
                <w:szCs w:val="20"/>
                <w:color w:val="auto"/>
              </w:rPr>
            </w:pPr>
            <w:r>
              <w:rPr>
                <w:rFonts w:ascii="Arial" w:cs="Arial" w:eastAsia="Arial" w:hAnsi="Arial"/>
                <w:sz w:val="11"/>
                <w:szCs w:val="11"/>
                <w:b w:val="1"/>
                <w:bCs w:val="1"/>
                <w:color w:val="auto"/>
              </w:rPr>
              <w:t>Cargo</w:t>
            </w:r>
          </w:p>
        </w:tc>
        <w:tc>
          <w:tcPr>
            <w:tcW w:w="7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w w:val="96"/>
              </w:rPr>
              <w:t>Service</w:t>
            </w:r>
          </w:p>
        </w:tc>
        <w:tc>
          <w:tcPr>
            <w:tcW w:w="860" w:type="dxa"/>
            <w:vAlign w:val="bottom"/>
            <w:gridSpan w:val="2"/>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rPr>
              <w:t>Service</w:t>
            </w: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 xml:space="preserve">Departures </w:t>
            </w:r>
            <w:r>
              <w:rPr>
                <w:rFonts w:ascii="Arial" w:cs="Arial" w:eastAsia="Arial" w:hAnsi="Arial"/>
                <w:sz w:val="14"/>
                <w:szCs w:val="14"/>
                <w:color w:val="auto"/>
                <w:vertAlign w:val="superscript"/>
              </w:rPr>
              <w:t>(2)</w:t>
            </w: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5,611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2,359</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3,043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11,072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5,533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1,798</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2,912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10,299</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Block hours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16,947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4,623</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8,739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30,492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17,313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3,835</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8,533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29,842</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Aircraft miles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6,777,764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1,629,061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3,399,149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11,864,450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7,046,575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1,423,300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3,376,084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11,897,035</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Available seat miles (ASMs) (thousands)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1,256,755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286,189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1,553,483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1,296,555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244,393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1,549,432</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revenue per ASM (TRASM) (cents)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12.34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14.99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13.83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9.63</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passenger aircraft during the period </w:t>
            </w:r>
            <w:r>
              <w:rPr>
                <w:rFonts w:ascii="Arial" w:cs="Arial" w:eastAsia="Arial" w:hAnsi="Arial"/>
                <w:sz w:val="14"/>
                <w:szCs w:val="14"/>
                <w:color w:val="auto"/>
                <w:vertAlign w:val="superscript"/>
              </w:rPr>
              <w:t>(3)</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32.9</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Passenger aircraft at end of period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Cargo aircraft at end of period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daily aircraft utilization (hours)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52"/>
        </w:trPr>
        <w:tc>
          <w:tcPr>
            <w:tcW w:w="2860" w:type="dxa"/>
            <w:vAlign w:val="bottom"/>
          </w:tcPr>
          <w:p>
            <w:pPr>
              <w:ind w:left="20"/>
              <w:spacing w:after="0"/>
              <w:rPr>
                <w:sz w:val="20"/>
                <w:szCs w:val="20"/>
                <w:color w:val="auto"/>
              </w:rPr>
            </w:pPr>
            <w:r>
              <w:rPr>
                <w:rFonts w:ascii="Arial" w:cs="Arial" w:eastAsia="Arial" w:hAnsi="Arial"/>
                <w:sz w:val="11"/>
                <w:szCs w:val="11"/>
                <w:color w:val="auto"/>
              </w:rPr>
              <w:t>Average stage length (miles)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1,055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1,155</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908,967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785,348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Revenue passenger miles (RPMs) (thousands)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1,101,011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1,011,936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Load factor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87.6 %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78.0 %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base fare per passenger </w:t>
            </w:r>
            <w:r>
              <w:rPr>
                <w:rFonts w:ascii="Arial" w:cs="Arial" w:eastAsia="Arial" w:hAnsi="Arial"/>
                <w:sz w:val="14"/>
                <w:szCs w:val="14"/>
                <w:color w:val="auto"/>
                <w:vertAlign w:val="superscript"/>
              </w:rPr>
              <w:t>(4)</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112.44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102.14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4"/>
                <w:szCs w:val="14"/>
                <w:color w:val="auto"/>
                <w:vertAlign w:val="superscript"/>
              </w:rPr>
              <w:t>(4)</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55.29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42.91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Charter revenue per block hour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9,280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8,816</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Fuel gallons consumed (thousands)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13,352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3,056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16,509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13,475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2,760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16,321</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w w:val="99"/>
              </w:rPr>
              <w:t>Fuel cost per gallon, excluding derivatives and other items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3.93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2.24</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Employees at end of period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2,354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2,014</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Cost per available seat mile (CASM) (cents) </w:t>
            </w:r>
            <w:r>
              <w:rPr>
                <w:rFonts w:ascii="Arial" w:cs="Arial" w:eastAsia="Arial" w:hAnsi="Arial"/>
                <w:sz w:val="14"/>
                <w:szCs w:val="14"/>
                <w:color w:val="auto"/>
                <w:vertAlign w:val="superscript"/>
              </w:rPr>
              <w:t>(5)</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13.28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9.83</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4"/>
                <w:szCs w:val="14"/>
                <w:color w:val="auto"/>
                <w:vertAlign w:val="superscript"/>
              </w:rPr>
              <w:t>(6)</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6.39</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21"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Scheduled Service and Charter service utilize the same fleet of aircraft. Aircraft counts and utilization metrics are shown on a system basis only.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service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4" w:lineRule="exact"/>
        <w:rPr>
          <w:rFonts w:ascii="Arial" w:cs="Arial" w:eastAsia="Arial" w:hAnsi="Arial"/>
          <w:sz w:val="14"/>
          <w:szCs w:val="14"/>
          <w:color w:val="auto"/>
        </w:rPr>
      </w:pPr>
    </w:p>
    <w:p>
      <w:pPr>
        <w:ind w:left="340" w:hanging="332"/>
        <w:spacing w:after="0" w:line="264"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special items, and certain other costs that are unrelated to our airline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1"/>
                <w:szCs w:val="11"/>
                <w:b w:val="1"/>
                <w:bCs w:val="1"/>
                <w:color w:val="auto"/>
                <w:w w:val="97"/>
              </w:rPr>
              <w:t xml:space="preserve">Nine Months Ended September 30, 2022 </w:t>
            </w:r>
            <w:r>
              <w:rPr>
                <w:rFonts w:ascii="Arial" w:cs="Arial" w:eastAsia="Arial" w:hAnsi="Arial"/>
                <w:sz w:val="14"/>
                <w:szCs w:val="14"/>
                <w:b w:val="1"/>
                <w:bCs w:val="1"/>
                <w:color w:val="auto"/>
                <w:w w:val="97"/>
                <w:vertAlign w:val="superscript"/>
              </w:rPr>
              <w:t>(1)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1"/>
                <w:szCs w:val="11"/>
                <w:b w:val="1"/>
                <w:bCs w:val="1"/>
                <w:color w:val="auto"/>
              </w:rPr>
              <w:t xml:space="preserve">Nine Months Ended September 30, 2021 </w:t>
            </w:r>
            <w:r>
              <w:rPr>
                <w:rFonts w:ascii="Arial" w:cs="Arial" w:eastAsia="Arial" w:hAnsi="Arial"/>
                <w:sz w:val="14"/>
                <w:szCs w:val="14"/>
                <w:b w:val="1"/>
                <w:bCs w:val="1"/>
                <w:color w:val="auto"/>
                <w:vertAlign w:val="superscript"/>
              </w:rPr>
              <w:t>(1)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420"/>
              <w:spacing w:after="0" w:line="102" w:lineRule="exact"/>
              <w:rPr>
                <w:sz w:val="20"/>
                <w:szCs w:val="20"/>
                <w:color w:val="auto"/>
              </w:rPr>
            </w:pPr>
            <w:r>
              <w:rPr>
                <w:rFonts w:ascii="Arial" w:cs="Arial" w:eastAsia="Arial" w:hAnsi="Arial"/>
                <w:sz w:val="11"/>
                <w:szCs w:val="11"/>
                <w:b w:val="1"/>
                <w:bCs w:val="1"/>
                <w:color w:val="auto"/>
                <w:w w:val="96"/>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80" w:type="dxa"/>
            <w:vAlign w:val="bottom"/>
            <w:gridSpan w:val="3"/>
            <w:vMerge w:val="restart"/>
          </w:tcPr>
          <w:p>
            <w:pPr>
              <w:jc w:val="right"/>
              <w:ind w:right="660"/>
              <w:spacing w:after="0"/>
              <w:rPr>
                <w:sz w:val="20"/>
                <w:szCs w:val="20"/>
                <w:color w:val="auto"/>
              </w:rPr>
            </w:pPr>
            <w:r>
              <w:rPr>
                <w:rFonts w:ascii="Arial" w:cs="Arial" w:eastAsia="Arial" w:hAnsi="Arial"/>
                <w:sz w:val="11"/>
                <w:szCs w:val="11"/>
                <w:b w:val="1"/>
                <w:bCs w:val="1"/>
                <w:color w:val="auto"/>
              </w:rPr>
              <w:t>Cargo</w:t>
            </w:r>
          </w:p>
        </w:tc>
        <w:tc>
          <w:tcPr>
            <w:tcW w:w="1040" w:type="dxa"/>
            <w:vAlign w:val="bottom"/>
            <w:gridSpan w:val="3"/>
            <w:vMerge w:val="restart"/>
          </w:tcPr>
          <w:p>
            <w:pPr>
              <w:jc w:val="right"/>
              <w:ind w:right="640"/>
              <w:spacing w:after="0"/>
              <w:rPr>
                <w:sz w:val="20"/>
                <w:szCs w:val="20"/>
                <w:color w:val="auto"/>
              </w:rPr>
            </w:pPr>
            <w:r>
              <w:rPr>
                <w:rFonts w:ascii="Arial" w:cs="Arial" w:eastAsia="Arial" w:hAnsi="Arial"/>
                <w:sz w:val="11"/>
                <w:szCs w:val="11"/>
                <w:b w:val="1"/>
                <w:bCs w:val="1"/>
                <w:color w:val="auto"/>
              </w:rPr>
              <w:t>Total</w:t>
            </w:r>
          </w:p>
        </w:tc>
        <w:tc>
          <w:tcPr>
            <w:tcW w:w="1140" w:type="dxa"/>
            <w:vAlign w:val="bottom"/>
            <w:gridSpan w:val="3"/>
          </w:tcPr>
          <w:p>
            <w:pPr>
              <w:jc w:val="center"/>
              <w:ind w:right="420"/>
              <w:spacing w:after="0" w:line="102" w:lineRule="exact"/>
              <w:rPr>
                <w:sz w:val="20"/>
                <w:szCs w:val="20"/>
                <w:color w:val="auto"/>
              </w:rPr>
            </w:pPr>
            <w:r>
              <w:rPr>
                <w:rFonts w:ascii="Arial" w:cs="Arial" w:eastAsia="Arial" w:hAnsi="Arial"/>
                <w:sz w:val="11"/>
                <w:szCs w:val="11"/>
                <w:b w:val="1"/>
                <w:bCs w:val="1"/>
                <w:color w:val="auto"/>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40" w:type="dxa"/>
            <w:vAlign w:val="bottom"/>
            <w:gridSpan w:val="3"/>
            <w:vMerge w:val="restart"/>
          </w:tcPr>
          <w:p>
            <w:pPr>
              <w:jc w:val="right"/>
              <w:ind w:right="620"/>
              <w:spacing w:after="0"/>
              <w:rPr>
                <w:sz w:val="20"/>
                <w:szCs w:val="20"/>
                <w:color w:val="auto"/>
              </w:rPr>
            </w:pPr>
            <w:r>
              <w:rPr>
                <w:rFonts w:ascii="Arial" w:cs="Arial" w:eastAsia="Arial" w:hAnsi="Arial"/>
                <w:sz w:val="11"/>
                <w:szCs w:val="11"/>
                <w:b w:val="1"/>
                <w:bCs w:val="1"/>
                <w:color w:val="auto"/>
              </w:rPr>
              <w:t>Cargo</w:t>
            </w:r>
          </w:p>
        </w:tc>
        <w:tc>
          <w:tcPr>
            <w:tcW w:w="7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w w:val="96"/>
              </w:rPr>
              <w:t>Service</w:t>
            </w:r>
          </w:p>
        </w:tc>
        <w:tc>
          <w:tcPr>
            <w:tcW w:w="860" w:type="dxa"/>
            <w:vAlign w:val="bottom"/>
            <w:gridSpan w:val="2"/>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rPr>
              <w:t>Service</w:t>
            </w: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 xml:space="preserve">Departures </w:t>
            </w:r>
            <w:r>
              <w:rPr>
                <w:rFonts w:ascii="Arial" w:cs="Arial" w:eastAsia="Arial" w:hAnsi="Arial"/>
                <w:sz w:val="14"/>
                <w:szCs w:val="14"/>
                <w:color w:val="auto"/>
                <w:vertAlign w:val="superscript"/>
              </w:rPr>
              <w:t>(2)</w:t>
            </w: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17,512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6,214</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8,310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32,246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14,777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5,036</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8,229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28,196</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Block hours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57,585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13,000</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23,891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95,052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48,420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10,822</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24,973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84,648</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Aircraft miles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23,112,200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4,630,257</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9,209,477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37,113,673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19,758,087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4,005,794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9,884,576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33,780,294</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Available seat miles (ASMs) (thousands)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4,284,403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800,698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5,114,134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3,653,335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693,837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4,368,972</w:t>
            </w:r>
          </w:p>
        </w:tc>
        <w:tc>
          <w:tcPr>
            <w:tcW w:w="0" w:type="dxa"/>
            <w:vAlign w:val="bottom"/>
          </w:tcPr>
          <w:p>
            <w:pPr>
              <w:spacing w:after="0"/>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revenue per ASM (TRASM) (cents)</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11.27</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14.80</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11.76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8.04</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12.76</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8.75</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passenger aircraft during the period </w:t>
            </w:r>
            <w:r>
              <w:rPr>
                <w:rFonts w:ascii="Arial" w:cs="Arial" w:eastAsia="Arial" w:hAnsi="Arial"/>
                <w:sz w:val="14"/>
                <w:szCs w:val="14"/>
                <w:color w:val="auto"/>
                <w:vertAlign w:val="superscript"/>
              </w:rPr>
              <w:t>(3)</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31.7</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Passenger aircraft at end of period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Cargo aircraft at end of period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daily aircraft utilization (hours)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Average stage length (miles)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1,169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1,199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2,715,707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2,038,399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Revenue passenger miles (RPMs) (thousands)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3,565,501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2,705,969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Load factor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83.2 %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74.1 %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base fare per passenger </w:t>
            </w:r>
            <w:r>
              <w:rPr>
                <w:rFonts w:ascii="Arial" w:cs="Arial" w:eastAsia="Arial" w:hAnsi="Arial"/>
                <w:sz w:val="14"/>
                <w:szCs w:val="14"/>
                <w:color w:val="auto"/>
                <w:vertAlign w:val="superscript"/>
              </w:rPr>
              <w:t>(4)</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123.24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106"/>
              <w:spacing w:after="0"/>
              <w:rPr>
                <w:sz w:val="20"/>
                <w:szCs w:val="20"/>
                <w:color w:val="auto"/>
              </w:rPr>
            </w:pPr>
            <w:r>
              <w:rPr>
                <w:rFonts w:ascii="Arial" w:cs="Arial" w:eastAsia="Arial" w:hAnsi="Arial"/>
                <w:sz w:val="11"/>
                <w:szCs w:val="11"/>
                <w:color w:val="auto"/>
              </w:rPr>
              <w:t>99.05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4"/>
                <w:szCs w:val="14"/>
                <w:color w:val="auto"/>
                <w:vertAlign w:val="superscript"/>
              </w:rPr>
              <w:t>(4)</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51.39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42.50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Charter revenue per block hour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9,118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8,179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Fuel gallons consumed (thousands)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44,940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9,085</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54,322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37,299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7,739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45,269</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w w:val="99"/>
              </w:rPr>
              <w:t>Fuel cost per gallon, excluding derivatives and other items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3.81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2.08</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Employees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2,354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2,014</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Cost per available seat mile (CASM) (cents) </w:t>
            </w:r>
            <w:r>
              <w:rPr>
                <w:rFonts w:ascii="Arial" w:cs="Arial" w:eastAsia="Arial" w:hAnsi="Arial"/>
                <w:sz w:val="14"/>
                <w:szCs w:val="14"/>
                <w:color w:val="auto"/>
                <w:vertAlign w:val="superscript"/>
              </w:rPr>
              <w:t>(5)</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7.98</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4"/>
                <w:szCs w:val="14"/>
                <w:color w:val="auto"/>
                <w:vertAlign w:val="superscript"/>
              </w:rPr>
              <w:t>(6)</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6.91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6.32</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21"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Scheduled Service and Charter service utilize the same fleet of aircraft. Aircraft counts and utilization metrics are shown on a system basis only.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service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4" w:lineRule="exact"/>
        <w:rPr>
          <w:rFonts w:ascii="Arial" w:cs="Arial" w:eastAsia="Arial" w:hAnsi="Arial"/>
          <w:sz w:val="14"/>
          <w:szCs w:val="14"/>
          <w:color w:val="auto"/>
        </w:rPr>
      </w:pPr>
    </w:p>
    <w:p>
      <w:pPr>
        <w:ind w:left="340" w:hanging="332"/>
        <w:spacing w:after="0" w:line="264"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special items, and certain other costs that are unrelated to our airline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September 30, 2022 and 2021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118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620" w:type="dxa"/>
            <w:vAlign w:val="bottom"/>
            <w:vMerge w:val="restart"/>
          </w:tcPr>
          <w:p>
            <w:pPr>
              <w:jc w:val="right"/>
              <w:ind w:right="6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72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60" w:type="dxa"/>
            <w:vAlign w:val="bottom"/>
            <w:tcBorders>
              <w:top w:val="single" w:sz="8" w:color="auto"/>
            </w:tcBorders>
            <w:vMerge w:val="restart"/>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620" w:type="dxa"/>
            <w:vAlign w:val="bottom"/>
          </w:tcPr>
          <w:p>
            <w:pPr>
              <w:jc w:val="right"/>
              <w:ind w:right="4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20" w:type="dxa"/>
            <w:vAlign w:val="bottom"/>
          </w:tcPr>
          <w:p>
            <w:pPr>
              <w:ind w:left="180"/>
              <w:spacing w:after="0"/>
              <w:rPr>
                <w:sz w:val="20"/>
                <w:szCs w:val="20"/>
                <w:color w:val="auto"/>
              </w:rPr>
            </w:pPr>
            <w:r>
              <w:rPr>
                <w:rFonts w:ascii="Arial" w:cs="Arial" w:eastAsia="Arial" w:hAnsi="Arial"/>
                <w:sz w:val="18"/>
                <w:szCs w:val="18"/>
                <w:color w:val="auto"/>
              </w:rPr>
              <w:t>Scheduled Service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102,200</w:t>
            </w:r>
          </w:p>
        </w:tc>
        <w:tc>
          <w:tcPr>
            <w:tcW w:w="80" w:type="dxa"/>
            <w:vAlign w:val="bottom"/>
          </w:tcPr>
          <w:p>
            <w:pPr>
              <w:spacing w:after="0"/>
              <w:rPr>
                <w:sz w:val="23"/>
                <w:szCs w:val="23"/>
                <w:color w:val="auto"/>
              </w:rPr>
            </w:pPr>
          </w:p>
        </w:tc>
        <w:tc>
          <w:tcPr>
            <w:tcW w:w="40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80,212</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21,988</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Charter Service</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42,899</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0"/>
        </w:trPr>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Ancillary</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50,261</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16,564</w:t>
            </w:r>
          </w:p>
        </w:tc>
        <w:tc>
          <w:tcPr>
            <w:tcW w:w="80" w:type="dxa"/>
            <w:vAlign w:val="bottom"/>
            <w:tcBorders>
              <w:bottom w:val="single" w:sz="8" w:color="CCEEFF"/>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195,360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47,642</w:t>
            </w: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70"/>
        </w:trPr>
        <w:tc>
          <w:tcPr>
            <w:tcW w:w="4720" w:type="dxa"/>
            <w:vAlign w:val="bottom"/>
          </w:tcPr>
          <w:p>
            <w:pPr>
              <w:ind w:left="180"/>
              <w:spacing w:after="0"/>
              <w:rPr>
                <w:sz w:val="20"/>
                <w:szCs w:val="20"/>
                <w:color w:val="auto"/>
              </w:rPr>
            </w:pPr>
            <w:r>
              <w:rPr>
                <w:rFonts w:ascii="Arial" w:cs="Arial" w:eastAsia="Arial" w:hAnsi="Arial"/>
                <w:sz w:val="18"/>
                <w:szCs w:val="18"/>
                <w:color w:val="auto"/>
              </w:rPr>
              <w:t>Cargo</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23,687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221,700</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173,663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48,037</w:t>
            </w:r>
          </w:p>
        </w:tc>
        <w:tc>
          <w:tcPr>
            <w:tcW w:w="8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64,843</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28,196</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70"/>
        </w:trPr>
        <w:tc>
          <w:tcPr>
            <w:tcW w:w="4720" w:type="dxa"/>
            <w:vAlign w:val="bottom"/>
          </w:tcPr>
          <w:p>
            <w:pPr>
              <w:ind w:left="180"/>
              <w:spacing w:after="0"/>
              <w:rPr>
                <w:sz w:val="20"/>
                <w:szCs w:val="20"/>
                <w:color w:val="auto"/>
              </w:rPr>
            </w:pPr>
            <w:r>
              <w:rPr>
                <w:rFonts w:ascii="Arial" w:cs="Arial" w:eastAsia="Arial" w:hAnsi="Arial"/>
                <w:sz w:val="18"/>
                <w:szCs w:val="18"/>
                <w:color w:val="auto"/>
              </w:rPr>
              <w:t>Salaries, Wages, and Benefits</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58,661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43,424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15,237</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Rent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472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11,018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1,358</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0"/>
        </w:trPr>
        <w:tc>
          <w:tcPr>
            <w:tcW w:w="47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17,181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2,471</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0"/>
        </w:trPr>
        <w:tc>
          <w:tcPr>
            <w:tcW w:w="472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12,926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12,069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Operating, net</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24,235</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w:t>
            </w:r>
          </w:p>
        </w:tc>
        <w:tc>
          <w:tcPr>
            <w:tcW w:w="80" w:type="dxa"/>
            <w:vAlign w:val="bottom"/>
            <w:tcBorders>
              <w:bottom w:val="single" w:sz="8" w:color="CCEEFF"/>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206,309</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152,342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53,967</w:t>
            </w:r>
          </w:p>
        </w:tc>
        <w:tc>
          <w:tcPr>
            <w:tcW w:w="8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w:t>
            </w:r>
          </w:p>
        </w:tc>
        <w:tc>
          <w:tcPr>
            <w:tcW w:w="8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47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(7,493)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8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472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3,341</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Before Income Tax</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12,930</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80" w:type="dxa"/>
            <w:vAlign w:val="bottom"/>
            <w:tcBorders>
              <w:bottom w:val="single" w:sz="8" w:color="CCEEFF"/>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8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"NM" stands for not meaningful</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Operating Revenues increased $48,037, or 28%, to $221,700 for the three months ended September 30, 2022 from $ 173,663 for the three months ended September 30, 2021. The increase was largely driven by an increase in demand for passenger service during 2022 as compared to 2021, which was significantly impacted by a decrease in passenger demand due to the COVID-19 pandemic.</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Scheduled Service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service revenue increased by $21,988, or 27%, to $102,200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from $80,212 for the three months ended September 30, 2021. The table below presents select operating data for scheduled service, expressed as quarter-over-quarter changes: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60" w:type="dxa"/>
            <w:vAlign w:val="bottom"/>
          </w:tcPr>
          <w:p>
            <w:pPr>
              <w:jc w:val="right"/>
              <w:ind w:right="4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Departures</w:t>
            </w:r>
          </w:p>
        </w:tc>
        <w:tc>
          <w:tcPr>
            <w:tcW w:w="3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5,611</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5,533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Passengers</w:t>
            </w:r>
          </w:p>
        </w:tc>
        <w:tc>
          <w:tcPr>
            <w:tcW w:w="320" w:type="dxa"/>
            <w:vAlign w:val="bottom"/>
          </w:tcPr>
          <w:p>
            <w:pPr>
              <w:spacing w:after="0"/>
              <w:rPr>
                <w:sz w:val="19"/>
                <w:szCs w:val="19"/>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908,967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785,348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123,619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base fare per 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112.44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102.14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RPMs (thousands)</w:t>
            </w:r>
          </w:p>
        </w:tc>
        <w:tc>
          <w:tcPr>
            <w:tcW w:w="320" w:type="dxa"/>
            <w:vAlign w:val="bottom"/>
          </w:tcPr>
          <w:p>
            <w:pPr>
              <w:spacing w:after="0"/>
              <w:rPr>
                <w:sz w:val="19"/>
                <w:szCs w:val="19"/>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1,101,011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1,011,936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89,075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ASMs (thousands)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1,256,755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1,296,555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(39,800)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TRASM (cents)</w:t>
            </w:r>
          </w:p>
        </w:tc>
        <w:tc>
          <w:tcPr>
            <w:tcW w:w="320" w:type="dxa"/>
            <w:vAlign w:val="bottom"/>
          </w:tcPr>
          <w:p>
            <w:pPr>
              <w:spacing w:after="0"/>
              <w:rPr>
                <w:sz w:val="19"/>
                <w:szCs w:val="19"/>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12.34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load factor</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9.6 pts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quarter-over-quarter increases in certain scheduled service operating data were primarily the result of the continued recovery in demand from the COVID-19 pandemic in the third quarter of 2022 relative to the same period in 2021. The quarter-over-quarter increase in demand is demonstrated by a 39% increase in TRASM, a 10% increase in the average base fare per passenger, and a 16% increase in passengers, even as quarter-over-quarter departures were materially consistent and ASMs decreased by 3%. The year-over-year revenue increase is slightly offset by the introduction of a new Ancillary product, which reclassified approximately $11,600 of revenue from Scheduled Service to Ancillary.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Charter Service. </w:t>
      </w:r>
      <w:r>
        <w:rPr>
          <w:rFonts w:ascii="Arial" w:cs="Arial" w:eastAsia="Arial" w:hAnsi="Arial"/>
          <w:sz w:val="18"/>
          <w:szCs w:val="18"/>
          <w:color w:val="auto"/>
        </w:rPr>
        <w:t>Charter service revenue increased $9,090, or 27%, to $42,899 for the three months ended September 30, 2022,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$33,809 for the three months ended September 30, 2021. Charter revenue per block hour was $9,280 for the three months ended September 30, 2022, as compared to $8,816 for the three months ended September 30, 2021, for an increase of 5%. The increase in Charter service revenue was driven by the increase in rates and a 21% increase in Charter block hours due to the continued recovery from the COVID-19 pandemic and new charter agreements that began operations during 2022. Rates in 2021 suffered from significant competitive pressure because other carriers had excess aircraft, crew, and resources to operate charter capacity.</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Ancillary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Ancillary revenue increased by $16,564, or 49%, to $50,261 for the three months ended September 30, 2022, from $33,697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2021. The 16% increase in scheduled passengers during the period resulted in greater sales of air travel-related services, such as: baggage fees, seat selection and upgrade fees, and on-board sales. Ancillary revenue for the three months ended September 30, 2022 was further benefited by the introduction of a new a new ancillary product that began in the second quarter of 2022 and reclassified approximately $ 11,600 of revenue from Scheduled Service to Ancillary. Ancillary revenue was $55.29 per passenger in the three months ended September 30, 2022, up $12.38, or 29%, from the three months ended September 30, 2021. Revenue per passenger increased due to the inclusion of a new ancillary product that reclassified portions of revenue from Scheduled Service to Ancillary, the return of onboard food and beverage sales, and increased demand.</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decreased by $ 713, or 3%, to $23,687 for the three months ended September 30, 2022, from $24,400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ended September 30, 2021. The decrease was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primarily driven by an approximately $1,700 revenue benefit recognized in the prior year, slightly offset by a 2% and 4% increase in block hours and departures, respectively.</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was $2,653 for the three months ended September 30, 2022, as compared to $1,545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The increase was primarily driven by increased revenue from Sun Country Vacations as a result of higher year-over-year bookings.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 excluding derivatives and other items, is the best measure of the effect of fuel prices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it consists solely of items associated with fuel for our operations and is consistent with how management analyzes our operating performance. This measure is defined as GAAP Aircraft Fuel expense, excluding gains related to fuel hedge derivative contracts and certain costs that are recognized within Aircraft Fuel expense, but are not directly related to our Fuel Cost per Gallon.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342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00" w:type="dxa"/>
            <w:vAlign w:val="bottom"/>
            <w:gridSpan w:val="2"/>
            <w:vMerge w:val="restart"/>
          </w:tcPr>
          <w:p>
            <w:pPr>
              <w:jc w:val="right"/>
              <w:ind w:right="6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40" w:type="dxa"/>
            <w:vAlign w:val="bottom"/>
            <w:tcBorders>
              <w:top w:val="single" w:sz="8" w:color="auto"/>
            </w:tcBorders>
            <w:vMerge w:val="restart"/>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Change</w:t>
            </w:r>
          </w:p>
        </w:tc>
        <w:tc>
          <w:tcPr>
            <w:tcW w:w="1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64,843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28,196</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Exclude: Fuel Derivative Losses</w:t>
            </w:r>
          </w:p>
        </w:tc>
        <w:tc>
          <w:tcPr>
            <w:tcW w:w="9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Excluded Items</w:t>
            </w: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5"/>
        </w:trPr>
        <w:tc>
          <w:tcPr>
            <w:tcW w:w="4580" w:type="dxa"/>
            <w:vAlign w:val="bottom"/>
          </w:tcPr>
          <w:p>
            <w:pPr>
              <w:ind w:left="20"/>
              <w:spacing w:after="0" w:line="156" w:lineRule="exact"/>
              <w:rPr>
                <w:sz w:val="20"/>
                <w:szCs w:val="20"/>
                <w:color w:val="auto"/>
              </w:rPr>
            </w:pPr>
            <w:r>
              <w:rPr>
                <w:rFonts w:ascii="Arial" w:cs="Arial" w:eastAsia="Arial" w:hAnsi="Arial"/>
                <w:sz w:val="18"/>
                <w:szCs w:val="18"/>
                <w:color w:val="auto"/>
              </w:rPr>
              <w:t>Aircraft Fuel Expense, Excluding Derivatives and Other</w:t>
            </w:r>
          </w:p>
        </w:tc>
        <w:tc>
          <w:tcPr>
            <w:tcW w:w="960" w:type="dxa"/>
            <w:vAlign w:val="bottom"/>
            <w:vMerge w:val="restart"/>
          </w:tcPr>
          <w:p>
            <w:pPr>
              <w:jc w:val="right"/>
              <w:ind w:right="777"/>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8"/>
              </w:rPr>
              <w:t>64,914</w:t>
            </w:r>
          </w:p>
        </w:tc>
        <w:tc>
          <w:tcPr>
            <w:tcW w:w="10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36,570</w:t>
            </w:r>
          </w:p>
        </w:tc>
        <w:tc>
          <w:tcPr>
            <w:tcW w:w="10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28,344</w:t>
            </w: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Items</w:t>
            </w:r>
          </w:p>
        </w:tc>
        <w:tc>
          <w:tcPr>
            <w:tcW w:w="960" w:type="dxa"/>
            <w:vAlign w:val="bottom"/>
            <w:tcBorders>
              <w:bottom w:val="single" w:sz="8" w:color="auto"/>
            </w:tcBorders>
            <w:vMerge w:val="continue"/>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700" w:type="dxa"/>
            <w:vAlign w:val="bottom"/>
            <w:tcBorders>
              <w:bottom w:val="single" w:sz="8" w:color="CCEE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Gallons Consumed (thousands)</w:t>
            </w: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55"/>
        </w:trPr>
        <w:tc>
          <w:tcPr>
            <w:tcW w:w="4580" w:type="dxa"/>
            <w:vAlign w:val="bottom"/>
          </w:tcPr>
          <w:p>
            <w:pPr>
              <w:ind w:left="20"/>
              <w:spacing w:after="0" w:line="156" w:lineRule="exact"/>
              <w:rPr>
                <w:sz w:val="20"/>
                <w:szCs w:val="20"/>
                <w:color w:val="auto"/>
              </w:rPr>
            </w:pPr>
            <w:r>
              <w:rPr>
                <w:rFonts w:ascii="Arial" w:cs="Arial" w:eastAsia="Arial" w:hAnsi="Arial"/>
                <w:sz w:val="18"/>
                <w:szCs w:val="18"/>
                <w:color w:val="auto"/>
              </w:rPr>
              <w:t>Fuel Cost per Gallon, Excluding Derivatives and Other</w:t>
            </w:r>
          </w:p>
        </w:tc>
        <w:tc>
          <w:tcPr>
            <w:tcW w:w="960" w:type="dxa"/>
            <w:vAlign w:val="bottom"/>
            <w:vMerge w:val="restart"/>
          </w:tcPr>
          <w:p>
            <w:pPr>
              <w:jc w:val="right"/>
              <w:ind w:right="777"/>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1"/>
        </w:trPr>
        <w:tc>
          <w:tcPr>
            <w:tcW w:w="4580" w:type="dxa"/>
            <w:vAlign w:val="bottom"/>
          </w:tcPr>
          <w:p>
            <w:pPr>
              <w:ind w:left="100"/>
              <w:spacing w:after="0"/>
              <w:rPr>
                <w:sz w:val="20"/>
                <w:szCs w:val="20"/>
                <w:color w:val="auto"/>
              </w:rPr>
            </w:pPr>
            <w:r>
              <w:rPr>
                <w:rFonts w:ascii="Arial" w:cs="Arial" w:eastAsia="Arial" w:hAnsi="Arial"/>
                <w:sz w:val="18"/>
                <w:szCs w:val="18"/>
                <w:color w:val="auto"/>
              </w:rPr>
              <w:t>Items</w:t>
            </w:r>
          </w:p>
        </w:tc>
        <w:tc>
          <w:tcPr>
            <w:tcW w:w="9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"NM" stands for not meaningful</w:t>
      </w:r>
    </w:p>
    <w:p>
      <w:pPr>
        <w:spacing w:after="0" w:line="3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 in Aircraft Fuel expense was mainly driven by the 75% year-over-year increase in the average price per gallon of fuel due to current market conditions, further exacerbated by global geopolitical events.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$15,237, or 35%, to $58,661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as compared to $43,424 for the three months ended September 30, 2021. The increase was primarily driven by the new Collective Bargaining Agreement ("CBA") for our pilots, which went into effect in the first quarter of 2022, increased per unit costs, and an increase in Passenger Service block hours. The employee headcount as of September 30, 2022 was 2,354, as compared to 2,014 as of September 30, 2021, for an increase of 340, or 17%. The increase in employee headcount was driven by increased passenger demand as we continue our recovery from the impacts of the COVID-19 pandemic.</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$1,976, or 50%, to $1,949 for the three months ended September 30, 2022,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$3,925 for the three months ended September 30, 2021. Aircraft Rent expense decreased primarily due to the composition of our aircraft fleet shifting from aircraft under operating leases (expense is recorded within Aircraft Rent) to owned aircraft or finance leases (expense is recorded through Depreciation and Amortization and Interest Expense). Specifically, in the nine months ended September 30, 2022, we executed lease amendments which modified two aircraft from operating leases to finance leases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and purchased two aircraft previously classified as operating leases. As of September 30, 2022 and 2021, there were two and six aircraft under operating leases, respectively</w:t>
      </w:r>
      <w:r>
        <w:rPr>
          <w:rFonts w:ascii="Arial" w:cs="Arial" w:eastAsia="Arial" w:hAnsi="Arial"/>
          <w:sz w:val="19"/>
          <w:szCs w:val="19"/>
          <w:color w:val="auto"/>
        </w:rPr>
        <w:t>.</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materials and repair expense increased $ 1,358, or 14%, to $11,018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compared to $9,660 for the three months ended September 30, 2021. The increase in maintenance expense was primarily driven by increased line maintenance for the Cargo fleet, increased per unit costs due to incremental contract labor spend, and an increase in certain aircraft acquisition expenses that are not eligible for capitalization.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increased $1,357, or 25%, to $6,827 for the three months ended September 30,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$5,470 for the three months ended September 30, 2021. The quarter-over-quarter increase was driven by a $1,300 increase in credit card processing and global distribution system fees due to volume and rate increases.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$2,471, or 17%, to $17,181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as compared to $14,710 for the three months ended September 30, 2021. The increase was primarily due to the impact of a change in the composition of our aircraft fleet that results in an increased number of owned aircraft and aircraft under finance leases (the expense is recorded as Depreciation and Amortization and Interest Expense). As of September 30, 2022 and 2021, there were 29 and 21 owned aircraft and 11 and eight finance leases, respectively.</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$796, or 10%, to $8,669 for the three months ended September 30,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$7,873 for the three months ended September 30, 2021. The increase was primarily due to new charter agreements that began operations during 2022.</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$857, or 7%, to $12,926 for the three months ended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2022, as compared to $12,069 for the three months ended September 30, 2021. The increase was primarily due to new charter agreements that began operations during 2022 and an increase in rates.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Special Items, net</w:t>
      </w:r>
      <w:r>
        <w:rPr>
          <w:rFonts w:ascii="Arial" w:cs="Arial" w:eastAsia="Arial" w:hAnsi="Arial"/>
          <w:sz w:val="18"/>
          <w:szCs w:val="18"/>
          <w:color w:val="auto"/>
        </w:rPr>
        <w:t>. There were no Special Items recorded for the three months ended September 30, 2022, as compared to a net benefit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$65 for the three months ended September 30, 2021. For more information on Special Items, see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of the Condensed Consolidated Financial Statements included in Part I, Item I of this report.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increased $5,606, or 30%, to $24,235 for the three months ended September 30,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$18,629 for the three months ended September 30, 2021, mainly due to increased departures within the Passenger segment, which resulted in higher crew and other employee travel costs, catering expenses, and other operational overhead costs, as well as an increase in rates associated with these expenditures.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was $1,610 for the three months ended September 30, 2022 primarily due to the change in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strategy which led to the purchase of debt securities during 2022. Interest income for the three months ended September 30, 2021 was nominal.</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$1,207, or 19%, to $7,493 for the three months ended September 30, 2022,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$6,286 for the three months ended September 30, 2021. The increase was primarily due to a larger mix of owned aircraft that were financed or refinanced with the proceeds from the 2022-1 EETC, as well as an increase in aircraft accounted for as finance leases during the three months ended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September 30, 2022. These amounts were slightly offset by $1,049 of capitalized interest. For more information on the Company's Debt, see </w:t>
      </w:r>
      <w:r>
        <w:rPr>
          <w:rFonts w:ascii="Arial" w:cs="Arial" w:eastAsia="Arial" w:hAnsi="Arial"/>
          <w:sz w:val="18"/>
          <w:szCs w:val="18"/>
          <w:u w:val="single" w:color="auto"/>
          <w:color w:val="0000FF"/>
        </w:rPr>
        <w:t>Note 7</w:t>
      </w:r>
      <w:r>
        <w:rPr>
          <w:rFonts w:ascii="Arial" w:cs="Arial" w:eastAsia="Arial" w:hAnsi="Arial"/>
          <w:sz w:val="18"/>
          <w:szCs w:val="18"/>
          <w:color w:val="0000FF"/>
        </w:rPr>
        <w:t xml:space="preserve"> </w:t>
      </w:r>
      <w:r>
        <w:rPr>
          <w:rFonts w:ascii="Arial" w:cs="Arial" w:eastAsia="Arial" w:hAnsi="Arial"/>
          <w:sz w:val="18"/>
          <w:szCs w:val="18"/>
          <w:color w:val="000000"/>
        </w:rPr>
        <w:t>of the Condensed Consolidated Financial Statements included in Part I, Item I of this report.</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increased by $2,966 to a net benefit of $3,422 for the three months ended September 30, 2022, as compared to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benefit of $456 for the three months ended September 30, 2021. The increase was primarily due to the $3,500 adjustment to decrease the estimated TRA liability in the current quarter, as compared to the $1,100 adjustment to decrease the estimated TRA liability in the prior year. For more information on the TRA liability, 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of the Condensed Consolidated Financial Statements included in Part I, Item I of this report.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The Company's effective tax rate for the three months ended September 30, 2022 was 17.4% compared to 13.8%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2021. The increase in the effective tax rate was primarily due to the non-taxable adjustment of the TRA liability, partially offset by stock compensation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2022 and 2021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7"/>
                <w:szCs w:val="17"/>
                <w:color w:val="auto"/>
              </w:rPr>
            </w:pPr>
          </w:p>
        </w:tc>
        <w:tc>
          <w:tcPr>
            <w:tcW w:w="118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620" w:type="dxa"/>
            <w:vAlign w:val="bottom"/>
            <w:vMerge w:val="restart"/>
          </w:tcPr>
          <w:p>
            <w:pPr>
              <w:jc w:val="right"/>
              <w:ind w:right="6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7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vMerge w:val="restart"/>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620" w:type="dxa"/>
            <w:vAlign w:val="bottom"/>
          </w:tcPr>
          <w:p>
            <w:pPr>
              <w:jc w:val="right"/>
              <w:ind w:right="4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180"/>
              <w:spacing w:after="0"/>
              <w:rPr>
                <w:sz w:val="20"/>
                <w:szCs w:val="20"/>
                <w:color w:val="auto"/>
              </w:rPr>
            </w:pPr>
            <w:r>
              <w:rPr>
                <w:rFonts w:ascii="Arial" w:cs="Arial" w:eastAsia="Arial" w:hAnsi="Arial"/>
                <w:sz w:val="18"/>
                <w:szCs w:val="18"/>
                <w:color w:val="auto"/>
              </w:rPr>
              <w:t>Scheduled Service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334,679</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201,905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132,774</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Charter Service</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118,526</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30,015</w:t>
            </w:r>
          </w:p>
        </w:tc>
        <w:tc>
          <w:tcPr>
            <w:tcW w:w="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Ancillary</w:t>
            </w: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139,548</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86,626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52,922</w:t>
            </w:r>
          </w:p>
        </w:tc>
        <w:tc>
          <w:tcPr>
            <w:tcW w:w="80" w:type="dxa"/>
            <w:vAlign w:val="bottom"/>
            <w:tcBorders>
              <w:bottom w:val="single" w:sz="8" w:color="CCEEFF"/>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592,753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377,042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215,711</w:t>
            </w: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70"/>
        </w:trPr>
        <w:tc>
          <w:tcPr>
            <w:tcW w:w="4780" w:type="dxa"/>
            <w:vAlign w:val="bottom"/>
          </w:tcPr>
          <w:p>
            <w:pPr>
              <w:ind w:left="180"/>
              <w:spacing w:after="0"/>
              <w:rPr>
                <w:sz w:val="20"/>
                <w:szCs w:val="20"/>
                <w:color w:val="auto"/>
              </w:rPr>
            </w:pPr>
            <w:r>
              <w:rPr>
                <w:rFonts w:ascii="Arial" w:cs="Arial" w:eastAsia="Arial" w:hAnsi="Arial"/>
                <w:sz w:val="18"/>
                <w:szCs w:val="18"/>
                <w:color w:val="auto"/>
              </w:rPr>
              <w:t>Cargo</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65,930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68,084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(2,154)</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8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667,290</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450,464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216,826</w:t>
            </w:r>
          </w:p>
        </w:tc>
        <w:tc>
          <w:tcPr>
            <w:tcW w:w="8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206,334</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115,703</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70"/>
        </w:trPr>
        <w:tc>
          <w:tcPr>
            <w:tcW w:w="4780" w:type="dxa"/>
            <w:vAlign w:val="bottom"/>
          </w:tcPr>
          <w:p>
            <w:pPr>
              <w:ind w:left="180"/>
              <w:spacing w:after="0"/>
              <w:rPr>
                <w:sz w:val="20"/>
                <w:szCs w:val="20"/>
                <w:color w:val="auto"/>
              </w:rPr>
            </w:pPr>
            <w:r>
              <w:rPr>
                <w:rFonts w:ascii="Arial" w:cs="Arial" w:eastAsia="Arial" w:hAnsi="Arial"/>
                <w:sz w:val="18"/>
                <w:szCs w:val="18"/>
                <w:color w:val="auto"/>
              </w:rPr>
              <w:t>Salaries, Wages, and Benefits</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178,576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129,815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48,761</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Rent</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478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35,794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5,624</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23,336</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70"/>
        </w:trPr>
        <w:tc>
          <w:tcPr>
            <w:tcW w:w="47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49,364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7,832</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24,838</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0"/>
        </w:trPr>
        <w:tc>
          <w:tcPr>
            <w:tcW w:w="478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32,708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3,102</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2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72,419</w:t>
            </w:r>
          </w:p>
        </w:tc>
        <w:tc>
          <w:tcPr>
            <w:tcW w:w="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Operating, net</w:t>
            </w: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68,401</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18,375</w:t>
            </w:r>
          </w:p>
        </w:tc>
        <w:tc>
          <w:tcPr>
            <w:tcW w:w="80" w:type="dxa"/>
            <w:vAlign w:val="bottom"/>
            <w:tcBorders>
              <w:bottom w:val="single" w:sz="8" w:color="CCEEFF"/>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626,698</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348,756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277,942</w:t>
            </w:r>
          </w:p>
        </w:tc>
        <w:tc>
          <w:tcPr>
            <w:tcW w:w="8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101,708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(61,116)</w:t>
            </w:r>
          </w:p>
        </w:tc>
        <w:tc>
          <w:tcPr>
            <w:tcW w:w="8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47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(23,097)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(19,487)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(3,610)</w:t>
            </w:r>
          </w:p>
        </w:tc>
        <w:tc>
          <w:tcPr>
            <w:tcW w:w="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(23,661)</w:t>
            </w:r>
          </w:p>
        </w:tc>
        <w:tc>
          <w:tcPr>
            <w:tcW w:w="8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478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(26,087)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(25,157)</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Before Income Tax</w:t>
            </w: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100,778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(86,273)</w:t>
            </w:r>
          </w:p>
        </w:tc>
        <w:tc>
          <w:tcPr>
            <w:tcW w:w="80" w:type="dxa"/>
            <w:vAlign w:val="bottom"/>
            <w:tcBorders>
              <w:bottom w:val="single" w:sz="8" w:color="CCEEFF"/>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(14,331)</w:t>
            </w:r>
          </w:p>
        </w:tc>
        <w:tc>
          <w:tcPr>
            <w:tcW w:w="8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(71,942)</w:t>
            </w:r>
          </w:p>
        </w:tc>
        <w:tc>
          <w:tcPr>
            <w:tcW w:w="8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"NM" stands for not meaningful</w:t>
      </w:r>
    </w:p>
    <w:p>
      <w:pPr>
        <w:spacing w:after="0" w:line="3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Operating Revenues increased by $216,826, or 48%, to $667,290 for the nine months ended September 30, 2022 from $450,464 for the nine months ended September 30, 2021. The increase was largely driven by an</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increase in demand for passenger service during the nine months ended September 30, 2022 as compared to 2021, which was significantly impacted by a decrease in passenger demand due to the COVID-19 pandemic.</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Scheduled Service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service revenue increased by $132,774, or 66%, to $334,679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from $201,905 for the nine months ended September 30, 2021. The table below presents select operating data for scheduled service: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vMerge w:val="restart"/>
          </w:tcPr>
          <w:p>
            <w:pPr>
              <w:jc w:val="right"/>
              <w:ind w:right="6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4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8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Change</w:t>
            </w: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0" w:type="dxa"/>
            <w:vAlign w:val="bottom"/>
          </w:tcPr>
          <w:p>
            <w:pPr>
              <w:jc w:val="right"/>
              <w:ind w:right="4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Departures</w:t>
            </w: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17,512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14,777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2,735</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Passengers</w:t>
            </w:r>
          </w:p>
        </w:tc>
        <w:tc>
          <w:tcPr>
            <w:tcW w:w="300" w:type="dxa"/>
            <w:vAlign w:val="bottom"/>
          </w:tcPr>
          <w:p>
            <w:pPr>
              <w:spacing w:after="0"/>
              <w:rPr>
                <w:sz w:val="19"/>
                <w:szCs w:val="19"/>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2,715,707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2,038,399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677,308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base fare per passenger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123.24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99.05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24.19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RPMs (thousands)</w:t>
            </w:r>
          </w:p>
        </w:tc>
        <w:tc>
          <w:tcPr>
            <w:tcW w:w="300" w:type="dxa"/>
            <w:vAlign w:val="bottom"/>
          </w:tcPr>
          <w:p>
            <w:pPr>
              <w:spacing w:after="0"/>
              <w:rPr>
                <w:sz w:val="19"/>
                <w:szCs w:val="19"/>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3,565,501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2,705,969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859,532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ASMs (thousands)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4,284,403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3,653,335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631,068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TRASM (cents)</w:t>
            </w:r>
          </w:p>
        </w:tc>
        <w:tc>
          <w:tcPr>
            <w:tcW w:w="300" w:type="dxa"/>
            <w:vAlign w:val="bottom"/>
          </w:tcPr>
          <w:p>
            <w:pPr>
              <w:spacing w:after="0"/>
              <w:rPr>
                <w:sz w:val="19"/>
                <w:szCs w:val="19"/>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load factor</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9.1 pts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significant year-over-year increases in all scheduled service operating data was primarily the result of the continued recovery in demand from the COVID-19 pandemic in the nine months ended September 30, 2022 relative to the same period in 2021. The year-over-year increase in demand is demonstrated by a 40% increase in TRASM, 19% increase in departures, a 33% increase in passengers, and a 24% increase in the average base fare per passenger. The year-over-year revenue increase is slightly offset by the introduction of a new Ancillary product, which reclassified approximately $17,200 of revenue from Scheduled Service to Ancillary.</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Charter Service. </w:t>
      </w:r>
      <w:r>
        <w:rPr>
          <w:rFonts w:ascii="Arial" w:cs="Arial" w:eastAsia="Arial" w:hAnsi="Arial"/>
          <w:sz w:val="18"/>
          <w:szCs w:val="18"/>
          <w:color w:val="auto"/>
        </w:rPr>
        <w:t>Charter service revenue increased $30,015, or 34%, to $118,526 for the nine months ended September 30, 2022,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$88,511 for the nine months ended September 30, 2021. Charter revenue per block hour was $9,118 for the nine months ended September 30, 2022, as compared to $8,179 for the nine months ended September 30, 2021, for an increase of 11%. The increase in Charter service revenue was driven by the increase in rates and a 20% increase in Charter block hours due to the continued recovery from the COVID-19 pandemic and new charter agreements that began operations during 2022. Rates in 2021 suffered from significant competitive pressure because other carriers had excess aircraft, crew, and resources to operate charter capacity.</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Ancillary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Ancillary revenue increased by $52,922, or 61%, to $ 139,548 for the nine months ended September 30, 2022, from $86,626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2021. The 33% increase in scheduled passengers during the period resulted in greater sales of air travel-related services, such as: baggage fees, seat selection and upgrade fees, and on-board sales. Ancillary revenue for the nine months ended September 30, 2022 was further benefited by the introduction of a new a new ancillary product that began in the second quarter of 2022 and reclassified approximately $17,200 of revenue from Scheduled Service to Ancillary. Ancillary revenue was $51.39 per passenger in the nine months ended September 30, 2022, up $8.89, or 21%, from the nine months ended September 30, 2021. Revenue per passenger increased due to the inclusion of a new ancillary product that reclassified portions of revenue from Scheduled Service to Ancillary, the return of onboard food and beverage sales, and increased demand.</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decreased by $2,154, or 3%, to $65,930 for the nine months ended September 30, 2022, from $68,084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nine months ended September 30, 2021. The number of departures was materially consistent year-over-year; however, block hours declined 4%. The year-over-year decrease in block hours was primarily driven by heavy maintenance events. Operational factors and an approximately $1,700 revenue benefit recognized in 2021 also contributed to the year-over-year revenue decrease.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was $8,607 for the nine months ended September 30, 2022, as compared to $5,338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The increase was primarily driven by an increase in revenue from Sun Country Vacations as a result of higher year-over-year bookings.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 excluding derivatives and other items, is the best measure of the effect of fuel prices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it consists solely of items associated with fuel for our operations and is consistent with how management analyzes our operating performance. This measure is defined as GAAP Aircraft Fuel expense, excluding gains related to fuel hedge derivative contracts and certain costs that are recognized within Aircraft Fuel expense, but are not directly related to our Fuel Cost per Gallon.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4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20" w:type="dxa"/>
            <w:vAlign w:val="bottom"/>
            <w:gridSpan w:val="2"/>
            <w:vMerge w:val="restart"/>
          </w:tcPr>
          <w:p>
            <w:pPr>
              <w:jc w:val="right"/>
              <w:ind w:right="6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70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300" w:type="dxa"/>
            <w:vAlign w:val="bottom"/>
            <w:tcBorders>
              <w:top w:val="single" w:sz="8" w:color="auto"/>
            </w:tcBorders>
            <w:vMerge w:val="restart"/>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Change</w:t>
            </w:r>
          </w:p>
        </w:tc>
        <w:tc>
          <w:tcPr>
            <w:tcW w:w="1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115,703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Exclude: Fuel Derivative Gains</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(3,527)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Excluded Items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5"/>
        </w:trPr>
        <w:tc>
          <w:tcPr>
            <w:tcW w:w="4700" w:type="dxa"/>
            <w:vAlign w:val="bottom"/>
          </w:tcPr>
          <w:p>
            <w:pPr>
              <w:ind w:left="20"/>
              <w:spacing w:after="0" w:line="156" w:lineRule="exact"/>
              <w:rPr>
                <w:sz w:val="20"/>
                <w:szCs w:val="20"/>
                <w:color w:val="auto"/>
              </w:rPr>
            </w:pPr>
            <w:r>
              <w:rPr>
                <w:rFonts w:ascii="Arial" w:cs="Arial" w:eastAsia="Arial" w:hAnsi="Arial"/>
                <w:sz w:val="18"/>
                <w:szCs w:val="18"/>
                <w:color w:val="auto"/>
              </w:rPr>
              <w:t>Aircraft Fuel Expense, Excluding Derivatives and Other</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206,932</w:t>
            </w:r>
          </w:p>
        </w:tc>
        <w:tc>
          <w:tcPr>
            <w:tcW w:w="8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94,222</w:t>
            </w:r>
          </w:p>
        </w:tc>
        <w:tc>
          <w:tcPr>
            <w:tcW w:w="8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112,710</w:t>
            </w: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Items</w:t>
            </w:r>
          </w:p>
        </w:tc>
        <w:tc>
          <w:tcPr>
            <w:tcW w:w="28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720" w:type="dxa"/>
            <w:vAlign w:val="bottom"/>
            <w:tcBorders>
              <w:bottom w:val="single" w:sz="8" w:color="CCEE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Gallons Consumed (thousands)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55"/>
        </w:trPr>
        <w:tc>
          <w:tcPr>
            <w:tcW w:w="4700" w:type="dxa"/>
            <w:vAlign w:val="bottom"/>
          </w:tcPr>
          <w:p>
            <w:pPr>
              <w:ind w:left="20"/>
              <w:spacing w:after="0" w:line="156" w:lineRule="exact"/>
              <w:rPr>
                <w:sz w:val="20"/>
                <w:szCs w:val="20"/>
                <w:color w:val="auto"/>
              </w:rPr>
            </w:pPr>
            <w:r>
              <w:rPr>
                <w:rFonts w:ascii="Arial" w:cs="Arial" w:eastAsia="Arial" w:hAnsi="Arial"/>
                <w:sz w:val="18"/>
                <w:szCs w:val="18"/>
                <w:color w:val="auto"/>
              </w:rPr>
              <w:t>Fuel Cost per Gallon, Excluding Derivatives and Other</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1.73</w:t>
            </w: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1"/>
        </w:trPr>
        <w:tc>
          <w:tcPr>
            <w:tcW w:w="4700" w:type="dxa"/>
            <w:vAlign w:val="bottom"/>
          </w:tcPr>
          <w:p>
            <w:pPr>
              <w:ind w:left="100"/>
              <w:spacing w:after="0"/>
              <w:rPr>
                <w:sz w:val="20"/>
                <w:szCs w:val="20"/>
                <w:color w:val="auto"/>
              </w:rPr>
            </w:pPr>
            <w:r>
              <w:rPr>
                <w:rFonts w:ascii="Arial" w:cs="Arial" w:eastAsia="Arial" w:hAnsi="Arial"/>
                <w:sz w:val="18"/>
                <w:szCs w:val="18"/>
                <w:color w:val="auto"/>
              </w:rPr>
              <w:t>Items</w:t>
            </w:r>
          </w:p>
        </w:tc>
        <w:tc>
          <w:tcPr>
            <w:tcW w:w="2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increase in Aircraft Fuel expense was mainly driven by the 83% increase in the average price per gallon of fuel, and a 20% increase in fuel gallons consumed resulting from a recovery in demand as demonstrated by a 19% increase in passenger service block hours.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$48,761, or 38%, to $178,576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as compared to $129,815 for the nine months ended September 30, 2021. The increase was driven by the new Collective Bargaining Agreement ("CBA") for our pilots, which went into effect in the first quarter of 2022, increased per unit costs, and an increase in Passenger Service block hours. The employee headcount as of September 30, 2022 was 2,354, as compared to 2,014 as of September 30, 2021, for an increase of 340, or 17%. The increase in employee headcount was to support all lines of business during the ongoing recovery from the impacts of the COVID-19 pandemic.</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$5,992, or 45%, to $7,347 for the nine months ended September 30, 2022,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$13,339 for the nine months ended September 30, 2021. Aircraft Rent expense decreased primarily due to the composition of our aircraft fleet shifting from aircraft under operating leases (expense is recorded within Aircraft Rent) to owned aircraft or finance leases (expense is recorded through Depreciation and Amortization and Interest Expense). Specifically, in the first nine months of 2022, we executed lease amendments which modified two aircraft from operating leases to finance leases and purchased two aircraft previously classified as operating leases. For the nine months ended September 30, 2022 and 2021, there were an average of four and eight aircraft under operating leases, respectively</w:t>
      </w:r>
      <w:r>
        <w:rPr>
          <w:rFonts w:ascii="Arial" w:cs="Arial" w:eastAsia="Arial" w:hAnsi="Arial"/>
          <w:sz w:val="19"/>
          <w:szCs w:val="19"/>
          <w:color w:val="auto"/>
        </w:rPr>
        <w:t>.</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materials and repair expense increased $ 5,624, or 19%, to $35,794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compared to $30,170 for the nine months ended September 30, 2021. The increase in maintenance expense was primarily driven by increased departures and block hours across the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Passenger segment, an increase in maintenance events for the Cargo fleet, and increased per unit costs due to incremental contract labor spend.</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increased $ 6,934, or 42%, to $23,336 for the nine months ended September 30,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$16,402 for the nine months ended September 30, 2021. Passenger revenue increased 57% between these two periods leading to a nearly $6,500 in increased credit card processing and global distribution system fees during this time period.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$7,832, or 19%, to $49,364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as compared to $41,532 for the nine months ended September 30, 2021. The increase was primarily due to the impact of a change in the composition of our aircraft fleet to an increased number of owned aircraft and aircraft under finance leases (the expense is recorded as Depreciation and Amortization and Interest Expense). For the nine months ended September 30, 2022 and 2021, there was an average of 25 and 19 owned aircraft and 11 and six finance leases, respectively.</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$5,184, or 26%, to $24,838 for the nine months ended September 30,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$19,654 for the nine months ended September 30, 2021. The increase was primarily driven by the 20% increase in Passenger segment departures due to the result of the continued recovery in demand from the COVID-19 pandemic and new charter agreements that began operations during 2022.</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$3,102, or 10%, to $32,708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as compared to $29,606 for the nine months ended September 30, 2021. The increase was primarily driven by the 20% increase in Passenger segment departures due to the result of the continued recovery in demand from the COVID-19 pandemic and new charter agreements that began operations during 2022.</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Special Items, net</w:t>
      </w:r>
      <w:r>
        <w:rPr>
          <w:rFonts w:ascii="Arial" w:cs="Arial" w:eastAsia="Arial" w:hAnsi="Arial"/>
          <w:sz w:val="18"/>
          <w:szCs w:val="18"/>
          <w:color w:val="auto"/>
        </w:rPr>
        <w:t>. There were no Special Items recorded during the nine months ended September 30, 2022. Special Items had a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benefit of $72,419 for the nine months ended September 30, 2021. The net benefit was primarily driven by the payroll support received under the CARES Act, of which the Cargo segment was allocated $18,401. These credits within the Cargo segment results were based on the respective segment salaries, wages, and benefits. For more information on Special Items, see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of the Condensed Consolidated Financial Statements included in Part I, Item I of this report.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increased $18,375, or 37%, to $ 68,401 for the nine months ended September 30,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$ 50,026 for the nine months ended September 30, 2021, mainly due to increased departures within the Passenger segment, which resulted in higher crew and other employee travel costs, catering expenses, and other operational overhead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was $2,166 for the nine months ended September 30, 2022 primarily due to the change in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strategy which led to the purchase of debt securities during 2022. Interest income for the nine months ended September 30, 2021 was nominal.</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$3,610, or 19%, to $23,097 for the nine months ended September 30, 2022,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$19,487 for the nine months ended September 30, 2021. The increase was primarily due to a larger mix of owned aircraft that were financed or refinanced with the proceeds from the 2022-1 EETC, as well as an increase in aircraft accounted for as finance leases during the nine months ended September 30, 2022. These amounts were slightly offset by $2,327 of capitalized interest. For more information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the Company's Debt,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of the Condensed Consolidated Financial Statements included in Part I, Item I of this report.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decreased $23,661 to a net expense of $5,156 for the nine months ended September 30, 2022, as compared to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benefit $18,505 for the nine months ended September 30, 2021. The decrease was primarily due to the $5,000 adjustment to increase the estimated TRA liability as of September 30, 2022, as compared to the $19,800 adjustment to decrease the estimated TRA liability as of September 30, 2021. For more information on the TRA liability, 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of the Condensed Consolidated Financial Statements included in Part I, Item I of this report.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The Company's effective tax rate for the nine months ended September 30, 2021 was 28.4% compared to 18.3%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2021. The increase in the effective tax rate was primarily due to the non-taxable adjustment of the TRA liability, partially offset by stock compensation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September 30, 2022 and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7"/>
          </w:tcPr>
          <w:p>
            <w:pPr>
              <w:jc w:val="center"/>
              <w:ind w:right="111"/>
              <w:spacing w:after="0"/>
              <w:rPr>
                <w:sz w:val="20"/>
                <w:szCs w:val="20"/>
                <w:color w:val="auto"/>
              </w:rPr>
            </w:pPr>
            <w:r>
              <w:rPr>
                <w:rFonts w:ascii="Arial" w:cs="Arial" w:eastAsia="Arial" w:hAnsi="Arial"/>
                <w:sz w:val="14"/>
                <w:szCs w:val="14"/>
                <w:b w:val="1"/>
                <w:bCs w:val="1"/>
                <w:color w:val="auto"/>
              </w:rPr>
              <w:t>Three Months Ended September 30, 2022</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7"/>
          </w:tcPr>
          <w:p>
            <w:pPr>
              <w:jc w:val="center"/>
              <w:ind w:right="111"/>
              <w:spacing w:after="0"/>
              <w:rPr>
                <w:sz w:val="20"/>
                <w:szCs w:val="20"/>
                <w:color w:val="auto"/>
              </w:rPr>
            </w:pPr>
            <w:r>
              <w:rPr>
                <w:rFonts w:ascii="Arial" w:cs="Arial" w:eastAsia="Arial" w:hAnsi="Arial"/>
                <w:sz w:val="14"/>
                <w:szCs w:val="14"/>
                <w:b w:val="1"/>
                <w:bCs w:val="1"/>
                <w:color w:val="auto"/>
              </w:rPr>
              <w:t>Three Months Ended September 30, 2021</w:t>
            </w:r>
          </w:p>
        </w:tc>
        <w:tc>
          <w:tcPr>
            <w:tcW w:w="0" w:type="dxa"/>
            <w:vAlign w:val="bottom"/>
          </w:tcPr>
          <w:p>
            <w:pPr>
              <w:spacing w:after="0"/>
              <w:rPr>
                <w:sz w:val="1"/>
                <w:szCs w:val="1"/>
                <w:color w:val="auto"/>
              </w:rPr>
            </w:pPr>
          </w:p>
        </w:tc>
      </w:tr>
      <w:tr>
        <w:trPr>
          <w:trHeight w:val="223"/>
        </w:trPr>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300" w:type="dxa"/>
            <w:vAlign w:val="bottom"/>
          </w:tcPr>
          <w:p>
            <w:pPr>
              <w:spacing w:after="0"/>
              <w:rPr>
                <w:sz w:val="19"/>
                <w:szCs w:val="19"/>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Cargo</w:t>
            </w:r>
          </w:p>
        </w:tc>
        <w:tc>
          <w:tcPr>
            <w:tcW w:w="32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Cargo</w:t>
            </w:r>
          </w:p>
        </w:tc>
        <w:tc>
          <w:tcPr>
            <w:tcW w:w="320" w:type="dxa"/>
            <w:vAlign w:val="bottom"/>
          </w:tcPr>
          <w:p>
            <w:pPr>
              <w:spacing w:after="0"/>
              <w:rPr>
                <w:sz w:val="19"/>
                <w:szCs w:val="19"/>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198,013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221,700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149,263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173,663</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64,763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64,843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36,647</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58,661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43,424</w:t>
            </w: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6,827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5,470</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14,710</w:t>
            </w: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8,669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Rent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12,069</w:t>
            </w: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Special Items, net</w:t>
            </w: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40"/>
        </w:trPr>
        <w:tc>
          <w:tcPr>
            <w:tcW w:w="26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206,309</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152,342</w:t>
            </w:r>
          </w:p>
        </w:tc>
        <w:tc>
          <w:tcPr>
            <w:tcW w:w="0" w:type="dxa"/>
            <w:vAlign w:val="bottom"/>
          </w:tcPr>
          <w:p>
            <w:pPr>
              <w:spacing w:after="0"/>
              <w:rPr>
                <w:sz w:val="1"/>
                <w:szCs w:val="1"/>
                <w:color w:val="auto"/>
              </w:rPr>
            </w:pPr>
          </w:p>
        </w:tc>
      </w:tr>
      <w:tr>
        <w:trPr>
          <w:trHeight w:val="23"/>
        </w:trPr>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for Special Items,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15,391</w:t>
            </w:r>
          </w:p>
        </w:tc>
        <w:tc>
          <w:tcPr>
            <w:tcW w:w="8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12,747</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21,256</w:t>
            </w:r>
          </w:p>
        </w:tc>
        <w:tc>
          <w:tcPr>
            <w:tcW w:w="0" w:type="dxa"/>
            <w:vAlign w:val="bottom"/>
          </w:tcPr>
          <w:p>
            <w:pPr>
              <w:spacing w:after="0"/>
              <w:rPr>
                <w:sz w:val="1"/>
                <w:szCs w:val="1"/>
                <w:color w:val="auto"/>
              </w:rPr>
            </w:pPr>
          </w:p>
        </w:tc>
      </w:tr>
      <w:tr>
        <w:trPr>
          <w:trHeight w:val="255"/>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Excluding Special Items, net</w:t>
            </w: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 %, Excluding</w:t>
            </w:r>
          </w:p>
        </w:tc>
        <w:tc>
          <w:tcPr>
            <w:tcW w:w="20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5"/>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200" w:type="dxa"/>
            <w:vAlign w:val="bottom"/>
            <w:shd w:val="clear" w:color="auto" w:fill="CCEEFF"/>
          </w:tcPr>
          <w:p>
            <w:pPr>
              <w:spacing w:after="0"/>
              <w:rPr>
                <w:sz w:val="22"/>
                <w:szCs w:val="22"/>
                <w:color w:val="auto"/>
              </w:rPr>
            </w:pPr>
          </w:p>
        </w:tc>
        <w:tc>
          <w:tcPr>
            <w:tcW w:w="11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gridSpan w:val="2"/>
            <w:vMerge w:val="continue"/>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increased by $2,650 to $15,462 for the three months ended September 30, 2022 from $12,812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2021. The increase in Passenger Operating Income was driven by an expansion in demand for passenger service during 2022 as compared to 2021, which was significantly impacted by the COVID-19 pandemic. Operating Margin Percentage for the three months ended September 30, 2022 decreased by 1%, as compared to the three months ended September 30, 2021. The Operating Margin Percentage decrease was primarily driven by the quarter-over-quarter increase in Aircraft Fuel Expense, slightly offset by increases in revenue across all Passenger segment business lines. For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more information on the changes in the components of Operating Income for the Passenger segment, refer to the Results of Operations discussion above</w:t>
      </w:r>
      <w:r>
        <w:rPr>
          <w:rFonts w:ascii="Arial" w:cs="Arial" w:eastAsia="Arial" w:hAnsi="Arial"/>
          <w:sz w:val="19"/>
          <w:szCs w:val="19"/>
          <w:color w:val="auto"/>
        </w:rPr>
        <w:t>.</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Income decreased by $8,580, resulting in an Operating Loss of $71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compared to Operating Income of $8,509 for the three months ended September 30, 2021. Operating Margin Percentage decreased by 35%, to break-even, over the same periods. The decrease was primarily driven by a quarter-over-quarter increase in Salaries, Wages, and Benefits driven by the new CBA for our pilots that went into effect in the beginning of 2022, a quarter-over-quarter increase in Maintenance Expense for the Cargo fleet due to an increase in maintenance events and per unit costs, and a revenue benefit recognized in the prior period. For more information on the components of Operating Income for the Cargo segment, refer to the Results of Operations discussion above, where we describe the cargo expenses embedded within each financial statement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2022 and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7"/>
          </w:tcPr>
          <w:p>
            <w:pPr>
              <w:jc w:val="center"/>
              <w:ind w:right="111"/>
              <w:spacing w:after="0"/>
              <w:rPr>
                <w:sz w:val="20"/>
                <w:szCs w:val="20"/>
                <w:color w:val="auto"/>
              </w:rPr>
            </w:pPr>
            <w:r>
              <w:rPr>
                <w:rFonts w:ascii="Arial" w:cs="Arial" w:eastAsia="Arial" w:hAnsi="Arial"/>
                <w:sz w:val="14"/>
                <w:szCs w:val="14"/>
                <w:b w:val="1"/>
                <w:bCs w:val="1"/>
                <w:color w:val="auto"/>
              </w:rPr>
              <w:t>Nine Months Ended September 30, 2022</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7"/>
          </w:tcPr>
          <w:p>
            <w:pPr>
              <w:jc w:val="center"/>
              <w:ind w:right="111"/>
              <w:spacing w:after="0"/>
              <w:rPr>
                <w:sz w:val="20"/>
                <w:szCs w:val="20"/>
                <w:color w:val="auto"/>
              </w:rPr>
            </w:pPr>
            <w:r>
              <w:rPr>
                <w:rFonts w:ascii="Arial" w:cs="Arial" w:eastAsia="Arial" w:hAnsi="Arial"/>
                <w:sz w:val="14"/>
                <w:szCs w:val="14"/>
                <w:b w:val="1"/>
                <w:bCs w:val="1"/>
                <w:color w:val="auto"/>
              </w:rPr>
              <w:t>Nine Months Ended September 30, 2021</w:t>
            </w:r>
          </w:p>
        </w:tc>
        <w:tc>
          <w:tcPr>
            <w:tcW w:w="0" w:type="dxa"/>
            <w:vAlign w:val="bottom"/>
          </w:tcPr>
          <w:p>
            <w:pPr>
              <w:spacing w:after="0"/>
              <w:rPr>
                <w:sz w:val="1"/>
                <w:szCs w:val="1"/>
                <w:color w:val="auto"/>
              </w:rPr>
            </w:pPr>
          </w:p>
        </w:tc>
      </w:tr>
      <w:tr>
        <w:trPr>
          <w:trHeight w:val="223"/>
        </w:trPr>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300" w:type="dxa"/>
            <w:vAlign w:val="bottom"/>
          </w:tcPr>
          <w:p>
            <w:pPr>
              <w:spacing w:after="0"/>
              <w:rPr>
                <w:sz w:val="19"/>
                <w:szCs w:val="19"/>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Cargo</w:t>
            </w:r>
          </w:p>
        </w:tc>
        <w:tc>
          <w:tcPr>
            <w:tcW w:w="32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Cargo</w:t>
            </w:r>
          </w:p>
        </w:tc>
        <w:tc>
          <w:tcPr>
            <w:tcW w:w="320" w:type="dxa"/>
            <w:vAlign w:val="bottom"/>
          </w:tcPr>
          <w:p>
            <w:pPr>
              <w:spacing w:after="0"/>
              <w:rPr>
                <w:sz w:val="19"/>
                <w:szCs w:val="19"/>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601,360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65,930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667,290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382,380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450,464</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206,254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206,334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90,468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90,631</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178,576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129,815</w:t>
            </w: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13,339</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30,170</w:t>
            </w: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23,336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16,402</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49,364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41,532</w:t>
            </w: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19,654</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Rent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32,708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29,606</w:t>
            </w: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Special Items, net</w:t>
            </w: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(72,419)</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68,401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50,026</w:t>
            </w:r>
          </w:p>
        </w:tc>
        <w:tc>
          <w:tcPr>
            <w:tcW w:w="0" w:type="dxa"/>
            <w:vAlign w:val="bottom"/>
          </w:tcPr>
          <w:p>
            <w:pPr>
              <w:spacing w:after="0"/>
              <w:rPr>
                <w:sz w:val="1"/>
                <w:szCs w:val="1"/>
                <w:color w:val="auto"/>
              </w:rPr>
            </w:pPr>
          </w:p>
        </w:tc>
      </w:tr>
      <w:tr>
        <w:trPr>
          <w:trHeight w:val="240"/>
        </w:trPr>
        <w:tc>
          <w:tcPr>
            <w:tcW w:w="26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562,148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64,550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626,698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316,722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32,034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348,756</w:t>
            </w:r>
          </w:p>
        </w:tc>
        <w:tc>
          <w:tcPr>
            <w:tcW w:w="0" w:type="dxa"/>
            <w:vAlign w:val="bottom"/>
          </w:tcPr>
          <w:p>
            <w:pPr>
              <w:spacing w:after="0"/>
              <w:rPr>
                <w:sz w:val="1"/>
                <w:szCs w:val="1"/>
                <w:color w:val="auto"/>
              </w:rPr>
            </w:pPr>
          </w:p>
        </w:tc>
      </w:tr>
      <w:tr>
        <w:trPr>
          <w:trHeight w:val="23"/>
        </w:trPr>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39,212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101,708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for Special Items,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(72,419)</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Excluding</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39,212</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40,592</w:t>
            </w:r>
          </w:p>
        </w:tc>
        <w:tc>
          <w:tcPr>
            <w:tcW w:w="8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11,640</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17,649</w:t>
            </w: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29,289</w:t>
            </w:r>
          </w:p>
        </w:tc>
        <w:tc>
          <w:tcPr>
            <w:tcW w:w="0" w:type="dxa"/>
            <w:vAlign w:val="bottom"/>
          </w:tcPr>
          <w:p>
            <w:pPr>
              <w:spacing w:after="0"/>
              <w:rPr>
                <w:sz w:val="1"/>
                <w:szCs w:val="1"/>
                <w:color w:val="auto"/>
              </w:rPr>
            </w:pPr>
          </w:p>
        </w:tc>
      </w:tr>
      <w:tr>
        <w:trPr>
          <w:trHeight w:val="255"/>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 %, Excluding</w:t>
            </w:r>
          </w:p>
        </w:tc>
        <w:tc>
          <w:tcPr>
            <w:tcW w:w="20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5"/>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decreased by $26,446 to $39,212 for the nine months ended September 30, 2022 from $65,658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nine months ended September 30, 2021. Operating Margin Percentage, Excluding Special Items, net increased by 4%, to 7%, from 3% over the same periods. The year-over-year decrease in Passenger Operating Income is primarily driven by the allocated payroll support received under the CARES Act during the first half of 2021, recognized within Special Items, net, as well as the increase in Aircraft Fuel Expense and Salaries, Wages, and Benefits. The increase in Operating Margin Percentage, Excluding Special Items, net was primarily driven by the year-over-year increases in revenue across all Passenger segment business lines, slightly offset by the increases in Aircraft Fuel Expense and Salaries,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Wages, and Benefits. For more information on the changes in the components of Operating Income for the Passenger segment, refer to the Results of Operations discussion above</w:t>
      </w:r>
      <w:r>
        <w:rPr>
          <w:rFonts w:ascii="Arial" w:cs="Arial" w:eastAsia="Arial" w:hAnsi="Arial"/>
          <w:sz w:val="19"/>
          <w:szCs w:val="19"/>
          <w:color w:val="auto"/>
        </w:rPr>
        <w:t>.</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Income decreased by $34,670 to $1,380 for the nine months ended September 30, 2022, as compared to $36,050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nine months ended September 30, 2021. Operating Margin Percentage, Excluding Special Items, net decreased by 24%, to 2%, over the same periods. The decrease in Operating Income was primarily driven by the allocated payroll support received under the CARES Act during the first half of 2021, recognized within Special Items, net, a revenue benefit recognized in the prior period, a year-over-year increase in Salaries, Wages, and Benefits driven by the new CBA for our pilots that went into effect in the beginning of 2022, decreased block hours and departures driven by heavy maintenance events, and operational factors that reduced revenue. The year-over-year decrease in Operating Margin Percentage, Excluding Special Items, net is driven by the factors listed above, excluding the benefit recognized as a result of the allocated payroll support received under the CARES Act during the first half of 2021. For more information on the components of Operating Income for the Cargo segment, refer to the Results of Operations discussion above, where we describe the cargo expenses embedded within each financial statement line item.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 Adjusted Operating Income Margin, Adjusted Net Income and Adjusted EBITDA</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Operating Income, Adjusted Operating Income Margin, Adjusted Net Income, and Adjusted EBITDA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Operating Income, Adjusted Operating Income Margin, Adjusted Net Income, and Adjusted EBITDA have limitations as analytical tools. Some of the limitations applicable to these measures include: Adjusted Operating Income, Adjusted Operating Income Margin, Adjusted Net Income, and Adjusted EBITDA do not reflect the impact of certain cash and non-cash charges resulting from matters we consider not to be indicative of our ongoing operations; and other companies in our industry may calculate Adjusted Operating Income, Adjusted Operating Income Margin, Adjusted Net Income, and Adjusted EBITDA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foregoing reasons, Adjusted Operating Income, Adjusted Operating Income Margin, Adjusted Net Income and Adjusted EBITDA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20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following table presents the reconciliation of Operating Income to Adjusted Operating Income, and Adjusted Operating Income Margin for the periods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1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2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21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 Reconciliation:</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221,700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173,663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667,290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450,464</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15,391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21,321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40,592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101,708</w:t>
            </w:r>
          </w:p>
        </w:tc>
      </w:tr>
      <w:tr>
        <w:trPr>
          <w:trHeight w:val="162"/>
        </w:trPr>
        <w:tc>
          <w:tcPr>
            <w:tcW w:w="4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7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3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(72,419)</w:t>
            </w: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Stock compensation expense</w:t>
            </w:r>
          </w:p>
        </w:tc>
        <w:tc>
          <w:tcPr>
            <w:tcW w:w="320" w:type="dxa"/>
            <w:vAlign w:val="bottom"/>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4,577</w:t>
            </w:r>
          </w:p>
        </w:tc>
      </w:tr>
      <w:tr>
        <w:trPr>
          <w:trHeight w:val="230"/>
        </w:trPr>
        <w:tc>
          <w:tcPr>
            <w:tcW w:w="4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TRA expenses </w:t>
            </w:r>
            <w:r>
              <w:rPr>
                <w:rFonts w:ascii="Arial" w:cs="Arial" w:eastAsia="Arial" w:hAnsi="Arial"/>
                <w:sz w:val="23"/>
                <w:szCs w:val="23"/>
                <w:color w:val="auto"/>
                <w:vertAlign w:val="superscript"/>
              </w:rPr>
              <w:t>(b)</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340</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15,878</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22,245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42,573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34,206</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9"/>
        </w:trPr>
        <w:tc>
          <w:tcPr>
            <w:tcW w:w="4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22.6 %</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48" w:lineRule="exact"/>
        <w:rPr>
          <w:sz w:val="20"/>
          <w:szCs w:val="20"/>
          <w:color w:val="auto"/>
        </w:rPr>
      </w:pPr>
    </w:p>
    <w:p>
      <w:pPr>
        <w:ind w:left="580" w:hanging="554"/>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r>
        <w:rPr>
          <w:rFonts w:ascii="Arial" w:cs="Arial" w:eastAsia="Arial" w:hAnsi="Arial"/>
          <w:sz w:val="14"/>
          <w:szCs w:val="14"/>
          <w:u w:val="single" w:color="auto"/>
          <w:color w:val="0000FF"/>
        </w:rPr>
        <w:t>Note 12</w:t>
      </w:r>
      <w:r>
        <w:rPr>
          <w:rFonts w:ascii="Arial" w:cs="Arial" w:eastAsia="Arial" w:hAnsi="Arial"/>
          <w:sz w:val="14"/>
          <w:szCs w:val="14"/>
          <w:color w:val="auto"/>
        </w:rPr>
        <w:t xml:space="preserve"> of the Company's Condensed Consolidated Financial Statements.</w:t>
      </w:r>
    </w:p>
    <w:p>
      <w:pPr>
        <w:spacing w:after="0" w:line="68" w:lineRule="exact"/>
        <w:rPr>
          <w:rFonts w:ascii="Arial" w:cs="Arial" w:eastAsia="Arial" w:hAnsi="Arial"/>
          <w:sz w:val="14"/>
          <w:szCs w:val="14"/>
          <w:color w:val="auto"/>
        </w:rPr>
      </w:pPr>
    </w:p>
    <w:p>
      <w:pPr>
        <w:ind w:left="580" w:hanging="554"/>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r>
        <w:rPr>
          <w:rFonts w:ascii="Arial" w:cs="Arial" w:eastAsia="Arial" w:hAnsi="Arial"/>
          <w:sz w:val="14"/>
          <w:szCs w:val="14"/>
          <w:u w:val="single" w:color="auto"/>
          <w:color w:val="0000FF"/>
        </w:rPr>
        <w:t>Note 11</w:t>
      </w:r>
      <w:r>
        <w:rPr>
          <w:rFonts w:ascii="Arial" w:cs="Arial" w:eastAsia="Arial" w:hAnsi="Arial"/>
          <w:sz w:val="14"/>
          <w:szCs w:val="14"/>
          <w:color w:val="auto"/>
        </w:rPr>
        <w:t xml:space="preserve"> of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Net Income for the periods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338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30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1"/>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Reconciliation:</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10,677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13,379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10,392</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82,334</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9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(72,419)</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47"/>
        </w:trPr>
        <w:tc>
          <w:tcPr>
            <w:tcW w:w="4520" w:type="dxa"/>
            <w:vAlign w:val="bottom"/>
          </w:tcPr>
          <w:p>
            <w:pPr>
              <w:ind w:left="180"/>
              <w:spacing w:after="0"/>
              <w:rPr>
                <w:sz w:val="20"/>
                <w:szCs w:val="20"/>
                <w:color w:val="auto"/>
              </w:rPr>
            </w:pPr>
            <w:r>
              <w:rPr>
                <w:rFonts w:ascii="Arial" w:cs="Arial" w:eastAsia="Arial" w:hAnsi="Arial"/>
                <w:sz w:val="18"/>
                <w:szCs w:val="18"/>
                <w:color w:val="auto"/>
              </w:rPr>
              <w:t>(Gain) Loss on Asset Transactions, net</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Early pay-off of US Treasury loan</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7"/>
        </w:trPr>
        <w:tc>
          <w:tcPr>
            <w:tcW w:w="4520" w:type="dxa"/>
            <w:vAlign w:val="bottom"/>
          </w:tcPr>
          <w:p>
            <w:pPr>
              <w:ind w:left="180"/>
              <w:spacing w:after="0"/>
              <w:rPr>
                <w:sz w:val="20"/>
                <w:szCs w:val="20"/>
                <w:color w:val="auto"/>
              </w:rPr>
            </w:pPr>
            <w:r>
              <w:rPr>
                <w:rFonts w:ascii="Arial" w:cs="Arial" w:eastAsia="Arial" w:hAnsi="Arial"/>
                <w:sz w:val="18"/>
                <w:szCs w:val="18"/>
                <w:color w:val="auto"/>
              </w:rPr>
              <w:t>Loss on refinancing credit facility</w:t>
            </w:r>
          </w:p>
        </w:tc>
        <w:tc>
          <w:tcPr>
            <w:tcW w:w="9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 xml:space="preserve">TRA expenses </w:t>
            </w:r>
            <w:r>
              <w:rPr>
                <w:rFonts w:ascii="Arial" w:cs="Arial" w:eastAsia="Arial" w:hAnsi="Arial"/>
                <w:sz w:val="23"/>
                <w:szCs w:val="23"/>
                <w:color w:val="auto"/>
                <w:vertAlign w:val="superscript"/>
              </w:rPr>
              <w:t>(b)</w:t>
            </w:r>
          </w:p>
        </w:tc>
        <w:tc>
          <w:tcPr>
            <w:tcW w:w="9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(c)</w:t>
            </w:r>
          </w:p>
        </w:tc>
        <w:tc>
          <w:tcPr>
            <w:tcW w:w="9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(d)</w:t>
            </w:r>
          </w:p>
        </w:tc>
        <w:tc>
          <w:tcPr>
            <w:tcW w:w="9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28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80" w:hanging="554"/>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r>
        <w:rPr>
          <w:rFonts w:ascii="Arial" w:cs="Arial" w:eastAsia="Arial" w:hAnsi="Arial"/>
          <w:sz w:val="14"/>
          <w:szCs w:val="14"/>
          <w:u w:val="single" w:color="auto"/>
          <w:color w:val="0000FF"/>
        </w:rPr>
        <w:t>Note 12</w:t>
      </w:r>
      <w:r>
        <w:rPr>
          <w:rFonts w:ascii="Arial" w:cs="Arial" w:eastAsia="Arial" w:hAnsi="Arial"/>
          <w:sz w:val="14"/>
          <w:szCs w:val="14"/>
          <w:color w:val="auto"/>
        </w:rPr>
        <w:t xml:space="preserve"> of the Company's Condensed Consolidated Financial Statements.</w:t>
      </w:r>
    </w:p>
    <w:p>
      <w:pPr>
        <w:spacing w:after="0" w:line="68" w:lineRule="exact"/>
        <w:rPr>
          <w:rFonts w:ascii="Arial" w:cs="Arial" w:eastAsia="Arial" w:hAnsi="Arial"/>
          <w:sz w:val="14"/>
          <w:szCs w:val="14"/>
          <w:color w:val="auto"/>
        </w:rPr>
      </w:pPr>
    </w:p>
    <w:p>
      <w:pPr>
        <w:ind w:left="580" w:hanging="554"/>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r>
        <w:rPr>
          <w:rFonts w:ascii="Arial" w:cs="Arial" w:eastAsia="Arial" w:hAnsi="Arial"/>
          <w:sz w:val="14"/>
          <w:szCs w:val="14"/>
          <w:u w:val="single" w:color="auto"/>
          <w:color w:val="0000FF"/>
        </w:rPr>
        <w:t>Note 11</w:t>
      </w:r>
      <w:r>
        <w:rPr>
          <w:rFonts w:ascii="Arial" w:cs="Arial" w:eastAsia="Arial" w:hAnsi="Arial"/>
          <w:sz w:val="14"/>
          <w:szCs w:val="14"/>
          <w:color w:val="auto"/>
        </w:rPr>
        <w:t xml:space="preserve"> of the Company’s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w:t>
      </w:r>
    </w:p>
    <w:p>
      <w:pPr>
        <w:spacing w:after="0" w:line="41" w:lineRule="exact"/>
        <w:rPr>
          <w:rFonts w:ascii="Arial" w:cs="Arial" w:eastAsia="Arial" w:hAnsi="Arial"/>
          <w:sz w:val="14"/>
          <w:szCs w:val="14"/>
          <w:color w:val="auto"/>
        </w:rPr>
      </w:pPr>
    </w:p>
    <w:p>
      <w:pPr>
        <w:ind w:left="580" w:right="100" w:hanging="554"/>
        <w:spacing w:after="0" w:line="264" w:lineRule="auto"/>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 The TRA adjustment is not included within the income tax effect calculation.</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EBITDA for the periods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20" w:type="dxa"/>
            <w:vAlign w:val="bottom"/>
          </w:tcPr>
          <w:p>
            <w:pPr>
              <w:spacing w:after="0"/>
              <w:rPr>
                <w:sz w:val="17"/>
                <w:szCs w:val="17"/>
                <w:color w:val="auto"/>
              </w:rPr>
            </w:pPr>
          </w:p>
        </w:tc>
        <w:tc>
          <w:tcPr>
            <w:tcW w:w="338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302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Reconciliation:</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10,677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13,379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10,392</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82,334</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9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(72,419)</w:t>
            </w:r>
          </w:p>
        </w:tc>
        <w:tc>
          <w:tcPr>
            <w:tcW w:w="0" w:type="dxa"/>
            <w:vAlign w:val="bottom"/>
          </w:tcPr>
          <w:p>
            <w:pPr>
              <w:spacing w:after="0"/>
              <w:rPr>
                <w:sz w:val="1"/>
                <w:szCs w:val="1"/>
                <w:color w:val="auto"/>
              </w:rPr>
            </w:pPr>
          </w:p>
        </w:tc>
      </w:tr>
      <w:tr>
        <w:trPr>
          <w:trHeight w:val="247"/>
        </w:trPr>
        <w:tc>
          <w:tcPr>
            <w:tcW w:w="452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Asset Transactions, net</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7"/>
        </w:trPr>
        <w:tc>
          <w:tcPr>
            <w:tcW w:w="4520" w:type="dxa"/>
            <w:vAlign w:val="bottom"/>
          </w:tcPr>
          <w:p>
            <w:pPr>
              <w:ind w:left="180"/>
              <w:spacing w:after="0"/>
              <w:rPr>
                <w:sz w:val="20"/>
                <w:szCs w:val="20"/>
                <w:color w:val="auto"/>
              </w:rPr>
            </w:pPr>
            <w:r>
              <w:rPr>
                <w:rFonts w:ascii="Arial" w:cs="Arial" w:eastAsia="Arial" w:hAnsi="Arial"/>
                <w:sz w:val="18"/>
                <w:szCs w:val="18"/>
                <w:color w:val="auto"/>
              </w:rPr>
              <w:t>Secondary Offering Costs</w:t>
            </w:r>
          </w:p>
        </w:tc>
        <w:tc>
          <w:tcPr>
            <w:tcW w:w="9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TRA expenses </w:t>
            </w:r>
            <w:r>
              <w:rPr>
                <w:rFonts w:ascii="Arial" w:cs="Arial" w:eastAsia="Arial" w:hAnsi="Arial"/>
                <w:sz w:val="23"/>
                <w:szCs w:val="23"/>
                <w:color w:val="auto"/>
                <w:vertAlign w:val="superscript"/>
              </w:rPr>
              <w:t>(b)</w:t>
            </w:r>
          </w:p>
        </w:tc>
        <w:tc>
          <w:tcPr>
            <w:tcW w:w="9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(c)</w:t>
            </w:r>
          </w:p>
        </w:tc>
        <w:tc>
          <w:tcPr>
            <w:tcW w:w="9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(19,800)</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7"/>
        </w:trPr>
        <w:tc>
          <w:tcPr>
            <w:tcW w:w="4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23,097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19,487</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18,444</w:t>
            </w:r>
          </w:p>
        </w:tc>
        <w:tc>
          <w:tcPr>
            <w:tcW w:w="0" w:type="dxa"/>
            <w:vAlign w:val="bottom"/>
          </w:tcPr>
          <w:p>
            <w:pPr>
              <w:spacing w:after="0"/>
              <w:rPr>
                <w:sz w:val="1"/>
                <w:szCs w:val="1"/>
                <w:color w:val="auto"/>
              </w:rPr>
            </w:pPr>
          </w:p>
        </w:tc>
      </w:tr>
      <w:tr>
        <w:trPr>
          <w:trHeight w:val="247"/>
        </w:trPr>
        <w:tc>
          <w:tcPr>
            <w:tcW w:w="45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17,181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14,710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49,364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41,532</w:t>
            </w:r>
          </w:p>
        </w:tc>
        <w:tc>
          <w:tcPr>
            <w:tcW w:w="0" w:type="dxa"/>
            <w:vAlign w:val="bottom"/>
          </w:tcPr>
          <w:p>
            <w:pPr>
              <w:spacing w:after="0"/>
              <w:rPr>
                <w:sz w:val="1"/>
                <w:szCs w:val="1"/>
                <w:color w:val="auto"/>
              </w:rPr>
            </w:pPr>
          </w:p>
        </w:tc>
      </w:tr>
      <w:tr>
        <w:trPr>
          <w:trHeight w:val="23"/>
        </w:trPr>
        <w:tc>
          <w:tcPr>
            <w:tcW w:w="45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32,742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80" w:hanging="554"/>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r>
        <w:rPr>
          <w:rFonts w:ascii="Arial" w:cs="Arial" w:eastAsia="Arial" w:hAnsi="Arial"/>
          <w:sz w:val="14"/>
          <w:szCs w:val="14"/>
          <w:u w:val="single" w:color="auto"/>
          <w:color w:val="0000FF"/>
        </w:rPr>
        <w:t>Note 12</w:t>
      </w:r>
      <w:r>
        <w:rPr>
          <w:rFonts w:ascii="Arial" w:cs="Arial" w:eastAsia="Arial" w:hAnsi="Arial"/>
          <w:sz w:val="14"/>
          <w:szCs w:val="14"/>
          <w:color w:val="auto"/>
        </w:rPr>
        <w:t xml:space="preserve"> of the Company's Condensed Consolidated Financial Statements.</w:t>
      </w:r>
    </w:p>
    <w:p>
      <w:pPr>
        <w:spacing w:after="0" w:line="68" w:lineRule="exact"/>
        <w:rPr>
          <w:rFonts w:ascii="Arial" w:cs="Arial" w:eastAsia="Arial" w:hAnsi="Arial"/>
          <w:sz w:val="14"/>
          <w:szCs w:val="14"/>
          <w:color w:val="auto"/>
        </w:rPr>
      </w:pPr>
    </w:p>
    <w:p>
      <w:pPr>
        <w:ind w:left="580" w:hanging="554"/>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r>
        <w:rPr>
          <w:rFonts w:ascii="Arial" w:cs="Arial" w:eastAsia="Arial" w:hAnsi="Arial"/>
          <w:sz w:val="14"/>
          <w:szCs w:val="14"/>
          <w:u w:val="single" w:color="auto"/>
          <w:color w:val="0000FF"/>
        </w:rPr>
        <w:t>Note 11</w:t>
      </w:r>
      <w:r>
        <w:rPr>
          <w:rFonts w:ascii="Arial" w:cs="Arial" w:eastAsia="Arial" w:hAnsi="Arial"/>
          <w:sz w:val="14"/>
          <w:szCs w:val="14"/>
          <w:color w:val="auto"/>
        </w:rPr>
        <w:t xml:space="preserve"> of the Company’s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CASM and Adjusted CASM</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per Available Seat Mile (“CASM”) is a key airline cost metric defined as operating expenses divided by total available seat miles. Adjusted CASM is a non-GAAP measure derived from CASM by excluding fuel costs, costs related to our cargo operations, certain commissions and other costs of selling our vacation products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excluded costs related to the cargo operations as these operations do not create ASMs. The cargo expenses in the reconciliation below are different from the total operating expenses for our Cargo segment in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“Segment Information” table presented above, due to several items that are included in the Cargo segment, but have been captured in other line items used in the Adjusted CASM calculation.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readers are cautioned not to place undue reliance on this information.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20" w:type="dxa"/>
            <w:vAlign w:val="bottom"/>
            <w:tcBorders>
              <w:bottom w:val="single" w:sz="8" w:color="auto"/>
            </w:tcBorders>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2022</w:t>
            </w:r>
          </w:p>
        </w:tc>
        <w:tc>
          <w:tcPr>
            <w:tcW w:w="1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spacing w:after="0"/>
              <w:rPr>
                <w:sz w:val="17"/>
                <w:szCs w:val="17"/>
                <w:color w:val="auto"/>
              </w:rPr>
            </w:pPr>
          </w:p>
        </w:tc>
      </w:tr>
      <w:tr>
        <w:trPr>
          <w:trHeight w:val="147"/>
        </w:trPr>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Operating</w:t>
            </w:r>
          </w:p>
        </w:tc>
        <w:tc>
          <w:tcPr>
            <w:tcW w:w="1360" w:type="dxa"/>
            <w:vAlign w:val="bottom"/>
            <w:gridSpan w:val="2"/>
          </w:tcPr>
          <w:p>
            <w:pPr>
              <w:ind w:left="220"/>
              <w:spacing w:after="0" w:line="147" w:lineRule="exact"/>
              <w:rPr>
                <w:sz w:val="20"/>
                <w:szCs w:val="20"/>
                <w:color w:val="auto"/>
              </w:rPr>
            </w:pPr>
            <w:r>
              <w:rPr>
                <w:rFonts w:ascii="Arial" w:cs="Arial" w:eastAsia="Arial" w:hAnsi="Arial"/>
                <w:sz w:val="14"/>
                <w:szCs w:val="14"/>
                <w:b w:val="1"/>
                <w:bCs w:val="1"/>
                <w:color w:val="auto"/>
              </w:rPr>
              <w:t>Per ASM</w:t>
            </w:r>
          </w:p>
        </w:tc>
        <w:tc>
          <w:tcPr>
            <w:tcW w:w="260" w:type="dxa"/>
            <w:vAlign w:val="bottom"/>
          </w:tcPr>
          <w:p>
            <w:pPr>
              <w:spacing w:after="0"/>
              <w:rPr>
                <w:sz w:val="12"/>
                <w:szCs w:val="12"/>
                <w:color w:val="auto"/>
              </w:rPr>
            </w:pPr>
          </w:p>
        </w:tc>
        <w:tc>
          <w:tcPr>
            <w:tcW w:w="158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Operating</w:t>
            </w:r>
          </w:p>
        </w:tc>
        <w:tc>
          <w:tcPr>
            <w:tcW w:w="1220" w:type="dxa"/>
            <w:vAlign w:val="bottom"/>
          </w:tcPr>
          <w:p>
            <w:pPr>
              <w:ind w:left="180"/>
              <w:spacing w:after="0" w:line="147" w:lineRule="exact"/>
              <w:rPr>
                <w:sz w:val="20"/>
                <w:szCs w:val="20"/>
                <w:color w:val="auto"/>
              </w:rPr>
            </w:pPr>
            <w:r>
              <w:rPr>
                <w:rFonts w:ascii="Arial" w:cs="Arial" w:eastAsia="Arial" w:hAnsi="Arial"/>
                <w:sz w:val="14"/>
                <w:szCs w:val="14"/>
                <w:b w:val="1"/>
                <w:bCs w:val="1"/>
                <w:color w:val="auto"/>
              </w:rPr>
              <w:t>Per ASM</w:t>
            </w:r>
          </w:p>
        </w:tc>
      </w:tr>
      <w:tr>
        <w:trPr>
          <w:trHeight w:val="185"/>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cents)</w:t>
            </w:r>
          </w:p>
        </w:tc>
        <w:tc>
          <w:tcPr>
            <w:tcW w:w="260" w:type="dxa"/>
            <w:vAlign w:val="bottom"/>
          </w:tcPr>
          <w:p>
            <w:pPr>
              <w:spacing w:after="0"/>
              <w:rPr>
                <w:sz w:val="16"/>
                <w:szCs w:val="16"/>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(in cents)</w:t>
            </w:r>
          </w:p>
        </w:tc>
      </w:tr>
      <w:tr>
        <w:trPr>
          <w:trHeight w:val="25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206,309</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152,342</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64,843</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70"/>
        </w:trPr>
        <w:tc>
          <w:tcPr>
            <w:tcW w:w="502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20" w:type="dxa"/>
            <w:vAlign w:val="bottom"/>
          </w:tcPr>
          <w:p>
            <w:pPr>
              <w:ind w:left="180"/>
              <w:spacing w:after="0"/>
              <w:rPr>
                <w:sz w:val="20"/>
                <w:szCs w:val="20"/>
                <w:color w:val="auto"/>
              </w:rPr>
            </w:pPr>
            <w:r>
              <w:rPr>
                <w:rFonts w:ascii="Arial" w:cs="Arial" w:eastAsia="Arial" w:hAnsi="Arial"/>
                <w:sz w:val="18"/>
                <w:szCs w:val="18"/>
                <w:color w:val="auto"/>
              </w:rPr>
              <w:t xml:space="preserve">TRA expense </w:t>
            </w:r>
            <w:r>
              <w:rPr>
                <w:rFonts w:ascii="Arial" w:cs="Arial" w:eastAsia="Arial" w:hAnsi="Arial"/>
                <w:sz w:val="23"/>
                <w:szCs w:val="23"/>
                <w:color w:val="auto"/>
                <w:vertAlign w:val="superscript"/>
              </w:rPr>
              <w:t>(b)</w:t>
            </w:r>
          </w:p>
        </w:tc>
        <w:tc>
          <w:tcPr>
            <w:tcW w:w="280" w:type="dxa"/>
            <w:vAlign w:val="bottom"/>
          </w:tcPr>
          <w:p>
            <w:pPr>
              <w:spacing w:after="0"/>
              <w:rPr>
                <w:sz w:val="23"/>
                <w:szCs w:val="23"/>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23,569</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Sun Country Vacations</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CASM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117,217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ASM (thousands)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1,553,483</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1,549,432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323"/>
        </w:trPr>
        <w:tc>
          <w:tcPr>
            <w:tcW w:w="5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220" w:type="dxa"/>
            <w:vAlign w:val="bottom"/>
            <w:tcBorders>
              <w:bottom w:val="single" w:sz="8" w:color="auto"/>
            </w:tcBorders>
          </w:tcPr>
          <w:p>
            <w:pPr>
              <w:spacing w:after="0"/>
              <w:rPr>
                <w:sz w:val="24"/>
                <w:szCs w:val="24"/>
                <w:color w:val="auto"/>
              </w:rPr>
            </w:pPr>
          </w:p>
        </w:tc>
      </w:tr>
      <w:tr>
        <w:trPr>
          <w:trHeight w:val="196"/>
        </w:trPr>
        <w:tc>
          <w:tcPr>
            <w:tcW w:w="5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2022</w:t>
            </w:r>
          </w:p>
        </w:tc>
        <w:tc>
          <w:tcPr>
            <w:tcW w:w="1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spacing w:after="0"/>
              <w:rPr>
                <w:sz w:val="17"/>
                <w:szCs w:val="17"/>
                <w:color w:val="auto"/>
              </w:rPr>
            </w:pPr>
          </w:p>
        </w:tc>
      </w:tr>
      <w:tr>
        <w:trPr>
          <w:trHeight w:val="143"/>
        </w:trPr>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tcPr>
          <w:p>
            <w:pPr>
              <w:ind w:left="140"/>
              <w:spacing w:after="0" w:line="143" w:lineRule="exact"/>
              <w:rPr>
                <w:sz w:val="20"/>
                <w:szCs w:val="20"/>
                <w:color w:val="auto"/>
              </w:rPr>
            </w:pPr>
            <w:r>
              <w:rPr>
                <w:rFonts w:ascii="Arial" w:cs="Arial" w:eastAsia="Arial" w:hAnsi="Arial"/>
                <w:sz w:val="14"/>
                <w:szCs w:val="14"/>
                <w:b w:val="1"/>
                <w:bCs w:val="1"/>
                <w:color w:val="auto"/>
              </w:rPr>
              <w:t>Operating</w:t>
            </w:r>
          </w:p>
        </w:tc>
        <w:tc>
          <w:tcPr>
            <w:tcW w:w="1360" w:type="dxa"/>
            <w:vAlign w:val="bottom"/>
            <w:gridSpan w:val="2"/>
          </w:tcPr>
          <w:p>
            <w:pPr>
              <w:ind w:left="220"/>
              <w:spacing w:after="0" w:line="143" w:lineRule="exact"/>
              <w:rPr>
                <w:sz w:val="20"/>
                <w:szCs w:val="20"/>
                <w:color w:val="auto"/>
              </w:rPr>
            </w:pPr>
            <w:r>
              <w:rPr>
                <w:rFonts w:ascii="Arial" w:cs="Arial" w:eastAsia="Arial" w:hAnsi="Arial"/>
                <w:sz w:val="14"/>
                <w:szCs w:val="14"/>
                <w:b w:val="1"/>
                <w:bCs w:val="1"/>
                <w:color w:val="auto"/>
              </w:rPr>
              <w:t>Per ASM</w:t>
            </w:r>
          </w:p>
        </w:tc>
        <w:tc>
          <w:tcPr>
            <w:tcW w:w="260" w:type="dxa"/>
            <w:vAlign w:val="bottom"/>
          </w:tcPr>
          <w:p>
            <w:pPr>
              <w:spacing w:after="0"/>
              <w:rPr>
                <w:sz w:val="12"/>
                <w:szCs w:val="12"/>
                <w:color w:val="auto"/>
              </w:rPr>
            </w:pPr>
          </w:p>
        </w:tc>
        <w:tc>
          <w:tcPr>
            <w:tcW w:w="1580" w:type="dxa"/>
            <w:vAlign w:val="bottom"/>
            <w:gridSpan w:val="3"/>
          </w:tcPr>
          <w:p>
            <w:pPr>
              <w:ind w:left="140"/>
              <w:spacing w:after="0" w:line="143" w:lineRule="exact"/>
              <w:rPr>
                <w:sz w:val="20"/>
                <w:szCs w:val="20"/>
                <w:color w:val="auto"/>
              </w:rPr>
            </w:pPr>
            <w:r>
              <w:rPr>
                <w:rFonts w:ascii="Arial" w:cs="Arial" w:eastAsia="Arial" w:hAnsi="Arial"/>
                <w:sz w:val="14"/>
                <w:szCs w:val="14"/>
                <w:b w:val="1"/>
                <w:bCs w:val="1"/>
                <w:color w:val="auto"/>
              </w:rPr>
              <w:t>Operating</w:t>
            </w:r>
          </w:p>
        </w:tc>
        <w:tc>
          <w:tcPr>
            <w:tcW w:w="1220" w:type="dxa"/>
            <w:vAlign w:val="bottom"/>
          </w:tcPr>
          <w:p>
            <w:pPr>
              <w:ind w:left="180"/>
              <w:spacing w:after="0" w:line="143" w:lineRule="exact"/>
              <w:rPr>
                <w:sz w:val="20"/>
                <w:szCs w:val="20"/>
                <w:color w:val="auto"/>
              </w:rPr>
            </w:pPr>
            <w:r>
              <w:rPr>
                <w:rFonts w:ascii="Arial" w:cs="Arial" w:eastAsia="Arial" w:hAnsi="Arial"/>
                <w:sz w:val="14"/>
                <w:szCs w:val="14"/>
                <w:b w:val="1"/>
                <w:bCs w:val="1"/>
                <w:color w:val="auto"/>
              </w:rPr>
              <w:t>Per ASM</w:t>
            </w:r>
          </w:p>
        </w:tc>
      </w:tr>
      <w:tr>
        <w:trPr>
          <w:trHeight w:val="189"/>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cents)</w:t>
            </w:r>
          </w:p>
        </w:tc>
        <w:tc>
          <w:tcPr>
            <w:tcW w:w="260" w:type="dxa"/>
            <w:vAlign w:val="bottom"/>
          </w:tcPr>
          <w:p>
            <w:pPr>
              <w:spacing w:after="0"/>
              <w:rPr>
                <w:sz w:val="16"/>
                <w:szCs w:val="16"/>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(in cents)</w:t>
            </w:r>
          </w:p>
        </w:tc>
      </w:tr>
      <w:tr>
        <w:trPr>
          <w:trHeight w:val="25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626,698</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348,756</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206,334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90,631</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70"/>
        </w:trPr>
        <w:tc>
          <w:tcPr>
            <w:tcW w:w="502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4,577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(72,419)</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70"/>
        </w:trPr>
        <w:tc>
          <w:tcPr>
            <w:tcW w:w="5020" w:type="dxa"/>
            <w:vAlign w:val="bottom"/>
          </w:tcPr>
          <w:p>
            <w:pPr>
              <w:ind w:left="180"/>
              <w:spacing w:after="0"/>
              <w:rPr>
                <w:sz w:val="20"/>
                <w:szCs w:val="20"/>
                <w:color w:val="auto"/>
              </w:rPr>
            </w:pPr>
            <w:r>
              <w:rPr>
                <w:rFonts w:ascii="Arial" w:cs="Arial" w:eastAsia="Arial" w:hAnsi="Arial"/>
                <w:sz w:val="18"/>
                <w:szCs w:val="18"/>
                <w:color w:val="auto"/>
              </w:rPr>
              <w:t xml:space="preserve">TRA expense </w:t>
            </w:r>
            <w:r>
              <w:rPr>
                <w:rFonts w:ascii="Arial" w:cs="Arial" w:eastAsia="Arial" w:hAnsi="Arial"/>
                <w:sz w:val="23"/>
                <w:szCs w:val="23"/>
                <w:color w:val="auto"/>
                <w:vertAlign w:val="superscript"/>
              </w:rPr>
              <w:t>(b)</w:t>
            </w:r>
          </w:p>
        </w:tc>
        <w:tc>
          <w:tcPr>
            <w:tcW w:w="280" w:type="dxa"/>
            <w:vAlign w:val="bottom"/>
          </w:tcPr>
          <w:p>
            <w:pPr>
              <w:spacing w:after="0"/>
              <w:rPr>
                <w:sz w:val="23"/>
                <w:szCs w:val="23"/>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48,923</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70"/>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Sun Country Vacations</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CASM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353,566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276,141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ASM (thousands)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5,114,134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4,368,972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301"/>
        </w:trPr>
        <w:tc>
          <w:tcPr>
            <w:tcW w:w="502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7" w:lineRule="exact"/>
        <w:rPr>
          <w:sz w:val="20"/>
          <w:szCs w:val="20"/>
          <w:color w:val="auto"/>
        </w:rPr>
      </w:pPr>
    </w:p>
    <w:p>
      <w:pPr>
        <w:ind w:left="580" w:hanging="554"/>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r>
        <w:rPr>
          <w:rFonts w:ascii="Arial" w:cs="Arial" w:eastAsia="Arial" w:hAnsi="Arial"/>
          <w:sz w:val="14"/>
          <w:szCs w:val="14"/>
          <w:u w:val="single" w:color="auto"/>
          <w:color w:val="0000FF"/>
        </w:rPr>
        <w:t>Note 12</w:t>
      </w:r>
      <w:r>
        <w:rPr>
          <w:rFonts w:ascii="Arial" w:cs="Arial" w:eastAsia="Arial" w:hAnsi="Arial"/>
          <w:sz w:val="14"/>
          <w:szCs w:val="14"/>
          <w:color w:val="auto"/>
        </w:rPr>
        <w:t xml:space="preserve"> of the Company's Condensed Consolidated Financial Statements.</w:t>
      </w:r>
    </w:p>
    <w:p>
      <w:pPr>
        <w:spacing w:after="0" w:line="68" w:lineRule="exact"/>
        <w:rPr>
          <w:rFonts w:ascii="Arial" w:cs="Arial" w:eastAsia="Arial" w:hAnsi="Arial"/>
          <w:sz w:val="14"/>
          <w:szCs w:val="14"/>
          <w:color w:val="auto"/>
        </w:rPr>
      </w:pPr>
    </w:p>
    <w:p>
      <w:pPr>
        <w:ind w:left="580" w:hanging="554"/>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r>
        <w:rPr>
          <w:rFonts w:ascii="Arial" w:cs="Arial" w:eastAsia="Arial" w:hAnsi="Arial"/>
          <w:sz w:val="14"/>
          <w:szCs w:val="14"/>
          <w:u w:val="single" w:color="auto"/>
          <w:color w:val="0000FF"/>
        </w:rPr>
        <w:t>Note 11</w:t>
      </w:r>
      <w:r>
        <w:rPr>
          <w:rFonts w:ascii="Arial" w:cs="Arial" w:eastAsia="Arial" w:hAnsi="Arial"/>
          <w:sz w:val="14"/>
          <w:szCs w:val="14"/>
          <w:color w:val="auto"/>
        </w:rPr>
        <w:t xml:space="preserve"> of the Company’s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airline business is capital intensive. Our ability to successfully execute our business strategy is largely dependent on the continued availability of capital with attractive terms and maintaining sufficient liquidity. We have historically funded our operations and capital expenditures primarily through cash from operations, proceeds from stockholders’ capital contributions, the issuance of promissory notes, and debt financing.</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sources of liquidity as of September 30, 2022 included our existing cash and cash equivalents of $ 131,912 and short-term investments of $135,170, our expected cash generated from operations, and the $ 24,650 of available funds from the Revolving Credit Facility as of September 30, 2022. In addition, we had restricted cash of $14,163 as of September 30, 2022, which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the charter transportation is provided.</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debt repayments, working capital requirements, and other general corporate purposes. Our single largest capital expenditure requirement relates to the acquisition of aircraft, which we have historically acquired through operating leases, finance leases, and debt. Our management team retains broad discretion to allocate liquidity.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regulations, or acts of terrorism.</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Aircraft </w:t>
      </w:r>
      <w:r>
        <w:rPr>
          <w:rFonts w:ascii="Arial" w:cs="Arial" w:eastAsia="Arial" w:hAnsi="Arial"/>
          <w:sz w:val="18"/>
          <w:szCs w:val="18"/>
          <w:color w:val="auto"/>
        </w:rPr>
        <w:t>– As of September 30, 2022, we operated a fleet of 54 Boeing 737-NG aircraft. This includes 42 aircraft in the passenger fleet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12 cargo operated aircraft through the ATSA. We may finance additional aircraft through debt financing or finance leases based on market conditions, our prevailing level of liquidity and capital market availability. We may also enter into new operating leases on an opportunistic basis. For more information on our fleet,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of the Condensed Consolidated Financial Statements included in Part I, Item I of this report.</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Maintenance Deposits </w:t>
      </w:r>
      <w:r>
        <w:rPr>
          <w:rFonts w:ascii="Arial" w:cs="Arial" w:eastAsia="Arial" w:hAnsi="Arial"/>
          <w:sz w:val="18"/>
          <w:szCs w:val="18"/>
          <w:color w:val="auto"/>
        </w:rPr>
        <w:t>- In addition to funding the acquisition of aircraft, we are required by certain of our aircraft lessors to fund reserves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in advance for scheduled maintenance to act as collateral for the benefit of lessors. Qualifying payments that are expected to be recovered from lessors are recorded as Lessor Maintenance Deposits on our Condensed Consolidated Balance Sheets. As of September 30, 2022, we had $30,925 of total Lessor Maintenance Deposits.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The Company invests its cash and cash equivalents in highly liquid securities with strong credit ratings. As of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2022, the Company held $128,569 of debt securities, all of which are classified as current assets because of their highly liquid nature and availability to be converted into cash to fund current operations. Given the significant portion of our portfolio held in cash and cash equivalents, we do not anticipate fluctuations in the aggregate fair value of our investments to have a material impact on our liquidity or capital position.</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CARES Act </w:t>
      </w:r>
      <w:r>
        <w:rPr>
          <w:rFonts w:ascii="Arial" w:cs="Arial" w:eastAsia="Arial" w:hAnsi="Arial"/>
          <w:sz w:val="18"/>
          <w:szCs w:val="18"/>
          <w:color w:val="auto"/>
        </w:rPr>
        <w:t>- During 2021, we received grants totaling $ 71,587 from the Treasury under PSP2 and PSP3. We also received a CARES Act</w:t>
      </w:r>
      <w:r>
        <w:rPr>
          <w:rFonts w:ascii="Arial" w:cs="Arial" w:eastAsia="Arial" w:hAnsi="Arial"/>
          <w:sz w:val="18"/>
          <w:szCs w:val="18"/>
          <w:b w:val="1"/>
          <w:bCs w:val="1"/>
          <w:color w:val="auto"/>
        </w:rPr>
        <w:t xml:space="preserve"> </w:t>
      </w:r>
      <w:r>
        <w:rPr>
          <w:rFonts w:ascii="Arial" w:cs="Arial" w:eastAsia="Arial" w:hAnsi="Arial"/>
          <w:sz w:val="18"/>
          <w:szCs w:val="18"/>
          <w:color w:val="auto"/>
        </w:rPr>
        <w:t>Loan of $45,000 in October 2020, which was repaid in full on March 24, 2021 using proceeds from the IPO.</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accordance with the $71,587 of grants received under the CARES Act, we are required to comply with the relevant provisions of the CARES Act and the related implementing agreements. The provisions related to the requirement that certain levels of commercial air service be maintained, if ordered by the DOT, and the prohibitions on share repurchases of listed securities and the payment of common stock (or equivalent) dividends, have lapsed as of the date of this filing. Restrictions on the payment of certain executive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compensation continue through April 1, 2023. We were in compliance with the CARES Act provisions as of September 30, 2022. For more information on the CARES Act provisions, see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of the Condensed Consolidated Financial Statements included in Part I, Item I of this report.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The Company uses its Credit Facilities to provide liquidity support for general corporate purposes and to finance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aircraft. On February 10, 2021, we entered into a Credit Agreement which includes a $25,000 Revolving Credit Facility and a $90,000 DDTL. The proceeds from the Revolving Credit Facility can be used for general corporate purposes, whereas the proceeds from the DDTL were to be used solely to finance the acquisition of aircraft or engines to be registered in the United States. The Credit Agreement includes financial covenants that require a minimum trailing 12-month EBITDAR ($87,700 as of March 31, 2022 and beyond) and a minimum liquidity of $30,000 at the close of any business day. The Company was in compliance with this covenant as of September 30, 2022.</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2021, the Company drew $ 80,500 on the DDTL to purchase six aircraft, which were previously under operating leases. The Company repaid the outstanding balance for the DDTL in full in March 2022 using proceeds it received from the 2022-1 EETC. No amounts under the DDTL are available to the Company as of September 30, 2022. As of September 30, 2022, the Company had $24,650 of the $25,000 Revolving Credit Facility available and no balance drawn.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At our discretion, we obtain debt financing through the issuance of pass-through trust certificates to purchase, or refinance, aircraft.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2019, we issued the 2019-1 EETC, for the purpose of financing or refinancing 13 used aircraft.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March 2022, the Company arranged for the issuance of the 2022-1 EETC in an aggregate face amount of $188,277 for the purpose of financing or refinancing 13 aircraft. The 2022-1 EETC is secured by a lien on the financed or refinanced aircraft and is cross collateralized by the other aircraft financed through the issuance. Total appraised value of the aircraft and engines financed by the 2022-1 EETC was approximately $259,688 as of the original date of the agreement.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more information on our credit facilities or debt,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of the Condensed Consolidated Financial Statements included in Part I, Item I of this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7"/>
                <w:szCs w:val="17"/>
                <w:color w:val="auto"/>
              </w:rPr>
            </w:pPr>
          </w:p>
        </w:tc>
        <w:tc>
          <w:tcPr>
            <w:tcW w:w="176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 2021</w:t>
            </w:r>
          </w:p>
        </w:tc>
      </w:tr>
      <w:tr>
        <w:trPr>
          <w:trHeight w:val="250"/>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131,912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309,338</w:t>
            </w:r>
          </w:p>
        </w:tc>
      </w:tr>
      <w:tr>
        <w:trPr>
          <w:trHeight w:val="247"/>
        </w:trPr>
        <w:tc>
          <w:tcPr>
            <w:tcW w:w="714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128,569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7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64"/>
        </w:trPr>
        <w:tc>
          <w:tcPr>
            <w:tcW w:w="714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285,131</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334,338</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61"/>
        </w:trPr>
        <w:tc>
          <w:tcPr>
            <w:tcW w:w="7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r>
      <w:tr>
        <w:trPr>
          <w:trHeight w:val="223"/>
        </w:trPr>
        <w:tc>
          <w:tcPr>
            <w:tcW w:w="7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9"/>
                <w:szCs w:val="19"/>
                <w:color w:val="auto"/>
              </w:rPr>
            </w:pPr>
          </w:p>
        </w:tc>
        <w:tc>
          <w:tcPr>
            <w:tcW w:w="176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 2021</w:t>
            </w:r>
          </w:p>
        </w:tc>
      </w:tr>
      <w:tr>
        <w:trPr>
          <w:trHeight w:val="250"/>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370,197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277,426</w:t>
            </w:r>
          </w:p>
        </w:tc>
      </w:tr>
      <w:tr>
        <w:trPr>
          <w:trHeight w:val="247"/>
        </w:trPr>
        <w:tc>
          <w:tcPr>
            <w:tcW w:w="71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255,128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192,155</w:t>
            </w:r>
          </w:p>
        </w:tc>
      </w:tr>
      <w:tr>
        <w:trPr>
          <w:trHeight w:val="23"/>
        </w:trPr>
        <w:tc>
          <w:tcPr>
            <w:tcW w:w="7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27,789</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76,041</w:t>
            </w:r>
          </w:p>
        </w:tc>
      </w:tr>
      <w:tr>
        <w:trPr>
          <w:trHeight w:val="240"/>
        </w:trPr>
        <w:tc>
          <w:tcPr>
            <w:tcW w:w="7140" w:type="dxa"/>
            <w:vAlign w:val="bottom"/>
          </w:tcPr>
          <w:p>
            <w:pPr>
              <w:ind w:left="180"/>
              <w:spacing w:after="0"/>
              <w:rPr>
                <w:sz w:val="20"/>
                <w:szCs w:val="20"/>
                <w:color w:val="auto"/>
              </w:rPr>
            </w:pPr>
            <w:r>
              <w:rPr>
                <w:rFonts w:ascii="Arial" w:cs="Arial" w:eastAsia="Arial" w:hAnsi="Arial"/>
                <w:sz w:val="18"/>
                <w:szCs w:val="18"/>
                <w:color w:val="auto"/>
              </w:rPr>
              <w:t>Total Debt and Lease Obligations</w:t>
            </w:r>
          </w:p>
        </w:tc>
        <w:tc>
          <w:tcPr>
            <w:tcW w:w="1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653,114</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545,622</w:t>
            </w:r>
          </w:p>
        </w:tc>
      </w:tr>
      <w:tr>
        <w:trPr>
          <w:trHeight w:val="23"/>
        </w:trPr>
        <w:tc>
          <w:tcPr>
            <w:tcW w:w="7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508,005</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490,589</w:t>
            </w:r>
          </w:p>
        </w:tc>
      </w:tr>
      <w:tr>
        <w:trPr>
          <w:trHeight w:val="264"/>
        </w:trPr>
        <w:tc>
          <w:tcPr>
            <w:tcW w:w="7140" w:type="dxa"/>
            <w:vAlign w:val="bottom"/>
          </w:tcPr>
          <w:p>
            <w:pPr>
              <w:ind w:left="180"/>
              <w:spacing w:after="0"/>
              <w:rPr>
                <w:sz w:val="20"/>
                <w:szCs w:val="20"/>
                <w:color w:val="auto"/>
              </w:rPr>
            </w:pPr>
            <w:r>
              <w:rPr>
                <w:rFonts w:ascii="Arial" w:cs="Arial" w:eastAsia="Arial" w:hAnsi="Arial"/>
                <w:sz w:val="18"/>
                <w:szCs w:val="18"/>
                <w:color w:val="auto"/>
              </w:rPr>
              <w:t>Total Invested Capital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1,161,119</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1,036,211</w:t>
            </w:r>
          </w:p>
        </w:tc>
      </w:tr>
      <w:tr>
        <w:trPr>
          <w:trHeight w:val="46"/>
        </w:trPr>
        <w:tc>
          <w:tcPr>
            <w:tcW w:w="7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47"/>
        </w:trPr>
        <w:tc>
          <w:tcPr>
            <w:tcW w:w="71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Debt-to-Capital</w:t>
            </w:r>
          </w:p>
        </w:tc>
        <w:tc>
          <w:tcPr>
            <w:tcW w:w="180" w:type="dxa"/>
            <w:vAlign w:val="bottom"/>
            <w:tcBorders>
              <w:top w:val="single" w:sz="8" w:color="CCEEFF"/>
            </w:tcBorders>
          </w:tcPr>
          <w:p>
            <w:pPr>
              <w:spacing w:after="0"/>
              <w:rPr>
                <w:sz w:val="21"/>
                <w:szCs w:val="21"/>
                <w:color w:val="auto"/>
              </w:rPr>
            </w:pPr>
          </w:p>
        </w:tc>
        <w:tc>
          <w:tcPr>
            <w:tcW w:w="1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0.53</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40" w:type="dxa"/>
            <w:vAlign w:val="bottom"/>
          </w:tcPr>
          <w:p>
            <w:pPr>
              <w:spacing w:after="0"/>
              <w:rPr>
                <w:sz w:val="17"/>
                <w:szCs w:val="17"/>
                <w:color w:val="auto"/>
              </w:rPr>
            </w:pPr>
          </w:p>
        </w:tc>
        <w:tc>
          <w:tcPr>
            <w:tcW w:w="3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800" w:type="dxa"/>
            <w:vAlign w:val="bottom"/>
            <w:tcBorders>
              <w:bottom w:val="single" w:sz="8" w:color="auto"/>
            </w:tcBorders>
          </w:tcPr>
          <w:p>
            <w:pPr>
              <w:spacing w:after="0"/>
              <w:rPr>
                <w:sz w:val="17"/>
                <w:szCs w:val="17"/>
                <w:color w:val="auto"/>
              </w:rPr>
            </w:pPr>
          </w:p>
        </w:tc>
      </w:tr>
      <w:tr>
        <w:trPr>
          <w:trHeight w:val="201"/>
        </w:trPr>
        <w:tc>
          <w:tcPr>
            <w:tcW w:w="71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7"/>
                <w:szCs w:val="17"/>
                <w:color w:val="auto"/>
              </w:rPr>
            </w:pPr>
          </w:p>
        </w:tc>
      </w:tr>
      <w:tr>
        <w:trPr>
          <w:trHeight w:val="265"/>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Activities</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71,671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116,358</w:t>
            </w:r>
          </w:p>
        </w:tc>
      </w:tr>
      <w:tr>
        <w:trPr>
          <w:trHeight w:val="227"/>
        </w:trPr>
        <w:tc>
          <w:tcPr>
            <w:tcW w:w="71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1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r>
        <w:trPr>
          <w:trHeight w:val="23"/>
        </w:trPr>
        <w:tc>
          <w:tcPr>
            <w:tcW w:w="7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of Property &amp; Equipment</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(177,658)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(118,016)</w:t>
            </w:r>
          </w:p>
        </w:tc>
      </w:tr>
      <w:tr>
        <w:trPr>
          <w:trHeight w:val="247"/>
        </w:trPr>
        <w:tc>
          <w:tcPr>
            <w:tcW w:w="7140" w:type="dxa"/>
            <w:vAlign w:val="bottom"/>
          </w:tcPr>
          <w:p>
            <w:pPr>
              <w:ind w:left="360"/>
              <w:spacing w:after="0"/>
              <w:rPr>
                <w:sz w:val="20"/>
                <w:szCs w:val="20"/>
                <w:color w:val="auto"/>
              </w:rPr>
            </w:pPr>
            <w:r>
              <w:rPr>
                <w:rFonts w:ascii="Arial" w:cs="Arial" w:eastAsia="Arial" w:hAnsi="Arial"/>
                <w:sz w:val="18"/>
                <w:szCs w:val="18"/>
                <w:color w:val="auto"/>
              </w:rPr>
              <w:t>Proceeds from the Sale Property &amp; Equipment</w:t>
            </w: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7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Insurance Settlements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7140" w:type="dxa"/>
            <w:vAlign w:val="bottom"/>
          </w:tcPr>
          <w:p>
            <w:pPr>
              <w:ind w:left="360"/>
              <w:spacing w:after="0"/>
              <w:rPr>
                <w:sz w:val="20"/>
                <w:szCs w:val="20"/>
                <w:color w:val="auto"/>
              </w:rPr>
            </w:pPr>
            <w:r>
              <w:rPr>
                <w:rFonts w:ascii="Arial" w:cs="Arial" w:eastAsia="Arial" w:hAnsi="Arial"/>
                <w:sz w:val="18"/>
                <w:szCs w:val="18"/>
                <w:color w:val="auto"/>
              </w:rPr>
              <w:t>Purchases of Investments</w:t>
            </w: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(130,529)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(1,436)</w:t>
            </w:r>
          </w:p>
        </w:tc>
      </w:tr>
      <w:tr>
        <w:trPr>
          <w:trHeight w:val="23"/>
        </w:trPr>
        <w:tc>
          <w:tcPr>
            <w:tcW w:w="7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Sale of Investments</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r>
      <w:tr>
        <w:trPr>
          <w:trHeight w:val="241"/>
        </w:trPr>
        <w:tc>
          <w:tcPr>
            <w:tcW w:w="7140" w:type="dxa"/>
            <w:vAlign w:val="bottom"/>
          </w:tcPr>
          <w:p>
            <w:pPr>
              <w:ind w:left="20"/>
              <w:spacing w:after="0"/>
              <w:rPr>
                <w:sz w:val="20"/>
                <w:szCs w:val="20"/>
                <w:color w:val="auto"/>
              </w:rPr>
            </w:pPr>
            <w:r>
              <w:rPr>
                <w:rFonts w:ascii="Arial" w:cs="Arial" w:eastAsia="Arial" w:hAnsi="Arial"/>
                <w:sz w:val="18"/>
                <w:szCs w:val="18"/>
                <w:color w:val="auto"/>
              </w:rPr>
              <w:t>Total Investing Activities</w:t>
            </w:r>
          </w:p>
        </w:tc>
        <w:tc>
          <w:tcPr>
            <w:tcW w:w="1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(297,610)</w:t>
            </w: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(118,390)</w:t>
            </w:r>
          </w:p>
        </w:tc>
      </w:tr>
      <w:tr>
        <w:trPr>
          <w:trHeight w:val="23"/>
        </w:trPr>
        <w:tc>
          <w:tcPr>
            <w:tcW w:w="7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7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7"/>
        </w:trPr>
        <w:tc>
          <w:tcPr>
            <w:tcW w:w="71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
        </w:trPr>
        <w:tc>
          <w:tcPr>
            <w:tcW w:w="7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Received from Stock Offering, net</w:t>
            </w:r>
          </w:p>
        </w:tc>
        <w:tc>
          <w:tcPr>
            <w:tcW w:w="1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227,188</w:t>
            </w:r>
          </w:p>
        </w:tc>
      </w:tr>
      <w:tr>
        <w:trPr>
          <w:trHeight w:val="247"/>
        </w:trPr>
        <w:tc>
          <w:tcPr>
            <w:tcW w:w="7140" w:type="dxa"/>
            <w:vAlign w:val="bottom"/>
          </w:tcPr>
          <w:p>
            <w:pPr>
              <w:ind w:left="360"/>
              <w:spacing w:after="0"/>
              <w:rPr>
                <w:sz w:val="20"/>
                <w:szCs w:val="20"/>
                <w:color w:val="auto"/>
              </w:rPr>
            </w:pPr>
            <w:r>
              <w:rPr>
                <w:rFonts w:ascii="Arial" w:cs="Arial" w:eastAsia="Arial" w:hAnsi="Arial"/>
                <w:sz w:val="18"/>
                <w:szCs w:val="18"/>
                <w:color w:val="auto"/>
              </w:rPr>
              <w:t>Proceeds from Stock Option and Warrant Exercises, net</w:t>
            </w: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2,407</w:t>
            </w:r>
          </w:p>
        </w:tc>
      </w:tr>
      <w:tr>
        <w:trPr>
          <w:trHeight w:val="23"/>
        </w:trPr>
        <w:tc>
          <w:tcPr>
            <w:tcW w:w="7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Borrowings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188,277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80,500</w:t>
            </w:r>
          </w:p>
        </w:tc>
      </w:tr>
      <w:tr>
        <w:trPr>
          <w:trHeight w:val="247"/>
        </w:trPr>
        <w:tc>
          <w:tcPr>
            <w:tcW w:w="7140" w:type="dxa"/>
            <w:vAlign w:val="bottom"/>
          </w:tcPr>
          <w:p>
            <w:pPr>
              <w:ind w:left="360"/>
              <w:spacing w:after="0"/>
              <w:rPr>
                <w:sz w:val="20"/>
                <w:szCs w:val="20"/>
                <w:color w:val="auto"/>
              </w:rPr>
            </w:pPr>
            <w:r>
              <w:rPr>
                <w:rFonts w:ascii="Arial" w:cs="Arial" w:eastAsia="Arial" w:hAnsi="Arial"/>
                <w:sz w:val="18"/>
                <w:szCs w:val="18"/>
                <w:color w:val="auto"/>
              </w:rPr>
              <w:t>Repayment of Finance Lease Obligations</w:t>
            </w: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(37,842)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(9,113)</w:t>
            </w:r>
          </w:p>
        </w:tc>
      </w:tr>
      <w:tr>
        <w:trPr>
          <w:trHeight w:val="23"/>
        </w:trPr>
        <w:tc>
          <w:tcPr>
            <w:tcW w:w="7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Borrowings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(95,305)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(75,728)</w:t>
            </w:r>
          </w:p>
        </w:tc>
      </w:tr>
      <w:tr>
        <w:trPr>
          <w:trHeight w:val="247"/>
        </w:trPr>
        <w:tc>
          <w:tcPr>
            <w:tcW w:w="7140" w:type="dxa"/>
            <w:vAlign w:val="bottom"/>
          </w:tcPr>
          <w:p>
            <w:pPr>
              <w:ind w:left="360"/>
              <w:spacing w:after="0"/>
              <w:rPr>
                <w:sz w:val="20"/>
                <w:szCs w:val="20"/>
                <w:color w:val="auto"/>
              </w:rPr>
            </w:pPr>
            <w:r>
              <w:rPr>
                <w:rFonts w:ascii="Arial" w:cs="Arial" w:eastAsia="Arial" w:hAnsi="Arial"/>
                <w:sz w:val="18"/>
                <w:szCs w:val="18"/>
                <w:color w:val="auto"/>
              </w:rPr>
              <w:t>Debt Issuance Costs</w:t>
            </w: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(2,560)</w:t>
            </w:r>
          </w:p>
        </w:tc>
      </w:tr>
      <w:tr>
        <w:trPr>
          <w:trHeight w:val="23"/>
        </w:trPr>
        <w:tc>
          <w:tcPr>
            <w:tcW w:w="7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222,694</w:t>
            </w:r>
          </w:p>
        </w:tc>
      </w:tr>
      <w:tr>
        <w:trPr>
          <w:trHeight w:val="250"/>
        </w:trPr>
        <w:tc>
          <w:tcPr>
            <w:tcW w:w="71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r>
      <w:tr>
        <w:trPr>
          <w:trHeight w:val="28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(171,710)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220,662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consists of Cash, Cash Equivalents and 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activities in the nine months ended September 30, 2022 provided $71,671, as compared to providing $116,358 during the nine months ended September 30, 2021. During the nine months ended September 30, 2022 and 2021, our Net Income was $10,392 and $82,334, respectively. Net Income in 2021 benefited from $71,587 in grants received under the CARES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 When we receive a cash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Fuel expense represented approximately 33% and 26% of our total operating expense for the nine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2021, respectively. The market price for jet fuel is volatile, which can impact the comparability of our periodic cash flows from operations. Fuel consumption increased by 20% during the nine months ended September 30, 2022 compared to prior year, consistent with increased passengers as the impact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of the pandemic subsides. Additionally, the cost per gallon increased by 83% year-over-year. We expect a trend of higher year-over-year fuel costs per gallon to continue for the remainder of 2022 due to current market conditions, further exacerbated by global geopolitical events.</w:t>
      </w:r>
    </w:p>
    <w:p>
      <w:pPr>
        <w:spacing w:after="0" w:line="13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i w:val="1"/>
          <w:iCs w:val="1"/>
          <w:color w:val="auto"/>
        </w:rPr>
        <w:t xml:space="preserve">CARES Act. </w:t>
      </w:r>
      <w:r>
        <w:rPr>
          <w:rFonts w:ascii="Arial" w:cs="Arial" w:eastAsia="Arial" w:hAnsi="Arial"/>
          <w:sz w:val="18"/>
          <w:szCs w:val="18"/>
          <w:color w:val="auto"/>
        </w:rPr>
        <w:t>During the nine months ended September 30, 2022 we did not receive any funding from the CARES Act. During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we received $71,587 in CARES Act grants and $848 in employee retention tax credits.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$177,658 and $118,016 for the nine months ended September 30, 2022 and 2021,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Our capital expenditures during the nine months ended September 30, 2022 primarily included the purchase of five incremental aircraft, two aircraft off operating leases, five spare engines, prepayment of $ 8,781 towards a flight simulator, and other miscellaneous projects. The final installment on the flight simulator will be remitted to the seller upon receipt and installation. The purchases of the aircraft previously under finance leases were recorded as a non-cash investing activities. Our capital expenditures during the nine months ended September 30, 2021 were primarily related to the purchases of seven aircraft, six of which were existing aircraft previously under operating leases.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During 2022, the Company purchased $130,529 of investments. Primarily all of these purchases were debt securities,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classified as Current Assets because of their highly liquid nature and availability to be converted into cash to fund current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IPO. </w:t>
      </w:r>
      <w:r>
        <w:rPr>
          <w:rFonts w:ascii="Arial" w:cs="Arial" w:eastAsia="Arial" w:hAnsi="Arial"/>
          <w:sz w:val="18"/>
          <w:szCs w:val="18"/>
          <w:color w:val="auto"/>
        </w:rPr>
        <w:t>In March 2021, we completed our IPO. In total, 10,454,545 shares were issued and the net proceeds to the Company were $225,329</w:t>
      </w:r>
      <w:r>
        <w:rPr>
          <w:rFonts w:ascii="Arial" w:cs="Arial" w:eastAsia="Arial" w:hAnsi="Arial"/>
          <w:sz w:val="18"/>
          <w:szCs w:val="18"/>
          <w:i w:val="1"/>
          <w:iCs w:val="1"/>
          <w:color w:val="auto"/>
        </w:rPr>
        <w:t xml:space="preserve"> </w:t>
      </w:r>
      <w:r>
        <w:rPr>
          <w:rFonts w:ascii="Arial" w:cs="Arial" w:eastAsia="Arial" w:hAnsi="Arial"/>
          <w:sz w:val="18"/>
          <w:szCs w:val="18"/>
          <w:color w:val="auto"/>
        </w:rPr>
        <w:t>after deducting underwriting discounts and commissions, and other offering expenses. The proceeds from the IPO were immediately used to repay our $45,000 loan with the U.S. Treasury, plus interest.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 In March 2022, the Company arranged for the issuance of the 2022-1 EETC in an aggregate face amount of $188,277 for the purpose</w:t>
      </w:r>
      <w:r>
        <w:rPr>
          <w:rFonts w:ascii="Arial" w:cs="Arial" w:eastAsia="Arial" w:hAnsi="Arial"/>
          <w:sz w:val="18"/>
          <w:szCs w:val="18"/>
          <w:i w:val="1"/>
          <w:iCs w:val="1"/>
          <w:color w:val="auto"/>
        </w:rPr>
        <w:t xml:space="preserve"> </w:t>
      </w:r>
      <w:r>
        <w:rPr>
          <w:rFonts w:ascii="Arial" w:cs="Arial" w:eastAsia="Arial" w:hAnsi="Arial"/>
          <w:sz w:val="18"/>
          <w:szCs w:val="18"/>
          <w:color w:val="auto"/>
        </w:rPr>
        <w:t>of financing or refinancing 13 aircraft. Five of these aircraft were owned fleet assets previously financed by the DDTL, which was repaid with the proceeds from the 2022-1 EETC.</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additional information regarding these financing arrangements,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of the Notes to the Condensed Consolidated Financial Statements included in Part I, Item I of this report.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Finance Leases</w:t>
      </w:r>
      <w:r>
        <w:rPr>
          <w:rFonts w:ascii="Arial" w:cs="Arial" w:eastAsia="Arial" w:hAnsi="Arial"/>
          <w:sz w:val="18"/>
          <w:szCs w:val="18"/>
          <w:color w:val="auto"/>
        </w:rPr>
        <w:t>. Our repayments of finance lease obligations were $37,842 and $9,113 for the nine months ended September 30,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2021, respectively. During 2022, the Company exercised the purchase options on two finance leases using proceeds from the issuance of the 2022-1 EETC. The resulting cash outflows are recorded as payments for finance lease obligations. There were no similar transactions during the nine months ended September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 provisions requiring us,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lessee, to indemnify the other parties to those agreements, including certain of those parties’ related persons, against virtually any liabilities that might arise from the use or operation of the aircraft or such other equipment. We believe that our insurance covers most of our exposure to liabilities and related indemnities associated with the leases described above.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Pass-Through Trusts</w:t>
      </w:r>
      <w:r>
        <w:rPr>
          <w:rFonts w:ascii="Arial" w:cs="Arial" w:eastAsia="Arial" w:hAnsi="Arial"/>
          <w:sz w:val="18"/>
          <w:szCs w:val="18"/>
          <w:color w:val="auto"/>
        </w:rPr>
        <w:t>. We have equipment notes outstanding issued under the 2019-1 EETC and 2022-1 EETC. Generally, the structure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We use these certificates to finance or refinance aircraft purchases. The obligations are listed in </w:t>
      </w:r>
      <w:r>
        <w:rPr>
          <w:rFonts w:ascii="Arial" w:cs="Arial" w:eastAsia="Arial" w:hAnsi="Arial"/>
          <w:sz w:val="18"/>
          <w:szCs w:val="18"/>
          <w:u w:val="single" w:color="auto"/>
          <w:color w:val="0000FF"/>
        </w:rPr>
        <w:t>Note 7</w:t>
      </w:r>
      <w:r>
        <w:rPr>
          <w:rFonts w:ascii="Arial" w:cs="Arial" w:eastAsia="Arial" w:hAnsi="Arial"/>
          <w:sz w:val="18"/>
          <w:szCs w:val="18"/>
          <w:color w:val="0000FF"/>
        </w:rPr>
        <w:t xml:space="preserve"> </w:t>
      </w:r>
      <w:r>
        <w:rPr>
          <w:rFonts w:ascii="Arial" w:cs="Arial" w:eastAsia="Arial" w:hAnsi="Arial"/>
          <w:sz w:val="18"/>
          <w:szCs w:val="18"/>
          <w:color w:val="000000"/>
        </w:rPr>
        <w:t>of the Condensed Consolidated Financial Statements included in Part I, Item I of this report.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Fuel Consortia</w:t>
      </w:r>
      <w:r>
        <w:rPr>
          <w:rFonts w:ascii="Arial" w:cs="Arial" w:eastAsia="Arial" w:hAnsi="Arial"/>
          <w:sz w:val="18"/>
          <w:szCs w:val="18"/>
          <w:color w:val="auto"/>
        </w:rPr>
        <w:t>. We currently participate in fuel consortia at Minneapolis-Saint Paul International Airport, Las Vegas International Airport,</w:t>
      </w:r>
      <w:r>
        <w:rPr>
          <w:rFonts w:ascii="Arial" w:cs="Arial" w:eastAsia="Arial" w:hAnsi="Arial"/>
          <w:sz w:val="18"/>
          <w:szCs w:val="18"/>
          <w:i w:val="1"/>
          <w:iCs w:val="1"/>
          <w:color w:val="auto"/>
        </w:rPr>
        <w:t xml:space="preserve"> </w:t>
      </w:r>
      <w:r>
        <w:rPr>
          <w:rFonts w:ascii="Arial" w:cs="Arial" w:eastAsia="Arial" w:hAnsi="Arial"/>
          <w:sz w:val="18"/>
          <w:szCs w:val="18"/>
          <w:color w:val="auto"/>
        </w:rPr>
        <w:t>Dallas-Fort Worth International Airport, San Diego International Airport, Los Angeles International Airport, Seattle Tacoma International Airport, Portland International Airport, Phoenix Sky Harbor International Airport, Orlando International Airport, Southwest Florida International Airport and San Francisco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Consortia that are governed by interline agreements are either, (i) not variable interest entities (“VIEs”) because they are not legal entities, or (ii) are variable interest entities, but the Company is not deemed the primary beneficiary. Therefore, these agreements are not reflected on our Condensed Consolidated Balance Sheets. There are no assets or liabilities on our Balance Sheets related to these VIEs, since our participation is limited to purchasing aircraft fuel.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contractual obligations comprised of aircraft leases and supplemental maintenance reserves, payments of debt, interest, other lease arrangements, and the TRA.</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2022, an owned aircraft was retired due to the aircraft sustaining damage beyond economic repair. The best estimate of this event was recorded as of the second quarter and had no financial impact on the Company's Condensed Consolidated Statement of Operations. The estimate will be revised when additional information becomes available or when the contingency is finalized. The Company does not believe the finalization of the contingency will have a material effect on the Company's Condensed Consolidated Results of Operations.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nine months ended September 30, 2022, the Company executed an agreement to purchase a flight simulator at a total purchase price of $9,745. To date, $8,781 has been remitted to the seller. The remaining purchase price will be remitted to the seller upon receipt and installation of the simulator. Payments for the simulator are accounted for within Property &amp; Equipment on the Condensed Consolidated Balance Sheets as of September 30, 2022.</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For additional information, refer to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Commitments and Contingencies to our Condensed Consolidated Financial Statements included elsewhere in this Quarterly Report on Form 10-Q. Except as described herein, there have been no material changes in our contractual obligations and commitments other than in the ordinary course of business since our fiscal year ended December 31,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Accordingly, actual results may differ from the information provided below.</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Unexpected pricing changes of aircraft fuel could have a material adverse effect on our business, results of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had no hedges in place at September 30, 2022. We do not hold or issue option or swap contracts for trading purposes. We currently do not expect to enter into these types of contracts prospectively, although significant changes in market conditions could affect our decisions. Based on our forecasted scheduled service and charter fuel consumption for the fourth quarter of 2022, we estimate that a one cent per gallon increase in the average aircraft fuel price would increase aircraft fuel expense by approximately $175 excluding reimbursed cargo fuel.</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Rates. </w:t>
      </w:r>
      <w:r>
        <w:rPr>
          <w:rFonts w:ascii="Arial" w:cs="Arial" w:eastAsia="Arial" w:hAnsi="Arial"/>
          <w:sz w:val="18"/>
          <w:szCs w:val="18"/>
          <w:color w:val="auto"/>
        </w:rPr>
        <w:t>We have exposure to market risk associated with changes in interest rates related to the interest expense from our variable-rate debt and our short-term investment securities. A change in market interest rates would impact interest expense under the Revolving Credit Facility, totaling $ 25,000 in principal capacity. During the first quarter, we repaid the outstanding balance of the DDTL using proceeds from the 2022-1 EETC, which terminated the DDTL. We are unable to draw any additional amounts from the DDTL and no longer face any exposure to market risk on this portion of our Credit Facilities. Assuming the Revolving Credit Facility is fully drawn, a 100 basis point increase in interest rates would result in a corresponding increase in interest expense of approximately $250 annually.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short-term investment securities are primarily comprised of fixed-rate debt investments. An increase in market interest rates decreases the market value of fixed-rate investments. Conversely, a decrease in market interest rates increases the market value. The fair market value of our short-term investments with exposure to interest rate risk was $128,569 as of September 30, 2022. These investments are highly liquid and are available to be quickly converted into known amounts of cash to fund current operations. The Company limits its investments to investment grade quality securities. Given these factors and that a significant portion of our portfolio is held in cash and cash equivalents, we do not anticipate fluctuations in the aggregate fair value of our financial assets to have a material impact on our liquidity or capital position.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2022. Based upon this evaluation, our Chief Executive Officer and Chief Financial Officer concluded that, due to the existence of the material weakness in our internal control over financial reporting described below, our disclosure controls and procedures (as defined in Rules 13a-15(e) 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15d-15(e) under the Exchange Act) were not effective as of September 30, 2022 to provide reasonable assurance that the information required to be disclosed in the reports that we file or submit under the Exchange Act is recorded, processed, summarized and reported within the time periods specified in the SEC’s rules and forms, and that such information is accumulated and communicated to Management as appropriate to allow timely decisions regarding required disclosure. In light of this fact, Management has performed additional analyses, reconciliations, and other post-closing procedures and has concluded that, notwithstanding the material weakness in our internal control over financial reporting, the consolidated financial statements included in this Quarterly Report on Form 10-Q present fairly, in all material respects, the Company’s financial position, results of operations and cash flows for the periods presented, in conformity with U.S. GAAP.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previously disclosed in our Quarterly Report on Form 10-Q as of June 30, 2022, that Management identified a material weakness in internal control over financial reporting. Specifically, Management's controls over the accounting for complex, non-routine transactions were not designed or implemented to operate with a sufficient level of precision. This included controls addressing the application of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the purchase of aircraft subject to an existing operating lease.</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control deficiency did not result in a material misstatement of the Condensed Consolidated Financial Statements included in this Quarterly Report on Form 10-Q or our prior period consolidated annual or interim financial statements. However, the control deficiency created a reasonable possibility that a material misstatement to the annual or interim consolidated financial statements would not have been prevented or detected on a timely basis. Accordingly, Management has concluded that this control deficiency constituted a material weakness.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begun supplementing the system of internal control over financial reporting with the following actions:</w:t>
      </w:r>
    </w:p>
    <w:p>
      <w:pPr>
        <w:spacing w:after="0" w:line="23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Hired a technical accounting specialist after the material weakness occurred;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Provided additional training on how to utilize external technical accounting research resources;</w:t>
      </w:r>
    </w:p>
    <w:p>
      <w:pPr>
        <w:spacing w:after="0" w:line="238" w:lineRule="exact"/>
        <w:rPr>
          <w:rFonts w:ascii="Arial" w:cs="Arial" w:eastAsia="Arial" w:hAnsi="Arial"/>
          <w:sz w:val="18"/>
          <w:szCs w:val="18"/>
          <w:color w:val="auto"/>
        </w:rPr>
      </w:pPr>
    </w:p>
    <w:p>
      <w:pPr>
        <w:ind w:left="660" w:right="200" w:hanging="328"/>
        <w:spacing w:after="0" w:line="27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Engaging third-party specialists, as necessary, to review Management’s conclusions on the accounting for non-routine transactions involving the application of complex accounting standards; and</w:t>
      </w:r>
    </w:p>
    <w:p>
      <w:pPr>
        <w:spacing w:after="0" w:line="180"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Continuing to review and make necessary changes to the overall design of our risk assessment and review controls over accounting for complex, non-routine transactions, including lease-related transactions.</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made progress in accordance with our remediation plan; however, the material weakness will not be considered remediated until a sustained period of time has passed to allow management to test the design and operational effectiveness of the corrective actions. We believe that our remediation plan will be sufficient to remediate the identified material weakness and strengthen our internal control over financial reporting. However, as we continue to evaluate and work to improve our internal control over financial reporting, Management may determine that additional measures to address control deficiencies or modifications to the remediation plan are necessary. Therefore, we cannot assure you when the Company will remediate the material weakness identified above, nor can we be certain that additional actions will not be required and what the costs of any such additional actions may be. Moreover, we cannot assure you that additional material weaknesses will not arise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than the changes made as part of the remediation plan described above, there has been no change in the Company’s internal control over financial reporting (as defined in Rules 13a-15(f) and 15d-15(f) under the Exchange Act) that occurred during the quarter ended September 30, 2022 that has materially affected, or is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57" w:lineRule="auto"/>
        <w:rPr>
          <w:rFonts w:ascii="Arial" w:cs="Arial" w:eastAsia="Arial" w:hAnsi="Arial"/>
          <w:sz w:val="18"/>
          <w:szCs w:val="18"/>
          <w:color w:val="auto"/>
        </w:rPr>
      </w:pPr>
      <w:r>
        <w:rPr>
          <w:rFonts w:ascii="Arial" w:cs="Arial" w:eastAsia="Arial" w:hAnsi="Arial"/>
          <w:sz w:val="18"/>
          <w:szCs w:val="18"/>
          <w:color w:val="auto"/>
        </w:rPr>
        <w:t>We have disclosed under the heading “</w:t>
      </w:r>
      <w:hyperlink r:id="rId81">
        <w:r>
          <w:rPr>
            <w:rFonts w:ascii="Arial" w:cs="Arial" w:eastAsia="Arial" w:hAnsi="Arial"/>
            <w:sz w:val="18"/>
            <w:szCs w:val="18"/>
            <w:u w:val="single" w:color="auto"/>
            <w:color w:val="0000FF"/>
          </w:rPr>
          <w:t>Risk Factors</w:t>
        </w:r>
      </w:hyperlink>
      <w:r>
        <w:rPr>
          <w:rFonts w:ascii="Arial" w:cs="Arial" w:eastAsia="Arial" w:hAnsi="Arial"/>
          <w:sz w:val="18"/>
          <w:szCs w:val="18"/>
          <w:color w:val="auto"/>
        </w:rPr>
        <w:t>” in our 2021 10-K, the risk factors which materially affect our business, financial condition or results of operations. Except for the updated risk factors set forth below, there have been no material changes from the risk factors previously disclosed. You should carefully consider the risk factors set forth in our 2021 10-K and the risk factor presented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As previously disclosed, we have identified a material weakness in our internal control over financial reporting and, if we are unable to remediate this material weakness, we may not be able to accurately or timely report our financial condition or results of operations, which may adversely affect investor confidence in us and, as a result, the value of our common stock.</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disclosed in Part I, Item 4, “Controls and Procedures,” we have previously disclosed the identification of a material weakness in our internal control over financial reporting. 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 The control deficiency described below created a reasonable possibility that a material misstatement to the annual or interim consolidated financial statements would not have been prevented or detected on a timely basis. Accordingly, Management has concluded that this control deficiency constituted a material weakness as of June 30, 2022. Specifically, Management's controls over the accounting for complex, non-routine transactions were not designed or implemented to operate with a sufficient level of precision. This included controls addressing the application of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the purchase of aircraft subject to an existing operating lease.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have effective internal control over financial reporting and disclosure controls and procedures could impair our ability to produce accurate financial statements on a timely basis and could lead to a restatement of our financial statements. If, as a result of the ineffectiveness of our internal control over financial reporting and disclosure controls and procedures, we cannot provide reliable financial statements, our business decision processes may be adversely affected, our business and results of operations could be harmed, and investors could lose confidence in our reported financial information. In addition, in some circumstances, failure to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maintain effective internal control over financial reporting could result in investigations or sanctions by regulatory authorities.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described in Part 1, Item 4, Management began supplementing the system of internal control over financial reporting to address the material weakness. Such remediation measures may require additional time and resources and there is no assurance that these initiatives will ultimately have the intended effects. As Management continues to evaluate and work to improve our internal control over financial reporting, Management may determine that additional measures to address control deficiencies or modifications to the remediation plan are necessary. Therefore, we cannot assure you when the Company will remediate such weakness, nor can we be certain that additional actions will not be required and what costs of any such additional actions may be. In addition, there can be no assurance that such remediation efforts will be successful, that our internal control over financial reporting will be effective as a result of these efforts nor that additional material weaknesses will not arise in the future or that Management has identified all material weaknesses. 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 when they are required to do so.</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fail to remediate the material weakness and maintain effective internal control over financial reporting or disclosure controls and procedures, we may not be able to rely on the integrity of our financial results, which could result in inaccurate or late reporting of our financial results, as well as delays or the inability to meet our reporting obligations or to comply with SEC rules and regulations. Any of these could result in delisting actions by the Nasdaq Stock Market, investigation and sanctions by regulatory authorities, stockholder investigations and lawsuits, and could adversely affect our business and the trading price of our common stock. The potential consequences of any material weakness could have a material adverse effect on our business,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r>
              <w:rPr>
                <w:rFonts w:ascii="Arial" w:cs="Arial" w:eastAsia="Arial" w:hAnsi="Arial"/>
                <w:sz w:val="18"/>
                <w:szCs w:val="18"/>
                <w:color w:val="auto"/>
              </w:rPr>
              <w:t>(a) Exhibits</w:t>
            </w:r>
          </w:p>
        </w:tc>
        <w:tc>
          <w:tcPr>
            <w:tcW w:w="3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28"/>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10080" w:type="dxa"/>
            <w:vAlign w:val="bottom"/>
            <w:gridSpan w:val="5"/>
          </w:tcPr>
          <w:p>
            <w:pPr>
              <w:spacing w:after="0"/>
              <w:rPr>
                <w:sz w:val="20"/>
                <w:szCs w:val="20"/>
                <w:color w:val="auto"/>
              </w:rPr>
            </w:pPr>
            <w:r>
              <w:rPr>
                <w:rFonts w:ascii="Arial" w:cs="Arial" w:eastAsia="Arial" w:hAnsi="Arial"/>
                <w:sz w:val="18"/>
                <w:szCs w:val="18"/>
                <w:color w:val="0000FF"/>
              </w:rPr>
              <w:t>Certification by Sun Country's Chief Executive Officer with respect to Sun Country's Quarterly Report on Form 10-Q for the</w:t>
            </w:r>
          </w:p>
        </w:tc>
      </w:tr>
      <w:tr>
        <w:trPr>
          <w:trHeight w:val="155"/>
        </w:trPr>
        <w:tc>
          <w:tcPr>
            <w:tcW w:w="1160" w:type="dxa"/>
            <w:vAlign w:val="bottom"/>
          </w:tcPr>
          <w:p>
            <w:pPr>
              <w:spacing w:after="0"/>
              <w:rPr>
                <w:sz w:val="13"/>
                <w:szCs w:val="13"/>
                <w:color w:val="auto"/>
              </w:rPr>
            </w:pPr>
          </w:p>
        </w:tc>
        <w:tc>
          <w:tcPr>
            <w:tcW w:w="9740" w:type="dxa"/>
            <w:vAlign w:val="bottom"/>
            <w:tcBorders>
              <w:top w:val="single" w:sz="8" w:color="0000FF"/>
            </w:tcBorders>
            <w:gridSpan w:val="3"/>
          </w:tcPr>
          <w:p>
            <w:pPr>
              <w:spacing w:after="0" w:line="156" w:lineRule="exact"/>
              <w:rPr>
                <w:sz w:val="20"/>
                <w:szCs w:val="20"/>
                <w:color w:val="auto"/>
              </w:rPr>
            </w:pPr>
            <w:r>
              <w:rPr>
                <w:rFonts w:ascii="Arial" w:cs="Arial" w:eastAsia="Arial" w:hAnsi="Arial"/>
                <w:sz w:val="18"/>
                <w:szCs w:val="18"/>
                <w:color w:val="0000FF"/>
              </w:rPr>
              <w:t>quarterly period ended September 30, 2022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93"/>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10080" w:type="dxa"/>
            <w:vAlign w:val="bottom"/>
            <w:gridSpan w:val="5"/>
          </w:tcPr>
          <w:p>
            <w:pPr>
              <w:spacing w:after="0"/>
              <w:rPr>
                <w:sz w:val="20"/>
                <w:szCs w:val="20"/>
                <w:color w:val="auto"/>
              </w:rPr>
            </w:pPr>
            <w:r>
              <w:rPr>
                <w:rFonts w:ascii="Arial" w:cs="Arial" w:eastAsia="Arial" w:hAnsi="Arial"/>
                <w:sz w:val="18"/>
                <w:szCs w:val="18"/>
                <w:color w:val="0000FF"/>
              </w:rPr>
              <w:t>Certification by Sun Country’s President and Chief Financial Officer with respect to Sun Country's Quarterly Report on Form</w:t>
            </w:r>
          </w:p>
        </w:tc>
      </w:tr>
      <w:tr>
        <w:trPr>
          <w:trHeight w:val="156"/>
        </w:trPr>
        <w:tc>
          <w:tcPr>
            <w:tcW w:w="116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9"/>
              </w:rPr>
              <w:t>10-Q for the quarterly period ended September 30, 2022</w:t>
            </w:r>
          </w:p>
        </w:tc>
        <w:tc>
          <w:tcPr>
            <w:tcW w:w="5320" w:type="dxa"/>
            <w:vAlign w:val="bottom"/>
            <w:tcBorders>
              <w:top w:val="single" w:sz="8" w:color="0000FF"/>
            </w:tcBorders>
            <w:gridSpan w:val="2"/>
          </w:tcPr>
          <w:p>
            <w:pPr>
              <w:spacing w:after="0"/>
              <w:rPr>
                <w:sz w:val="13"/>
                <w:szCs w:val="13"/>
                <w:color w:val="auto"/>
              </w:rPr>
            </w:pPr>
          </w:p>
        </w:tc>
        <w:tc>
          <w:tcPr>
            <w:tcW w:w="260" w:type="dxa"/>
            <w:vAlign w:val="bottom"/>
          </w:tcPr>
          <w:p>
            <w:pPr>
              <w:spacing w:after="0"/>
              <w:rPr>
                <w:sz w:val="13"/>
                <w:szCs w:val="13"/>
                <w:color w:val="auto"/>
              </w:rPr>
            </w:pPr>
          </w:p>
        </w:tc>
      </w:tr>
      <w:tr>
        <w:trPr>
          <w:trHeight w:val="942"/>
        </w:trPr>
        <w:tc>
          <w:tcPr>
            <w:tcW w:w="1160" w:type="dxa"/>
            <w:vAlign w:val="bottom"/>
          </w:tcPr>
          <w:p>
            <w:pPr>
              <w:spacing w:after="0"/>
              <w:rPr>
                <w:sz w:val="24"/>
                <w:szCs w:val="24"/>
                <w:color w:val="auto"/>
              </w:rPr>
            </w:pPr>
          </w:p>
        </w:tc>
        <w:tc>
          <w:tcPr>
            <w:tcW w:w="9740" w:type="dxa"/>
            <w:vAlign w:val="bottom"/>
            <w:gridSpan w:val="3"/>
          </w:tcPr>
          <w:p>
            <w:pPr>
              <w:ind w:left="430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1"/>
        </w:trPr>
        <w:tc>
          <w:tcPr>
            <w:tcW w:w="116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9840" w:type="dxa"/>
            <w:vAlign w:val="bottom"/>
            <w:gridSpan w:val="4"/>
          </w:tcPr>
          <w:p>
            <w:pPr>
              <w:spacing w:after="0"/>
              <w:rPr>
                <w:sz w:val="20"/>
                <w:szCs w:val="20"/>
                <w:color w:val="auto"/>
              </w:rPr>
            </w:pPr>
            <w:r>
              <w:rPr>
                <w:rFonts w:ascii="Arial" w:cs="Arial" w:eastAsia="Arial" w:hAnsi="Arial"/>
                <w:sz w:val="18"/>
                <w:szCs w:val="18"/>
                <w:color w:val="0000FF"/>
                <w:w w:val="99"/>
              </w:rPr>
              <w:t>Certification pursuant to Section 1350 of Chapter 63 of Title 18 of the United States Code by Sun Country Airlines Holdings,</w:t>
            </w:r>
          </w:p>
        </w:tc>
      </w:tr>
      <w:tr>
        <w:trPr>
          <w:trHeight w:val="156"/>
        </w:trPr>
        <w:tc>
          <w:tcPr>
            <w:tcW w:w="1140" w:type="dxa"/>
            <w:vAlign w:val="bottom"/>
          </w:tcPr>
          <w:p>
            <w:pPr>
              <w:spacing w:after="0"/>
              <w:rPr>
                <w:sz w:val="13"/>
                <w:szCs w:val="13"/>
                <w:color w:val="auto"/>
              </w:rPr>
            </w:pPr>
          </w:p>
        </w:tc>
        <w:tc>
          <w:tcPr>
            <w:tcW w:w="9820" w:type="dxa"/>
            <w:vAlign w:val="bottom"/>
            <w:tcBorders>
              <w:top w:val="single" w:sz="8" w:color="0000FF"/>
            </w:tcBorders>
            <w:gridSpan w:val="3"/>
          </w:tcPr>
          <w:p>
            <w:pPr>
              <w:spacing w:after="0" w:line="156" w:lineRule="exact"/>
              <w:rPr>
                <w:sz w:val="20"/>
                <w:szCs w:val="20"/>
                <w:color w:val="auto"/>
              </w:rPr>
            </w:pPr>
            <w:r>
              <w:rPr>
                <w:rFonts w:ascii="Arial" w:cs="Arial" w:eastAsia="Arial" w:hAnsi="Arial"/>
                <w:sz w:val="18"/>
                <w:szCs w:val="18"/>
                <w:color w:val="0000FF"/>
              </w:rPr>
              <w:t>Inc.’s Chief Executive Officer and President and Chief Financial Officer with respect to Sun Country's Quarterly Report on</w:t>
            </w:r>
          </w:p>
        </w:tc>
        <w:tc>
          <w:tcPr>
            <w:tcW w:w="2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964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color w:val="0000FF"/>
              </w:rPr>
              <w:t>Form 10-Q for the quarterly period ended September 30, 2022</w:t>
            </w:r>
          </w:p>
        </w:tc>
        <w:tc>
          <w:tcPr>
            <w:tcW w:w="200" w:type="dxa"/>
            <w:vAlign w:val="bottom"/>
            <w:gridSpan w:val="2"/>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r>
      <w:tr>
        <w:trPr>
          <w:trHeight w:val="466"/>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4"/>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 tags</w:t>
            </w:r>
          </w:p>
        </w:tc>
      </w:tr>
      <w:tr>
        <w:trPr>
          <w:trHeight w:val="239"/>
        </w:trPr>
        <w:tc>
          <w:tcPr>
            <w:tcW w:w="1140" w:type="dxa"/>
            <w:vAlign w:val="bottom"/>
          </w:tcPr>
          <w:p>
            <w:pPr>
              <w:spacing w:after="0"/>
              <w:rPr>
                <w:sz w:val="20"/>
                <w:szCs w:val="20"/>
                <w:color w:val="auto"/>
              </w:rPr>
            </w:pPr>
          </w:p>
        </w:tc>
        <w:tc>
          <w:tcPr>
            <w:tcW w:w="9840" w:type="dxa"/>
            <w:vAlign w:val="bottom"/>
            <w:gridSpan w:val="4"/>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508"/>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500"/>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99"/>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500"/>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4"/>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99"/>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99"/>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9840" w:type="dxa"/>
            <w:vAlign w:val="bottom"/>
            <w:gridSpan w:val="4"/>
          </w:tcPr>
          <w:p>
            <w:pPr>
              <w:spacing w:after="0"/>
              <w:rPr>
                <w:sz w:val="20"/>
                <w:szCs w:val="20"/>
                <w:color w:val="auto"/>
              </w:rPr>
            </w:pPr>
            <w:r>
              <w:rPr>
                <w:rFonts w:ascii="Arial" w:cs="Arial" w:eastAsia="Arial" w:hAnsi="Arial"/>
                <w:sz w:val="18"/>
                <w:szCs w:val="18"/>
                <w:color w:val="auto"/>
              </w:rPr>
              <w:t>Cover Page Interactive Data Files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1118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6111875" cy="8255"/>
                    </a:xfrm>
                    <a:prstGeom prst="rect">
                      <a:avLst/>
                    </a:prstGeom>
                    <a:noFill/>
                  </pic:spPr>
                </pic:pic>
              </a:graphicData>
            </a:graphic>
          </wp:anchor>
        </w:drawing>
      </w:r>
    </w:p>
    <w:p>
      <w:pPr>
        <w:spacing w:after="0" w:line="223" w:lineRule="exact"/>
        <w:rPr>
          <w:sz w:val="20"/>
          <w:szCs w:val="20"/>
          <w:color w:val="auto"/>
        </w:rPr>
      </w:pPr>
    </w:p>
    <w:p>
      <w:pPr>
        <w:ind w:left="440" w:hanging="414"/>
        <w:spacing w:after="0"/>
        <w:tabs>
          <w:tab w:leader="none" w:pos="4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2" w:right="57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Sun Country Airlines Holdings, Inc.</w:t>
      </w:r>
    </w:p>
    <w:p>
      <w:pPr>
        <w:ind w:left="5640"/>
        <w:spacing w:after="0"/>
        <w:rPr>
          <w:sz w:val="20"/>
          <w:szCs w:val="20"/>
          <w:color w:val="auto"/>
        </w:rPr>
      </w:pPr>
      <w:r>
        <w:rPr>
          <w:rFonts w:ascii="Arial" w:cs="Arial" w:eastAsia="Arial" w:hAnsi="Arial"/>
          <w:sz w:val="18"/>
          <w:szCs w:val="18"/>
          <w:color w:val="auto"/>
        </w:rPr>
        <w:t>(Registrant)</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6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Dave Davis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Financial Officer</w:t>
      </w: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22" w:right="35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Jude Bricker, certify that:</w:t>
      </w:r>
    </w:p>
    <w:p>
      <w:pPr>
        <w:spacing w:after="0" w:line="225" w:lineRule="exact"/>
        <w:rPr>
          <w:sz w:val="20"/>
          <w:szCs w:val="20"/>
          <w:color w:val="auto"/>
        </w:rPr>
      </w:pPr>
    </w:p>
    <w:p>
      <w:pPr>
        <w:ind w:left="660" w:right="4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Country Airlines Holdings, Inc. ("Sun Country") for the nine month period ended September 30, 2022;</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are responsible for establishing and maintaining disclosure controls and procedures (as defined in Exchange Act Rules 13a-15(e) and 15d-15(e)) for Sun Country and have:</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22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Sun Country's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 2022</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7547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Dave Davis, certify that:</w:t>
      </w:r>
    </w:p>
    <w:p>
      <w:pPr>
        <w:spacing w:after="0" w:line="225" w:lineRule="exact"/>
        <w:rPr>
          <w:sz w:val="20"/>
          <w:szCs w:val="20"/>
          <w:color w:val="auto"/>
        </w:rPr>
      </w:pPr>
    </w:p>
    <w:p>
      <w:pPr>
        <w:ind w:left="660" w:right="4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Country Airlines Holdings, Inc. ("Sun Country") for the nine month period ended September 30, 2022;</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are responsible for establishing and maintaining disclosure controls and procedures (as defined in Exchange Act Rules 13a-15(e) and 15d-15(e)) for Sun Country and have:</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22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7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Sun Country's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 2022</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7547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Dave Davis</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ectPr>
          <w:pgSz w:w="11900" w:h="16838" w:orient="portrait"/>
          <w:cols w:equalWidth="0" w:num="1">
            <w:col w:w="11240"/>
          </w:cols>
          <w:pgMar w:left="320" w:top="114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2022</w:t>
      </w:r>
    </w:p>
    <w:p>
      <w:pPr>
        <w:spacing w:after="0" w:line="22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September 30, 2022 (the "Report").</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Each of the undersigned, the Chief Executive Officer and the President and Chief Financial Officer, respectively, of Sun Country, hereby certifies that, as of the end of the period covered by the Report:</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Sun Country.</w:t>
      </w:r>
    </w:p>
    <w:p>
      <w:pPr>
        <w:spacing w:after="0" w:line="2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Dave Davis</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President and 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1"/>
    </w:lvl>
    <w:lvl w:ilvl="1">
      <w:lvlJc w:val="left"/>
      <w:lvlText w:val="(%2)"/>
      <w:numFmt w:val="decimal"/>
      <w:start w:val="1"/>
    </w:lvl>
  </w:abstractNum>
  <w:abstractNum w:abstractNumId="7">
    <w:nsid w:val="436C6125"/>
    <w:multiLevelType w:val="hybridMultilevel"/>
    <w:lvl w:ilvl="0">
      <w:lvlJc w:val="left"/>
      <w:lvlText w:val="%1."/>
      <w:numFmt w:val="decimal"/>
      <w:start w:val="5"/>
    </w:lvl>
    <w:lvl w:ilvl="1">
      <w:lvlJc w:val="left"/>
      <w:lvlText w:val="%2"/>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7"/>
    </w:lvl>
  </w:abstractNum>
  <w:abstractNum w:abstractNumId="12">
    <w:nsid w:val="2D1D5AE9"/>
    <w:multiLevelType w:val="hybridMultilevel"/>
    <w:lvl w:ilvl="0">
      <w:lvlJc w:val="left"/>
      <w:lvlText w:val="%1."/>
      <w:numFmt w:val="decimal"/>
      <w:start w:val="8"/>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0"/>
    </w:lvl>
  </w:abstractNum>
  <w:abstractNum w:abstractNumId="15">
    <w:nsid w:val="8EDBDAB"/>
    <w:multiLevelType w:val="hybridMultilevel"/>
    <w:lvl w:ilvl="0">
      <w:lvlJc w:val="left"/>
      <w:lvlText w:val="%1."/>
      <w:numFmt w:val="decimal"/>
      <w:start w:val="11"/>
    </w:lvl>
  </w:abstractNum>
  <w:abstractNum w:abstractNumId="16">
    <w:nsid w:val="79838CB2"/>
    <w:multiLevelType w:val="hybridMultilevel"/>
    <w:lvl w:ilvl="0">
      <w:lvlJc w:val="left"/>
      <w:lvlText w:val="%1."/>
      <w:numFmt w:val="decimal"/>
      <w:start w:val="12"/>
    </w:lvl>
  </w:abstractNum>
  <w:abstractNum w:abstractNumId="17">
    <w:nsid w:val="4353D0CD"/>
    <w:multiLevelType w:val="hybridMultilevel"/>
    <w:lvl w:ilvl="0">
      <w:lvlJc w:val="left"/>
      <w:lvlText w:val="%1."/>
      <w:numFmt w:val="decimal"/>
      <w:start w:val="13"/>
    </w:lvl>
  </w:abstractNum>
  <w:abstractNum w:abstractNumId="18">
    <w:nsid w:val="B03E0C6"/>
    <w:multiLevelType w:val="hybridMultilevel"/>
    <w:lvl w:ilvl="0">
      <w:lvlJc w:val="left"/>
      <w:lvlText w:val="%1."/>
      <w:numFmt w:val="decimal"/>
      <w:start w:val="14"/>
    </w:lvl>
  </w:abstractNum>
  <w:abstractNum w:abstractNumId="19">
    <w:nsid w:val="189A769B"/>
    <w:multiLevelType w:val="hybridMultilevel"/>
    <w:lvl w:ilvl="0">
      <w:lvlJc w:val="left"/>
      <w:lvlText w:val="%1."/>
      <w:numFmt w:val="decimal"/>
      <w:start w:val="15"/>
    </w:lvl>
  </w:abstractNum>
  <w:abstractNum w:abstractNumId="20">
    <w:nsid w:val="54E49EB4"/>
    <w:multiLevelType w:val="hybridMultilevel"/>
    <w:lvl w:ilvl="0">
      <w:lvlJc w:val="left"/>
      <w:lvlText w:val="%1."/>
      <w:numFmt w:val="lowerRoman"/>
      <w:start w:val="1"/>
    </w:lvl>
  </w:abstractNum>
  <w:abstractNum w:abstractNumId="21">
    <w:nsid w:val="71F32454"/>
    <w:multiLevelType w:val="hybridMultilevel"/>
    <w:lvl w:ilvl="0">
      <w:lvlJc w:val="left"/>
      <w:lvlText w:val="\endash "/>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29" Type="http://schemas.openxmlformats.org/officeDocument/2006/relationships/hyperlink" Target="https://www.sec.gov/ix?doc=/Archives/edgar/data/0001743907/000155837022001409/sncy-20211231x10k.htm#_1._COMPANY_BACKGROUND" TargetMode="External"/><Relationship Id="rId41" Type="http://schemas.openxmlformats.org/officeDocument/2006/relationships/hyperlink" Target="https://www.sec.gov/ix?doc=/Archives/edgar/data/0001743907/000155837022001409/sncy-20211231x10k.htm#_3._IMPACT_OF" TargetMode="External"/><Relationship Id="rId61" Type="http://schemas.openxmlformats.org/officeDocument/2006/relationships/hyperlink" Target="https://www.sec.gov/ix?doc=/Archives/edgar/data/0001743907/000155837022001409/sncy-20211231x10k.htm#a12FAIRVALUEMEASUREMENTS_678483" TargetMode="External"/><Relationship Id="rId66" Type="http://schemas.openxmlformats.org/officeDocument/2006/relationships/hyperlink" Target="https://www.sec.gov/ix?doc=/Archives/edgar/data/0001743907/000155837022001409/sncy-20211231x10k.htm#a13INCOMETAXES_186668" TargetMode="External"/><Relationship Id="rId69" Type="http://schemas.openxmlformats.org/officeDocument/2006/relationships/hyperlink" Target="https://www.sec.gov/ix?doc=/Archives/edgar/data/0001743907/000155837022001409/sncy-20211231x10k.htm#a17OPERATINGSEGMENTS_809897" TargetMode="External"/><Relationship Id="rId74" Type="http://schemas.openxmlformats.org/officeDocument/2006/relationships/hyperlink" Target="https://www.sec.gov/ix?doc=/Archives/edgar/data/1743907/000155837022001409/sncy-20211231x10k.htm#ITEM7MANAGEMENTSDISCUSSIONANDANALYSISOFF" TargetMode="External"/><Relationship Id="rId81" Type="http://schemas.openxmlformats.org/officeDocument/2006/relationships/hyperlink" Target="https://www.sec.gov/ix?doc=/Archives/edgar/data/0001743907/000155837022001409/sncy-20211231x10k.htm#ITEM1ARISKFACTORS_130833" TargetMode="External"/><Relationship Id="rId86" Type="http://schemas.openxmlformats.org/officeDocument/2006/relationships/hyperlink" Target="https://www.sec.gov/ix?doc=/Archives/edgar/data/0001743907/000155837022001409/sncy-20211231x10k.htm#Item1Business_251262" TargetMode="External"/><Relationship Id="rId87" Type="http://schemas.openxmlformats.org/officeDocument/2006/relationships/hyperlink" Target="https://www.sec.gov/ix?doc=/Archives/edgar/data/0001743907/000155837022001409/sncy-20211231x10k.htm#ITEM7MANAGEMENTSDISCUSSIONANDANALYSISOF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2022-11-02T10:09:42Z</dcterms:created>
  <dcterms:modified xsi:type="dcterms:W3CDTF">2022-11-02T10:09:42Z</dcterms:modified>
</cp:coreProperties>
</file>