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sz w:val="20"/>
        </w:rPr>
      </w:pPr>
      <w:r>
        <w:rPr>
          <w:sz w:val="20"/>
        </w:rPr>
      </w:r>
    </w:p>
    <w:p>
      <w:pPr>
        <w:pStyle w:val="HorizontalLine"/>
        <w:bidi w:val="0"/>
        <w:jc w:val="left"/>
        <w:rPr/>
      </w:pPr>
      <w:r>
        <w:rPr/>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sz w:val="20"/>
        </w:rPr>
      </w:pPr>
      <w:r>
        <w:rPr>
          <w:sz w:val="20"/>
        </w:rPr>
      </w:r>
    </w:p>
    <w:p>
      <w:pPr>
        <w:pStyle w:val="HorizontalLine"/>
        <w:bidi w:val="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of the Securities Exchange Act of 1934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Date of Report (Date of earliest event reported): May 13, 2026</w:t>
      </w:r>
    </w:p>
    <w:p>
      <w:pPr>
        <w:pStyle w:val="TextBody"/>
        <w:bidi w:val="0"/>
        <w:spacing w:before="0" w:after="0"/>
        <w:jc w:val="left"/>
        <w:rPr>
          <w:sz w:val="20"/>
        </w:rPr>
      </w:pPr>
      <w:r>
        <w:rPr>
          <w:sz w:val="20"/>
        </w:rPr>
      </w:r>
    </w:p>
    <w:p>
      <w:pPr>
        <w:pStyle w:val="HorizontalLine"/>
        <w:bidi w:val="0"/>
        <w:jc w:val="center"/>
        <w:rPr/>
      </w:pPr>
      <w:r>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Sun Country Airlines Holdings,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(Sun Country Airlines Holdings, LLC as successor by merger to Sun Country Airlines Holdings, Inc.)</w:t>
      </w:r>
    </w:p>
    <w:p>
      <w:pPr>
        <w:pStyle w:val="TextBody"/>
        <w:bidi w:val="0"/>
        <w:spacing w:before="0" w:after="0"/>
        <w:jc w:val="center"/>
        <w:rPr>
          <w:rFonts w:ascii="Times New Roman" w:hAnsi="Times New Roman"/>
          <w:color w:val="000000"/>
          <w:sz w:val="20"/>
          <w:shd w:fill="FFFFFF" w:val="clear"/>
        </w:rPr>
      </w:pPr>
      <w:r>
        <w:rPr>
          <w:rFonts w:ascii="Times New Roman" w:hAnsi="Times New Roman"/>
          <w:b/>
          <w:color w:val="000000"/>
          <w:sz w:val="20"/>
          <w:shd w:fill="FFFFFF" w:val="clear"/>
        </w:rPr>
        <w:t>(</w:t>
      </w:r>
      <w:r>
        <w:rPr>
          <w:rFonts w:ascii="Times New Roman" w:hAnsi="Times New Roman"/>
          <w:color w:val="000000"/>
          <w:sz w:val="20"/>
          <w:shd w:fill="FFFFFF" w:val="clear"/>
        </w:rPr>
        <w:t>Exact name of Registrant as specified in its charter</w:t>
      </w:r>
      <w:r>
        <w:rPr>
          <w:rFonts w:ascii="Times New Roman" w:hAnsi="Times New Roman"/>
          <w:b/>
          <w:color w:val="000000"/>
          <w:sz w:val="20"/>
          <w:shd w:fill="FFFFFF" w:val="clear"/>
        </w:rPr>
        <w:t>)</w:t>
      </w:r>
    </w:p>
    <w:p>
      <w:pPr>
        <w:pStyle w:val="TextBody"/>
        <w:bidi w:val="0"/>
        <w:spacing w:before="0" w:after="0"/>
        <w:jc w:val="left"/>
        <w:rPr>
          <w:sz w:val="20"/>
        </w:rPr>
      </w:pPr>
      <w:r>
        <w:rPr>
          <w:sz w:val="20"/>
        </w:rPr>
      </w:r>
    </w:p>
    <w:p>
      <w:pPr>
        <w:pStyle w:val="HorizontalLine"/>
        <w:bidi w:val="0"/>
        <w:jc w:val="left"/>
        <w:rPr/>
      </w:pPr>
      <w:r>
        <w:rPr/>
      </w:r>
    </w:p>
    <w:p>
      <w:pPr>
        <w:pStyle w:val="TextBody"/>
        <w:bidi w:val="0"/>
        <w:spacing w:before="0" w:after="0"/>
        <w:jc w:val="left"/>
        <w:rPr>
          <w:color w:val="000000"/>
          <w:shd w:fill="FFFFFF" w:val="clear"/>
        </w:rPr>
      </w:pPr>
      <w:r>
        <w:rPr>
          <w:color w:val="000000"/>
          <w:shd w:fill="FFFFFF" w:val="clear"/>
        </w:rPr>
        <w:t> </w:t>
      </w:r>
    </w:p>
    <w:tbl>
      <w:tblPr>
        <w:tblW w:w="7020" w:type="dxa"/>
        <w:jc w:val="left"/>
        <w:tblInd w:w="0" w:type="dxa"/>
        <w:tblLayout w:type="fixed"/>
        <w:tblCellMar>
          <w:top w:w="0" w:type="dxa"/>
          <w:left w:w="0" w:type="dxa"/>
          <w:bottom w:w="0" w:type="dxa"/>
          <w:right w:w="0" w:type="dxa"/>
        </w:tblCellMar>
      </w:tblPr>
      <w:tblGrid>
        <w:gridCol w:w="1910"/>
        <w:gridCol w:w="2210"/>
        <w:gridCol w:w="2900"/>
      </w:tblGrid>
      <w:tr>
        <w:trPr/>
        <w:tc>
          <w:tcPr>
            <w:tcW w:w="191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Nevada</w:t>
            </w:r>
          </w:p>
        </w:tc>
        <w:tc>
          <w:tcPr>
            <w:tcW w:w="221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001-40217</w:t>
            </w:r>
          </w:p>
        </w:tc>
        <w:tc>
          <w:tcPr>
            <w:tcW w:w="29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82-4092570</w:t>
            </w:r>
          </w:p>
        </w:tc>
      </w:tr>
      <w:tr>
        <w:trPr/>
        <w:tc>
          <w:tcPr>
            <w:tcW w:w="191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b/>
                <w:color w:val="000000"/>
                <w:sz w:val="20"/>
              </w:rPr>
              <w:t>(</w:t>
            </w:r>
            <w:r>
              <w:rPr>
                <w:rFonts w:ascii="Times New Roman" w:hAnsi="Times New Roman"/>
                <w:color w:val="000000"/>
                <w:sz w:val="20"/>
              </w:rPr>
              <w:t>State of incorporation</w:t>
            </w:r>
            <w:r>
              <w:rPr>
                <w:rFonts w:ascii="Times New Roman" w:hAnsi="Times New Roman"/>
                <w:b/>
                <w:color w:val="000000"/>
                <w:sz w:val="20"/>
              </w:rPr>
              <w:t>)</w:t>
            </w:r>
          </w:p>
        </w:tc>
        <w:tc>
          <w:tcPr>
            <w:tcW w:w="221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(Commission File Number)</w:t>
            </w:r>
          </w:p>
        </w:tc>
        <w:tc>
          <w:tcPr>
            <w:tcW w:w="290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left"/>
        <w:rPr>
          <w:sz w:val="20"/>
        </w:rPr>
      </w:pPr>
      <w:r>
        <w:rPr>
          <w:sz w:val="20"/>
        </w:rPr>
      </w:r>
    </w:p>
    <w:tbl>
      <w:tblPr>
        <w:tblW w:w="4165" w:type="dxa"/>
        <w:jc w:val="left"/>
        <w:tblInd w:w="0" w:type="dxa"/>
        <w:tblLayout w:type="fixed"/>
        <w:tblCellMar>
          <w:top w:w="0" w:type="dxa"/>
          <w:left w:w="0" w:type="dxa"/>
          <w:bottom w:w="0" w:type="dxa"/>
          <w:right w:w="0" w:type="dxa"/>
        </w:tblCellMar>
      </w:tblPr>
      <w:tblGrid>
        <w:gridCol w:w="3200"/>
        <w:gridCol w:w="60"/>
        <w:gridCol w:w="905"/>
      </w:tblGrid>
      <w:tr>
        <w:trPr/>
        <w:tc>
          <w:tcPr>
            <w:tcW w:w="32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1201 North Town Center Drive</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Las Vegas, Nevada</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89144</w:t>
            </w:r>
          </w:p>
        </w:tc>
      </w:tr>
      <w:tr>
        <w:trPr/>
        <w:tc>
          <w:tcPr>
            <w:tcW w:w="320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(Address of principal executive offices)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spacing w:before="0" w:after="0"/>
        <w:jc w:val="left"/>
        <w:rPr>
          <w:sz w:val="20"/>
        </w:rPr>
      </w:pPr>
      <w:r>
        <w:rPr>
          <w:sz w:val="20"/>
        </w:rPr>
      </w:r>
    </w:p>
    <w:tbl>
      <w:tblPr>
        <w:tblW w:w="5740" w:type="dxa"/>
        <w:jc w:val="left"/>
        <w:tblInd w:w="0" w:type="dxa"/>
        <w:tblLayout w:type="fixed"/>
        <w:tblCellMar>
          <w:top w:w="0" w:type="dxa"/>
          <w:left w:w="0" w:type="dxa"/>
          <w:bottom w:w="0" w:type="dxa"/>
          <w:right w:w="0" w:type="dxa"/>
        </w:tblCellMar>
      </w:tblPr>
      <w:tblGrid>
        <w:gridCol w:w="4385"/>
        <w:gridCol w:w="1295"/>
        <w:gridCol w:w="60"/>
      </w:tblGrid>
      <w:tr>
        <w:trPr/>
        <w:tc>
          <w:tcPr>
            <w:tcW w:w="4385" w:type="dxa"/>
            <w:tcBorders/>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(Registrant’s telephone number, including area code):</w:t>
            </w:r>
          </w:p>
        </w:tc>
        <w:tc>
          <w:tcPr>
            <w:tcW w:w="1295" w:type="dxa"/>
            <w:tcBorders/>
            <w:vAlign w:val="center"/>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(702) 851-7300</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ind w:left="25" w:right="0" w:hanging="0"/>
        <w:jc w:val="center"/>
        <w:rPr>
          <w:rFonts w:ascii="Times New Roman" w:hAnsi="Times New Roman"/>
          <w:color w:val="000000"/>
          <w:sz w:val="20"/>
          <w:shd w:fill="FFFFFF" w:val="clear"/>
        </w:rPr>
      </w:pPr>
      <w:r>
        <w:rPr>
          <w:rFonts w:ascii="Times New Roman" w:hAnsi="Times New Roman"/>
          <w:color w:val="000000"/>
          <w:sz w:val="20"/>
          <w:shd w:fill="FFFFFF" w:val="clear"/>
        </w:rPr>
        <w:t>(Former name or former address, if changed since last report.)</w:t>
      </w:r>
    </w:p>
    <w:p>
      <w:pPr>
        <w:pStyle w:val="TextBody"/>
        <w:bidi w:val="0"/>
        <w:spacing w:before="0" w:after="0"/>
        <w:jc w:val="left"/>
        <w:rPr>
          <w:sz w:val="20"/>
        </w:rPr>
      </w:pPr>
      <w:r>
        <w:rPr>
          <w:sz w:val="20"/>
        </w:rPr>
      </w:r>
    </w:p>
    <w:p>
      <w:pPr>
        <w:pStyle w:val="HorizontalLine"/>
        <w:bidi w:val="0"/>
        <w:jc w:val="left"/>
        <w:rPr/>
      </w:pPr>
      <w:r>
        <w:rPr/>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sz w:val="20"/>
        </w:rPr>
      </w:pPr>
      <w:r>
        <w:rPr>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jc w:val="left"/>
        <w:rPr/>
      </w:pPr>
      <w:r>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jc w:val="left"/>
        <w:rPr>
          <w:sz w:val="20"/>
        </w:rPr>
      </w:pPr>
      <w:r>
        <w:rPr>
          <w:sz w:val="20"/>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jc w:val="left"/>
        <w:rPr>
          <w:sz w:val="20"/>
        </w:rPr>
      </w:pPr>
      <w:r>
        <w:rPr>
          <w:sz w:val="20"/>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sz w:val="20"/>
        </w:rPr>
      </w:pPr>
      <w:r>
        <w:rPr>
          <w:sz w:val="20"/>
        </w:rPr>
      </w:r>
    </w:p>
    <w:tbl>
      <w:tblPr>
        <w:tblW w:w="6885" w:type="dxa"/>
        <w:jc w:val="left"/>
        <w:tblInd w:w="0" w:type="dxa"/>
        <w:tblLayout w:type="fixed"/>
        <w:tblCellMar>
          <w:top w:w="0" w:type="dxa"/>
          <w:left w:w="0" w:type="dxa"/>
          <w:bottom w:w="28" w:type="dxa"/>
          <w:right w:w="0" w:type="dxa"/>
        </w:tblCellMar>
      </w:tblPr>
      <w:tblGrid>
        <w:gridCol w:w="3365"/>
        <w:gridCol w:w="60"/>
        <w:gridCol w:w="860"/>
        <w:gridCol w:w="60"/>
        <w:gridCol w:w="2540"/>
      </w:tblGrid>
      <w:tr>
        <w:trPr/>
        <w:tc>
          <w:tcPr>
            <w:tcW w:w="336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Symbol(s)</w:t>
            </w:r>
          </w:p>
        </w:tc>
        <w:tc>
          <w:tcPr>
            <w:tcW w:w="60" w:type="dxa"/>
            <w:tcBorders/>
            <w:tcMar>
              <w:bottom w:w="0" w:type="dxa"/>
            </w:tcMar>
            <w:vAlign w:val="center"/>
          </w:tcPr>
          <w:p>
            <w:pPr>
              <w:pStyle w:val="TableContents"/>
              <w:bidi w:val="0"/>
              <w:spacing w:before="0" w:after="283"/>
              <w:jc w:val="left"/>
              <w:rPr/>
            </w:pPr>
            <w:r>
              <w:rPr/>
              <w:t> </w:t>
            </w:r>
          </w:p>
        </w:tc>
        <w:tc>
          <w:tcPr>
            <w:tcW w:w="254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on which registered</w:t>
            </w:r>
          </w:p>
        </w:tc>
      </w:tr>
      <w:tr>
        <w:trPr/>
        <w:tc>
          <w:tcPr>
            <w:tcW w:w="336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 $0.01 par value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SNCY</w:t>
            </w:r>
          </w:p>
        </w:tc>
        <w:tc>
          <w:tcPr>
            <w:tcW w:w="60" w:type="dxa"/>
            <w:tcBorders/>
            <w:tcMar>
              <w:bottom w:w="0" w:type="dxa"/>
            </w:tcMar>
            <w:vAlign w:val="center"/>
          </w:tcPr>
          <w:p>
            <w:pPr>
              <w:pStyle w:val="TableContents"/>
              <w:bidi w:val="0"/>
              <w:spacing w:before="0" w:after="283"/>
              <w:jc w:val="left"/>
              <w:rPr/>
            </w:pPr>
            <w:r>
              <w:rPr/>
              <w:t> </w:t>
            </w:r>
          </w:p>
        </w:tc>
        <w:tc>
          <w:tcPr>
            <w:tcW w:w="254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sz w:val="20"/>
        </w:rPr>
      </w:pPr>
      <w:r>
        <w:rPr>
          <w:sz w:val="20"/>
        </w:rPr>
      </w:r>
    </w:p>
    <w:p>
      <w:pPr>
        <w:pStyle w:val="HorizontalLine"/>
        <w:bidi w:val="0"/>
        <w:jc w:val="left"/>
        <w:rPr/>
      </w:pPr>
      <w:r>
        <w:rPr/>
      </w:r>
    </w:p>
    <w:p>
      <w:pPr>
        <w:pStyle w:val="HorizontalLine"/>
        <w:bidi w:val="0"/>
        <w:spacing w:before="200" w:after="200"/>
        <w:jc w:val="left"/>
        <w:rPr/>
      </w:pPr>
      <w:r>
        <w:rPr/>
      </w:r>
    </w:p>
    <w:tbl>
      <w:tblPr>
        <w:tblW w:w="4990" w:type="dxa"/>
        <w:jc w:val="left"/>
        <w:tblInd w:w="0" w:type="dxa"/>
        <w:tblLayout w:type="fixed"/>
        <w:tblCellMar>
          <w:top w:w="0" w:type="dxa"/>
          <w:left w:w="0" w:type="dxa"/>
          <w:bottom w:w="0" w:type="dxa"/>
          <w:right w:w="0" w:type="dxa"/>
        </w:tblCellMar>
      </w:tblPr>
      <w:tblGrid>
        <w:gridCol w:w="875"/>
        <w:gridCol w:w="4115"/>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1.02.</w:t>
            </w:r>
          </w:p>
        </w:tc>
        <w:tc>
          <w:tcPr>
            <w:tcW w:w="411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Termination of a Material Definitive Agreement</w:t>
            </w:r>
          </w:p>
        </w:tc>
      </w:tr>
    </w:tbl>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b/>
          <w:i/>
          <w:color w:val="000000"/>
          <w:sz w:val="20"/>
          <w:shd w:fill="FFFFFF" w:val="clear"/>
        </w:rPr>
      </w:pPr>
      <w:r>
        <w:rPr>
          <w:rFonts w:ascii="Times New Roman" w:hAnsi="Times New Roman"/>
          <w:b/>
          <w:i/>
          <w:color w:val="000000"/>
          <w:sz w:val="20"/>
          <w:shd w:fill="FFFFFF" w:val="clear"/>
        </w:rPr>
        <w:t>Termination of Credit and Guaranty Agreement</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On May 13, 2026, in connection with the consummation of the Mergers (as defined below), Sun Country, Inc., a Minnesota corporation and a wholly owned subsidiary of Sun Country Airlines Holdings, Inc., a Delaware corporation (“</w:t>
      </w:r>
      <w:r>
        <w:rPr>
          <w:rFonts w:ascii="Times New Roman" w:hAnsi="Times New Roman"/>
          <w:color w:val="000000"/>
          <w:sz w:val="20"/>
          <w:u w:val="single"/>
          <w:shd w:fill="FFFFFF" w:val="clear"/>
        </w:rPr>
        <w:t>Sun Country</w:t>
      </w:r>
      <w:r>
        <w:rPr>
          <w:rFonts w:ascii="Times New Roman" w:hAnsi="Times New Roman"/>
          <w:color w:val="000000"/>
          <w:sz w:val="20"/>
          <w:shd w:fill="FFFFFF" w:val="clear"/>
        </w:rPr>
        <w:t>”) terminated the Credit and Guaranty Agreement, dated as of March 24, 2025, by and among Sun Country, Inc., Sun Country, as Guarantor, MUFG Bank, Ltd., as a Lender, Sumitomo Mitsui Banking Corporation, as a Lender and UMB Bank, N.A., as administrative agent and security trustee, as such agreement may be amended, restated, supplemented, refinanced, replaced or otherwise modified from time to time, and all commitments and obligations under such agreement, other than certain continuing indemnity obligations, were satisfied and discharged in full.</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b/>
          <w:i/>
          <w:color w:val="000000"/>
          <w:sz w:val="20"/>
          <w:shd w:fill="FFFFFF" w:val="clear"/>
        </w:rPr>
      </w:pPr>
      <w:r>
        <w:rPr>
          <w:rFonts w:ascii="Times New Roman" w:hAnsi="Times New Roman"/>
          <w:b/>
          <w:i/>
          <w:color w:val="000000"/>
          <w:sz w:val="20"/>
          <w:shd w:fill="FFFFFF" w:val="clear"/>
        </w:rPr>
        <w:t>Termination of Tax Receivable Agreement</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As previously disclosed, in connection with Sun Country’s initial public offering in 2021 (“</w:t>
      </w:r>
      <w:r>
        <w:rPr>
          <w:rFonts w:ascii="Times New Roman" w:hAnsi="Times New Roman"/>
          <w:color w:val="000000"/>
          <w:sz w:val="20"/>
          <w:u w:val="single"/>
          <w:shd w:fill="FFFFFF" w:val="clear"/>
        </w:rPr>
        <w:t>IPO</w:t>
      </w:r>
      <w:r>
        <w:rPr>
          <w:rFonts w:ascii="Times New Roman" w:hAnsi="Times New Roman"/>
          <w:color w:val="000000"/>
          <w:sz w:val="20"/>
          <w:shd w:fill="FFFFFF" w:val="clear"/>
        </w:rPr>
        <w:t>”), Sun Country entered into the Income Tax Receivable Agreement, dated as of March 19, 2021, among Sun Country and SCA Horus Holdings, LLC, a Delaware limited liability company (the “</w:t>
      </w:r>
      <w:r>
        <w:rPr>
          <w:rFonts w:ascii="Times New Roman" w:hAnsi="Times New Roman"/>
          <w:color w:val="000000"/>
          <w:sz w:val="20"/>
          <w:u w:val="single"/>
          <w:shd w:fill="FFFFFF" w:val="clear"/>
        </w:rPr>
        <w:t>TRA</w:t>
      </w:r>
      <w:r>
        <w:rPr>
          <w:rFonts w:ascii="Times New Roman" w:hAnsi="Times New Roman"/>
          <w:color w:val="000000"/>
          <w:sz w:val="20"/>
          <w:shd w:fill="FFFFFF" w:val="clear"/>
        </w:rPr>
        <w:t>”) and other TRA holders, including, but not limited to, Jude Bricker, Chief Executive Officer and member of the Sun Country board of directors (the “</w:t>
      </w:r>
      <w:r>
        <w:rPr>
          <w:rFonts w:ascii="Times New Roman" w:hAnsi="Times New Roman"/>
          <w:color w:val="000000"/>
          <w:sz w:val="20"/>
          <w:u w:val="single"/>
          <w:shd w:fill="FFFFFF" w:val="clear"/>
        </w:rPr>
        <w:t>Sun Country Board</w:t>
      </w:r>
      <w:r>
        <w:rPr>
          <w:rFonts w:ascii="Times New Roman" w:hAnsi="Times New Roman"/>
          <w:color w:val="000000"/>
          <w:sz w:val="20"/>
          <w:shd w:fill="FFFFFF" w:val="clear"/>
        </w:rPr>
        <w:t>”) and Kerry Philipovitch, a member of the Sun Country Board. The TRA generally provides for the payment by Sun Country to the TRA holders of 85% of the amount of cash savings, if any, in U.S. federal, foreign, state and local income tax that Sun Country and its subsidiaries actually realize (or are deemed to have realized in certain circumstances) for periods starting at least 12 months after the closing date of Sun Country’s IPO as a result of the utilization of tax attributes existing at the time of Sun Country’s IPO. The consummation of the Mergers (as defined below) constituted a change of control under the terms of the TRA. Pursuant to the terms of the TRA, such change of control resulted in the termination of the TRA and the payment of approximately $80.4 million to the TRA holders. Such payment represented the present value of the estimated payments owed to the TRA holders under the TRA.</w:t>
      </w:r>
    </w:p>
    <w:p>
      <w:pPr>
        <w:pStyle w:val="TextBody"/>
        <w:bidi w:val="0"/>
        <w:spacing w:before="0" w:after="0"/>
        <w:jc w:val="left"/>
        <w:rPr>
          <w:sz w:val="20"/>
        </w:rPr>
      </w:pPr>
      <w:r>
        <w:rPr>
          <w:sz w:val="20"/>
        </w:rPr>
      </w:r>
    </w:p>
    <w:tbl>
      <w:tblPr>
        <w:tblW w:w="5155" w:type="dxa"/>
        <w:jc w:val="left"/>
        <w:tblInd w:w="0" w:type="dxa"/>
        <w:tblLayout w:type="fixed"/>
        <w:tblCellMar>
          <w:top w:w="0" w:type="dxa"/>
          <w:left w:w="0" w:type="dxa"/>
          <w:bottom w:w="0" w:type="dxa"/>
          <w:right w:w="0" w:type="dxa"/>
        </w:tblCellMar>
      </w:tblPr>
      <w:tblGrid>
        <w:gridCol w:w="875"/>
        <w:gridCol w:w="4280"/>
      </w:tblGrid>
      <w:tr>
        <w:trPr/>
        <w:tc>
          <w:tcPr>
            <w:tcW w:w="87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2.01.</w:t>
            </w:r>
          </w:p>
        </w:tc>
        <w:tc>
          <w:tcPr>
            <w:tcW w:w="42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Completion of Acquisition or Disposition of Assets.</w:t>
            </w:r>
          </w:p>
        </w:tc>
      </w:tr>
    </w:tbl>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b/>
          <w:i/>
          <w:color w:val="000000"/>
          <w:sz w:val="20"/>
          <w:shd w:fill="FFFFFF" w:val="clear"/>
        </w:rPr>
      </w:pPr>
      <w:r>
        <w:rPr>
          <w:rFonts w:ascii="Times New Roman" w:hAnsi="Times New Roman"/>
          <w:b/>
          <w:i/>
          <w:color w:val="000000"/>
          <w:sz w:val="20"/>
          <w:shd w:fill="FFFFFF" w:val="clear"/>
        </w:rPr>
        <w:t>Merger Agreement Closing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On May 13, 2026 (the “</w:t>
      </w:r>
      <w:r>
        <w:rPr>
          <w:rFonts w:ascii="Times New Roman" w:hAnsi="Times New Roman"/>
          <w:color w:val="000000"/>
          <w:sz w:val="20"/>
          <w:u w:val="single"/>
          <w:shd w:fill="FFFFFF" w:val="clear"/>
        </w:rPr>
        <w:t>Closing Date</w:t>
      </w:r>
      <w:r>
        <w:rPr>
          <w:rFonts w:ascii="Times New Roman" w:hAnsi="Times New Roman"/>
          <w:color w:val="000000"/>
          <w:sz w:val="20"/>
          <w:shd w:fill="FFFFFF" w:val="clear"/>
        </w:rPr>
        <w:t>”), Allegiant Travel Company, a Nevada corporation (“</w:t>
      </w:r>
      <w:r>
        <w:rPr>
          <w:rFonts w:ascii="Times New Roman" w:hAnsi="Times New Roman"/>
          <w:color w:val="000000"/>
          <w:sz w:val="20"/>
          <w:u w:val="single"/>
          <w:shd w:fill="FFFFFF" w:val="clear"/>
        </w:rPr>
        <w:t>Allegiant</w:t>
      </w:r>
      <w:r>
        <w:rPr>
          <w:rFonts w:ascii="Times New Roman" w:hAnsi="Times New Roman"/>
          <w:color w:val="000000"/>
          <w:sz w:val="20"/>
          <w:shd w:fill="FFFFFF" w:val="clear"/>
        </w:rPr>
        <w:t>”), completed the previously announced acquisition of Sun Country pursuant to the Agreement and Plan of Merger (the “</w:t>
      </w:r>
      <w:r>
        <w:rPr>
          <w:rFonts w:ascii="Times New Roman" w:hAnsi="Times New Roman"/>
          <w:color w:val="000000"/>
          <w:sz w:val="20"/>
          <w:u w:val="single"/>
          <w:shd w:fill="FFFFFF" w:val="clear"/>
        </w:rPr>
        <w:t>Merger Agreement</w:t>
      </w:r>
      <w:r>
        <w:rPr>
          <w:rFonts w:ascii="Times New Roman" w:hAnsi="Times New Roman"/>
          <w:color w:val="000000"/>
          <w:sz w:val="20"/>
          <w:shd w:fill="FFFFFF" w:val="clear"/>
        </w:rPr>
        <w:t>”), dated January 11, 2026, by and among Allegiant, Sun Country, Mirage Merger Sub, Inc., a Delaware corporation and a direct wholly owned subsidiary of Allegiant (“</w:t>
      </w:r>
      <w:r>
        <w:rPr>
          <w:rFonts w:ascii="Times New Roman" w:hAnsi="Times New Roman"/>
          <w:color w:val="000000"/>
          <w:sz w:val="20"/>
          <w:u w:val="single"/>
          <w:shd w:fill="FFFFFF" w:val="clear"/>
        </w:rPr>
        <w:t>Merger Sub 1</w:t>
      </w:r>
      <w:r>
        <w:rPr>
          <w:rFonts w:ascii="Times New Roman" w:hAnsi="Times New Roman"/>
          <w:color w:val="000000"/>
          <w:sz w:val="20"/>
          <w:shd w:fill="FFFFFF" w:val="clear"/>
        </w:rPr>
        <w:t>”), and Sawdust Merger Sub, LLC, a Nevada limited liability company and a direct wholly owned subsidiary of Allegiant (“</w:t>
      </w:r>
      <w:r>
        <w:rPr>
          <w:rFonts w:ascii="Times New Roman" w:hAnsi="Times New Roman"/>
          <w:color w:val="000000"/>
          <w:sz w:val="20"/>
          <w:u w:val="single"/>
          <w:shd w:fill="FFFFFF" w:val="clear"/>
        </w:rPr>
        <w:t>Merger Sub 2</w:t>
      </w:r>
      <w:r>
        <w:rPr>
          <w:rFonts w:ascii="Times New Roman" w:hAnsi="Times New Roman"/>
          <w:color w:val="000000"/>
          <w:sz w:val="20"/>
          <w:shd w:fill="FFFFFF" w:val="clear"/>
        </w:rPr>
        <w:t>”), providing for the merger of Merger Sub 1 with and into Sun Country (the “</w:t>
      </w:r>
      <w:r>
        <w:rPr>
          <w:rFonts w:ascii="Times New Roman" w:hAnsi="Times New Roman"/>
          <w:color w:val="000000"/>
          <w:sz w:val="20"/>
          <w:u w:val="single"/>
          <w:shd w:fill="FFFFFF" w:val="clear"/>
        </w:rPr>
        <w:t>First Merger</w:t>
      </w:r>
      <w:r>
        <w:rPr>
          <w:rFonts w:ascii="Times New Roman" w:hAnsi="Times New Roman"/>
          <w:color w:val="000000"/>
          <w:sz w:val="20"/>
          <w:shd w:fill="FFFFFF" w:val="clear"/>
        </w:rPr>
        <w:t>”), with Sun Country surviving the First Merger as a direct wholly owned subsidiary of Allegiant, and immediately following the effective time of the First Merger (the “</w:t>
      </w:r>
      <w:r>
        <w:rPr>
          <w:rFonts w:ascii="Times New Roman" w:hAnsi="Times New Roman"/>
          <w:color w:val="000000"/>
          <w:sz w:val="20"/>
          <w:u w:val="single"/>
          <w:shd w:fill="FFFFFF" w:val="clear"/>
        </w:rPr>
        <w:t>First Effective Time</w:t>
      </w:r>
      <w:r>
        <w:rPr>
          <w:rFonts w:ascii="Times New Roman" w:hAnsi="Times New Roman"/>
          <w:color w:val="000000"/>
          <w:sz w:val="20"/>
          <w:shd w:fill="FFFFFF" w:val="clear"/>
        </w:rPr>
        <w:t>”), the merger of Sun Country with and into Merger Sub 2 (the “</w:t>
      </w:r>
      <w:r>
        <w:rPr>
          <w:rFonts w:ascii="Times New Roman" w:hAnsi="Times New Roman"/>
          <w:color w:val="000000"/>
          <w:sz w:val="20"/>
          <w:u w:val="single"/>
          <w:shd w:fill="FFFFFF" w:val="clear"/>
        </w:rPr>
        <w:t>Second Merger</w:t>
      </w:r>
      <w:r>
        <w:rPr>
          <w:rFonts w:ascii="Times New Roman" w:hAnsi="Times New Roman"/>
          <w:color w:val="000000"/>
          <w:sz w:val="20"/>
          <w:shd w:fill="FFFFFF" w:val="clear"/>
        </w:rPr>
        <w:t>” and, together with the First Merger, the “</w:t>
      </w:r>
      <w:r>
        <w:rPr>
          <w:rFonts w:ascii="Times New Roman" w:hAnsi="Times New Roman"/>
          <w:color w:val="000000"/>
          <w:sz w:val="20"/>
          <w:u w:val="single"/>
          <w:shd w:fill="FFFFFF" w:val="clear"/>
        </w:rPr>
        <w:t>Mergers</w:t>
      </w:r>
      <w:r>
        <w:rPr>
          <w:rFonts w:ascii="Times New Roman" w:hAnsi="Times New Roman"/>
          <w:color w:val="000000"/>
          <w:sz w:val="20"/>
          <w:shd w:fill="FFFFFF" w:val="clear"/>
        </w:rPr>
        <w:t>”), with Merger Sub 2 surviving the Second Merger as a direct, wholly owned subsidiary of Allegiant. As a result of the Mergers, Sun Country became a wholly owned subsidiary of Allegiant on the Closing Date. Capitalized terms used herein but not otherwise defined have the meanings set forth in the Merger Agreement.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 xml:space="preserve">As previously disclosed, pursuant to the Merger Agreement and by virtue of </w:t>
      </w:r>
      <w:r>
        <w:rPr>
          <w:rFonts w:ascii="Times New Roman" w:hAnsi="Times New Roman"/>
          <w:color w:val="212529"/>
          <w:sz w:val="20"/>
          <w:shd w:fill="FFFFFF" w:val="clear"/>
        </w:rPr>
        <w:t>the First Merger, at the First Effective Time, each issued and outstanding share (“</w:t>
      </w:r>
      <w:r>
        <w:rPr>
          <w:rFonts w:ascii="Times New Roman" w:hAnsi="Times New Roman"/>
          <w:color w:val="212529"/>
          <w:sz w:val="20"/>
          <w:u w:val="single"/>
          <w:shd w:fill="FFFFFF" w:val="clear"/>
        </w:rPr>
        <w:t>Share</w:t>
      </w:r>
      <w:r>
        <w:rPr>
          <w:rFonts w:ascii="Times New Roman" w:hAnsi="Times New Roman"/>
          <w:color w:val="212529"/>
          <w:sz w:val="20"/>
          <w:shd w:fill="FFFFFF" w:val="clear"/>
        </w:rPr>
        <w:t>”) of common stock, par value $0.01 per share of Sun Country (“</w:t>
      </w:r>
      <w:r>
        <w:rPr>
          <w:rFonts w:ascii="Times New Roman" w:hAnsi="Times New Roman"/>
          <w:color w:val="212529"/>
          <w:sz w:val="20"/>
          <w:u w:val="single"/>
          <w:shd w:fill="FFFFFF" w:val="clear"/>
        </w:rPr>
        <w:t>Sun Country Common Stock</w:t>
      </w:r>
      <w:r>
        <w:rPr>
          <w:rFonts w:ascii="Times New Roman" w:hAnsi="Times New Roman"/>
          <w:color w:val="212529"/>
          <w:sz w:val="20"/>
          <w:shd w:fill="FFFFFF" w:val="clear"/>
        </w:rPr>
        <w:t>”), was converted into the right to receive (i) $4.10 in cash, without interest (the “</w:t>
      </w:r>
      <w:r>
        <w:rPr>
          <w:rFonts w:ascii="Times New Roman" w:hAnsi="Times New Roman"/>
          <w:color w:val="212529"/>
          <w:sz w:val="20"/>
          <w:u w:val="single"/>
          <w:shd w:fill="FFFFFF" w:val="clear"/>
        </w:rPr>
        <w:t>Per Share Cash Consideration</w:t>
      </w:r>
      <w:r>
        <w:rPr>
          <w:rFonts w:ascii="Times New Roman" w:hAnsi="Times New Roman"/>
          <w:color w:val="212529"/>
          <w:sz w:val="20"/>
          <w:shd w:fill="FFFFFF" w:val="clear"/>
        </w:rPr>
        <w:t>”) and (ii) 0.1557 (the “</w:t>
      </w:r>
      <w:r>
        <w:rPr>
          <w:rFonts w:ascii="Times New Roman" w:hAnsi="Times New Roman"/>
          <w:color w:val="212529"/>
          <w:sz w:val="20"/>
          <w:u w:val="single"/>
          <w:shd w:fill="FFFFFF" w:val="clear"/>
        </w:rPr>
        <w:t>Merger Exchange Ratio</w:t>
      </w:r>
      <w:r>
        <w:rPr>
          <w:rFonts w:ascii="Times New Roman" w:hAnsi="Times New Roman"/>
          <w:color w:val="212529"/>
          <w:sz w:val="20"/>
          <w:shd w:fill="FFFFFF" w:val="clear"/>
        </w:rPr>
        <w:t>”) shares of Allegiant common stock (“</w:t>
      </w:r>
      <w:r>
        <w:rPr>
          <w:rFonts w:ascii="Times New Roman" w:hAnsi="Times New Roman"/>
          <w:color w:val="212529"/>
          <w:sz w:val="20"/>
          <w:u w:val="single"/>
          <w:shd w:fill="FFFFFF" w:val="clear"/>
        </w:rPr>
        <w:t>Allegiant Common Stock</w:t>
      </w:r>
      <w:r>
        <w:rPr>
          <w:rFonts w:ascii="Times New Roman" w:hAnsi="Times New Roman"/>
          <w:color w:val="212529"/>
          <w:sz w:val="20"/>
          <w:shd w:fill="FFFFFF" w:val="clear"/>
        </w:rPr>
        <w:t>”), par value $0.001 per share (the “</w:t>
      </w:r>
      <w:r>
        <w:rPr>
          <w:rFonts w:ascii="Times New Roman" w:hAnsi="Times New Roman"/>
          <w:color w:val="212529"/>
          <w:sz w:val="20"/>
          <w:u w:val="single"/>
          <w:shd w:fill="FFFFFF" w:val="clear"/>
        </w:rPr>
        <w:t>Per Share Stock Consideration</w:t>
      </w:r>
      <w:r>
        <w:rPr>
          <w:rFonts w:ascii="Times New Roman" w:hAnsi="Times New Roman"/>
          <w:color w:val="212529"/>
          <w:sz w:val="20"/>
          <w:shd w:fill="FFFFFF" w:val="clear"/>
        </w:rPr>
        <w:t>” and, together with the Per Share Cash Consideration, the “</w:t>
      </w:r>
      <w:r>
        <w:rPr>
          <w:rFonts w:ascii="Times New Roman" w:hAnsi="Times New Roman"/>
          <w:color w:val="212529"/>
          <w:sz w:val="20"/>
          <w:u w:val="single"/>
          <w:shd w:fill="FFFFFF" w:val="clear"/>
        </w:rPr>
        <w:t>Merger Consideration</w:t>
      </w:r>
      <w:r>
        <w:rPr>
          <w:rFonts w:ascii="Times New Roman" w:hAnsi="Times New Roman"/>
          <w:color w:val="212529"/>
          <w:sz w:val="20"/>
          <w:shd w:fill="FFFFFF" w:val="clear"/>
        </w:rPr>
        <w:t>”).</w:t>
      </w:r>
    </w:p>
    <w:p>
      <w:pPr>
        <w:pStyle w:val="TextBody"/>
        <w:bidi w:val="0"/>
        <w:spacing w:before="0" w:after="0"/>
        <w:jc w:val="left"/>
        <w:rPr>
          <w:sz w:val="20"/>
        </w:rPr>
      </w:pPr>
      <w:r>
        <w:rPr>
          <w:sz w:val="20"/>
        </w:rPr>
      </w:r>
    </w:p>
    <w:p>
      <w:pPr>
        <w:pStyle w:val="HorizontalLine"/>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Pursuant to the Merger Agreement, effective as of immediately prior to the First Effective Time, by virtue of the Mergers:</w:t>
      </w:r>
    </w:p>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All outstanding stock options to purchase shares of Sun Country Common Stock granted pursuant to any Company Equity Award Plan, whether vested or unvested and regardless of exercise price, were automatically converted into stock options for Allegiant immediately before the First Effective Time, with no action required by the holder (the “</w:t>
            </w:r>
            <w:r>
              <w:rPr>
                <w:rFonts w:ascii="Times New Roman" w:hAnsi="Times New Roman"/>
                <w:color w:val="000000"/>
                <w:sz w:val="20"/>
                <w:u w:val="single"/>
              </w:rPr>
              <w:t>Converted Options</w:t>
            </w:r>
            <w:r>
              <w:rPr>
                <w:rFonts w:ascii="Times New Roman" w:hAnsi="Times New Roman"/>
                <w:color w:val="000000"/>
                <w:sz w:val="20"/>
              </w:rPr>
              <w:t>” and each a “</w:t>
            </w:r>
            <w:r>
              <w:rPr>
                <w:rFonts w:ascii="Times New Roman" w:hAnsi="Times New Roman"/>
                <w:color w:val="000000"/>
                <w:sz w:val="20"/>
                <w:u w:val="single"/>
              </w:rPr>
              <w:t>Converted Option</w:t>
            </w:r>
            <w:r>
              <w:rPr>
                <w:rFonts w:ascii="Times New Roman" w:hAnsi="Times New Roman"/>
                <w:color w:val="000000"/>
                <w:sz w:val="20"/>
              </w:rPr>
              <w:t>”). Each Converted Option covers a proportionately adjusted number of shares of Allegiant Common Stock and has a proportionately adjusted exercise price, in each case as determined in accordance with Section 2.5 of the Merger Agreement. The Converted Options continue to be governed by the same vesting schedules and terms, including any double</w:t>
              <w:noBreakHyphen/>
              <w:t>trigger vesting protections;</w:t>
            </w:r>
          </w:p>
        </w:tc>
      </w:tr>
    </w:tbl>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Each outstanding Company RSU Award was assumed by Allegiant and converted into a Parent RSU Award covering a number of shares of Allegiant Common Stock as determined in accordance with Section 2.5 of the Merger Agreement. The Parent RSU Awards continue to have the same terms and conditions as the Company RSU Awards, including any double</w:t>
              <w:noBreakHyphen/>
              <w:t>trigger vesting protections;</w:t>
            </w:r>
          </w:p>
        </w:tc>
      </w:tr>
    </w:tbl>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Each outstanding Company PRSU Award was assumed by Allegiant and converted into a Parent PRSU Award covering a number of shares of Allegiant Common Stock as determined in accordance with Section 2.5 of the Merger Agreement, with the underlying number of shares deemed to equal 125% of the target number of shares subject to the Company PRSU Award. The Parent PRSU Awards continue to have the same terms and conditions as the Company PRSU Awards, including any double</w:t>
              <w:noBreakHyphen/>
              <w:t>trigger vesting protections, provided that there will no longer be any performance-based vesting conditions, and the Parent PRSU Award is a time-vesting award eligible to vest on the last day of the performance period applicable to the Company PRSU Award; and</w:t>
            </w:r>
          </w:p>
        </w:tc>
      </w:tr>
    </w:tbl>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With respect to non-employee Sun Country board members and former employees/service providers to Sun Country, each Company Equity Award held by such individuals became fully vested (to the extent not yet vested), cancelled and converted into the right to receive the Merger Consideration.</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foregoing description of the Merger Agreement does not purport to be complete and is qualified in its entirety by reference to the full text of the Merger Agreement, which is filed as Exhibit 2.1 to this Current Report on Form 8-K and is incorporated herein by reference.</w:t>
      </w:r>
    </w:p>
    <w:p>
      <w:pPr>
        <w:pStyle w:val="TextBody"/>
        <w:bidi w:val="0"/>
        <w:spacing w:before="0" w:after="0"/>
        <w:jc w:val="left"/>
        <w:rPr>
          <w:color w:val="000000"/>
          <w:shd w:fill="FFFFFF" w:val="clear"/>
        </w:rPr>
      </w:pPr>
      <w:r>
        <w:rPr>
          <w:color w:val="000000"/>
          <w:shd w:fill="FFFFFF" w:val="clear"/>
        </w:rPr>
        <w:t> </w:t>
      </w:r>
    </w:p>
    <w:tbl>
      <w:tblPr>
        <w:tblW w:w="9115" w:type="dxa"/>
        <w:jc w:val="left"/>
        <w:tblInd w:w="0" w:type="dxa"/>
        <w:tblLayout w:type="fixed"/>
        <w:tblCellMar>
          <w:top w:w="0" w:type="dxa"/>
          <w:left w:w="0" w:type="dxa"/>
          <w:bottom w:w="0" w:type="dxa"/>
          <w:right w:w="0" w:type="dxa"/>
        </w:tblCellMar>
      </w:tblPr>
      <w:tblGrid>
        <w:gridCol w:w="875"/>
        <w:gridCol w:w="8240"/>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3.01.</w:t>
            </w:r>
          </w:p>
        </w:tc>
        <w:tc>
          <w:tcPr>
            <w:tcW w:w="824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Notice of Delisting or Failure to Satisfy a Continued Listing Rule or Standard; Transfer of Listing</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information set forth in Item 2.01 of this Current Report on Form 8-K is incorporated by reference into this Item 3.01.</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Sun Country notified the Nasdaq Stock Market LLC (“</w:t>
      </w:r>
      <w:r>
        <w:rPr>
          <w:rFonts w:ascii="Times New Roman" w:hAnsi="Times New Roman"/>
          <w:color w:val="000000"/>
          <w:sz w:val="20"/>
          <w:u w:val="single"/>
          <w:shd w:fill="FFFFFF" w:val="clear"/>
        </w:rPr>
        <w:t>Nasdaq</w:t>
      </w:r>
      <w:r>
        <w:rPr>
          <w:rFonts w:ascii="Times New Roman" w:hAnsi="Times New Roman"/>
          <w:color w:val="000000"/>
          <w:sz w:val="20"/>
          <w:shd w:fill="FFFFFF" w:val="clear"/>
        </w:rPr>
        <w:t>”) of the Closing and requested that Nasdaq suspend trading of Sun Country Common Stock. As a result, trading of Sun Country Common Stock on Nasdaq was suspended prior to the opening of trading on the Closing Date. On the Closing Date, Sun Country also requested that Nasdaq file with the U.S. Securities and Exchange Commission (the “</w:t>
      </w:r>
      <w:r>
        <w:rPr>
          <w:rFonts w:ascii="Times New Roman" w:hAnsi="Times New Roman"/>
          <w:color w:val="000000"/>
          <w:sz w:val="20"/>
          <w:u w:val="single"/>
          <w:shd w:fill="FFFFFF" w:val="clear"/>
        </w:rPr>
        <w:t>SEC</w:t>
      </w:r>
      <w:r>
        <w:rPr>
          <w:rFonts w:ascii="Times New Roman" w:hAnsi="Times New Roman"/>
          <w:color w:val="000000"/>
          <w:sz w:val="20"/>
          <w:shd w:fill="FFFFFF" w:val="clear"/>
        </w:rPr>
        <w:t>”) a notification of removal from listing and registration on Form 25 to effect the delisting of Sun Country Common Stock from Nasdaq and the deregistration of Sun Country Common Stock pursuant to Section 12(b) of the Securities Exchange Act of 1934, as amended (the “</w:t>
      </w:r>
      <w:r>
        <w:rPr>
          <w:rFonts w:ascii="Times New Roman" w:hAnsi="Times New Roman"/>
          <w:color w:val="000000"/>
          <w:sz w:val="20"/>
          <w:u w:val="single"/>
          <w:shd w:fill="FFFFFF" w:val="clear"/>
        </w:rPr>
        <w:t>Exchange Act</w:t>
      </w:r>
      <w:r>
        <w:rPr>
          <w:rFonts w:ascii="Times New Roman" w:hAnsi="Times New Roman"/>
          <w:color w:val="000000"/>
          <w:sz w:val="20"/>
          <w:shd w:fill="FFFFFF" w:val="clear"/>
        </w:rPr>
        <w:t>”). The delisting of Sun Country Common Stock from Nasdaq will be effective 10 days after the filing of the Form 25. In addition, following the effectiveness of the Form 25, Sun Country intends to file a certification and notice of termination of registration on Form 15 with the SEC requesting the termination of registration of Sun Country Common Stock under Section 12(g) of the Exchange Act and the suspension of reporting obligations under Section 13 and 15(d) of the Exchange Act with respect to Sun Country Common Stock.</w:t>
      </w:r>
    </w:p>
    <w:p>
      <w:pPr>
        <w:pStyle w:val="HorizontalLine"/>
        <w:bidi w:val="0"/>
        <w:spacing w:before="200" w:after="200"/>
        <w:jc w:val="left"/>
        <w:rPr/>
      </w:pPr>
      <w:r>
        <w:rPr/>
      </w:r>
    </w:p>
    <w:tbl>
      <w:tblPr>
        <w:tblW w:w="5275" w:type="dxa"/>
        <w:jc w:val="left"/>
        <w:tblInd w:w="0" w:type="dxa"/>
        <w:tblLayout w:type="fixed"/>
        <w:tblCellMar>
          <w:top w:w="0" w:type="dxa"/>
          <w:left w:w="0" w:type="dxa"/>
          <w:bottom w:w="0" w:type="dxa"/>
          <w:right w:w="0" w:type="dxa"/>
        </w:tblCellMar>
      </w:tblPr>
      <w:tblGrid>
        <w:gridCol w:w="875"/>
        <w:gridCol w:w="4400"/>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3.03.</w:t>
            </w:r>
          </w:p>
        </w:tc>
        <w:tc>
          <w:tcPr>
            <w:tcW w:w="440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Material Modification to Rights of Security Holders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information set forth under Items 2.01, 3.01, 5.01, and 5.03 of this Current Report on Form 8-K is incorporated by reference into this Item 3.03.</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As a result of the First Merger, each Share that was issued and outstanding immediately prior to the First Effective Time was converted into the right to receive the Merger Consideration. Accordingly, at the First Effective Time, holders of Sun Country Common Stock immediately before the First Effective Time ceased to have any rights as stockholders in Sun Country, other than their right to receive the Merger Consideration pursuant to the Merger Agreement.</w:t>
      </w:r>
    </w:p>
    <w:p>
      <w:pPr>
        <w:pStyle w:val="TextBody"/>
        <w:bidi w:val="0"/>
        <w:spacing w:before="0" w:after="0"/>
        <w:jc w:val="left"/>
        <w:rPr>
          <w:color w:val="000000"/>
          <w:shd w:fill="FFFFFF" w:val="clear"/>
        </w:rPr>
      </w:pPr>
      <w:r>
        <w:rPr>
          <w:color w:val="000000"/>
          <w:shd w:fill="FFFFFF" w:val="clear"/>
        </w:rPr>
        <w:t> </w:t>
      </w:r>
    </w:p>
    <w:tbl>
      <w:tblPr>
        <w:tblW w:w="3685" w:type="dxa"/>
        <w:jc w:val="left"/>
        <w:tblInd w:w="0" w:type="dxa"/>
        <w:tblLayout w:type="fixed"/>
        <w:tblCellMar>
          <w:top w:w="0" w:type="dxa"/>
          <w:left w:w="0" w:type="dxa"/>
          <w:bottom w:w="0" w:type="dxa"/>
          <w:right w:w="0" w:type="dxa"/>
        </w:tblCellMar>
      </w:tblPr>
      <w:tblGrid>
        <w:gridCol w:w="875"/>
        <w:gridCol w:w="2810"/>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5.01.</w:t>
            </w:r>
          </w:p>
        </w:tc>
        <w:tc>
          <w:tcPr>
            <w:tcW w:w="281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Changes in Control of Registrant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information set forth under Items 2.01, 5.02, and 5.03 of this Current Report on Form 8-K is incorporated by reference into this Item 5.01.</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As a result of the Mergers, a change of control of Sun Country occurred and Sun Country became a wholly owned subsidiary of Allegiant. Allegiant obtained the funds necessary to fund the Mergers through a combination of cash on hand and debt financing.</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751"/>
        <w:gridCol w:w="9454"/>
      </w:tblGrid>
      <w:tr>
        <w:trPr/>
        <w:tc>
          <w:tcPr>
            <w:tcW w:w="751"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5.02.</w:t>
            </w:r>
          </w:p>
        </w:tc>
        <w:tc>
          <w:tcPr>
            <w:tcW w:w="9454"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Departure of Directors or Certain Officers; Election of Directors; Appointment of Certain Officers; Compensatory Arrangements of Certain Officers.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information set forth under Item 2.01 of this Current Report on Form 8-K is incorporated by reference into this Item 5.02.</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connection with the consummation of the Mergers, each of Marion Blakey, Jude Bricker, Thomas C. Kennedy, Patrick O’Keeffe, Gail Peterson, Kerry Philipovitch, Wendy Schoppert and Jennifer Vogel, the members of the Sun Country Board as of immediately prior to the First Effective Time, ceased to be members of the Sun Country Board and any committees thereunder on which they served. These departures were not the result of any disagreement with Sun Country regarding its operations, policies (including accounting or financial policies), or practices.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Effective as of the effective time of the Second Merger, as approved by resolutions of Allegiant’s board of directors (the “</w:t>
      </w:r>
      <w:r>
        <w:rPr>
          <w:rFonts w:ascii="Times New Roman" w:hAnsi="Times New Roman"/>
          <w:color w:val="000000"/>
          <w:sz w:val="20"/>
          <w:u w:val="single"/>
          <w:shd w:fill="FFFFFF" w:val="clear"/>
        </w:rPr>
        <w:t>Allegiant Board</w:t>
      </w:r>
      <w:r>
        <w:rPr>
          <w:rFonts w:ascii="Times New Roman" w:hAnsi="Times New Roman"/>
          <w:color w:val="000000"/>
          <w:sz w:val="20"/>
          <w:shd w:fill="FFFFFF" w:val="clear"/>
        </w:rPr>
        <w:t>”) and pursuant to the terms of the Merger Agreement, three directors designated by Sun Country joined the Allegiant Board: (i) Jude Bricker, the President and CEO of Sun Country, and current member of the Sun Country Board, (ii) Jennifer Vogel, a current member of the Sun Country Board, and (iii) Thomas C. Kennedy, a current member of the Sun Country Board. As approved by resolutions of the Allegiant Board, Ms. Vogel was placed on the Compensation Committee of the Allegiant Board, and Mr. Kennedy was placed on the Audit Committee of the Allegiant Board.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Additionally, upon closing of the Mergers, Mr. Bricker resigned as President and Chief Executive Officer of Sun Country. Mr. Bricker will serve as Special Advisor to the Allegiant chief executive officer.</w:t>
      </w:r>
    </w:p>
    <w:p>
      <w:pPr>
        <w:pStyle w:val="TextBody"/>
        <w:bidi w:val="0"/>
        <w:spacing w:before="0" w:after="0"/>
        <w:jc w:val="left"/>
        <w:rPr>
          <w:color w:val="000000"/>
          <w:shd w:fill="FFFFFF" w:val="clear"/>
        </w:rPr>
      </w:pPr>
      <w:r>
        <w:rPr>
          <w:color w:val="000000"/>
          <w:shd w:fill="FFFFFF" w:val="clear"/>
        </w:rPr>
        <w:t> </w:t>
      </w:r>
    </w:p>
    <w:tbl>
      <w:tblPr>
        <w:tblW w:w="7300" w:type="dxa"/>
        <w:jc w:val="left"/>
        <w:tblInd w:w="0" w:type="dxa"/>
        <w:tblLayout w:type="fixed"/>
        <w:tblCellMar>
          <w:top w:w="0" w:type="dxa"/>
          <w:left w:w="0" w:type="dxa"/>
          <w:bottom w:w="0" w:type="dxa"/>
          <w:right w:w="0" w:type="dxa"/>
        </w:tblCellMar>
      </w:tblPr>
      <w:tblGrid>
        <w:gridCol w:w="875"/>
        <w:gridCol w:w="6425"/>
      </w:tblGrid>
      <w:tr>
        <w:trPr/>
        <w:tc>
          <w:tcPr>
            <w:tcW w:w="87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5.03.</w:t>
            </w:r>
          </w:p>
        </w:tc>
        <w:tc>
          <w:tcPr>
            <w:tcW w:w="64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Amendments to Articles of Incorporation or Bylaws; Change in Fiscal Year.</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information set forth under Item 2.01 of this Current Report on Form 8-K is incorporated by reference into this Item 5.03.</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 xml:space="preserve">Pursuant to the terms of the Merger Agreement, at the First Effective Time, Sun Country’s certificate of incorporation and bylaws were each amended and restated in their entirety to be in the forms of the certificate of incorporation and bylaws of Merger Sub 1 as in effect immediately prior to the First Effective Time, except that references to Merger Sub 1’s name were replaced with references to Sun Country’s name. Copies of the amended and restated certificate of incorporation and amended and restated bylaws are attached as Exhibits 3.1 and 3.2, respectively, to this Current Report on Form 8-K, and are incorporated herein by reference.  </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200" w:after="200"/>
        <w:jc w:val="left"/>
        <w:rPr/>
      </w:pPr>
      <w:r>
        <w:rPr/>
      </w:r>
    </w:p>
    <w:tbl>
      <w:tblPr>
        <w:tblW w:w="3790" w:type="dxa"/>
        <w:jc w:val="left"/>
        <w:tblInd w:w="0" w:type="dxa"/>
        <w:tblLayout w:type="fixed"/>
        <w:tblCellMar>
          <w:top w:w="0" w:type="dxa"/>
          <w:left w:w="0" w:type="dxa"/>
          <w:bottom w:w="0" w:type="dxa"/>
          <w:right w:w="0" w:type="dxa"/>
        </w:tblCellMar>
      </w:tblPr>
      <w:tblGrid>
        <w:gridCol w:w="875"/>
        <w:gridCol w:w="2915"/>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291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(d) Exhibits</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760"/>
        <w:gridCol w:w="9445"/>
      </w:tblGrid>
      <w:tr>
        <w:trPr/>
        <w:tc>
          <w:tcPr>
            <w:tcW w:w="760" w:type="dxa"/>
            <w:tcBorders/>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Exhibit No.</w:t>
            </w:r>
          </w:p>
        </w:tc>
        <w:tc>
          <w:tcPr>
            <w:tcW w:w="9445" w:type="dxa"/>
            <w:tcBorders/>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Description</w:t>
            </w:r>
          </w:p>
        </w:tc>
      </w:tr>
      <w:tr>
        <w:trPr/>
        <w:tc>
          <w:tcPr>
            <w:tcW w:w="760" w:type="dxa"/>
            <w:tcBorders/>
            <w:vAlign w:val="center"/>
          </w:tcPr>
          <w:p>
            <w:pPr>
              <w:pStyle w:val="TableContents"/>
              <w:bidi w:val="0"/>
              <w:spacing w:before="0" w:after="283"/>
              <w:jc w:val="left"/>
              <w:rPr/>
            </w:pPr>
            <w:r>
              <w:rPr/>
              <w:t> </w:t>
            </w:r>
          </w:p>
        </w:tc>
        <w:tc>
          <w:tcPr>
            <w:tcW w:w="9445" w:type="dxa"/>
            <w:tcBorders/>
            <w:vAlign w:val="center"/>
          </w:tcPr>
          <w:p>
            <w:pPr>
              <w:pStyle w:val="TableContents"/>
              <w:bidi w:val="0"/>
              <w:spacing w:before="0" w:after="283"/>
              <w:jc w:val="left"/>
              <w:rPr/>
            </w:pPr>
            <w:r>
              <w:rPr/>
              <w:t> </w:t>
            </w:r>
          </w:p>
        </w:tc>
      </w:tr>
      <w:tr>
        <w:trPr/>
        <w:tc>
          <w:tcPr>
            <w:tcW w:w="760" w:type="dxa"/>
            <w:tcBorders/>
            <w:vAlign w:val="center"/>
          </w:tcPr>
          <w:p>
            <w:pPr>
              <w:pStyle w:val="TableContents"/>
              <w:bidi w:val="0"/>
              <w:spacing w:before="0" w:after="0"/>
              <w:jc w:val="left"/>
              <w:rPr/>
            </w:pPr>
            <w:hyperlink r:id="rId2">
              <w:r>
                <w:rPr>
                  <w:rStyle w:val="InternetLink"/>
                  <w:rFonts w:ascii="Times New Roman" w:hAnsi="Times New Roman"/>
                  <w:sz w:val="20"/>
                </w:rPr>
                <w:t>2.1</w:t>
              </w:r>
            </w:hyperlink>
          </w:p>
        </w:tc>
        <w:tc>
          <w:tcPr>
            <w:tcW w:w="944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Agreement and Plan of Merger, dated as of January 11, 2026, by and among Sun Country Airlines Holdings, Inc., Allegiant Travel Company, Mirage Merger Sub, Inc. and Sawdust Merger Sub, LLC (incorporated by reference to Exhibit 2.1 on the Current Report on Form 8-K File No. 001-40217, filed on January 12, 2026).</w:t>
            </w:r>
          </w:p>
        </w:tc>
      </w:tr>
      <w:tr>
        <w:trPr/>
        <w:tc>
          <w:tcPr>
            <w:tcW w:w="760" w:type="dxa"/>
            <w:tcBorders/>
            <w:vAlign w:val="center"/>
          </w:tcPr>
          <w:p>
            <w:pPr>
              <w:pStyle w:val="TableContents"/>
              <w:bidi w:val="0"/>
              <w:spacing w:before="0" w:after="283"/>
              <w:jc w:val="left"/>
              <w:rPr/>
            </w:pPr>
            <w:r>
              <w:rPr/>
              <w:t> </w:t>
            </w:r>
          </w:p>
        </w:tc>
        <w:tc>
          <w:tcPr>
            <w:tcW w:w="9445" w:type="dxa"/>
            <w:tcBorders/>
            <w:vAlign w:val="center"/>
          </w:tcPr>
          <w:p>
            <w:pPr>
              <w:pStyle w:val="TableContents"/>
              <w:bidi w:val="0"/>
              <w:spacing w:before="0" w:after="283"/>
              <w:jc w:val="left"/>
              <w:rPr/>
            </w:pPr>
            <w:r>
              <w:rPr/>
              <w:t> </w:t>
            </w:r>
          </w:p>
        </w:tc>
      </w:tr>
      <w:tr>
        <w:trPr/>
        <w:tc>
          <w:tcPr>
            <w:tcW w:w="760" w:type="dxa"/>
            <w:tcBorders/>
            <w:vAlign w:val="center"/>
          </w:tcPr>
          <w:p>
            <w:pPr>
              <w:pStyle w:val="TableContents"/>
              <w:bidi w:val="0"/>
              <w:spacing w:before="0" w:after="0"/>
              <w:jc w:val="left"/>
              <w:rPr/>
            </w:pPr>
            <w:hyperlink w:anchor="ef20073188_ex3-1.htm">
              <w:r>
                <w:rPr>
                  <w:rStyle w:val="InternetLink"/>
                  <w:rFonts w:ascii="Times New Roman" w:hAnsi="Times New Roman"/>
                  <w:sz w:val="20"/>
                </w:rPr>
                <w:t>3.1</w:t>
              </w:r>
            </w:hyperlink>
          </w:p>
        </w:tc>
        <w:tc>
          <w:tcPr>
            <w:tcW w:w="944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Third Amended and Restated Certificate of Incorporation of Sun Country Airlines Holdings, Inc. (filed herewith).</w:t>
            </w:r>
          </w:p>
        </w:tc>
      </w:tr>
      <w:tr>
        <w:trPr/>
        <w:tc>
          <w:tcPr>
            <w:tcW w:w="760" w:type="dxa"/>
            <w:tcBorders/>
            <w:vAlign w:val="center"/>
          </w:tcPr>
          <w:p>
            <w:pPr>
              <w:pStyle w:val="TableContents"/>
              <w:bidi w:val="0"/>
              <w:spacing w:before="0" w:after="283"/>
              <w:jc w:val="left"/>
              <w:rPr/>
            </w:pPr>
            <w:r>
              <w:rPr/>
              <w:t> </w:t>
            </w:r>
          </w:p>
        </w:tc>
        <w:tc>
          <w:tcPr>
            <w:tcW w:w="9445" w:type="dxa"/>
            <w:tcBorders/>
            <w:vAlign w:val="center"/>
          </w:tcPr>
          <w:p>
            <w:pPr>
              <w:pStyle w:val="TableContents"/>
              <w:bidi w:val="0"/>
              <w:spacing w:before="0" w:after="283"/>
              <w:jc w:val="left"/>
              <w:rPr/>
            </w:pPr>
            <w:r>
              <w:rPr/>
              <w:t> </w:t>
            </w:r>
          </w:p>
        </w:tc>
      </w:tr>
      <w:tr>
        <w:trPr/>
        <w:tc>
          <w:tcPr>
            <w:tcW w:w="760" w:type="dxa"/>
            <w:tcBorders/>
            <w:vAlign w:val="center"/>
          </w:tcPr>
          <w:p>
            <w:pPr>
              <w:pStyle w:val="TableContents"/>
              <w:bidi w:val="0"/>
              <w:spacing w:before="0" w:after="0"/>
              <w:jc w:val="left"/>
              <w:rPr/>
            </w:pPr>
            <w:hyperlink w:anchor="ef20073188_ex3-2.htm">
              <w:r>
                <w:rPr>
                  <w:rStyle w:val="InternetLink"/>
                  <w:rFonts w:ascii="Times New Roman" w:hAnsi="Times New Roman"/>
                  <w:sz w:val="20"/>
                </w:rPr>
                <w:t>3.2</w:t>
              </w:r>
            </w:hyperlink>
          </w:p>
        </w:tc>
        <w:tc>
          <w:tcPr>
            <w:tcW w:w="944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Third Amended and Restated Bylaws of Sun Country Airlines Holdings, Inc. (filed herewith).</w:t>
            </w:r>
          </w:p>
        </w:tc>
      </w:tr>
      <w:tr>
        <w:trPr/>
        <w:tc>
          <w:tcPr>
            <w:tcW w:w="760" w:type="dxa"/>
            <w:tcBorders/>
            <w:vAlign w:val="center"/>
          </w:tcPr>
          <w:p>
            <w:pPr>
              <w:pStyle w:val="TableContents"/>
              <w:bidi w:val="0"/>
              <w:spacing w:before="0" w:after="283"/>
              <w:jc w:val="left"/>
              <w:rPr/>
            </w:pPr>
            <w:r>
              <w:rPr/>
              <w:t> </w:t>
            </w:r>
          </w:p>
        </w:tc>
        <w:tc>
          <w:tcPr>
            <w:tcW w:w="9445" w:type="dxa"/>
            <w:tcBorders/>
            <w:vAlign w:val="center"/>
          </w:tcPr>
          <w:p>
            <w:pPr>
              <w:pStyle w:val="TableContents"/>
              <w:bidi w:val="0"/>
              <w:spacing w:before="0" w:after="283"/>
              <w:jc w:val="left"/>
              <w:rPr/>
            </w:pPr>
            <w:r>
              <w:rPr/>
              <w:t> </w:t>
            </w:r>
          </w:p>
        </w:tc>
      </w:tr>
      <w:tr>
        <w:trPr/>
        <w:tc>
          <w:tcPr>
            <w:tcW w:w="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104</w:t>
            </w:r>
          </w:p>
        </w:tc>
        <w:tc>
          <w:tcPr>
            <w:tcW w:w="9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Cover Page Interactive Data File (embedded within the Inline XBRL document).</w:t>
            </w:r>
          </w:p>
        </w:tc>
      </w:tr>
    </w:tbl>
    <w:p>
      <w:pPr>
        <w:pStyle w:val="TextBody"/>
        <w:bidi w:val="0"/>
        <w:spacing w:before="0" w:after="0"/>
        <w:jc w:val="left"/>
        <w:rPr>
          <w:color w:val="000000"/>
          <w:shd w:fill="FFFFFF" w:val="clear"/>
        </w:rPr>
      </w:pPr>
      <w:r>
        <w:rPr>
          <w:color w:val="000000"/>
          <w:shd w:fill="FFFFFF" w:val="clear"/>
        </w:rPr>
        <w:t> </w:t>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Exchange Act, the registrant has duly caused this report to be signed on its behalf by the undersigned thereunto duly authorized.</w:t>
      </w:r>
    </w:p>
    <w:p>
      <w:pPr>
        <w:pStyle w:val="TextBody"/>
        <w:bidi w:val="0"/>
        <w:spacing w:before="0" w:after="0"/>
        <w:jc w:val="left"/>
        <w:rPr>
          <w:sz w:val="20"/>
        </w:rPr>
      </w:pPr>
      <w:r>
        <w:rPr>
          <w:sz w:val="20"/>
        </w:rPr>
      </w:r>
    </w:p>
    <w:tbl>
      <w:tblPr>
        <w:tblW w:w="6749" w:type="dxa"/>
        <w:jc w:val="left"/>
        <w:tblInd w:w="0" w:type="dxa"/>
        <w:tblLayout w:type="fixed"/>
        <w:tblCellMar>
          <w:top w:w="0" w:type="dxa"/>
          <w:left w:w="0" w:type="dxa"/>
          <w:bottom w:w="0" w:type="dxa"/>
          <w:right w:w="0" w:type="dxa"/>
        </w:tblCellMar>
      </w:tblPr>
      <w:tblGrid>
        <w:gridCol w:w="455"/>
        <w:gridCol w:w="1160"/>
        <w:gridCol w:w="785"/>
        <w:gridCol w:w="4349"/>
      </w:tblGrid>
      <w:tr>
        <w:trPr/>
        <w:tc>
          <w:tcPr>
            <w:tcW w:w="4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5134" w:type="dxa"/>
            <w:gridSpan w:val="2"/>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Sun Country Airlines Holdings, LLC</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(as successor by merger to Sun Country Airlines Holdings, Inc.)</w:t>
            </w:r>
          </w:p>
        </w:tc>
      </w:tr>
      <w:tr>
        <w:trPr/>
        <w:tc>
          <w:tcPr>
            <w:tcW w:w="4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4349"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w:t>
            </w:r>
          </w:p>
        </w:tc>
        <w:tc>
          <w:tcPr>
            <w:tcW w:w="1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May 13</w:t>
            </w:r>
            <w:r>
              <w:rPr>
                <w:rFonts w:ascii="Times New Roman" w:hAnsi="Times New Roman"/>
                <w:color w:val="000000"/>
                <w:sz w:val="20"/>
              </w:rPr>
              <w:t>, 2026</w:t>
            </w:r>
          </w:p>
        </w:tc>
        <w:tc>
          <w:tcPr>
            <w:tcW w:w="7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4349"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Robert J. Neal</w:t>
            </w:r>
          </w:p>
        </w:tc>
      </w:tr>
      <w:tr>
        <w:trPr/>
        <w:tc>
          <w:tcPr>
            <w:tcW w:w="4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Name:</w:t>
            </w:r>
          </w:p>
        </w:tc>
        <w:tc>
          <w:tcPr>
            <w:tcW w:w="4349"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Robert J. Neal</w:t>
            </w:r>
          </w:p>
        </w:tc>
      </w:tr>
      <w:tr>
        <w:trPr/>
        <w:tc>
          <w:tcPr>
            <w:tcW w:w="4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Title:</w:t>
            </w:r>
          </w:p>
        </w:tc>
        <w:tc>
          <w:tcPr>
            <w:tcW w:w="4349"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President and Chief Financial Officer</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bidi w:val="0"/>
        <w:jc w:val="left"/>
        <w:rPr/>
      </w:pPr>
      <w:r>
        <w:rPr/>
      </w:r>
    </w:p>
    <w:p>
      <w:pPr>
        <w:pStyle w:val="HorizontalLine"/>
        <w:pBdr>
          <w:bottom w:val="single" w:sz="12" w:space="0" w:color="808080"/>
        </w:pBdr>
        <w:bidi w:val="0"/>
        <w:jc w:val="left"/>
        <w:rPr/>
      </w:pPr>
      <w:r>
        <w:rPr/>
      </w:r>
      <w:bookmarkStart w:id="0" w:name="ef20073188_ex3-1.htm"/>
      <w:bookmarkStart w:id="1" w:name="ksef20073188_ex31"/>
      <w:bookmarkStart w:id="2" w:name="ef20073188_ex3-1.htm"/>
      <w:bookmarkStart w:id="3" w:name="ksef20073188_ex31"/>
      <w:bookmarkEnd w:id="2"/>
      <w:bookmarkEnd w:id="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3.1</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AMENDED AND RESTATED CERTIFICATE OF INCORPORATION</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OF</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SUN COUNTRY AIRLINES HOLDINGS, INC.</w:t>
      </w:r>
    </w:p>
    <w:p>
      <w:pPr>
        <w:pStyle w:val="TextBody"/>
        <w:bidi w:val="0"/>
        <w:spacing w:before="0" w:after="0"/>
        <w:jc w:val="left"/>
        <w:rPr>
          <w:sz w:val="20"/>
        </w:rPr>
      </w:pPr>
      <w:r>
        <w:rPr>
          <w:sz w:val="20"/>
        </w:rPr>
      </w:r>
    </w:p>
    <w:p>
      <w:pPr>
        <w:pStyle w:val="TextBody"/>
        <w:bidi w:val="0"/>
        <w:spacing w:before="0" w:after="0"/>
        <w:ind w:left="0" w:right="0" w:firstLine="1440"/>
        <w:jc w:val="left"/>
        <w:rPr>
          <w:rFonts w:ascii="Times New Roman" w:hAnsi="Times New Roman"/>
          <w:color w:val="000000"/>
          <w:sz w:val="24"/>
        </w:rPr>
      </w:pPr>
      <w:r>
        <w:rPr>
          <w:rFonts w:ascii="Times New Roman" w:hAnsi="Times New Roman"/>
          <w:color w:val="000000"/>
          <w:sz w:val="20"/>
          <w:u w:val="single"/>
        </w:rPr>
        <w:t>FIRST:</w:t>
      </w:r>
      <w:r>
        <w:rPr>
          <w:rFonts w:ascii="Times New Roman" w:hAnsi="Times New Roman"/>
          <w:color w:val="000000"/>
          <w:sz w:val="24"/>
        </w:rPr>
        <w:t xml:space="preserve">  </w:t>
      </w:r>
      <w:r>
        <w:rPr>
          <w:rFonts w:ascii="Times New Roman" w:hAnsi="Times New Roman"/>
          <w:color w:val="000000"/>
          <w:sz w:val="20"/>
        </w:rPr>
        <w:t>The name of the Corporation is Sun Country Airlines Holdings, Inc. (the “</w:t>
      </w:r>
      <w:r>
        <w:rPr>
          <w:rFonts w:ascii="Times New Roman" w:hAnsi="Times New Roman"/>
          <w:color w:val="000000"/>
          <w:sz w:val="20"/>
          <w:u w:val="single"/>
        </w:rPr>
        <w:t>Corporation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4"/>
        </w:rPr>
      </w:pPr>
      <w:r>
        <w:rPr>
          <w:rFonts w:ascii="Times New Roman" w:hAnsi="Times New Roman"/>
          <w:color w:val="000000"/>
          <w:sz w:val="20"/>
          <w:u w:val="single"/>
        </w:rPr>
        <w:t xml:space="preserve">SECOND:  </w:t>
      </w:r>
      <w:r>
        <w:rPr>
          <w:rFonts w:ascii="Times New Roman" w:hAnsi="Times New Roman"/>
          <w:color w:val="000000"/>
          <w:sz w:val="20"/>
        </w:rPr>
        <w:t>The address of the registered office of the Corporation in the State of Delaware is 850 New Burton Road, Suite 201, Dover, County of Kent, 19904.  The name of its registered agent at that address is Cogency Global Inc.</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4"/>
        </w:rPr>
      </w:pPr>
      <w:r>
        <w:rPr>
          <w:rFonts w:ascii="Times New Roman" w:hAnsi="Times New Roman"/>
          <w:color w:val="000000"/>
          <w:sz w:val="20"/>
          <w:u w:val="single"/>
        </w:rPr>
        <w:t xml:space="preserve">THIRD:  </w:t>
      </w:r>
      <w:r>
        <w:rPr>
          <w:rFonts w:ascii="Times New Roman" w:hAnsi="Times New Roman"/>
          <w:color w:val="000000"/>
          <w:sz w:val="20"/>
        </w:rPr>
        <w:t>The purpose of the Corporation is to engage in any lawful act or activity for which a corporation may be organized under the General Corporation Law of the State of Delaware as set forth in Title 8 of the Delaware Code (as amended from time to time, the “</w:t>
      </w:r>
      <w:r>
        <w:rPr>
          <w:rFonts w:ascii="Times New Roman" w:hAnsi="Times New Roman"/>
          <w:color w:val="000000"/>
          <w:sz w:val="20"/>
          <w:u w:val="single"/>
        </w:rPr>
        <w:t>GCL</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4"/>
        </w:rPr>
      </w:pPr>
      <w:r>
        <w:rPr>
          <w:rFonts w:ascii="Times New Roman" w:hAnsi="Times New Roman"/>
          <w:color w:val="000000"/>
          <w:sz w:val="20"/>
          <w:u w:val="single"/>
        </w:rPr>
        <w:t xml:space="preserve">FOURTH:  </w:t>
      </w:r>
      <w:r>
        <w:rPr>
          <w:rFonts w:ascii="Times New Roman" w:hAnsi="Times New Roman"/>
          <w:color w:val="000000"/>
          <w:sz w:val="20"/>
        </w:rPr>
        <w:t>The total number of shares of stock which the Corporation shall have authority to issue is 100 shares of Common Stock, each having a par value of one cent $ 0.01.</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4"/>
        </w:rPr>
      </w:pPr>
      <w:r>
        <w:rPr>
          <w:rFonts w:ascii="Times New Roman" w:hAnsi="Times New Roman"/>
          <w:color w:val="000000"/>
          <w:sz w:val="20"/>
          <w:u w:val="single"/>
        </w:rPr>
        <w:t xml:space="preserve">FIFTH:  </w:t>
      </w:r>
      <w:r>
        <w:rPr>
          <w:rFonts w:ascii="Times New Roman" w:hAnsi="Times New Roman"/>
          <w:color w:val="000000"/>
          <w:sz w:val="20"/>
        </w:rPr>
        <w:t>The following provisions are inserted for the management of the business and the conduct of the affairs of the Corporation, and for further definition, limitation and regulation of the powers of the Corporation and of its directors and stockholders:</w:t>
      </w:r>
    </w:p>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(1)          The business and affairs of the Corporation shall be managed by or under the direction of the Board of Directors.</w:t>
      </w:r>
    </w:p>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(2)          The directors shall have concurrent power with the stockholders to adopt, amend or repeal the bylaws of the Corporation (the “</w:t>
      </w:r>
      <w:r>
        <w:rPr>
          <w:rFonts w:ascii="Times New Roman" w:hAnsi="Times New Roman"/>
          <w:color w:val="000000"/>
          <w:sz w:val="20"/>
          <w:u w:val="single"/>
        </w:rPr>
        <w:t>Bylaws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(3)          The number of directors constituting the Corporation’s Board of Directors shall be as from time to time fixed by, or in the manner provided in, the Bylaws.  Election of directors need not be by written ballot unless the Bylaws so provide.</w:t>
      </w:r>
    </w:p>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(4)          Except as otherwise provided in Section 102(b)(7) of the GCL, or in any analogous provision of any successor law, no director or officer of the corporation shall have personal liability to the corporation or its stockholders for monetary damages for breach of fiduciary duty as a director or officer, as applicable. All references in this Article FIFTH to an “officer” shall mean only a person who, at the time of an act or omission as to which liability is asserted, falls within the meaning of the term “officer,” as defined in Section 102(b)(7) of the GCL.</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(5)          In addition to the powers and authority hereinbefore or by statute expressly conferred upon them, the directors are hereby empowered to exercise all such powers and do all such acts and things as may be exercised or done by the Corporation, subject, nevertheless, to the provisions of the GCL, this Certificate of Incorporation, and the Bylaws; provided, however, that no Bylaws hereafter adopted, amended or repealed by the stockholders shall invalidate any prior act of the directors that would have been valid if such Bylaws had not been so adopted, amended or repealed.</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4"/>
        </w:rPr>
      </w:pPr>
      <w:r>
        <w:rPr>
          <w:rFonts w:ascii="Times New Roman" w:hAnsi="Times New Roman"/>
          <w:color w:val="000000"/>
          <w:sz w:val="20"/>
          <w:u w:val="single"/>
        </w:rPr>
        <w:t xml:space="preserve">SIXTH:  </w:t>
      </w:r>
      <w:r>
        <w:rPr>
          <w:rFonts w:ascii="Times New Roman" w:hAnsi="Times New Roman"/>
          <w:color w:val="000000"/>
          <w:sz w:val="20"/>
        </w:rPr>
        <w:t>Meetings of stockholders may be held within or without the State of Delaware, as the Bylaws may provide.  The books and records of the Corporation may be kept (subject to any provision contained in the GCL) outside the State of Delaware at such place or places as may be designated from time to time by the Board of Directors or in the Bylaws.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4"/>
        </w:rPr>
      </w:pPr>
      <w:r>
        <w:rPr>
          <w:rFonts w:ascii="Times New Roman" w:hAnsi="Times New Roman"/>
          <w:color w:val="000000"/>
          <w:sz w:val="20"/>
          <w:u w:val="single"/>
        </w:rPr>
        <w:t xml:space="preserve">SEVENTH:  </w:t>
      </w:r>
      <w:r>
        <w:rPr>
          <w:rFonts w:ascii="Times New Roman" w:hAnsi="Times New Roman"/>
          <w:color w:val="000000"/>
          <w:sz w:val="20"/>
        </w:rPr>
        <w:t>The Corporation reserves the right to amend, alter, change or repeal any provision contained in this Certificate of Incorporation, in the manner now or hereafter prescribed by statute, and all rights conferred upon stockholders herein are granted subject to this reservation.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0"/>
          <w:u w:val="single"/>
        </w:rPr>
        <w:t>Dated</w:t>
      </w:r>
      <w:r>
        <w:rPr>
          <w:rFonts w:ascii="Times New Roman" w:hAnsi="Times New Roman"/>
          <w:color w:val="000000"/>
          <w:sz w:val="20"/>
        </w:rPr>
        <w:t>: May 13, 2026</w:t>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16"/>
        </w:rPr>
      </w:pPr>
      <w:r>
        <w:rPr>
          <w:rFonts w:ascii="Times New Roman" w:hAnsi="Times New Roman"/>
          <w:color w:val="000000"/>
          <w:sz w:val="16"/>
        </w:rPr>
        <w:t>2</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4" w:name="ef20073188_ex3-2.htm"/>
      <w:bookmarkStart w:id="5" w:name="ksef20073188_ex32"/>
      <w:bookmarkStart w:id="6" w:name="ef20073188_ex3-2.htm"/>
      <w:bookmarkStart w:id="7" w:name="ksef20073188_ex32"/>
      <w:bookmarkEnd w:id="6"/>
      <w:bookmarkEnd w:id="7"/>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3.2</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AMENDED AND RESTATED BYLAWS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OF</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SUN COUNTRY AIRLINES HOLDINGS, INC.</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 Delaware Corporation</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Effective May 13, 2026</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spacing w:before="0" w:after="0"/>
        <w:jc w:val="left"/>
        <w:rPr/>
      </w:pPr>
      <w:r>
        <w:rPr/>
      </w:r>
      <w:bookmarkStart w:id="8" w:name="z3e9c30a88b264edc9d25337e2a11f03b"/>
      <w:bookmarkStart w:id="9" w:name="z3e9c30a88b264edc9d25337e2a11f03b"/>
      <w:bookmarkEnd w:id="9"/>
    </w:p>
    <w:tbl>
      <w:tblPr>
        <w:tblW w:w="5100" w:type="dxa"/>
        <w:jc w:val="left"/>
        <w:tblInd w:w="0" w:type="dxa"/>
        <w:tblLayout w:type="fixed"/>
        <w:tblCellMar>
          <w:top w:w="0" w:type="dxa"/>
          <w:left w:w="0" w:type="dxa"/>
          <w:bottom w:w="0" w:type="dxa"/>
          <w:right w:w="0" w:type="dxa"/>
        </w:tblCellMar>
      </w:tblPr>
      <w:tblGrid>
        <w:gridCol w:w="935"/>
        <w:gridCol w:w="3725"/>
        <w:gridCol w:w="440"/>
      </w:tblGrid>
      <w:tr>
        <w:trPr/>
        <w:tc>
          <w:tcPr>
            <w:tcW w:w="4660" w:type="dxa"/>
            <w:gridSpan w:val="2"/>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0"/>
              <w:jc w:val="right"/>
              <w:rPr>
                <w:rFonts w:ascii="Times New Roman" w:hAnsi="Times New Roman"/>
                <w:b/>
                <w:color w:val="000000"/>
                <w:sz w:val="20"/>
                <w:u w:val="single"/>
              </w:rPr>
            </w:pPr>
            <w:r>
              <w:rPr>
                <w:rFonts w:ascii="Times New Roman" w:hAnsi="Times New Roman"/>
                <w:b/>
                <w:color w:val="000000"/>
                <w:sz w:val="20"/>
                <w:u w:val="single"/>
              </w:rPr>
              <w:t>Page</w:t>
            </w:r>
          </w:p>
        </w:tc>
      </w:tr>
      <w:tr>
        <w:trPr/>
        <w:tc>
          <w:tcPr>
            <w:tcW w:w="4660" w:type="dxa"/>
            <w:gridSpan w:val="2"/>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right"/>
              <w:rPr>
                <w:color w:val="000000"/>
              </w:rPr>
            </w:pPr>
            <w:r>
              <w:rPr>
                <w:color w:val="000000"/>
              </w:rPr>
              <w:t> </w:t>
            </w:r>
          </w:p>
        </w:tc>
      </w:tr>
      <w:tr>
        <w:trPr/>
        <w:tc>
          <w:tcPr>
            <w:tcW w:w="5100" w:type="dxa"/>
            <w:gridSpan w:val="3"/>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ARTICLE I</w:t>
            </w:r>
          </w:p>
        </w:tc>
      </w:tr>
      <w:tr>
        <w:trPr/>
        <w:tc>
          <w:tcPr>
            <w:tcW w:w="4660" w:type="dxa"/>
            <w:gridSpan w:val="2"/>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right"/>
              <w:rPr>
                <w:color w:val="000000"/>
              </w:rPr>
            </w:pPr>
            <w:r>
              <w:rPr>
                <w:color w:val="000000"/>
              </w:rPr>
              <w:t> </w:t>
            </w:r>
          </w:p>
        </w:tc>
      </w:tr>
      <w:tr>
        <w:trPr/>
        <w:tc>
          <w:tcPr>
            <w:tcW w:w="5100" w:type="dxa"/>
            <w:gridSpan w:val="3"/>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OFFICES</w:t>
            </w:r>
          </w:p>
        </w:tc>
      </w:tr>
      <w:tr>
        <w:trPr/>
        <w:tc>
          <w:tcPr>
            <w:tcW w:w="4660" w:type="dxa"/>
            <w:gridSpan w:val="2"/>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right"/>
              <w:rPr>
                <w:color w:val="000000"/>
              </w:rPr>
            </w:pPr>
            <w:r>
              <w:rPr>
                <w:color w:val="000000"/>
              </w:rPr>
              <w:t> </w:t>
            </w:r>
          </w:p>
        </w:tc>
      </w:tr>
      <w:tr>
        <w:trPr/>
        <w:tc>
          <w:tcPr>
            <w:tcW w:w="93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1.</w:t>
            </w:r>
          </w:p>
        </w:tc>
        <w:tc>
          <w:tcPr>
            <w:tcW w:w="372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Registered Office</w:t>
            </w:r>
          </w:p>
        </w:tc>
        <w:tc>
          <w:tcPr>
            <w:tcW w:w="440" w:type="dxa"/>
            <w:tcBorders/>
            <w:shd w:fill="CCEEFF" w:val="cle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w:t>
            </w:r>
          </w:p>
        </w:tc>
      </w:tr>
      <w:tr>
        <w:trPr/>
        <w:tc>
          <w:tcPr>
            <w:tcW w:w="9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2.</w:t>
            </w:r>
          </w:p>
        </w:tc>
        <w:tc>
          <w:tcPr>
            <w:tcW w:w="37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Other Offices</w:t>
            </w:r>
          </w:p>
        </w:tc>
        <w:tc>
          <w:tcPr>
            <w:tcW w:w="440" w:type="dxa"/>
            <w:tcBorders/>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w:t>
            </w:r>
          </w:p>
        </w:tc>
      </w:tr>
      <w:tr>
        <w:trPr/>
        <w:tc>
          <w:tcPr>
            <w:tcW w:w="935" w:type="dxa"/>
            <w:tcBorders/>
            <w:vAlign w:val="center"/>
          </w:tcPr>
          <w:p>
            <w:pPr>
              <w:pStyle w:val="TableContents"/>
              <w:bidi w:val="0"/>
              <w:spacing w:before="0" w:after="283"/>
              <w:jc w:val="left"/>
              <w:rPr/>
            </w:pPr>
            <w:r>
              <w:rPr/>
            </w:r>
          </w:p>
        </w:tc>
        <w:tc>
          <w:tcPr>
            <w:tcW w:w="3725"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right"/>
              <w:rPr/>
            </w:pPr>
            <w:r>
              <w:rPr/>
              <w:t> </w:t>
            </w:r>
          </w:p>
        </w:tc>
      </w:tr>
      <w:tr>
        <w:trPr/>
        <w:tc>
          <w:tcPr>
            <w:tcW w:w="5100" w:type="dxa"/>
            <w:gridSpan w:val="3"/>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ARTICLE II</w:t>
            </w:r>
          </w:p>
        </w:tc>
      </w:tr>
      <w:tr>
        <w:trPr/>
        <w:tc>
          <w:tcPr>
            <w:tcW w:w="4660" w:type="dxa"/>
            <w:gridSpan w:val="2"/>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right"/>
              <w:rPr>
                <w:color w:val="000000"/>
              </w:rPr>
            </w:pPr>
            <w:r>
              <w:rPr>
                <w:color w:val="000000"/>
              </w:rPr>
              <w:t> </w:t>
            </w:r>
          </w:p>
        </w:tc>
      </w:tr>
      <w:tr>
        <w:trPr/>
        <w:tc>
          <w:tcPr>
            <w:tcW w:w="5100" w:type="dxa"/>
            <w:gridSpan w:val="3"/>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MEETINGS OF STOCKHOLDERS</w:t>
            </w:r>
          </w:p>
        </w:tc>
      </w:tr>
      <w:tr>
        <w:trPr/>
        <w:tc>
          <w:tcPr>
            <w:tcW w:w="4660" w:type="dxa"/>
            <w:gridSpan w:val="2"/>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right"/>
              <w:rPr>
                <w:color w:val="000000"/>
              </w:rPr>
            </w:pPr>
            <w:r>
              <w:rPr>
                <w:color w:val="000000"/>
              </w:rPr>
              <w:t> </w:t>
            </w:r>
          </w:p>
        </w:tc>
      </w:tr>
      <w:tr>
        <w:trPr/>
        <w:tc>
          <w:tcPr>
            <w:tcW w:w="93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1.</w:t>
            </w:r>
          </w:p>
        </w:tc>
        <w:tc>
          <w:tcPr>
            <w:tcW w:w="372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Place of Meetings</w:t>
            </w:r>
          </w:p>
        </w:tc>
        <w:tc>
          <w:tcPr>
            <w:tcW w:w="440" w:type="dxa"/>
            <w:tcBorders/>
            <w:shd w:fill="CCEEFF" w:val="cle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w:t>
            </w:r>
          </w:p>
        </w:tc>
      </w:tr>
      <w:tr>
        <w:trPr/>
        <w:tc>
          <w:tcPr>
            <w:tcW w:w="9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2.</w:t>
            </w:r>
          </w:p>
        </w:tc>
        <w:tc>
          <w:tcPr>
            <w:tcW w:w="37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Annual Meetings</w:t>
            </w:r>
          </w:p>
        </w:tc>
        <w:tc>
          <w:tcPr>
            <w:tcW w:w="440" w:type="dxa"/>
            <w:tcBorders/>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w:t>
            </w:r>
          </w:p>
        </w:tc>
      </w:tr>
      <w:tr>
        <w:trPr/>
        <w:tc>
          <w:tcPr>
            <w:tcW w:w="93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3.</w:t>
            </w:r>
          </w:p>
        </w:tc>
        <w:tc>
          <w:tcPr>
            <w:tcW w:w="372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Special Meetings</w:t>
            </w:r>
          </w:p>
        </w:tc>
        <w:tc>
          <w:tcPr>
            <w:tcW w:w="440" w:type="dxa"/>
            <w:tcBorders/>
            <w:shd w:fill="CCEEFF" w:val="clear"/>
            <w:vAlign w:val="center"/>
          </w:tcPr>
          <w:p>
            <w:pPr>
              <w:pStyle w:val="TableContents"/>
              <w:bidi w:val="0"/>
              <w:spacing w:before="0" w:after="283"/>
              <w:jc w:val="right"/>
              <w:rPr>
                <w:sz w:val="20"/>
              </w:rPr>
            </w:pPr>
            <w:r>
              <w:rPr>
                <w:sz w:val="20"/>
              </w:rPr>
              <w:t>2</w:t>
            </w:r>
          </w:p>
        </w:tc>
      </w:tr>
      <w:tr>
        <w:trPr/>
        <w:tc>
          <w:tcPr>
            <w:tcW w:w="9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4.</w:t>
            </w:r>
          </w:p>
        </w:tc>
        <w:tc>
          <w:tcPr>
            <w:tcW w:w="37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Notice</w:t>
            </w:r>
          </w:p>
        </w:tc>
        <w:tc>
          <w:tcPr>
            <w:tcW w:w="440" w:type="dxa"/>
            <w:tcBorders/>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w:t>
            </w:r>
          </w:p>
        </w:tc>
      </w:tr>
      <w:tr>
        <w:trPr/>
        <w:tc>
          <w:tcPr>
            <w:tcW w:w="93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5.</w:t>
            </w:r>
          </w:p>
        </w:tc>
        <w:tc>
          <w:tcPr>
            <w:tcW w:w="372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Adjournments and Postponements</w:t>
            </w:r>
          </w:p>
        </w:tc>
        <w:tc>
          <w:tcPr>
            <w:tcW w:w="440" w:type="dxa"/>
            <w:tcBorders/>
            <w:shd w:fill="CCEEFF" w:val="cle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w:t>
            </w:r>
          </w:p>
        </w:tc>
      </w:tr>
      <w:tr>
        <w:trPr/>
        <w:tc>
          <w:tcPr>
            <w:tcW w:w="9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6.</w:t>
            </w:r>
          </w:p>
        </w:tc>
        <w:tc>
          <w:tcPr>
            <w:tcW w:w="37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Quorum</w:t>
            </w:r>
          </w:p>
        </w:tc>
        <w:tc>
          <w:tcPr>
            <w:tcW w:w="440" w:type="dxa"/>
            <w:tcBorders/>
            <w:vAlign w:val="center"/>
          </w:tcPr>
          <w:p>
            <w:pPr>
              <w:pStyle w:val="TableContents"/>
              <w:bidi w:val="0"/>
              <w:spacing w:before="0" w:after="283"/>
              <w:jc w:val="right"/>
              <w:rPr>
                <w:sz w:val="20"/>
              </w:rPr>
            </w:pPr>
            <w:r>
              <w:rPr>
                <w:sz w:val="20"/>
              </w:rPr>
              <w:t>3</w:t>
            </w:r>
          </w:p>
        </w:tc>
      </w:tr>
      <w:tr>
        <w:trPr/>
        <w:tc>
          <w:tcPr>
            <w:tcW w:w="93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7.</w:t>
            </w:r>
          </w:p>
        </w:tc>
        <w:tc>
          <w:tcPr>
            <w:tcW w:w="372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Voting</w:t>
            </w:r>
          </w:p>
        </w:tc>
        <w:tc>
          <w:tcPr>
            <w:tcW w:w="440" w:type="dxa"/>
            <w:tcBorders/>
            <w:shd w:fill="CCEEFF" w:val="cle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w:t>
            </w:r>
          </w:p>
        </w:tc>
      </w:tr>
      <w:tr>
        <w:trPr/>
        <w:tc>
          <w:tcPr>
            <w:tcW w:w="9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8.</w:t>
            </w:r>
          </w:p>
        </w:tc>
        <w:tc>
          <w:tcPr>
            <w:tcW w:w="37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Proxies</w:t>
            </w:r>
          </w:p>
        </w:tc>
        <w:tc>
          <w:tcPr>
            <w:tcW w:w="440" w:type="dxa"/>
            <w:tcBorders/>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w:t>
            </w:r>
          </w:p>
        </w:tc>
      </w:tr>
      <w:tr>
        <w:trPr/>
        <w:tc>
          <w:tcPr>
            <w:tcW w:w="93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9.</w:t>
            </w:r>
          </w:p>
        </w:tc>
        <w:tc>
          <w:tcPr>
            <w:tcW w:w="372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Consent of Stockholders in Lieu of Meeting</w:t>
            </w:r>
          </w:p>
        </w:tc>
        <w:tc>
          <w:tcPr>
            <w:tcW w:w="440" w:type="dxa"/>
            <w:tcBorders/>
            <w:shd w:fill="CCEEFF" w:val="cle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w:t>
            </w:r>
          </w:p>
        </w:tc>
      </w:tr>
      <w:tr>
        <w:trPr/>
        <w:tc>
          <w:tcPr>
            <w:tcW w:w="9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10.</w:t>
            </w:r>
          </w:p>
        </w:tc>
        <w:tc>
          <w:tcPr>
            <w:tcW w:w="37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List of Stockholders Entitled to Vote</w:t>
            </w:r>
          </w:p>
        </w:tc>
        <w:tc>
          <w:tcPr>
            <w:tcW w:w="440" w:type="dxa"/>
            <w:tcBorders/>
            <w:vAlign w:val="center"/>
          </w:tcPr>
          <w:p>
            <w:pPr>
              <w:pStyle w:val="TableContents"/>
              <w:bidi w:val="0"/>
              <w:spacing w:before="0" w:after="283"/>
              <w:jc w:val="right"/>
              <w:rPr>
                <w:sz w:val="20"/>
              </w:rPr>
            </w:pPr>
            <w:r>
              <w:rPr>
                <w:sz w:val="20"/>
              </w:rPr>
              <w:t>5</w:t>
            </w:r>
          </w:p>
        </w:tc>
      </w:tr>
      <w:tr>
        <w:trPr/>
        <w:tc>
          <w:tcPr>
            <w:tcW w:w="93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11.</w:t>
            </w:r>
          </w:p>
        </w:tc>
        <w:tc>
          <w:tcPr>
            <w:tcW w:w="372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Record Date</w:t>
            </w:r>
          </w:p>
        </w:tc>
        <w:tc>
          <w:tcPr>
            <w:tcW w:w="440" w:type="dxa"/>
            <w:tcBorders/>
            <w:shd w:fill="CCEEFF" w:val="cle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w:t>
            </w:r>
          </w:p>
        </w:tc>
      </w:tr>
      <w:tr>
        <w:trPr/>
        <w:tc>
          <w:tcPr>
            <w:tcW w:w="9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12.</w:t>
            </w:r>
          </w:p>
        </w:tc>
        <w:tc>
          <w:tcPr>
            <w:tcW w:w="37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Stock Ledger</w:t>
            </w:r>
          </w:p>
        </w:tc>
        <w:tc>
          <w:tcPr>
            <w:tcW w:w="440" w:type="dxa"/>
            <w:tcBorders/>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w:t>
            </w:r>
          </w:p>
        </w:tc>
      </w:tr>
      <w:tr>
        <w:trPr/>
        <w:tc>
          <w:tcPr>
            <w:tcW w:w="93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13.</w:t>
            </w:r>
          </w:p>
        </w:tc>
        <w:tc>
          <w:tcPr>
            <w:tcW w:w="372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Conduct of Meetings</w:t>
            </w:r>
          </w:p>
        </w:tc>
        <w:tc>
          <w:tcPr>
            <w:tcW w:w="440" w:type="dxa"/>
            <w:tcBorders/>
            <w:shd w:fill="CCEEFF" w:val="cle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w:t>
            </w:r>
          </w:p>
        </w:tc>
      </w:tr>
      <w:tr>
        <w:trPr/>
        <w:tc>
          <w:tcPr>
            <w:tcW w:w="935" w:type="dxa"/>
            <w:tcBorders/>
            <w:vAlign w:val="center"/>
          </w:tcPr>
          <w:p>
            <w:pPr>
              <w:pStyle w:val="TableContents"/>
              <w:bidi w:val="0"/>
              <w:spacing w:before="0" w:after="283"/>
              <w:jc w:val="left"/>
              <w:rPr/>
            </w:pPr>
            <w:r>
              <w:rPr/>
            </w:r>
          </w:p>
        </w:tc>
        <w:tc>
          <w:tcPr>
            <w:tcW w:w="3725"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right"/>
              <w:rPr/>
            </w:pPr>
            <w:r>
              <w:rPr/>
              <w:t> </w:t>
            </w:r>
          </w:p>
        </w:tc>
      </w:tr>
      <w:tr>
        <w:trPr/>
        <w:tc>
          <w:tcPr>
            <w:tcW w:w="5100" w:type="dxa"/>
            <w:gridSpan w:val="3"/>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ARTICLE III</w:t>
            </w:r>
          </w:p>
        </w:tc>
      </w:tr>
      <w:tr>
        <w:trPr/>
        <w:tc>
          <w:tcPr>
            <w:tcW w:w="4660" w:type="dxa"/>
            <w:gridSpan w:val="2"/>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right"/>
              <w:rPr>
                <w:color w:val="000000"/>
              </w:rPr>
            </w:pPr>
            <w:r>
              <w:rPr>
                <w:color w:val="000000"/>
              </w:rPr>
              <w:t> </w:t>
            </w:r>
          </w:p>
        </w:tc>
      </w:tr>
      <w:tr>
        <w:trPr/>
        <w:tc>
          <w:tcPr>
            <w:tcW w:w="5100" w:type="dxa"/>
            <w:gridSpan w:val="3"/>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DIRECTORS</w:t>
            </w:r>
          </w:p>
        </w:tc>
      </w:tr>
      <w:tr>
        <w:trPr/>
        <w:tc>
          <w:tcPr>
            <w:tcW w:w="4660" w:type="dxa"/>
            <w:gridSpan w:val="2"/>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right"/>
              <w:rPr>
                <w:color w:val="000000"/>
              </w:rPr>
            </w:pPr>
            <w:r>
              <w:rPr>
                <w:color w:val="000000"/>
              </w:rPr>
              <w:t> </w:t>
            </w:r>
          </w:p>
        </w:tc>
      </w:tr>
      <w:tr>
        <w:trPr/>
        <w:tc>
          <w:tcPr>
            <w:tcW w:w="93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1.</w:t>
            </w:r>
          </w:p>
        </w:tc>
        <w:tc>
          <w:tcPr>
            <w:tcW w:w="372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Number and Election of Directors</w:t>
            </w:r>
          </w:p>
        </w:tc>
        <w:tc>
          <w:tcPr>
            <w:tcW w:w="440" w:type="dxa"/>
            <w:tcBorders/>
            <w:shd w:fill="CCEEFF" w:val="cle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w:t>
            </w:r>
          </w:p>
        </w:tc>
      </w:tr>
      <w:tr>
        <w:trPr/>
        <w:tc>
          <w:tcPr>
            <w:tcW w:w="9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2.</w:t>
            </w:r>
          </w:p>
        </w:tc>
        <w:tc>
          <w:tcPr>
            <w:tcW w:w="37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Vacancies</w:t>
            </w:r>
          </w:p>
        </w:tc>
        <w:tc>
          <w:tcPr>
            <w:tcW w:w="440" w:type="dxa"/>
            <w:tcBorders/>
            <w:vAlign w:val="center"/>
          </w:tcPr>
          <w:p>
            <w:pPr>
              <w:pStyle w:val="TableContents"/>
              <w:bidi w:val="0"/>
              <w:spacing w:before="0" w:after="283"/>
              <w:jc w:val="right"/>
              <w:rPr>
                <w:sz w:val="20"/>
              </w:rPr>
            </w:pPr>
            <w:r>
              <w:rPr>
                <w:sz w:val="20"/>
              </w:rPr>
              <w:t>7</w:t>
            </w:r>
          </w:p>
        </w:tc>
      </w:tr>
      <w:tr>
        <w:trPr/>
        <w:tc>
          <w:tcPr>
            <w:tcW w:w="93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3.</w:t>
            </w:r>
          </w:p>
        </w:tc>
        <w:tc>
          <w:tcPr>
            <w:tcW w:w="372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Duties and Powers</w:t>
            </w:r>
          </w:p>
        </w:tc>
        <w:tc>
          <w:tcPr>
            <w:tcW w:w="440" w:type="dxa"/>
            <w:tcBorders/>
            <w:shd w:fill="CCEEFF" w:val="cle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w:t>
            </w:r>
          </w:p>
        </w:tc>
      </w:tr>
      <w:tr>
        <w:trPr/>
        <w:tc>
          <w:tcPr>
            <w:tcW w:w="9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4.</w:t>
            </w:r>
          </w:p>
        </w:tc>
        <w:tc>
          <w:tcPr>
            <w:tcW w:w="37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Meetings</w:t>
            </w:r>
          </w:p>
        </w:tc>
        <w:tc>
          <w:tcPr>
            <w:tcW w:w="440" w:type="dxa"/>
            <w:tcBorders/>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w:t>
            </w:r>
          </w:p>
        </w:tc>
      </w:tr>
      <w:tr>
        <w:trPr/>
        <w:tc>
          <w:tcPr>
            <w:tcW w:w="93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5.</w:t>
            </w:r>
          </w:p>
        </w:tc>
        <w:tc>
          <w:tcPr>
            <w:tcW w:w="372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Organization</w:t>
            </w:r>
          </w:p>
        </w:tc>
        <w:tc>
          <w:tcPr>
            <w:tcW w:w="440" w:type="dxa"/>
            <w:tcBorders/>
            <w:shd w:fill="CCEEFF" w:val="cle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w:t>
            </w:r>
          </w:p>
        </w:tc>
      </w:tr>
      <w:tr>
        <w:trPr/>
        <w:tc>
          <w:tcPr>
            <w:tcW w:w="9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6.</w:t>
            </w:r>
          </w:p>
        </w:tc>
        <w:tc>
          <w:tcPr>
            <w:tcW w:w="37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Resignations and Removals of Directors</w:t>
            </w:r>
          </w:p>
        </w:tc>
        <w:tc>
          <w:tcPr>
            <w:tcW w:w="440" w:type="dxa"/>
            <w:tcBorders/>
            <w:vAlign w:val="center"/>
          </w:tcPr>
          <w:p>
            <w:pPr>
              <w:pStyle w:val="TableContents"/>
              <w:bidi w:val="0"/>
              <w:spacing w:before="0" w:after="283"/>
              <w:jc w:val="right"/>
              <w:rPr>
                <w:sz w:val="20"/>
              </w:rPr>
            </w:pPr>
            <w:r>
              <w:rPr>
                <w:sz w:val="20"/>
              </w:rPr>
              <w:t>8</w:t>
            </w:r>
          </w:p>
        </w:tc>
      </w:tr>
      <w:tr>
        <w:trPr/>
        <w:tc>
          <w:tcPr>
            <w:tcW w:w="93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7.</w:t>
            </w:r>
          </w:p>
        </w:tc>
        <w:tc>
          <w:tcPr>
            <w:tcW w:w="372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Quorum</w:t>
            </w:r>
          </w:p>
        </w:tc>
        <w:tc>
          <w:tcPr>
            <w:tcW w:w="440" w:type="dxa"/>
            <w:tcBorders/>
            <w:shd w:fill="CCEEFF" w:val="cle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w:t>
            </w:r>
          </w:p>
        </w:tc>
      </w:tr>
      <w:tr>
        <w:trPr/>
        <w:tc>
          <w:tcPr>
            <w:tcW w:w="9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8.</w:t>
            </w:r>
          </w:p>
        </w:tc>
        <w:tc>
          <w:tcPr>
            <w:tcW w:w="37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Actions of the Board by Written Consent</w:t>
            </w:r>
          </w:p>
        </w:tc>
        <w:tc>
          <w:tcPr>
            <w:tcW w:w="440" w:type="dxa"/>
            <w:tcBorders/>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w:t>
            </w:r>
          </w:p>
        </w:tc>
      </w:tr>
      <w:tr>
        <w:trPr/>
        <w:tc>
          <w:tcPr>
            <w:tcW w:w="93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9.</w:t>
            </w:r>
          </w:p>
        </w:tc>
        <w:tc>
          <w:tcPr>
            <w:tcW w:w="372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Meetings by Means of Conference Telephone</w:t>
            </w:r>
          </w:p>
        </w:tc>
        <w:tc>
          <w:tcPr>
            <w:tcW w:w="440" w:type="dxa"/>
            <w:tcBorders/>
            <w:shd w:fill="CCEEFF" w:val="cle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w:t>
            </w:r>
          </w:p>
        </w:tc>
      </w:tr>
      <w:tr>
        <w:trPr/>
        <w:tc>
          <w:tcPr>
            <w:tcW w:w="9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10.</w:t>
            </w:r>
          </w:p>
        </w:tc>
        <w:tc>
          <w:tcPr>
            <w:tcW w:w="37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Committees</w:t>
            </w:r>
          </w:p>
        </w:tc>
        <w:tc>
          <w:tcPr>
            <w:tcW w:w="440" w:type="dxa"/>
            <w:tcBorders/>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w:t>
            </w:r>
          </w:p>
        </w:tc>
      </w:tr>
      <w:tr>
        <w:trPr/>
        <w:tc>
          <w:tcPr>
            <w:tcW w:w="93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11.</w:t>
            </w:r>
          </w:p>
        </w:tc>
        <w:tc>
          <w:tcPr>
            <w:tcW w:w="372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Subcommittees</w:t>
            </w:r>
          </w:p>
        </w:tc>
        <w:tc>
          <w:tcPr>
            <w:tcW w:w="440" w:type="dxa"/>
            <w:tcBorders/>
            <w:shd w:fill="CCEEFF" w:val="cle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w:t>
            </w:r>
          </w:p>
        </w:tc>
      </w:tr>
      <w:tr>
        <w:trPr/>
        <w:tc>
          <w:tcPr>
            <w:tcW w:w="9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12.</w:t>
            </w:r>
          </w:p>
        </w:tc>
        <w:tc>
          <w:tcPr>
            <w:tcW w:w="37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Compensation</w:t>
            </w:r>
          </w:p>
        </w:tc>
        <w:tc>
          <w:tcPr>
            <w:tcW w:w="440" w:type="dxa"/>
            <w:tcBorders/>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w:t>
            </w:r>
          </w:p>
        </w:tc>
      </w:tr>
      <w:tr>
        <w:trPr/>
        <w:tc>
          <w:tcPr>
            <w:tcW w:w="93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13.</w:t>
            </w:r>
          </w:p>
        </w:tc>
        <w:tc>
          <w:tcPr>
            <w:tcW w:w="372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Interested Directors</w:t>
            </w:r>
          </w:p>
        </w:tc>
        <w:tc>
          <w:tcPr>
            <w:tcW w:w="440" w:type="dxa"/>
            <w:tcBorders/>
            <w:shd w:fill="CCEEFF" w:val="clear"/>
            <w:vAlign w:val="center"/>
          </w:tcPr>
          <w:p>
            <w:pPr>
              <w:pStyle w:val="TableContents"/>
              <w:bidi w:val="0"/>
              <w:spacing w:before="0" w:after="283"/>
              <w:jc w:val="right"/>
              <w:rPr>
                <w:sz w:val="20"/>
              </w:rPr>
            </w:pPr>
            <w:r>
              <w:rPr>
                <w:sz w:val="20"/>
              </w:rPr>
              <w:t>10</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w:t>
      </w:r>
    </w:p>
    <w:p>
      <w:pPr>
        <w:pStyle w:val="HorizontalLine"/>
        <w:pBdr>
          <w:bottom w:val="single" w:sz="12" w:space="0" w:color="808080"/>
        </w:pBdr>
        <w:bidi w:val="0"/>
        <w:spacing w:before="200" w:after="200"/>
        <w:jc w:val="left"/>
        <w:rPr/>
      </w:pPr>
      <w:r>
        <w:rPr/>
      </w:r>
    </w:p>
    <w:tbl>
      <w:tblPr>
        <w:tblW w:w="4800" w:type="dxa"/>
        <w:jc w:val="left"/>
        <w:tblInd w:w="0" w:type="dxa"/>
        <w:tblLayout w:type="fixed"/>
        <w:tblCellMar>
          <w:top w:w="0" w:type="dxa"/>
          <w:left w:w="0" w:type="dxa"/>
          <w:bottom w:w="0" w:type="dxa"/>
          <w:right w:w="0" w:type="dxa"/>
        </w:tblCellMar>
      </w:tblPr>
      <w:tblGrid>
        <w:gridCol w:w="935"/>
        <w:gridCol w:w="3635"/>
        <w:gridCol w:w="230"/>
      </w:tblGrid>
      <w:tr>
        <w:trPr/>
        <w:tc>
          <w:tcPr>
            <w:tcW w:w="4800" w:type="dxa"/>
            <w:gridSpan w:val="3"/>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ARTICLE IV</w:t>
            </w:r>
          </w:p>
        </w:tc>
      </w:tr>
      <w:tr>
        <w:trPr/>
        <w:tc>
          <w:tcPr>
            <w:tcW w:w="4570" w:type="dxa"/>
            <w:gridSpan w:val="2"/>
            <w:tcBorders/>
            <w:vAlign w:val="center"/>
          </w:tcPr>
          <w:p>
            <w:pPr>
              <w:pStyle w:val="TableContents"/>
              <w:bidi w:val="0"/>
              <w:spacing w:before="0" w:after="283"/>
              <w:jc w:val="left"/>
              <w:rPr>
                <w:color w:val="000000"/>
              </w:rPr>
            </w:pPr>
            <w:r>
              <w:rPr>
                <w:color w:val="000000"/>
              </w:rPr>
              <w:t> </w:t>
            </w:r>
          </w:p>
        </w:tc>
        <w:tc>
          <w:tcPr>
            <w:tcW w:w="230" w:type="dxa"/>
            <w:tcBorders/>
            <w:vAlign w:val="center"/>
          </w:tcPr>
          <w:p>
            <w:pPr>
              <w:pStyle w:val="TableContents"/>
              <w:bidi w:val="0"/>
              <w:spacing w:before="0" w:after="283"/>
              <w:jc w:val="right"/>
              <w:rPr>
                <w:color w:val="000000"/>
              </w:rPr>
            </w:pPr>
            <w:r>
              <w:rPr>
                <w:color w:val="000000"/>
              </w:rPr>
              <w:t> </w:t>
            </w:r>
          </w:p>
        </w:tc>
      </w:tr>
      <w:tr>
        <w:trPr/>
        <w:tc>
          <w:tcPr>
            <w:tcW w:w="4800" w:type="dxa"/>
            <w:gridSpan w:val="3"/>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OFFICERS</w:t>
            </w:r>
          </w:p>
        </w:tc>
      </w:tr>
      <w:tr>
        <w:trPr/>
        <w:tc>
          <w:tcPr>
            <w:tcW w:w="457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color w:val="000000"/>
              </w:rPr>
            </w:pPr>
            <w:r>
              <w:rPr>
                <w:color w:val="000000"/>
              </w:rPr>
              <w:t> </w:t>
            </w:r>
          </w:p>
        </w:tc>
      </w:tr>
      <w:tr>
        <w:trPr/>
        <w:tc>
          <w:tcPr>
            <w:tcW w:w="93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1.</w:t>
            </w:r>
          </w:p>
        </w:tc>
        <w:tc>
          <w:tcPr>
            <w:tcW w:w="363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General</w:t>
            </w:r>
          </w:p>
        </w:tc>
        <w:tc>
          <w:tcPr>
            <w:tcW w:w="230" w:type="dxa"/>
            <w:tcBorders/>
            <w:shd w:fill="CCEEFF" w:val="cle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w:t>
            </w:r>
          </w:p>
        </w:tc>
      </w:tr>
      <w:tr>
        <w:trPr/>
        <w:tc>
          <w:tcPr>
            <w:tcW w:w="9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2.</w:t>
            </w:r>
          </w:p>
        </w:tc>
        <w:tc>
          <w:tcPr>
            <w:tcW w:w="36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Election</w:t>
            </w:r>
          </w:p>
        </w:tc>
        <w:tc>
          <w:tcPr>
            <w:tcW w:w="230" w:type="dxa"/>
            <w:tcBorders/>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w:t>
            </w:r>
          </w:p>
        </w:tc>
      </w:tr>
      <w:tr>
        <w:trPr/>
        <w:tc>
          <w:tcPr>
            <w:tcW w:w="93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3.</w:t>
            </w:r>
          </w:p>
        </w:tc>
        <w:tc>
          <w:tcPr>
            <w:tcW w:w="363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Voting Securities Owned by the Corporation</w:t>
            </w:r>
          </w:p>
        </w:tc>
        <w:tc>
          <w:tcPr>
            <w:tcW w:w="230" w:type="dxa"/>
            <w:tcBorders/>
            <w:shd w:fill="CCEEFF" w:val="clear"/>
            <w:vAlign w:val="center"/>
          </w:tcPr>
          <w:p>
            <w:pPr>
              <w:pStyle w:val="TableContents"/>
              <w:bidi w:val="0"/>
              <w:spacing w:before="0" w:after="283"/>
              <w:jc w:val="right"/>
              <w:rPr>
                <w:sz w:val="20"/>
              </w:rPr>
            </w:pPr>
            <w:r>
              <w:rPr>
                <w:sz w:val="20"/>
              </w:rPr>
              <w:t>11</w:t>
            </w:r>
          </w:p>
        </w:tc>
      </w:tr>
      <w:tr>
        <w:trPr/>
        <w:tc>
          <w:tcPr>
            <w:tcW w:w="9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4.</w:t>
            </w:r>
          </w:p>
        </w:tc>
        <w:tc>
          <w:tcPr>
            <w:tcW w:w="36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Chairman of the Board of Directors</w:t>
            </w:r>
          </w:p>
        </w:tc>
        <w:tc>
          <w:tcPr>
            <w:tcW w:w="230" w:type="dxa"/>
            <w:tcBorders/>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w:t>
            </w:r>
          </w:p>
        </w:tc>
      </w:tr>
      <w:tr>
        <w:trPr/>
        <w:tc>
          <w:tcPr>
            <w:tcW w:w="93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5.</w:t>
            </w:r>
          </w:p>
        </w:tc>
        <w:tc>
          <w:tcPr>
            <w:tcW w:w="363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President</w:t>
            </w:r>
          </w:p>
        </w:tc>
        <w:tc>
          <w:tcPr>
            <w:tcW w:w="230" w:type="dxa"/>
            <w:tcBorders/>
            <w:shd w:fill="CCEEFF" w:val="cle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w:t>
            </w:r>
          </w:p>
        </w:tc>
      </w:tr>
      <w:tr>
        <w:trPr/>
        <w:tc>
          <w:tcPr>
            <w:tcW w:w="9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6.</w:t>
            </w:r>
          </w:p>
        </w:tc>
        <w:tc>
          <w:tcPr>
            <w:tcW w:w="36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Vice Presidents</w:t>
            </w:r>
          </w:p>
        </w:tc>
        <w:tc>
          <w:tcPr>
            <w:tcW w:w="230" w:type="dxa"/>
            <w:tcBorders/>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w:t>
            </w:r>
          </w:p>
        </w:tc>
      </w:tr>
      <w:tr>
        <w:trPr/>
        <w:tc>
          <w:tcPr>
            <w:tcW w:w="93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7.</w:t>
            </w:r>
          </w:p>
        </w:tc>
        <w:tc>
          <w:tcPr>
            <w:tcW w:w="363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Secretary</w:t>
            </w:r>
          </w:p>
        </w:tc>
        <w:tc>
          <w:tcPr>
            <w:tcW w:w="230" w:type="dxa"/>
            <w:tcBorders/>
            <w:shd w:fill="CCEEFF" w:val="cle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w:t>
            </w:r>
          </w:p>
        </w:tc>
      </w:tr>
      <w:tr>
        <w:trPr/>
        <w:tc>
          <w:tcPr>
            <w:tcW w:w="9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8.</w:t>
            </w:r>
          </w:p>
        </w:tc>
        <w:tc>
          <w:tcPr>
            <w:tcW w:w="36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Treasurer</w:t>
            </w:r>
          </w:p>
        </w:tc>
        <w:tc>
          <w:tcPr>
            <w:tcW w:w="230" w:type="dxa"/>
            <w:tcBorders/>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w:t>
            </w:r>
          </w:p>
        </w:tc>
      </w:tr>
      <w:tr>
        <w:trPr/>
        <w:tc>
          <w:tcPr>
            <w:tcW w:w="93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9.</w:t>
            </w:r>
          </w:p>
        </w:tc>
        <w:tc>
          <w:tcPr>
            <w:tcW w:w="363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Assistant Secretaries</w:t>
            </w:r>
          </w:p>
        </w:tc>
        <w:tc>
          <w:tcPr>
            <w:tcW w:w="230" w:type="dxa"/>
            <w:tcBorders/>
            <w:shd w:fill="CCEEFF" w:val="cle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w:t>
            </w:r>
          </w:p>
        </w:tc>
      </w:tr>
      <w:tr>
        <w:trPr/>
        <w:tc>
          <w:tcPr>
            <w:tcW w:w="9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10.</w:t>
            </w:r>
          </w:p>
        </w:tc>
        <w:tc>
          <w:tcPr>
            <w:tcW w:w="36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Assistant Treasurers</w:t>
            </w:r>
          </w:p>
        </w:tc>
        <w:tc>
          <w:tcPr>
            <w:tcW w:w="230" w:type="dxa"/>
            <w:tcBorders/>
            <w:vAlign w:val="center"/>
          </w:tcPr>
          <w:p>
            <w:pPr>
              <w:pStyle w:val="TableContents"/>
              <w:bidi w:val="0"/>
              <w:spacing w:before="0" w:after="283"/>
              <w:jc w:val="right"/>
              <w:rPr>
                <w:sz w:val="20"/>
              </w:rPr>
            </w:pPr>
            <w:r>
              <w:rPr>
                <w:sz w:val="20"/>
              </w:rPr>
              <w:t>13</w:t>
            </w:r>
          </w:p>
        </w:tc>
      </w:tr>
      <w:tr>
        <w:trPr/>
        <w:tc>
          <w:tcPr>
            <w:tcW w:w="93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11.</w:t>
            </w:r>
          </w:p>
        </w:tc>
        <w:tc>
          <w:tcPr>
            <w:tcW w:w="363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Other Officers</w:t>
            </w:r>
          </w:p>
        </w:tc>
        <w:tc>
          <w:tcPr>
            <w:tcW w:w="230" w:type="dxa"/>
            <w:tcBorders/>
            <w:shd w:fill="CCEEFF" w:val="cle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w:t>
            </w:r>
          </w:p>
        </w:tc>
      </w:tr>
      <w:tr>
        <w:trPr/>
        <w:tc>
          <w:tcPr>
            <w:tcW w:w="457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color w:val="000000"/>
              </w:rPr>
            </w:pPr>
            <w:r>
              <w:rPr>
                <w:color w:val="000000"/>
              </w:rPr>
              <w:t> </w:t>
            </w:r>
          </w:p>
        </w:tc>
      </w:tr>
      <w:tr>
        <w:trPr/>
        <w:tc>
          <w:tcPr>
            <w:tcW w:w="4800" w:type="dxa"/>
            <w:gridSpan w:val="3"/>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ARTICLE V</w:t>
            </w:r>
          </w:p>
        </w:tc>
      </w:tr>
      <w:tr>
        <w:trPr/>
        <w:tc>
          <w:tcPr>
            <w:tcW w:w="4570" w:type="dxa"/>
            <w:gridSpan w:val="2"/>
            <w:tcBorders/>
            <w:vAlign w:val="center"/>
          </w:tcPr>
          <w:p>
            <w:pPr>
              <w:pStyle w:val="TableContents"/>
              <w:bidi w:val="0"/>
              <w:spacing w:before="0" w:after="283"/>
              <w:jc w:val="left"/>
              <w:rPr>
                <w:color w:val="000000"/>
              </w:rPr>
            </w:pPr>
            <w:r>
              <w:rPr>
                <w:color w:val="000000"/>
              </w:rPr>
              <w:t> </w:t>
            </w:r>
          </w:p>
        </w:tc>
        <w:tc>
          <w:tcPr>
            <w:tcW w:w="230" w:type="dxa"/>
            <w:tcBorders/>
            <w:vAlign w:val="center"/>
          </w:tcPr>
          <w:p>
            <w:pPr>
              <w:pStyle w:val="TableContents"/>
              <w:bidi w:val="0"/>
              <w:spacing w:before="0" w:after="283"/>
              <w:jc w:val="right"/>
              <w:rPr>
                <w:color w:val="000000"/>
              </w:rPr>
            </w:pPr>
            <w:r>
              <w:rPr>
                <w:color w:val="000000"/>
              </w:rPr>
              <w:t> </w:t>
            </w:r>
          </w:p>
        </w:tc>
      </w:tr>
      <w:tr>
        <w:trPr/>
        <w:tc>
          <w:tcPr>
            <w:tcW w:w="4800" w:type="dxa"/>
            <w:gridSpan w:val="3"/>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STOCK</w:t>
            </w:r>
          </w:p>
        </w:tc>
      </w:tr>
      <w:tr>
        <w:trPr/>
        <w:tc>
          <w:tcPr>
            <w:tcW w:w="457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color w:val="000000"/>
              </w:rPr>
            </w:pPr>
            <w:r>
              <w:rPr>
                <w:color w:val="000000"/>
              </w:rPr>
              <w:t> </w:t>
            </w:r>
          </w:p>
        </w:tc>
      </w:tr>
      <w:tr>
        <w:trPr/>
        <w:tc>
          <w:tcPr>
            <w:tcW w:w="93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1.</w:t>
            </w:r>
          </w:p>
        </w:tc>
        <w:tc>
          <w:tcPr>
            <w:tcW w:w="363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Stock Certificates</w:t>
            </w:r>
          </w:p>
        </w:tc>
        <w:tc>
          <w:tcPr>
            <w:tcW w:w="230" w:type="dxa"/>
            <w:tcBorders/>
            <w:shd w:fill="CCEEFF" w:val="cle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w:t>
            </w:r>
          </w:p>
        </w:tc>
      </w:tr>
      <w:tr>
        <w:trPr/>
        <w:tc>
          <w:tcPr>
            <w:tcW w:w="9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2.</w:t>
            </w:r>
          </w:p>
        </w:tc>
        <w:tc>
          <w:tcPr>
            <w:tcW w:w="36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Lost Certificates</w:t>
            </w:r>
          </w:p>
        </w:tc>
        <w:tc>
          <w:tcPr>
            <w:tcW w:w="230" w:type="dxa"/>
            <w:tcBorders/>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w:t>
            </w:r>
          </w:p>
        </w:tc>
      </w:tr>
      <w:tr>
        <w:trPr/>
        <w:tc>
          <w:tcPr>
            <w:tcW w:w="93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3.</w:t>
            </w:r>
          </w:p>
        </w:tc>
        <w:tc>
          <w:tcPr>
            <w:tcW w:w="363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Transfers</w:t>
            </w:r>
          </w:p>
        </w:tc>
        <w:tc>
          <w:tcPr>
            <w:tcW w:w="230" w:type="dxa"/>
            <w:tcBorders/>
            <w:shd w:fill="CCEEFF" w:val="clear"/>
            <w:vAlign w:val="center"/>
          </w:tcPr>
          <w:p>
            <w:pPr>
              <w:pStyle w:val="TableContents"/>
              <w:bidi w:val="0"/>
              <w:spacing w:before="0" w:after="283"/>
              <w:jc w:val="right"/>
              <w:rPr>
                <w:sz w:val="20"/>
              </w:rPr>
            </w:pPr>
            <w:r>
              <w:rPr>
                <w:sz w:val="20"/>
              </w:rPr>
              <w:t>14</w:t>
            </w:r>
          </w:p>
        </w:tc>
      </w:tr>
      <w:tr>
        <w:trPr/>
        <w:tc>
          <w:tcPr>
            <w:tcW w:w="9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4.</w:t>
            </w:r>
          </w:p>
        </w:tc>
        <w:tc>
          <w:tcPr>
            <w:tcW w:w="36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Dividend Record Date</w:t>
            </w:r>
          </w:p>
        </w:tc>
        <w:tc>
          <w:tcPr>
            <w:tcW w:w="230" w:type="dxa"/>
            <w:tcBorders/>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w:t>
            </w:r>
          </w:p>
        </w:tc>
      </w:tr>
      <w:tr>
        <w:trPr/>
        <w:tc>
          <w:tcPr>
            <w:tcW w:w="93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5.</w:t>
            </w:r>
          </w:p>
        </w:tc>
        <w:tc>
          <w:tcPr>
            <w:tcW w:w="363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Record Owners</w:t>
            </w:r>
          </w:p>
        </w:tc>
        <w:tc>
          <w:tcPr>
            <w:tcW w:w="230" w:type="dxa"/>
            <w:tcBorders/>
            <w:shd w:fill="CCEEFF" w:val="cle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w:t>
            </w:r>
          </w:p>
        </w:tc>
      </w:tr>
      <w:tr>
        <w:trPr/>
        <w:tc>
          <w:tcPr>
            <w:tcW w:w="9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6.</w:t>
            </w:r>
          </w:p>
        </w:tc>
        <w:tc>
          <w:tcPr>
            <w:tcW w:w="36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Transfer and Registry Agents</w:t>
            </w:r>
          </w:p>
        </w:tc>
        <w:tc>
          <w:tcPr>
            <w:tcW w:w="230" w:type="dxa"/>
            <w:tcBorders/>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w:t>
            </w:r>
          </w:p>
        </w:tc>
      </w:tr>
      <w:tr>
        <w:trPr/>
        <w:tc>
          <w:tcPr>
            <w:tcW w:w="457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color w:val="000000"/>
              </w:rPr>
            </w:pPr>
            <w:r>
              <w:rPr>
                <w:color w:val="000000"/>
              </w:rPr>
              <w:t> </w:t>
            </w:r>
          </w:p>
        </w:tc>
      </w:tr>
      <w:tr>
        <w:trPr/>
        <w:tc>
          <w:tcPr>
            <w:tcW w:w="4800" w:type="dxa"/>
            <w:gridSpan w:val="3"/>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ARTICLE VI</w:t>
            </w:r>
          </w:p>
        </w:tc>
      </w:tr>
      <w:tr>
        <w:trPr/>
        <w:tc>
          <w:tcPr>
            <w:tcW w:w="4570" w:type="dxa"/>
            <w:gridSpan w:val="2"/>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right"/>
              <w:rPr>
                <w:color w:val="000000"/>
              </w:rPr>
            </w:pPr>
            <w:r>
              <w:rPr>
                <w:color w:val="000000"/>
              </w:rPr>
              <w:t> </w:t>
            </w:r>
          </w:p>
        </w:tc>
      </w:tr>
      <w:tr>
        <w:trPr/>
        <w:tc>
          <w:tcPr>
            <w:tcW w:w="4800" w:type="dxa"/>
            <w:gridSpan w:val="3"/>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NOTICES</w:t>
            </w:r>
          </w:p>
        </w:tc>
      </w:tr>
      <w:tr>
        <w:trPr/>
        <w:tc>
          <w:tcPr>
            <w:tcW w:w="457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color w:val="000000"/>
              </w:rPr>
            </w:pPr>
            <w:r>
              <w:rPr>
                <w:color w:val="000000"/>
              </w:rPr>
              <w:t> </w:t>
            </w:r>
          </w:p>
        </w:tc>
      </w:tr>
      <w:tr>
        <w:trPr/>
        <w:tc>
          <w:tcPr>
            <w:tcW w:w="93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1.</w:t>
            </w:r>
          </w:p>
        </w:tc>
        <w:tc>
          <w:tcPr>
            <w:tcW w:w="363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Notices</w:t>
            </w:r>
          </w:p>
        </w:tc>
        <w:tc>
          <w:tcPr>
            <w:tcW w:w="230" w:type="dxa"/>
            <w:tcBorders/>
            <w:shd w:fill="CCEEFF" w:val="clear"/>
            <w:vAlign w:val="center"/>
          </w:tcPr>
          <w:p>
            <w:pPr>
              <w:pStyle w:val="TableContents"/>
              <w:bidi w:val="0"/>
              <w:spacing w:before="0" w:after="283"/>
              <w:jc w:val="right"/>
              <w:rPr>
                <w:sz w:val="20"/>
              </w:rPr>
            </w:pPr>
            <w:r>
              <w:rPr>
                <w:sz w:val="20"/>
              </w:rPr>
              <w:t>15</w:t>
            </w:r>
          </w:p>
        </w:tc>
      </w:tr>
      <w:tr>
        <w:trPr/>
        <w:tc>
          <w:tcPr>
            <w:tcW w:w="9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2.</w:t>
            </w:r>
          </w:p>
        </w:tc>
        <w:tc>
          <w:tcPr>
            <w:tcW w:w="36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Waivers of Notice</w:t>
            </w:r>
          </w:p>
        </w:tc>
        <w:tc>
          <w:tcPr>
            <w:tcW w:w="230" w:type="dxa"/>
            <w:tcBorders/>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w:t>
            </w:r>
          </w:p>
        </w:tc>
      </w:tr>
      <w:tr>
        <w:trPr/>
        <w:tc>
          <w:tcPr>
            <w:tcW w:w="457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color w:val="000000"/>
              </w:rPr>
            </w:pPr>
            <w:r>
              <w:rPr>
                <w:color w:val="000000"/>
              </w:rPr>
              <w:t> </w:t>
            </w:r>
          </w:p>
        </w:tc>
      </w:tr>
      <w:tr>
        <w:trPr/>
        <w:tc>
          <w:tcPr>
            <w:tcW w:w="4800" w:type="dxa"/>
            <w:gridSpan w:val="3"/>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ARTICLE VII</w:t>
            </w:r>
          </w:p>
        </w:tc>
      </w:tr>
      <w:tr>
        <w:trPr/>
        <w:tc>
          <w:tcPr>
            <w:tcW w:w="4570" w:type="dxa"/>
            <w:gridSpan w:val="2"/>
            <w:tcBorders/>
            <w:vAlign w:val="center"/>
          </w:tcPr>
          <w:p>
            <w:pPr>
              <w:pStyle w:val="TableContents"/>
              <w:bidi w:val="0"/>
              <w:spacing w:before="0" w:after="283"/>
              <w:jc w:val="left"/>
              <w:rPr>
                <w:color w:val="000000"/>
              </w:rPr>
            </w:pPr>
            <w:r>
              <w:rPr>
                <w:color w:val="000000"/>
              </w:rPr>
              <w:t> </w:t>
            </w:r>
          </w:p>
        </w:tc>
        <w:tc>
          <w:tcPr>
            <w:tcW w:w="230" w:type="dxa"/>
            <w:tcBorders/>
            <w:vAlign w:val="center"/>
          </w:tcPr>
          <w:p>
            <w:pPr>
              <w:pStyle w:val="TableContents"/>
              <w:bidi w:val="0"/>
              <w:spacing w:before="0" w:after="283"/>
              <w:jc w:val="right"/>
              <w:rPr>
                <w:color w:val="000000"/>
              </w:rPr>
            </w:pPr>
            <w:r>
              <w:rPr>
                <w:color w:val="000000"/>
              </w:rPr>
              <w:t> </w:t>
            </w:r>
          </w:p>
        </w:tc>
      </w:tr>
      <w:tr>
        <w:trPr/>
        <w:tc>
          <w:tcPr>
            <w:tcW w:w="4800" w:type="dxa"/>
            <w:gridSpan w:val="3"/>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GENERAL PROVISIONS</w:t>
            </w:r>
          </w:p>
        </w:tc>
      </w:tr>
      <w:tr>
        <w:trPr/>
        <w:tc>
          <w:tcPr>
            <w:tcW w:w="457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color w:val="000000"/>
              </w:rPr>
            </w:pPr>
            <w:r>
              <w:rPr>
                <w:color w:val="000000"/>
              </w:rPr>
              <w:t> </w:t>
            </w:r>
          </w:p>
        </w:tc>
      </w:tr>
      <w:tr>
        <w:trPr/>
        <w:tc>
          <w:tcPr>
            <w:tcW w:w="93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1.</w:t>
            </w:r>
          </w:p>
        </w:tc>
        <w:tc>
          <w:tcPr>
            <w:tcW w:w="363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Dividends</w:t>
            </w:r>
          </w:p>
        </w:tc>
        <w:tc>
          <w:tcPr>
            <w:tcW w:w="230" w:type="dxa"/>
            <w:tcBorders/>
            <w:shd w:fill="CCEEFF" w:val="clear"/>
            <w:vAlign w:val="center"/>
          </w:tcPr>
          <w:p>
            <w:pPr>
              <w:pStyle w:val="TableContents"/>
              <w:bidi w:val="0"/>
              <w:spacing w:before="0" w:after="283"/>
              <w:jc w:val="right"/>
              <w:rPr>
                <w:sz w:val="20"/>
              </w:rPr>
            </w:pPr>
            <w:r>
              <w:rPr>
                <w:sz w:val="20"/>
              </w:rPr>
              <w:t>16</w:t>
            </w:r>
          </w:p>
        </w:tc>
      </w:tr>
      <w:tr>
        <w:trPr/>
        <w:tc>
          <w:tcPr>
            <w:tcW w:w="9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2.</w:t>
            </w:r>
          </w:p>
        </w:tc>
        <w:tc>
          <w:tcPr>
            <w:tcW w:w="36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Disbursements</w:t>
            </w:r>
          </w:p>
        </w:tc>
        <w:tc>
          <w:tcPr>
            <w:tcW w:w="230" w:type="dxa"/>
            <w:tcBorders/>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w:t>
            </w:r>
          </w:p>
        </w:tc>
      </w:tr>
      <w:tr>
        <w:trPr/>
        <w:tc>
          <w:tcPr>
            <w:tcW w:w="93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3.</w:t>
            </w:r>
          </w:p>
        </w:tc>
        <w:tc>
          <w:tcPr>
            <w:tcW w:w="363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Fiscal Year</w:t>
            </w:r>
          </w:p>
        </w:tc>
        <w:tc>
          <w:tcPr>
            <w:tcW w:w="230" w:type="dxa"/>
            <w:tcBorders/>
            <w:shd w:fill="CCEEFF" w:val="cle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w:t>
            </w:r>
          </w:p>
        </w:tc>
      </w:tr>
      <w:tr>
        <w:trPr/>
        <w:tc>
          <w:tcPr>
            <w:tcW w:w="9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4.</w:t>
            </w:r>
          </w:p>
        </w:tc>
        <w:tc>
          <w:tcPr>
            <w:tcW w:w="36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Corporate Seal</w:t>
            </w:r>
          </w:p>
        </w:tc>
        <w:tc>
          <w:tcPr>
            <w:tcW w:w="230" w:type="dxa"/>
            <w:tcBorders/>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ii</w:t>
      </w:r>
    </w:p>
    <w:p>
      <w:pPr>
        <w:pStyle w:val="HorizontalLine"/>
        <w:pBdr>
          <w:bottom w:val="single" w:sz="12" w:space="0" w:color="808080"/>
        </w:pBdr>
        <w:bidi w:val="0"/>
        <w:spacing w:before="200" w:after="200"/>
        <w:jc w:val="left"/>
        <w:rPr/>
      </w:pPr>
      <w:r>
        <w:rPr/>
      </w:r>
    </w:p>
    <w:tbl>
      <w:tblPr>
        <w:tblW w:w="9840" w:type="dxa"/>
        <w:jc w:val="left"/>
        <w:tblInd w:w="0" w:type="dxa"/>
        <w:tblLayout w:type="fixed"/>
        <w:tblCellMar>
          <w:top w:w="0" w:type="dxa"/>
          <w:left w:w="0" w:type="dxa"/>
          <w:bottom w:w="0" w:type="dxa"/>
          <w:right w:w="0" w:type="dxa"/>
        </w:tblCellMar>
      </w:tblPr>
      <w:tblGrid>
        <w:gridCol w:w="935"/>
        <w:gridCol w:w="8675"/>
        <w:gridCol w:w="230"/>
      </w:tblGrid>
      <w:tr>
        <w:trPr/>
        <w:tc>
          <w:tcPr>
            <w:tcW w:w="9840" w:type="dxa"/>
            <w:gridSpan w:val="3"/>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ARTICLE VIII</w:t>
            </w:r>
          </w:p>
        </w:tc>
      </w:tr>
      <w:tr>
        <w:trPr/>
        <w:tc>
          <w:tcPr>
            <w:tcW w:w="9610" w:type="dxa"/>
            <w:gridSpan w:val="2"/>
            <w:tcBorders/>
            <w:vAlign w:val="center"/>
          </w:tcPr>
          <w:p>
            <w:pPr>
              <w:pStyle w:val="TableContents"/>
              <w:bidi w:val="0"/>
              <w:spacing w:before="0" w:after="283"/>
              <w:jc w:val="left"/>
              <w:rPr>
                <w:color w:val="000000"/>
              </w:rPr>
            </w:pPr>
            <w:r>
              <w:rPr>
                <w:color w:val="000000"/>
              </w:rPr>
              <w:t> </w:t>
            </w:r>
          </w:p>
        </w:tc>
        <w:tc>
          <w:tcPr>
            <w:tcW w:w="230" w:type="dxa"/>
            <w:tcBorders/>
            <w:vAlign w:val="center"/>
          </w:tcPr>
          <w:p>
            <w:pPr>
              <w:pStyle w:val="TableContents"/>
              <w:bidi w:val="0"/>
              <w:spacing w:before="0" w:after="283"/>
              <w:jc w:val="right"/>
              <w:rPr>
                <w:color w:val="000000"/>
              </w:rPr>
            </w:pPr>
            <w:r>
              <w:rPr>
                <w:color w:val="000000"/>
              </w:rPr>
              <w:t> </w:t>
            </w:r>
          </w:p>
        </w:tc>
      </w:tr>
      <w:tr>
        <w:trPr/>
        <w:tc>
          <w:tcPr>
            <w:tcW w:w="9840" w:type="dxa"/>
            <w:gridSpan w:val="3"/>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INDEMNIFICATION</w:t>
            </w:r>
          </w:p>
        </w:tc>
      </w:tr>
      <w:tr>
        <w:trPr/>
        <w:tc>
          <w:tcPr>
            <w:tcW w:w="961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color w:val="000000"/>
              </w:rPr>
            </w:pPr>
            <w:r>
              <w:rPr>
                <w:color w:val="000000"/>
              </w:rPr>
              <w:t> </w:t>
            </w:r>
          </w:p>
        </w:tc>
      </w:tr>
      <w:tr>
        <w:trPr/>
        <w:tc>
          <w:tcPr>
            <w:tcW w:w="93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1.</w:t>
            </w:r>
          </w:p>
        </w:tc>
        <w:tc>
          <w:tcPr>
            <w:tcW w:w="867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Power to Indemnify in Actions, Suits or Proceedings other than Those by or in the Right of the Corporation</w:t>
            </w:r>
          </w:p>
        </w:tc>
        <w:tc>
          <w:tcPr>
            <w:tcW w:w="230" w:type="dxa"/>
            <w:tcBorders/>
            <w:shd w:fill="CCEEFF" w:val="cle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w:t>
            </w:r>
          </w:p>
        </w:tc>
      </w:tr>
      <w:tr>
        <w:trPr/>
        <w:tc>
          <w:tcPr>
            <w:tcW w:w="9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2.</w:t>
            </w:r>
          </w:p>
        </w:tc>
        <w:tc>
          <w:tcPr>
            <w:tcW w:w="867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Power to Indemnify in Actions, Suits or Proceedings by or in the Right of the Corporation</w:t>
            </w:r>
          </w:p>
        </w:tc>
        <w:tc>
          <w:tcPr>
            <w:tcW w:w="230" w:type="dxa"/>
            <w:tcBorders/>
            <w:vAlign w:val="center"/>
          </w:tcPr>
          <w:p>
            <w:pPr>
              <w:pStyle w:val="TableContents"/>
              <w:bidi w:val="0"/>
              <w:spacing w:before="0" w:after="283"/>
              <w:jc w:val="right"/>
              <w:rPr>
                <w:sz w:val="20"/>
              </w:rPr>
            </w:pPr>
            <w:r>
              <w:rPr>
                <w:sz w:val="20"/>
              </w:rPr>
              <w:t>17</w:t>
            </w:r>
          </w:p>
        </w:tc>
      </w:tr>
      <w:tr>
        <w:trPr/>
        <w:tc>
          <w:tcPr>
            <w:tcW w:w="93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3.</w:t>
            </w:r>
          </w:p>
        </w:tc>
        <w:tc>
          <w:tcPr>
            <w:tcW w:w="867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Authorization of Indemnification</w:t>
            </w:r>
          </w:p>
        </w:tc>
        <w:tc>
          <w:tcPr>
            <w:tcW w:w="230" w:type="dxa"/>
            <w:tcBorders/>
            <w:shd w:fill="CCEEFF" w:val="cle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w:t>
            </w:r>
          </w:p>
        </w:tc>
      </w:tr>
      <w:tr>
        <w:trPr/>
        <w:tc>
          <w:tcPr>
            <w:tcW w:w="9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4.</w:t>
            </w:r>
          </w:p>
        </w:tc>
        <w:tc>
          <w:tcPr>
            <w:tcW w:w="867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Good Faith Defined</w:t>
            </w:r>
          </w:p>
        </w:tc>
        <w:tc>
          <w:tcPr>
            <w:tcW w:w="230" w:type="dxa"/>
            <w:tcBorders/>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w:t>
            </w:r>
          </w:p>
        </w:tc>
      </w:tr>
      <w:tr>
        <w:trPr/>
        <w:tc>
          <w:tcPr>
            <w:tcW w:w="93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5.</w:t>
            </w:r>
          </w:p>
        </w:tc>
        <w:tc>
          <w:tcPr>
            <w:tcW w:w="867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Indemnification by a Court</w:t>
            </w:r>
          </w:p>
        </w:tc>
        <w:tc>
          <w:tcPr>
            <w:tcW w:w="230" w:type="dxa"/>
            <w:tcBorders/>
            <w:shd w:fill="CCEEFF" w:val="clear"/>
            <w:vAlign w:val="center"/>
          </w:tcPr>
          <w:p>
            <w:pPr>
              <w:pStyle w:val="TableContents"/>
              <w:bidi w:val="0"/>
              <w:spacing w:before="0" w:after="283"/>
              <w:jc w:val="right"/>
              <w:rPr>
                <w:sz w:val="20"/>
              </w:rPr>
            </w:pPr>
            <w:r>
              <w:rPr>
                <w:sz w:val="20"/>
              </w:rPr>
              <w:t>18</w:t>
            </w:r>
          </w:p>
        </w:tc>
      </w:tr>
      <w:tr>
        <w:trPr/>
        <w:tc>
          <w:tcPr>
            <w:tcW w:w="9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6.</w:t>
            </w:r>
          </w:p>
        </w:tc>
        <w:tc>
          <w:tcPr>
            <w:tcW w:w="867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Expenses Payable in Advance</w:t>
            </w:r>
          </w:p>
        </w:tc>
        <w:tc>
          <w:tcPr>
            <w:tcW w:w="230" w:type="dxa"/>
            <w:tcBorders/>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w:t>
            </w:r>
          </w:p>
        </w:tc>
      </w:tr>
      <w:tr>
        <w:trPr/>
        <w:tc>
          <w:tcPr>
            <w:tcW w:w="93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7.</w:t>
            </w:r>
          </w:p>
        </w:tc>
        <w:tc>
          <w:tcPr>
            <w:tcW w:w="867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Nonexclusivity of Indemnification and Advancement of Expenses</w:t>
            </w:r>
          </w:p>
        </w:tc>
        <w:tc>
          <w:tcPr>
            <w:tcW w:w="230" w:type="dxa"/>
            <w:tcBorders/>
            <w:shd w:fill="CCEEFF" w:val="cle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w:t>
            </w:r>
          </w:p>
        </w:tc>
      </w:tr>
      <w:tr>
        <w:trPr/>
        <w:tc>
          <w:tcPr>
            <w:tcW w:w="9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8.</w:t>
            </w:r>
          </w:p>
        </w:tc>
        <w:tc>
          <w:tcPr>
            <w:tcW w:w="867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Insurance</w:t>
            </w:r>
          </w:p>
        </w:tc>
        <w:tc>
          <w:tcPr>
            <w:tcW w:w="230" w:type="dxa"/>
            <w:tcBorders/>
            <w:vAlign w:val="center"/>
          </w:tcPr>
          <w:p>
            <w:pPr>
              <w:pStyle w:val="TableContents"/>
              <w:bidi w:val="0"/>
              <w:spacing w:before="0" w:after="283"/>
              <w:jc w:val="right"/>
              <w:rPr>
                <w:sz w:val="20"/>
              </w:rPr>
            </w:pPr>
            <w:r>
              <w:rPr>
                <w:sz w:val="20"/>
              </w:rPr>
              <w:t>19</w:t>
            </w:r>
          </w:p>
        </w:tc>
      </w:tr>
      <w:tr>
        <w:trPr/>
        <w:tc>
          <w:tcPr>
            <w:tcW w:w="93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9.</w:t>
            </w:r>
          </w:p>
        </w:tc>
        <w:tc>
          <w:tcPr>
            <w:tcW w:w="867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Certain Definitions</w:t>
            </w:r>
          </w:p>
        </w:tc>
        <w:tc>
          <w:tcPr>
            <w:tcW w:w="230" w:type="dxa"/>
            <w:tcBorders/>
            <w:shd w:fill="CCEEFF" w:val="cle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w:t>
            </w:r>
          </w:p>
        </w:tc>
      </w:tr>
      <w:tr>
        <w:trPr/>
        <w:tc>
          <w:tcPr>
            <w:tcW w:w="9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10.</w:t>
            </w:r>
          </w:p>
        </w:tc>
        <w:tc>
          <w:tcPr>
            <w:tcW w:w="867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Survival of Indemnification and Advancement of Expenses</w:t>
            </w:r>
          </w:p>
        </w:tc>
        <w:tc>
          <w:tcPr>
            <w:tcW w:w="230" w:type="dxa"/>
            <w:tcBorders/>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w:t>
            </w:r>
          </w:p>
        </w:tc>
      </w:tr>
      <w:tr>
        <w:trPr/>
        <w:tc>
          <w:tcPr>
            <w:tcW w:w="93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11.</w:t>
            </w:r>
          </w:p>
        </w:tc>
        <w:tc>
          <w:tcPr>
            <w:tcW w:w="867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Limitation on Indemnification</w:t>
            </w:r>
          </w:p>
        </w:tc>
        <w:tc>
          <w:tcPr>
            <w:tcW w:w="230" w:type="dxa"/>
            <w:tcBorders/>
            <w:shd w:fill="CCEEFF" w:val="clear"/>
            <w:vAlign w:val="center"/>
          </w:tcPr>
          <w:p>
            <w:pPr>
              <w:pStyle w:val="TableContents"/>
              <w:bidi w:val="0"/>
              <w:spacing w:before="0" w:after="283"/>
              <w:jc w:val="right"/>
              <w:rPr>
                <w:sz w:val="20"/>
              </w:rPr>
            </w:pPr>
            <w:r>
              <w:rPr>
                <w:sz w:val="20"/>
              </w:rPr>
              <w:t>20</w:t>
            </w:r>
          </w:p>
        </w:tc>
      </w:tr>
      <w:tr>
        <w:trPr/>
        <w:tc>
          <w:tcPr>
            <w:tcW w:w="9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12.</w:t>
            </w:r>
          </w:p>
        </w:tc>
        <w:tc>
          <w:tcPr>
            <w:tcW w:w="867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Indemnification of Employees and Agents</w:t>
            </w:r>
          </w:p>
        </w:tc>
        <w:tc>
          <w:tcPr>
            <w:tcW w:w="230" w:type="dxa"/>
            <w:tcBorders/>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w:t>
            </w:r>
          </w:p>
        </w:tc>
      </w:tr>
      <w:tr>
        <w:trPr/>
        <w:tc>
          <w:tcPr>
            <w:tcW w:w="961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color w:val="000000"/>
              </w:rPr>
            </w:pPr>
            <w:r>
              <w:rPr>
                <w:color w:val="000000"/>
              </w:rPr>
              <w:t> </w:t>
            </w:r>
          </w:p>
        </w:tc>
      </w:tr>
      <w:tr>
        <w:trPr/>
        <w:tc>
          <w:tcPr>
            <w:tcW w:w="9840" w:type="dxa"/>
            <w:gridSpan w:val="3"/>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ARTICLE IX</w:t>
            </w:r>
          </w:p>
        </w:tc>
      </w:tr>
      <w:tr>
        <w:trPr/>
        <w:tc>
          <w:tcPr>
            <w:tcW w:w="9610" w:type="dxa"/>
            <w:gridSpan w:val="2"/>
            <w:tcBorders/>
            <w:vAlign w:val="center"/>
          </w:tcPr>
          <w:p>
            <w:pPr>
              <w:pStyle w:val="TableContents"/>
              <w:bidi w:val="0"/>
              <w:spacing w:before="0" w:after="283"/>
              <w:jc w:val="left"/>
              <w:rPr>
                <w:color w:val="000000"/>
              </w:rPr>
            </w:pPr>
            <w:r>
              <w:rPr>
                <w:color w:val="000000"/>
              </w:rPr>
              <w:t> </w:t>
            </w:r>
          </w:p>
        </w:tc>
        <w:tc>
          <w:tcPr>
            <w:tcW w:w="230" w:type="dxa"/>
            <w:tcBorders/>
            <w:vAlign w:val="center"/>
          </w:tcPr>
          <w:p>
            <w:pPr>
              <w:pStyle w:val="TableContents"/>
              <w:bidi w:val="0"/>
              <w:spacing w:before="0" w:after="283"/>
              <w:jc w:val="right"/>
              <w:rPr>
                <w:color w:val="000000"/>
              </w:rPr>
            </w:pPr>
            <w:r>
              <w:rPr>
                <w:color w:val="000000"/>
              </w:rPr>
              <w:t> </w:t>
            </w:r>
          </w:p>
        </w:tc>
      </w:tr>
      <w:tr>
        <w:trPr/>
        <w:tc>
          <w:tcPr>
            <w:tcW w:w="9840" w:type="dxa"/>
            <w:gridSpan w:val="3"/>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FORUM FOR ADJUDICATION OF CERTAIN DISPUTES</w:t>
            </w:r>
          </w:p>
        </w:tc>
      </w:tr>
      <w:tr>
        <w:trPr/>
        <w:tc>
          <w:tcPr>
            <w:tcW w:w="961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color w:val="000000"/>
              </w:rPr>
            </w:pPr>
            <w:r>
              <w:rPr>
                <w:color w:val="000000"/>
              </w:rPr>
              <w:t> </w:t>
            </w:r>
          </w:p>
        </w:tc>
      </w:tr>
      <w:tr>
        <w:trPr/>
        <w:tc>
          <w:tcPr>
            <w:tcW w:w="93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1.</w:t>
            </w:r>
          </w:p>
        </w:tc>
        <w:tc>
          <w:tcPr>
            <w:tcW w:w="867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Forum for Adjudication of Certain Disputes</w:t>
            </w:r>
          </w:p>
        </w:tc>
        <w:tc>
          <w:tcPr>
            <w:tcW w:w="230" w:type="dxa"/>
            <w:tcBorders/>
            <w:shd w:fill="CCEEFF" w:val="cle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w:t>
            </w:r>
          </w:p>
        </w:tc>
      </w:tr>
      <w:tr>
        <w:trPr/>
        <w:tc>
          <w:tcPr>
            <w:tcW w:w="961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color w:val="000000"/>
              </w:rPr>
            </w:pPr>
            <w:r>
              <w:rPr>
                <w:color w:val="000000"/>
              </w:rPr>
              <w:t> </w:t>
            </w:r>
          </w:p>
        </w:tc>
      </w:tr>
      <w:tr>
        <w:trPr/>
        <w:tc>
          <w:tcPr>
            <w:tcW w:w="9840" w:type="dxa"/>
            <w:gridSpan w:val="3"/>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ARTICLE X</w:t>
            </w:r>
          </w:p>
        </w:tc>
      </w:tr>
      <w:tr>
        <w:trPr/>
        <w:tc>
          <w:tcPr>
            <w:tcW w:w="9610" w:type="dxa"/>
            <w:gridSpan w:val="2"/>
            <w:tcBorders/>
            <w:vAlign w:val="center"/>
          </w:tcPr>
          <w:p>
            <w:pPr>
              <w:pStyle w:val="TableContents"/>
              <w:bidi w:val="0"/>
              <w:spacing w:before="0" w:after="283"/>
              <w:jc w:val="left"/>
              <w:rPr>
                <w:color w:val="000000"/>
              </w:rPr>
            </w:pPr>
            <w:r>
              <w:rPr>
                <w:color w:val="000000"/>
              </w:rPr>
              <w:t> </w:t>
            </w:r>
          </w:p>
        </w:tc>
        <w:tc>
          <w:tcPr>
            <w:tcW w:w="230" w:type="dxa"/>
            <w:tcBorders/>
            <w:vAlign w:val="center"/>
          </w:tcPr>
          <w:p>
            <w:pPr>
              <w:pStyle w:val="TableContents"/>
              <w:bidi w:val="0"/>
              <w:spacing w:before="0" w:after="283"/>
              <w:jc w:val="right"/>
              <w:rPr>
                <w:color w:val="000000"/>
              </w:rPr>
            </w:pPr>
            <w:r>
              <w:rPr>
                <w:color w:val="000000"/>
              </w:rPr>
              <w:t> </w:t>
            </w:r>
          </w:p>
        </w:tc>
      </w:tr>
      <w:tr>
        <w:trPr/>
        <w:tc>
          <w:tcPr>
            <w:tcW w:w="9840" w:type="dxa"/>
            <w:gridSpan w:val="3"/>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AMENDMENTS</w:t>
            </w:r>
          </w:p>
        </w:tc>
      </w:tr>
      <w:tr>
        <w:trPr/>
        <w:tc>
          <w:tcPr>
            <w:tcW w:w="961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color w:val="000000"/>
              </w:rPr>
            </w:pPr>
            <w:r>
              <w:rPr>
                <w:color w:val="000000"/>
              </w:rPr>
              <w:t> </w:t>
            </w:r>
          </w:p>
        </w:tc>
      </w:tr>
      <w:tr>
        <w:trPr/>
        <w:tc>
          <w:tcPr>
            <w:tcW w:w="93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1.</w:t>
            </w:r>
          </w:p>
        </w:tc>
        <w:tc>
          <w:tcPr>
            <w:tcW w:w="867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Amendments</w:t>
            </w:r>
          </w:p>
        </w:tc>
        <w:tc>
          <w:tcPr>
            <w:tcW w:w="230" w:type="dxa"/>
            <w:tcBorders/>
            <w:shd w:fill="CCEEFF" w:val="clear"/>
            <w:vAlign w:val="center"/>
          </w:tcPr>
          <w:p>
            <w:pPr>
              <w:pStyle w:val="TableContents"/>
              <w:bidi w:val="0"/>
              <w:spacing w:before="0" w:after="283"/>
              <w:jc w:val="right"/>
              <w:rPr>
                <w:sz w:val="20"/>
              </w:rPr>
            </w:pPr>
            <w:r>
              <w:rPr>
                <w:sz w:val="20"/>
              </w:rPr>
              <w:t>21</w:t>
            </w:r>
          </w:p>
        </w:tc>
      </w:tr>
      <w:tr>
        <w:trPr/>
        <w:tc>
          <w:tcPr>
            <w:tcW w:w="9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Section 2.</w:t>
            </w:r>
          </w:p>
        </w:tc>
        <w:tc>
          <w:tcPr>
            <w:tcW w:w="867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Entire Board of Directors</w:t>
            </w:r>
          </w:p>
        </w:tc>
        <w:tc>
          <w:tcPr>
            <w:tcW w:w="230" w:type="dxa"/>
            <w:tcBorders/>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w:t>
            </w:r>
          </w:p>
        </w:tc>
      </w:tr>
    </w:tbl>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iii</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AMENDED AND RESTATED BYLAWS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OF</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SUN COUNTRY AIRLINES HOLDINGS, INC.</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(hereinafter called the “</w:t>
      </w:r>
      <w:r>
        <w:rPr>
          <w:rFonts w:ascii="Times New Roman" w:hAnsi="Times New Roman"/>
          <w:color w:val="000000"/>
          <w:sz w:val="20"/>
          <w:u w:val="single"/>
        </w:rPr>
        <w:t>Corporation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These Amended and Restated Bylaws of Sun Country Airlines Holdings, Inc. (these “</w:t>
      </w:r>
      <w:r>
        <w:rPr>
          <w:rFonts w:ascii="Times New Roman" w:hAnsi="Times New Roman"/>
          <w:color w:val="000000"/>
          <w:sz w:val="20"/>
          <w:u w:val="single"/>
        </w:rPr>
        <w:t>Bylaws</w:t>
      </w:r>
      <w:r>
        <w:rPr>
          <w:rFonts w:ascii="Times New Roman" w:hAnsi="Times New Roman"/>
          <w:color w:val="000000"/>
          <w:sz w:val="20"/>
        </w:rPr>
        <w:t>”), dated May 13, 2026, are intended to supersede and amend and restate in their entirety the Bylaws of Mirage Merger Sub, Inc., dated as of January 8, 2026.</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I</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OFFICES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1.         </w:t>
      </w:r>
      <w:r>
        <w:rPr>
          <w:rFonts w:ascii="Times New Roman" w:hAnsi="Times New Roman"/>
          <w:color w:val="000000"/>
          <w:sz w:val="20"/>
          <w:u w:val="single"/>
        </w:rPr>
        <w:t>Registered Office</w:t>
      </w:r>
      <w:r>
        <w:rPr>
          <w:rFonts w:ascii="Times New Roman" w:hAnsi="Times New Roman"/>
          <w:color w:val="000000"/>
          <w:sz w:val="20"/>
        </w:rPr>
        <w:t>.  The registered office of the Corporation shall be in the City of Dover, County of Kent, State of Delaware, and the name and address of the registered agent in charge thereof is Cogency Global Inc., 850 New Burton Road, Suite 201, Dover, County of Kent, 19904.</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2.         </w:t>
      </w:r>
      <w:r>
        <w:rPr>
          <w:rFonts w:ascii="Times New Roman" w:hAnsi="Times New Roman"/>
          <w:color w:val="000000"/>
          <w:sz w:val="20"/>
          <w:u w:val="single"/>
        </w:rPr>
        <w:t>Other Offices</w:t>
      </w:r>
      <w:r>
        <w:rPr>
          <w:rFonts w:ascii="Times New Roman" w:hAnsi="Times New Roman"/>
          <w:color w:val="000000"/>
          <w:sz w:val="20"/>
        </w:rPr>
        <w:t>.  The Corporation may also have offices at such other places, both within and without the State of Delaware, as the Board of Directors may from time to time determine.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II</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MEETINGS OF STOCKHOLDERS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1.         </w:t>
      </w:r>
      <w:r>
        <w:rPr>
          <w:rFonts w:ascii="Times New Roman" w:hAnsi="Times New Roman"/>
          <w:color w:val="000000"/>
          <w:sz w:val="20"/>
          <w:u w:val="single"/>
        </w:rPr>
        <w:t>Place of Meetings</w:t>
      </w:r>
      <w:r>
        <w:rPr>
          <w:rFonts w:ascii="Times New Roman" w:hAnsi="Times New Roman"/>
          <w:color w:val="000000"/>
          <w:sz w:val="20"/>
        </w:rPr>
        <w:t>.  Meetings of the stockholders for the election of directors or for any other purpose shall be held at such time and place, either within or without the State of Delaware, as shall be designated from time to time by the Board of Directors.  The Board of Directors may, in its sole discretion, determine that a meeting of the stockholders shall not be held at any place, but may instead be held solely by means of remote communication in the manner authorized by Section 211 of the General Corporation Law of the State of Delaware (the “</w:t>
      </w:r>
      <w:r>
        <w:rPr>
          <w:rFonts w:ascii="Times New Roman" w:hAnsi="Times New Roman"/>
          <w:color w:val="000000"/>
          <w:sz w:val="20"/>
          <w:u w:val="single"/>
        </w:rPr>
        <w:t>DGCL</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2.         </w:t>
      </w:r>
      <w:r>
        <w:rPr>
          <w:rFonts w:ascii="Times New Roman" w:hAnsi="Times New Roman"/>
          <w:color w:val="000000"/>
          <w:sz w:val="20"/>
          <w:u w:val="single"/>
        </w:rPr>
        <w:t>Annual Meetings</w:t>
      </w:r>
      <w:r>
        <w:rPr>
          <w:rFonts w:ascii="Times New Roman" w:hAnsi="Times New Roman"/>
          <w:color w:val="000000"/>
          <w:sz w:val="20"/>
        </w:rPr>
        <w:t>.  The Annual Meeting of Stockholders for the election of directors shall be held on such date and at such time as shall be designated from time to time by the Board of Directors.  Any other proper business may be transacted at the Annual Meeting of Stockholders.</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3.         </w:t>
      </w:r>
      <w:r>
        <w:rPr>
          <w:rFonts w:ascii="Times New Roman" w:hAnsi="Times New Roman"/>
          <w:color w:val="000000"/>
          <w:sz w:val="20"/>
          <w:u w:val="single"/>
        </w:rPr>
        <w:t>Special Meetings</w:t>
      </w:r>
      <w:r>
        <w:rPr>
          <w:rFonts w:ascii="Times New Roman" w:hAnsi="Times New Roman"/>
          <w:color w:val="000000"/>
          <w:sz w:val="20"/>
        </w:rPr>
        <w:t>.  Unless otherwise required by law or by the certificate of incorporation of the Corporation, as amended and restated from time to time (the “</w:t>
      </w:r>
      <w:r>
        <w:rPr>
          <w:rFonts w:ascii="Times New Roman" w:hAnsi="Times New Roman"/>
          <w:color w:val="000000"/>
          <w:sz w:val="20"/>
          <w:u w:val="single"/>
        </w:rPr>
        <w:t>Certificate of Incorporation</w:t>
      </w:r>
      <w:r>
        <w:rPr>
          <w:rFonts w:ascii="Times New Roman" w:hAnsi="Times New Roman"/>
          <w:color w:val="000000"/>
          <w:sz w:val="20"/>
        </w:rPr>
        <w:t>”), Special Meetings of Stockholders, for any purpose or purposes, may be called by either (i) the Chairman of the Board of Directors, if there be one, or (ii) the President, (iii) any Vice President, if there be one, (iv) the Secretary or (v) any Assistant Secretary, if there be one, and shall be called by any such officer at the request in writing of (i) the Board of Directors, (ii) a committee of the Board of Directors that has been duly designated by the Board of Directors and whose powers and authority include the power to call such meetings or (iii) stockholders owning a majority of the capital stock of the Corporation issued and outstanding and entitled to vote on the matter for which such Special Meeting of Stockholders is called.  Such request shall state the purpose or purposes of the proposed meeting.  At a Special Meeting of Stockholders, only such business shall be conducted as shall be specified in the notice of meeting (or any supplement thereto).</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4.         </w:t>
      </w:r>
      <w:r>
        <w:rPr>
          <w:rFonts w:ascii="Times New Roman" w:hAnsi="Times New Roman"/>
          <w:color w:val="000000"/>
          <w:sz w:val="20"/>
          <w:u w:val="single"/>
        </w:rPr>
        <w:t>Notice</w:t>
      </w:r>
      <w:r>
        <w:rPr>
          <w:rFonts w:ascii="Times New Roman" w:hAnsi="Times New Roman"/>
          <w:color w:val="000000"/>
          <w:sz w:val="20"/>
        </w:rPr>
        <w:t>.  Whenever stockholders are required or permitted to take any action at a meeting, a notice of the meeting shall be given in accordance with Section 232 of the DGCL, and such notice shall state the place, if any, date and hour of the meeting, the means of remote communications, if any, by which stockholders and proxy holders may be deemed to be present in person and vote at such meeting, the record date for determining the stockholders entitled to vote at such meeting, if such date is different from the record date for determining stockholders entitled to notice of such meeting and, in the case of a Special Meeting of Stockholders, the purpose or purposes for which the meeting is called.  Unless otherwise required by law, notice of any meeting shall be given not less than ten (10) nor more than sixty (60) days before the date of the meeting to each stockholder entitled to vote at such meeting as of the record date for determining stockholders entitled to notice of such meeting.</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5.         </w:t>
      </w:r>
      <w:r>
        <w:rPr>
          <w:rFonts w:ascii="Times New Roman" w:hAnsi="Times New Roman"/>
          <w:color w:val="000000"/>
          <w:sz w:val="20"/>
          <w:u w:val="single"/>
        </w:rPr>
        <w:t>Adjournments and Postponements</w:t>
      </w:r>
      <w:r>
        <w:rPr>
          <w:rFonts w:ascii="Times New Roman" w:hAnsi="Times New Roman"/>
          <w:color w:val="000000"/>
          <w:sz w:val="20"/>
        </w:rPr>
        <w:t>.  Any meeting of the stockholders may be adjourned or postponed from time to time by the chairman of such meeting or by the Board of Directors, without the need for approval thereof by stockholders to reconvene or convene, respectively at the same or some other place.  Notice need not be given of any such adjourned or postponed meeting (including an adjournment taken to address a technical failure to convene or continue a meeting using remote communication) if the time and place, if any, thereof, and the means of remote communications, if any, by which stockholders and proxy holders may be deemed to be present in person and vote at such adjourned or postponed meeting are (i) with respect to an adjourned meeting, (a) announced at the meeting at which the adjournment is taken, (b) displayed during the time scheduled for the meeting, on the same electronic network used to enable stockholders and proxy holders to participate in the meeting by means of remote communication, or (c) set forth in the notice of meeting given in accordance with Section 4 of this Article II, or (ii) with respect to a postponed meeting, are publicly announced.  At the adjourned or postponed meeting, the Corporation may transact any business which might have been transacted at the original meeting.  If the adjournment or postponement is for more than thirty (30) days, notice of the adjourned or postponed meeting in accordance with the requirements of Section 4 hereof shall be given to each stockholder of record entitled to vote at the meeting.  If, after the adjournment or postponement, a new record date for stockholders entitled to vote is fixed for the adjourned or postponed meeting, the Board of Directors shall fix a new record date for notice of such adjourned or postponed meeting in accordance with Section 11 of this Article II, and shall give notice of the adjourned or postponed meeting to each stockholder of record entitled to vote at such adjourned or postponed meeting as of the record date fixed for notice of such adjourned or postponed meeting.</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6.         </w:t>
      </w:r>
      <w:r>
        <w:rPr>
          <w:rFonts w:ascii="Times New Roman" w:hAnsi="Times New Roman"/>
          <w:color w:val="000000"/>
          <w:sz w:val="20"/>
          <w:u w:val="single"/>
        </w:rPr>
        <w:t>Quorum</w:t>
      </w:r>
      <w:r>
        <w:rPr>
          <w:rFonts w:ascii="Times New Roman" w:hAnsi="Times New Roman"/>
          <w:color w:val="000000"/>
          <w:sz w:val="20"/>
        </w:rPr>
        <w:t>.  Unless otherwise required by the DGCL or other applicable law or the Certificate of Incorporation, the holders of a majority of the Corporation’s capital stock issued and outstanding and entitled to vote thereat, present in person or represented by proxy, shall constitute a quorum at all meetings of the stockholders for the transaction of business.  A quorum, once established, shall not be broken by the withdrawal of enough votes to leave less than a quorum.  If, however, such quorum shall not be present or represented at any meeting of the stockholders, the stockholders entitled to vote thereat, present in person or represented by proxy, shall have power to adjourn the meeting from time to time, in the manner provided in Section 5 of this Article II, until a quorum shall be present or represented.</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7.         </w:t>
      </w:r>
      <w:r>
        <w:rPr>
          <w:rFonts w:ascii="Times New Roman" w:hAnsi="Times New Roman"/>
          <w:color w:val="000000"/>
          <w:sz w:val="20"/>
          <w:u w:val="single"/>
        </w:rPr>
        <w:t>Voting</w:t>
      </w:r>
      <w:r>
        <w:rPr>
          <w:rFonts w:ascii="Times New Roman" w:hAnsi="Times New Roman"/>
          <w:color w:val="000000"/>
          <w:sz w:val="20"/>
        </w:rPr>
        <w:t>.  Unless otherwise required by law, the Certificate of Incorporation or these Bylaws, or permitted by the rules and regulations of any securities exchange or quotation system on which the securities of the Corporation are listed or quoted for trading, any question brought before any meeting of the stockholders, other than the election of directors, shall be decided by the vote of the holders of a majority of the total number of votes of the Corporation’s capital stock present at the meeting in person or represented by proxy and entitled to vote on such question, voting as a single class.  Unless otherwise provided in the Certificate of Incorporation, and subject to Section 11(a) of this Article II, each stockholder represented at a meeting of the stockholders shall be entitled to cast one (1) vote for each share of the capital stock entitled to vote thereat held by such stockholder.  Such votes may be cast in person or by proxy as provided in Section 8 of this Article II.  The Board of Directors, in its discretion, or the chairman of a meeting of the stockholders, in his or her discretion, may require that any votes cast at such meeting shall be cast by written ballot.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8.         </w:t>
      </w:r>
      <w:r>
        <w:rPr>
          <w:rFonts w:ascii="Times New Roman" w:hAnsi="Times New Roman"/>
          <w:color w:val="000000"/>
          <w:sz w:val="20"/>
          <w:u w:val="single"/>
        </w:rPr>
        <w:t>Proxies</w:t>
      </w:r>
      <w:r>
        <w:rPr>
          <w:rFonts w:ascii="Times New Roman" w:hAnsi="Times New Roman"/>
          <w:color w:val="000000"/>
          <w:sz w:val="20"/>
        </w:rPr>
        <w:t>.  Each stockholder entitled to vote at a meeting of the stockholders or to express consent or dissent to corporate action in writing without a meeting may authorize another person or persons to act for such stockholder as proxy, but no such proxy shall be voted upon after three (3) years from its date, unless such proxy provides for a longer period.  Without limiting the manner in which a stockholder may authorize another person or persons to act for such stockholder as proxy, the following shall constitute a valid means by which a stockholder may grant such authority:</w:t>
      </w:r>
    </w:p>
    <w:p>
      <w:pPr>
        <w:pStyle w:val="TextBody"/>
        <w:bidi w:val="0"/>
        <w:spacing w:before="0" w:after="0"/>
        <w:jc w:val="left"/>
        <w:rPr>
          <w:color w:val="000000"/>
        </w:rPr>
      </w:pPr>
      <w:r>
        <w:rPr>
          <w:color w:val="000000"/>
        </w:rPr>
        <w:t> </w:t>
      </w:r>
    </w:p>
    <w:p>
      <w:pPr>
        <w:pStyle w:val="TextBody"/>
        <w:bidi w:val="0"/>
        <w:spacing w:before="0" w:after="0"/>
        <w:ind w:left="720" w:right="0" w:firstLine="1980"/>
        <w:jc w:val="left"/>
        <w:rPr>
          <w:rFonts w:ascii="Times New Roman" w:hAnsi="Times New Roman"/>
          <w:color w:val="000000"/>
          <w:sz w:val="20"/>
        </w:rPr>
      </w:pPr>
      <w:r>
        <w:rPr>
          <w:rFonts w:ascii="Times New Roman" w:hAnsi="Times New Roman"/>
          <w:color w:val="000000"/>
          <w:sz w:val="20"/>
        </w:rPr>
        <w:t>(i)    A stockholder, or such stockholder’s authorized officer, director, employee or agent, may execute a document authorizing another person or persons to act for such stockholder as proxy.</w:t>
      </w:r>
    </w:p>
    <w:p>
      <w:pPr>
        <w:pStyle w:val="TextBody"/>
        <w:bidi w:val="0"/>
        <w:spacing w:before="0" w:after="0"/>
        <w:jc w:val="left"/>
        <w:rPr>
          <w:color w:val="000000"/>
        </w:rPr>
      </w:pPr>
      <w:r>
        <w:rPr>
          <w:color w:val="000000"/>
        </w:rPr>
        <w:t> </w:t>
      </w:r>
    </w:p>
    <w:p>
      <w:pPr>
        <w:pStyle w:val="TextBody"/>
        <w:bidi w:val="0"/>
        <w:spacing w:before="0" w:after="0"/>
        <w:ind w:left="720" w:right="0" w:firstLine="1980"/>
        <w:jc w:val="left"/>
        <w:rPr>
          <w:rFonts w:ascii="Times New Roman" w:hAnsi="Times New Roman"/>
          <w:color w:val="000000"/>
          <w:sz w:val="20"/>
        </w:rPr>
      </w:pPr>
      <w:r>
        <w:rPr>
          <w:rFonts w:ascii="Times New Roman" w:hAnsi="Times New Roman"/>
          <w:color w:val="000000"/>
          <w:sz w:val="20"/>
        </w:rPr>
        <w:t>(ii)   A stockholder may authorize another person or persons to act for such stockholder as proxy by transmitting or authorizing the transmission of an electronic transmission to the person who will be the holder of the proxy or to a proxy solicitation firm, proxy support service organization or like agent duly authorized by the person who will be the holder of the proxy to receive such transmission, provided that any such transmission must either set forth or be submitted with information from which it can be determined that the transmission was authorized by the stockholder.  If it is determined that such transmissions are valid, the inspectors or, if there are no inspectors, such other persons making that determination shall specify the information on which they relied.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1980"/>
        <w:jc w:val="left"/>
        <w:rPr>
          <w:rFonts w:ascii="Times New Roman" w:hAnsi="Times New Roman"/>
          <w:color w:val="000000"/>
          <w:sz w:val="20"/>
        </w:rPr>
      </w:pPr>
      <w:r>
        <w:rPr>
          <w:rFonts w:ascii="Times New Roman" w:hAnsi="Times New Roman"/>
          <w:color w:val="000000"/>
          <w:sz w:val="20"/>
        </w:rPr>
        <w:t>(iii)  The authorization of a person to act as proxy may be documented, signed and delivered in accordance with Section 116 of the DGCL, provided that such authorization shall set forth, or be delivered with information enabling the Corporation to determine, the identity of the stockholder granting such authorization.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Any copy, facsimile telecommunication or other reliable reproduction of the document (including any electronic transmission) authorizing another person or persons to act as proxy for a stockholder may be substituted or used in lieu of the original document for any and all purposes for which the original document could be used; provided, however, that such copy, facsimile telecommunication or other reproduction shall be a complete reproduction of the entire original document.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9.         </w:t>
      </w:r>
      <w:r>
        <w:rPr>
          <w:rFonts w:ascii="Times New Roman" w:hAnsi="Times New Roman"/>
          <w:color w:val="000000"/>
          <w:sz w:val="20"/>
          <w:u w:val="single"/>
        </w:rPr>
        <w:t>Consent of Stockholders in Lieu of Meeting</w:t>
      </w:r>
      <w:r>
        <w:rPr>
          <w:rFonts w:ascii="Times New Roman" w:hAnsi="Times New Roman"/>
          <w:color w:val="000000"/>
          <w:sz w:val="20"/>
        </w:rPr>
        <w:t>.  Unless otherwise provided in the Certificate of Incorporation, any action required or permitted to be taken at any Annual or Special Meeting of Stockholders of the Corporation may be taken without a meeting, without prior notice and without a vote, if a consent or consents,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in accordance with Section 228(d) of the DGCL.  A consent must be set forth in writing or in an electronic transmission.  No consent shall be effective to take the corporate action referred to therein unless consents signed by a sufficient number of holders to take action are delivered to the Corporation in the manner required by this Section 9 within sixty (60) days of the first date on which a consent is so delivered to the Corporation.  Any person executing a consent may provide, whether through instruction to an agent or otherwise, that such a consent will be effective at a future time (including a time determined upon the happening of an event), no later than sixty (60) days after such instruction is given or such provision is made, if evidence of such instruction or provision is provided to the Corporation.  If the person is not a stockholder of record when the consent is executed, the consent shall not be valid unless the person is a stockholder of record as of the record date for determining stockholders entitled to consent to the action.  Unless otherwise provided, any such consent shall be revocable prior to its becoming effective.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  Prompt notice of the taking of the corporate action without a meeting by less than unanimous consent shall be given to those stockholders who have not consented and who, if the action had been taken at a meeting, would have been entitled to notice of the meeting if the record date for notice of such meeting had been the date that consents signed by a sufficient number of holders to take the action were delivered to the Corporation as provided above in this Section 9.</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10.       </w:t>
      </w:r>
      <w:r>
        <w:rPr>
          <w:rFonts w:ascii="Times New Roman" w:hAnsi="Times New Roman"/>
          <w:color w:val="000000"/>
          <w:sz w:val="20"/>
          <w:u w:val="single"/>
        </w:rPr>
        <w:t>List of Stockholders Entitled to Vote</w:t>
      </w:r>
      <w:r>
        <w:rPr>
          <w:rFonts w:ascii="Times New Roman" w:hAnsi="Times New Roman"/>
          <w:color w:val="000000"/>
          <w:sz w:val="20"/>
        </w:rPr>
        <w:t xml:space="preserve">.  The Corporation shall prepare, not later than the tenth (10th) day before each meeting of the stockholders, a complete list of the stockholders entitled to vote at the meeting; provided, however, if the record date for determining the stockholders entitled to vote is less than ten (10) days before the meeting date, the list shall reflect the stockholders entitled to vote as of the tenth (10th) day before the meeting date.  Such list shall be arranged in alphabetical order, and show the address of each stockholder and the number of shares registered in the name of each stockholder; </w:t>
      </w:r>
      <w:r>
        <w:rPr>
          <w:rFonts w:ascii="Times New Roman" w:hAnsi="Times New Roman"/>
          <w:color w:val="000000"/>
          <w:sz w:val="20"/>
          <w:u w:val="single"/>
        </w:rPr>
        <w:t>provided</w:t>
      </w:r>
      <w:r>
        <w:rPr>
          <w:rFonts w:ascii="Times New Roman" w:hAnsi="Times New Roman"/>
          <w:color w:val="000000"/>
          <w:sz w:val="20"/>
        </w:rPr>
        <w:t>, that the Corporation shall not be required to include electronic mail addresses or other electronic contact information on such list.  Such list shall be open to the examination of any stockholder for any purpose germane to the meeting for a period of ten (10) days ending on the day before the meeting date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11.       </w:t>
      </w:r>
      <w:r>
        <w:rPr>
          <w:rFonts w:ascii="Times New Roman" w:hAnsi="Times New Roman"/>
          <w:color w:val="000000"/>
          <w:sz w:val="20"/>
          <w:u w:val="single"/>
        </w:rPr>
        <w:t>Record Date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In order that the Corporation may determine the stockholders entitled to notice of any meeting of the stockholders or any adjournment thereof, the Board of Directors may fix a record date, which record date shall not precede the date upon which the resolution fixing the record date is adopted by the Board of Directors, and which record date shall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and to vote at a meeting of the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the stockholders shall apply to any adjournment of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at the adjourned meeting in accordance with the foregoing provisions of this Section 11.</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(b)     In order that the Corporation may determine the stockholders entitled to consent to corporate action without a meeting, the Board of Directors may fix a record date,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If no record date has been fixed by the Board of Directors, the record date for determining stockholders entitled to consent to corporate action without a meeting, when no prior action by the Board of Directors is required by applicable law, shall be the first date on which a signed consent setting forth the action taken or proposed to be taken is delivered to the Corporation in accordance with Section 228(d) of the DGCL.  If no record date has been fixed by the Board of Directors and prior action by the Board of Directors is required by applicable law, the record date for determining stockholders entitled to consent to corporate action in writing without a meeting shall be at the close of business on the day on which the Board of Directors adopts the resolution taking such prior action.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12.       </w:t>
      </w:r>
      <w:r>
        <w:rPr>
          <w:rFonts w:ascii="Times New Roman" w:hAnsi="Times New Roman"/>
          <w:color w:val="000000"/>
          <w:sz w:val="20"/>
          <w:u w:val="single"/>
        </w:rPr>
        <w:t>Stock Ledger</w:t>
      </w:r>
      <w:r>
        <w:rPr>
          <w:rFonts w:ascii="Times New Roman" w:hAnsi="Times New Roman"/>
          <w:color w:val="000000"/>
          <w:sz w:val="20"/>
        </w:rPr>
        <w:t>.  The stock ledger of the Corporation shall be the only evidence as to who are the stockholders entitled to examine the list of stockholders required by Section 10 of this Article II or the books and records of the Corporation, or to vote in person or by proxy at any meeting of stockholders.  As used herein, the stock ledger of the Corporation shall refer to one (1) or more records administered by or on behalf of the Corporation in which the names of all of the Corporation’s stockholders of record, the address and number of shares registered in the name of each such stockholder, and all issuances and transfer of stock of the Corporation are recorded in accordance with Section 224 of the DGCL.</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13.       </w:t>
      </w:r>
      <w:r>
        <w:rPr>
          <w:rFonts w:ascii="Times New Roman" w:hAnsi="Times New Roman"/>
          <w:color w:val="000000"/>
          <w:sz w:val="20"/>
          <w:u w:val="single"/>
        </w:rPr>
        <w:t>Conduct of Meetings</w:t>
      </w:r>
      <w:r>
        <w:rPr>
          <w:rFonts w:ascii="Times New Roman" w:hAnsi="Times New Roman"/>
          <w:color w:val="000000"/>
          <w:sz w:val="20"/>
        </w:rPr>
        <w:t>.  The Board of Directors of the Corporation may adopt by resolution such rules and regulations for the conduct of any meeting of the stockholders as it shall deem appropriate.  Meetings of stockholders shall be presided over by the Chairman of the Board of Directors, if there shall be one, or in his or her absence, or there shall not be a Chairman of the Board of Directors or in his or her absence, the President.  The Board of Directors shall have the authority to appoint a temporary chairman to serve at any meeting of the stockholders if the Chairman of the Board of Directors or the President is unable to do so for any reason.  Except to the extent inconsistent with any rules and regulations adopted by the Board of Directors, the chairman of any meeting of the stockholders shall have the right and authority to prescribe such rules, regulations and procedures and to do all such acts as, in the judgment of such chairman, are appropriate for the proper conduct of the meeting.  Such rules, regulations or procedures, whether adopted by the Board of Directors or prescribed by the chairman of the meeting, may include, without limitation, the following: (i) the establishment of an agenda or order of business for the meeting; (ii) the determination of when the polls shall open and close for any given matter to be voted on at the meeting; (iii) rules and procedures for maintaining order at the meeting and the safety of those present; (iv) limitations on attendance at or participation in the meeting to stockholders of record of the Corporation, their duly authorized and constituted proxies or such other persons as the chairman of the meeting shall determine; (v) restrictions on entry to the meeting after the time fixed for the commencement thereof; and (vi) limitations on the time allotted to questions or comments by stockholders.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III</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DIRECTORS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1.         </w:t>
      </w:r>
      <w:r>
        <w:rPr>
          <w:rFonts w:ascii="Times New Roman" w:hAnsi="Times New Roman"/>
          <w:color w:val="000000"/>
          <w:sz w:val="20"/>
          <w:u w:val="single"/>
        </w:rPr>
        <w:t>Number and Election of Directors</w:t>
      </w:r>
      <w:r>
        <w:rPr>
          <w:rFonts w:ascii="Times New Roman" w:hAnsi="Times New Roman"/>
          <w:color w:val="000000"/>
          <w:sz w:val="20"/>
        </w:rPr>
        <w:t>.  The Board of Directors shall consist of not less than one nor more than seven members, each of whom shall be a natural person, the exact number of which shall initially be fixed by the Incorporator and thereafter from time to time by the Board of Directors.  Except as provided in Section 2 of this Article III, directors shall be elected by a plurality of the votes cast at each Annual Meeting of Stockholders and each director so elected shall hold office until the next Annual Meeting of Stockholders and until such director’s successor is duly elected and qualified, or until such director’s earlier death, resignation or removal.  Directors need not be stockholders unless so required by the Certificate of Incorporation.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2.         </w:t>
      </w:r>
      <w:r>
        <w:rPr>
          <w:rFonts w:ascii="Times New Roman" w:hAnsi="Times New Roman"/>
          <w:color w:val="000000"/>
          <w:sz w:val="20"/>
          <w:u w:val="single"/>
        </w:rPr>
        <w:t>Vacancies</w:t>
      </w:r>
      <w:r>
        <w:rPr>
          <w:rFonts w:ascii="Times New Roman" w:hAnsi="Times New Roman"/>
          <w:color w:val="000000"/>
          <w:sz w:val="20"/>
        </w:rPr>
        <w:t>.  Unless otherwise required by law or the Certificate of Incorporation, vacancies on the Board of Directors or any committee thereof resulting from the death, resignation or removal of a director, or from an increase in the number of directors constituting the Board of Directors or such committee or otherwise, may be filled only by a majority of the directors then in office, though less than a quorum, or by a sole remaining director.  The directors so chosen shall, in the case of the Board of Directors, hold office until the next annual election and until their successors are duly elected and qualified, or until their earlier death, resignation or removal and, in the case of any committee of the Board of Directors, shall hold office until their successors are duly appointed by the Board of Directors or until their earlier death, resignation or removal.</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3.         </w:t>
      </w:r>
      <w:r>
        <w:rPr>
          <w:rFonts w:ascii="Times New Roman" w:hAnsi="Times New Roman"/>
          <w:color w:val="000000"/>
          <w:sz w:val="20"/>
          <w:u w:val="single"/>
        </w:rPr>
        <w:t>Duties and Powers</w:t>
      </w:r>
      <w:r>
        <w:rPr>
          <w:rFonts w:ascii="Times New Roman" w:hAnsi="Times New Roman"/>
          <w:color w:val="000000"/>
          <w:sz w:val="20"/>
        </w:rPr>
        <w:t>.  The business and affairs of the Corporation shall be managed by or under the direction of the Board of Directors which may exercise all such powers of the Corporation except as may be otherwise provided in the DGCL, the Certificate of Incorporation, or these Bylaws.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4.         </w:t>
      </w:r>
      <w:r>
        <w:rPr>
          <w:rFonts w:ascii="Times New Roman" w:hAnsi="Times New Roman"/>
          <w:color w:val="000000"/>
          <w:sz w:val="20"/>
          <w:u w:val="single"/>
        </w:rPr>
        <w:t>Meetings</w:t>
      </w:r>
      <w:r>
        <w:rPr>
          <w:rFonts w:ascii="Times New Roman" w:hAnsi="Times New Roman"/>
          <w:color w:val="000000"/>
          <w:sz w:val="20"/>
        </w:rPr>
        <w:t>.  The Board of Directors and any committee thereof may hold meetings, both regular and special, either within or without the State of Delaware.  Regular meetings of the Board of Directors or any committee thereof may be held without notice at such time and at such place as may from time to time be determined by the Board of Directors or such committee, respectively.  Special meetings of the Board of Directors may be called by the Chairman of the Board of Directors, if there be one, the President, or by any director.  Special meetings of any committee of the Board of Directors may be called by the chairman of such committee, if there be one, the President, or any director serving on such committee.  Notice of any special meeting stating the place, date and hour of the meeting shall be given to each director (or, in the case of a committee, to each member of such committee) not less than twenty-four hours before the date of the meeting, by telephone, or in the form of a writing or electronic transmission, or on such shorter notice as the person or persons calling such meeting may deem necessary or appropriate in the circumstances.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5.         </w:t>
      </w:r>
      <w:r>
        <w:rPr>
          <w:rFonts w:ascii="Times New Roman" w:hAnsi="Times New Roman"/>
          <w:color w:val="000000"/>
          <w:sz w:val="20"/>
          <w:u w:val="single"/>
        </w:rPr>
        <w:t>Organization</w:t>
      </w:r>
      <w:r>
        <w:rPr>
          <w:rFonts w:ascii="Times New Roman" w:hAnsi="Times New Roman"/>
          <w:color w:val="000000"/>
          <w:sz w:val="20"/>
        </w:rPr>
        <w:t>.  At each meeting of the Board of Directors or any committee thereof, the Chairman of the Board of Directors or the chairman of such committee, as the case may be, or, in his or her absence or if there be none, a director chosen by a majority of the directors present, shall act as chairman of such meeting.  Except as provided below, the Secretary of the Corporation shall act as secretary at each meeting of the Board of Directors and of each committee thereof.  In case the Secretary shall be absent from any meeting of the Board of Directors or of any committee thereof, an Assistant Secretary shall perform the duties of secretary at such meeting; and in the absence from any such meeting of the Secretary and all the Assistant Secretaries, the chairman of the meeting may appoint any person to act as secretary of the meeting.  Notwithstanding the foregoing, the members of each committee of the Board of Directors may appoint any person to act as secretary of any meeting of such committee and the Secretary or any Assistant Secretary of the Corporation may, but need not if such committee so elects, serve in such capacity.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6.         </w:t>
      </w:r>
      <w:r>
        <w:rPr>
          <w:rFonts w:ascii="Times New Roman" w:hAnsi="Times New Roman"/>
          <w:color w:val="000000"/>
          <w:sz w:val="20"/>
          <w:u w:val="single"/>
        </w:rPr>
        <w:t>Resignations and Removals of Directors</w:t>
      </w:r>
      <w:r>
        <w:rPr>
          <w:rFonts w:ascii="Times New Roman" w:hAnsi="Times New Roman"/>
          <w:color w:val="000000"/>
          <w:sz w:val="20"/>
        </w:rPr>
        <w:t>.  Any director of the Corporation may resign from the Board of Directors or any committee thereof at any time, by giving notice in writing or by electronic transmission to the Chairman of the Board of Directors, if there be one, the President or the Secretary of the Corporation and, in the case of a committee, to the chairman of such committee, if there be one.  Such resignation shall take effect when delivered or, if such resignation specifies a later effective time or an effective time, determined upon the happening of an event or events, in which case, such resignation takes effect upon such effective time.  Unless otherwise specified in such resignation, the acceptance of such resignation shall not be necessary to make it effective.  A resignation which is conditioned upon the director failing to receive a specified vote for reelection as a director may provide that it is irrevocable.  Except as otherwise required by applicable law and subject to the rights, if any, of the holders of shares of preferred stock then outstanding, any director or the entire Board of Directors may be removed from office at any time, with or without cause, by the affirmative vote of the holders of at least a majority in voting power of the issued and outstanding capital stock of the Corporation entitled to vote in the election of directors.  Any director serving on a committee of the Board of Directors may be removed from such committee at any time by the Board of Directors.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7.         </w:t>
      </w:r>
      <w:r>
        <w:rPr>
          <w:rFonts w:ascii="Times New Roman" w:hAnsi="Times New Roman"/>
          <w:color w:val="000000"/>
          <w:sz w:val="20"/>
          <w:u w:val="single"/>
        </w:rPr>
        <w:t>Quorum</w:t>
      </w:r>
      <w:r>
        <w:rPr>
          <w:rFonts w:ascii="Times New Roman" w:hAnsi="Times New Roman"/>
          <w:color w:val="000000"/>
          <w:sz w:val="20"/>
        </w:rPr>
        <w:t>.  Except as otherwise required by law, or the Certificate of Incorporation or the rules and regulations of any securities exchange or quotation system on which the securities of the Corporation are listed or quoted for trading, at all meetings of the Board of Directors or any committee thereof, a majority of the entire Board of Directors or a majority of the directors constituting such committee, as the case may be, shall constitute a quorum for the transaction of business and the vote of a majority of the directors or committee members, as applicable, present at any meeting at which there is a quorum shall be the act of the Board of Directors or such committee, as applicable.  If a quorum shall not be present at any meeting of the Board of Directors or any committee thereof, the directors present thereat may adjourn the meeting from time to time, without notice other than announcement at the meeting of the time and place of the adjourned meeting, until a quorum shall be present.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8.         </w:t>
      </w:r>
      <w:r>
        <w:rPr>
          <w:rFonts w:ascii="Times New Roman" w:hAnsi="Times New Roman"/>
          <w:color w:val="000000"/>
          <w:sz w:val="20"/>
          <w:u w:val="single"/>
        </w:rPr>
        <w:t>Actions of the Board by Written Consent</w:t>
      </w:r>
      <w:r>
        <w:rPr>
          <w:rFonts w:ascii="Times New Roman" w:hAnsi="Times New Roman"/>
          <w:color w:val="000000"/>
          <w:sz w:val="20"/>
        </w:rPr>
        <w:t>.  Unless otherwise provided in the Certificate of Incorporation or these Bylaws, (a) any action required or permitted to be taken at any meeting of the Board of Directors or of any committee thereof may be taken without a meeting, if all the members of the Board of Directors or such committee, as the case may be, consent thereto in writing or by electronic transmission and (b) a consent may be documented, signed and delivered in any manner permitted by Section 116 of the DGCL.  Any person, whether or not then a director, may provide, through instruction to an agent or otherwise, that a consent to action will be effective at a future time (including a time determined upon the happening of an event) no later than sixty (60) days after such instruction is given or such provision is made and such consent shall be deemed to have been given at such effective time so long as such person is then a director and did not revoke the consent prior to such time.  Any such consent shall be revocable prior to its becoming effective.  After an action is taken, the consent or consents relating thereto shall be filed with the minutes of the proceedings of the Board of Directors, or the committee thereof, in the same paper or electronic form as the minutes are maintained.</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9.         </w:t>
      </w:r>
      <w:r>
        <w:rPr>
          <w:rFonts w:ascii="Times New Roman" w:hAnsi="Times New Roman"/>
          <w:color w:val="000000"/>
          <w:sz w:val="20"/>
          <w:u w:val="single"/>
        </w:rPr>
        <w:t>Meetings by Means of Conference Telephone</w:t>
      </w:r>
      <w:r>
        <w:rPr>
          <w:rFonts w:ascii="Times New Roman" w:hAnsi="Times New Roman"/>
          <w:color w:val="000000"/>
          <w:sz w:val="20"/>
        </w:rPr>
        <w:t>.  Unless otherwise provided in the Certificate of Incorporation or these Bylaws, members of the Board of Directors of the Corporation, or any committee thereof, may participate in a meeting of the Board of Directors or such committee by means of a conference telephone or other communications equipment by means of which all persons participating in the meeting can hear each other, and participation in a meeting pursuant to this Section 9 shall constitute presence in person at such meeting.</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10.       </w:t>
      </w:r>
      <w:r>
        <w:rPr>
          <w:rFonts w:ascii="Times New Roman" w:hAnsi="Times New Roman"/>
          <w:color w:val="000000"/>
          <w:sz w:val="20"/>
          <w:u w:val="single"/>
        </w:rPr>
        <w:t>Committees</w:t>
      </w:r>
      <w:r>
        <w:rPr>
          <w:rFonts w:ascii="Times New Roman" w:hAnsi="Times New Roman"/>
          <w:color w:val="000000"/>
          <w:sz w:val="20"/>
        </w:rPr>
        <w:t>.  The Board of Directors may designate one or more committees, each committee to consist of one or more of the directors of the Corporation.  Each member of a committee must meet the requirements for membership, if any, imposed by applicable law and the rules and regulations of any securities exchange or quotation system on which the securities of the Corporation are listed or quoted for trading.  The Board of Directors may designate one or more directors as alternate members of any committee, who may replace any absent or disqualified member at any meeting of any such committee.  Subject to the rules and regulations of any securities exchange or quotation system on which the securities of the Corporation are listed or quoted for trading, in the absence or disqualification of a member of a committee, and in the absence of a designation by the Board of Directors of an alternate member to replace the absent or disqualified member, the member or members thereof present at any meeting and not disqualified from voting, whether or not such member or members constitute a quorum, may unanimously appoint another qualified member of the Board of Directors to act at the meeting in the place of any absent or disqualified member.  Any such committee, to the extent permitted by law and provided in the resolution establishing such committee, shall have and may exercise all the powers and authority of the Board of Directors in the management of the business and affairs of the Corporation, and may authorize the seal of the Corporation to be affixed to all papers which may require it; provided, however, that no such committee shall have the power or authority to (i) approve, adopt, or recommend to the stockholders any action or matter (other than the election or removal of directors) expressly required by the DGCL to be submitted to stockholders for approval, or (ii) adopt, amend, or repeal any of these Bylaws.  Each committee shall keep regular minutes and report to the Board of Directors when required.  Notwithstanding anything to the contrary contained in this Article III, the resolution of the Board of Directors establishing any committee of the Board of Directors and/or the charter of any such committee may establish requirements or procedures relating to the governance and/or operation of such committee that are different from, or in addition to, those set forth in these Bylaws and, to the extent that there is any inconsistency between these Bylaws and any such resolution or charter, the terms of such resolution or charter shall be controlling.</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11.       </w:t>
      </w:r>
      <w:r>
        <w:rPr>
          <w:rFonts w:ascii="Times New Roman" w:hAnsi="Times New Roman"/>
          <w:color w:val="000000"/>
          <w:sz w:val="20"/>
          <w:u w:val="single"/>
        </w:rPr>
        <w:t>Subcommittees</w:t>
      </w:r>
      <w:r>
        <w:rPr>
          <w:rFonts w:ascii="Times New Roman" w:hAnsi="Times New Roman"/>
          <w:color w:val="000000"/>
          <w:sz w:val="20"/>
        </w:rPr>
        <w:t>.  Unless otherwise provided in the Certificate of Incorporation, these Bylaws, or the resolution of the Board of Directors designating a committee, such committee may create one or more subcommittees, each subcommittee to consist of one or more members of the committee, and delegate to a subcommittee any or all of the powers and authority of the committee.  Except for references to committees and members of committees in Section 10 of this Article III, every reference in these Bylaws to a committee of the Board of Directors or a member of a committee shall be deemed to include a reference to a subcommittee or member of a subcommittee.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12.       </w:t>
      </w:r>
      <w:r>
        <w:rPr>
          <w:rFonts w:ascii="Times New Roman" w:hAnsi="Times New Roman"/>
          <w:color w:val="000000"/>
          <w:sz w:val="20"/>
          <w:u w:val="single"/>
        </w:rPr>
        <w:t>Compensation</w:t>
      </w:r>
      <w:r>
        <w:rPr>
          <w:rFonts w:ascii="Times New Roman" w:hAnsi="Times New Roman"/>
          <w:color w:val="000000"/>
          <w:sz w:val="20"/>
        </w:rPr>
        <w:t>.  The directors may be paid their expenses, if any, of attendance at each meeting of the Board of Directors and may be paid a fixed sum for attendance at each meeting of the Board of Directors or a stated salary for service as director, payable in cash or securities.  No such payment shall preclude any director from serving the Corporation in any other capacity and receiving compensation therefor.  Members of special or standing committees may be allowed like compensation for service as committee members.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13.       </w:t>
      </w:r>
      <w:r>
        <w:rPr>
          <w:rFonts w:ascii="Times New Roman" w:hAnsi="Times New Roman"/>
          <w:color w:val="000000"/>
          <w:sz w:val="20"/>
          <w:u w:val="single"/>
        </w:rPr>
        <w:t>Interested Directors</w:t>
      </w:r>
      <w:r>
        <w:rPr>
          <w:rFonts w:ascii="Times New Roman" w:hAnsi="Times New Roman"/>
          <w:color w:val="000000"/>
          <w:sz w:val="20"/>
        </w:rPr>
        <w:t>.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any such director’s or officer’s vote is counted for such purpose if: (i) the material facts as to the director’s or officer’s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 (ii) the material facts as to the director’s or officer’s relationship or interest and as to the contract or transaction are disclosed or are known to the stockholders entitled to vote thereon, and the contract or transaction is specifically approved in good faith by vote of the stockholders; or (iii) the contract or transaction is fair as to the Corporation as of the time it is authorized, approved or ratified by the Board of Directors, a committee thereof or the stockholders.  Common or interested directors may be counted in determining the presence of a quorum at a meeting of the Board of Directors or of a committee which authorizes such contract or transaction.</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IV</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OFFICERS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1.         </w:t>
      </w:r>
      <w:r>
        <w:rPr>
          <w:rFonts w:ascii="Times New Roman" w:hAnsi="Times New Roman"/>
          <w:color w:val="000000"/>
          <w:sz w:val="20"/>
          <w:u w:val="single"/>
        </w:rPr>
        <w:t>General</w:t>
      </w:r>
      <w:r>
        <w:rPr>
          <w:rFonts w:ascii="Times New Roman" w:hAnsi="Times New Roman"/>
          <w:color w:val="000000"/>
          <w:sz w:val="20"/>
        </w:rPr>
        <w:t>.  The officers of the Corporation shall be chosen by the Board of Directors and shall be a President, a Secretary and a Treasurer.  The Board of Directors, in its discretion, also may choose a Chairman of the Board of Directors (who must be a director) and one or more Vice Presidents, Assistant Secretaries, Assistant Treasurers and other officers.  Any number of offices may be held by the same person, unless otherwise prohibited by law, the Certificate of Incorporation or these Bylaws.  The officers of the Corporation need not be stockholders of the Corporation nor, except in the case of the Chairman of the Board of Directors, need such officers be directors of the Corporation.</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2.         </w:t>
      </w:r>
      <w:r>
        <w:rPr>
          <w:rFonts w:ascii="Times New Roman" w:hAnsi="Times New Roman"/>
          <w:color w:val="000000"/>
          <w:sz w:val="20"/>
          <w:u w:val="single"/>
        </w:rPr>
        <w:t>Election</w:t>
      </w:r>
      <w:r>
        <w:rPr>
          <w:rFonts w:ascii="Times New Roman" w:hAnsi="Times New Roman"/>
          <w:color w:val="000000"/>
          <w:sz w:val="20"/>
        </w:rPr>
        <w:t>.  The Board of Directors, at its first meeting held after each Annual Meeting of Stockholders (or action by written consent of stockholders in lieu of the Annual Meeting of Stockholders), shall elect the officers of the Corporation who shall hold their offices for such terms and shall exercise such powers and perform such duties as shall be determined from time to time by the Board of Directors; and each officer of the Corporation shall hold office until such officer’s successor is elected and qualified, or until such officer’s earlier death, resignation or removal.  Any officer elected by the Board of Directors may be removed at any time by the Board of Directors.  Any vacancy occurring in any office of the Corporation shall be filled by the Board of Directors.  The salaries of all officers of the Corporation shall be fixed by the Board of Directors.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3.         </w:t>
      </w:r>
      <w:r>
        <w:rPr>
          <w:rFonts w:ascii="Times New Roman" w:hAnsi="Times New Roman"/>
          <w:color w:val="000000"/>
          <w:sz w:val="20"/>
          <w:u w:val="single"/>
        </w:rPr>
        <w:t>Voting Securities Owned by the Corporation</w:t>
      </w:r>
      <w:r>
        <w:rPr>
          <w:rFonts w:ascii="Times New Roman" w:hAnsi="Times New Roman"/>
          <w:color w:val="000000"/>
          <w:sz w:val="20"/>
        </w:rPr>
        <w:t>.  Powers of attorney, proxies, waivers of notice of meeting, consents and other instruments relating to securities owned by the Corporation may be executed in the name of and on behalf of the Corporation by the President or any Vice President or any other officer authorized to do so by the Board of Directors and any such officer may, in the name of and on behalf of the Corporation, take all such action as any such officer may deem advisable to vote in person or by proxy at any meeting of security holders of any corporation or other entity in which the Corporation may own securities and at any such meeting shall possess and may exercise any and all rights and power incident to the ownership of such securities and which, as the owner thereof, the Corporation might have exercised and possessed if present.  The Board of Directors may, by resolution, from time to time confer like powers upon any other person or persons.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4.         </w:t>
      </w:r>
      <w:r>
        <w:rPr>
          <w:rFonts w:ascii="Times New Roman" w:hAnsi="Times New Roman"/>
          <w:color w:val="000000"/>
          <w:sz w:val="20"/>
          <w:u w:val="single"/>
        </w:rPr>
        <w:t>Chairman of the Board of Directors</w:t>
      </w:r>
      <w:r>
        <w:rPr>
          <w:rFonts w:ascii="Times New Roman" w:hAnsi="Times New Roman"/>
          <w:color w:val="000000"/>
          <w:sz w:val="20"/>
        </w:rPr>
        <w:t>.  The Chairman of the Board of Directors, if there be one, shall preside at all meetings of the stockholders and of the Board of Directors.  The Chairman of the Board of Directors shall be the Chief Executive Officer of the Corporation, unless the Board of Directors designates the President as the Chief Executive Officer, and, except where by law the signature of the President is required, the Chairman of the Board of Directors shall possess the same power as the President to sign all contracts, certificates and other instruments of the Corporation which may be authorized by the Board of Directors.  During the absence or disability of the President, the Chairman of the Board of Directors shall exercise all the powers and discharge all the duties of the President.  The Chairman of the Board of Directors shall also perform such other duties and may exercise such other powers as may from time to time be assigned by these Bylaws or by the Board of Directors.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5.         </w:t>
      </w:r>
      <w:r>
        <w:rPr>
          <w:rFonts w:ascii="Times New Roman" w:hAnsi="Times New Roman"/>
          <w:color w:val="000000"/>
          <w:sz w:val="20"/>
          <w:u w:val="single"/>
        </w:rPr>
        <w:t>President</w:t>
      </w:r>
      <w:r>
        <w:rPr>
          <w:rFonts w:ascii="Times New Roman" w:hAnsi="Times New Roman"/>
          <w:color w:val="000000"/>
          <w:sz w:val="20"/>
        </w:rPr>
        <w:t>.  The President shall, subject to the oversight and control of the Board of Directors and, if there be one, the Chairman of the Board of Directors, have general supervision of the business of the Corporation and shall see that all orders and resolutions of the Board of Directors are carried into effect.  The President shall execute all bonds, mortgages, contracts and other instruments of the Corporation requiring a seal, under the seal of the Corporation, except where required or permitted by law to be otherwise signed and executed and except that the other officers of the Corporation may sign and execute documents when so authorized by these Bylaws, the Board of Directors or the President.  In the absence or disability of the Chairman of the Board of Directors, or if there be none, the President shall preside at all meetings of the stockholders and, if the President is also a director, the Board of Directors.  If there be no Chairman of the Board of Directors, or if the Board of Directors shall otherwise designate, the President shall be the Chief Executive Officer of the Corporation.  The President shall also perform such other duties and may exercise such other powers as may from time to time be assigned to such officer by these Bylaws or by the Board of Directors.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6.         </w:t>
      </w:r>
      <w:r>
        <w:rPr>
          <w:rFonts w:ascii="Times New Roman" w:hAnsi="Times New Roman"/>
          <w:color w:val="000000"/>
          <w:sz w:val="20"/>
          <w:u w:val="single"/>
        </w:rPr>
        <w:t>Vice Presidents</w:t>
      </w:r>
      <w:r>
        <w:rPr>
          <w:rFonts w:ascii="Times New Roman" w:hAnsi="Times New Roman"/>
          <w:color w:val="000000"/>
          <w:sz w:val="20"/>
        </w:rPr>
        <w:t>.  At the request of the President or in the President’s absence or in the event of the President’s inability or refusal to act (and if there be no Chairman of the Board of Directors), the Vice President, or the Vice Presidents if there are more than one (in the order designated by the Board of Directors), shall perform the duties of the President, and when so acting, shall have all the powers of and be subject to all the restrictions upon the President.  Each Vice President shall perform such other duties and have such other powers as the Board of Directors from time to time may prescribe.  If there be no Chairman of the Board of Directors and no Vice President, the Board of Directors shall designate the officer of the Corporation who, in the absence of the President or in the event of the inability or refusal of the President to act, shall perform the duties of the President, and when so acting, shall have all the powers of and be subject to all the restrictions upon the President.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7.         </w:t>
      </w:r>
      <w:r>
        <w:rPr>
          <w:rFonts w:ascii="Times New Roman" w:hAnsi="Times New Roman"/>
          <w:color w:val="000000"/>
          <w:sz w:val="20"/>
          <w:u w:val="single"/>
        </w:rPr>
        <w:t>Secretary</w:t>
      </w:r>
      <w:r>
        <w:rPr>
          <w:rFonts w:ascii="Times New Roman" w:hAnsi="Times New Roman"/>
          <w:color w:val="000000"/>
          <w:sz w:val="20"/>
        </w:rPr>
        <w:t>.  The Secretary shall attend all meetings of the Board of Directors and all meetings of the stockholders and record all the proceedings thereat in a book or books to be kept for that purpose; the Secretary shall also perform like duties for committees of the Board of Directors when required.  The Secretary shall give, or cause to be given, notice of all meetings of the stockholders and special meetings of the Board of Directors, and shall perform such other duties as may be prescribed by the Board of Directors, the Chairman of the Board of Directors or the President, under whose supervision the Secretary shall be.  If the Secretary shall be unable or shall refuse to cause to be given notice of all meetings of the stockholders and special meetings of the Board of Directors, and if there be no Assistant Secretary, then either the Board of Directors or the President may choose another officer to cause such notice to be given.  The Secretary shall have custody of the seal of the Corporation and the Secretary or any Assistant Secretary, if there be one, shall have authority to affix the same to any instrument requiring it and when so affixed, it may be attested by the signature of the Secretary or by the signature of any such Assistant Secretary.  The Board of Directors may give general authority to any other officer to affix the seal of the Corporation and to attest to the affixing by such officer’s signature.  The Secretary shall see that all books, reports, statements, certificates and other documents and records required by law to be kept or filed are properly kept or filed, as the case may be.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8.         </w:t>
      </w:r>
      <w:r>
        <w:rPr>
          <w:rFonts w:ascii="Times New Roman" w:hAnsi="Times New Roman"/>
          <w:color w:val="000000"/>
          <w:sz w:val="20"/>
          <w:u w:val="single"/>
        </w:rPr>
        <w:t>Treasurer</w:t>
      </w:r>
      <w:r>
        <w:rPr>
          <w:rFonts w:ascii="Times New Roman" w:hAnsi="Times New Roman"/>
          <w:color w:val="000000"/>
          <w:sz w:val="20"/>
        </w:rPr>
        <w:t>.  The Treasurer shall have the custody of the Corporation’s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The Treasurer shall disburse the funds of the Corporation as may be ordered by the Board of Directors or the President taking proper vouchers for such disbursements, and shall render to the President and the Board of Directors, at its regular meetings, or when the Board of Directors so requires, an account of all transactions as Treasurer and of the financial condition of the Corporation.  If required by the Board of Directors, the Treasurer shall give the Corporation a bond in such sum and with such surety or sureties as shall be satisfactory to the Board of Directors for the faithful performance of the duties of the office of the Treasurer and for the restoration to the Corporation, in case of the Treasurer’s death, resignation, retirement or removal from office, of all books, papers, vouchers, money and other property of whatever kind in the Treasurer’s possession or under the Treasurer’s control belonging to the Corporation.</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9.         </w:t>
      </w:r>
      <w:r>
        <w:rPr>
          <w:rFonts w:ascii="Times New Roman" w:hAnsi="Times New Roman"/>
          <w:color w:val="000000"/>
          <w:sz w:val="20"/>
          <w:u w:val="single"/>
        </w:rPr>
        <w:t>Assistant Secretaries</w:t>
      </w:r>
      <w:r>
        <w:rPr>
          <w:rFonts w:ascii="Times New Roman" w:hAnsi="Times New Roman"/>
          <w:color w:val="000000"/>
          <w:sz w:val="20"/>
        </w:rPr>
        <w:t>.  Assistant Secretaries, if there be any, shall perform such duties and have such powers as from time to time may be assigned to them by the Board of Directors, the President, any Vice President, if there be one, or the Secretary, and in the absence of the Secretary or in the event of the Secretary’s inability or refusal to act, shall perform the duties of the Secretary, and when so acting, shall have all the powers of and be subject to all the restrictions upon the Secretary.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10.       </w:t>
      </w:r>
      <w:r>
        <w:rPr>
          <w:rFonts w:ascii="Times New Roman" w:hAnsi="Times New Roman"/>
          <w:color w:val="000000"/>
          <w:sz w:val="20"/>
          <w:u w:val="single"/>
        </w:rPr>
        <w:t>Assistant Treasurers</w:t>
      </w:r>
      <w:r>
        <w:rPr>
          <w:rFonts w:ascii="Times New Roman" w:hAnsi="Times New Roman"/>
          <w:color w:val="000000"/>
          <w:sz w:val="20"/>
        </w:rPr>
        <w:t>.  Assistant Treasurers, if there be any, shall perform such duties and have such powers as from time to time may be assigned to them by the Board of Directors, the President, any Vice President, if there be one, or the Treasurer, and in the absence of the Treasurer or in the event of the Treasurer’s inability or refusal to act, shall perform the duties of the Treasurer, and when so acting, shall have all the powers of and be subject to all the restrictions upon the Treasurer.  If required by the Board of Directors, an Assistant Treasurer shall give the Corporation a bond in such sum and with such surety or sureties as shall be satisfactory to the Board of Directors for the faithful performance of the duties of the office of Assistant Treasurer and for the restoration to the Corporation, in case of the Assistant Treasurer’s death, resignation, retirement or removal from office, of all books, papers, vouchers, money and other property of whatever kind in the Assistant Treasurer’s possession or under the Assistant Treasurer’s control belonging to the Corporation.</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11.       </w:t>
      </w:r>
      <w:r>
        <w:rPr>
          <w:rFonts w:ascii="Times New Roman" w:hAnsi="Times New Roman"/>
          <w:color w:val="000000"/>
          <w:sz w:val="20"/>
          <w:u w:val="single"/>
        </w:rPr>
        <w:t>Other Officers</w:t>
      </w:r>
      <w:r>
        <w:rPr>
          <w:rFonts w:ascii="Times New Roman" w:hAnsi="Times New Roman"/>
          <w:color w:val="000000"/>
          <w:sz w:val="20"/>
        </w:rPr>
        <w:t>.  Such other officers as the Board of Directors may choose shall perform such duties and have such powers as from time to time may be assigned to them by the Board of Directors.  The Board of Directors may delegate to any other officer of the Corporation the power to choose such other officers and to prescribe their respective duties and powers.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V</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STOCK</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1.         </w:t>
      </w:r>
      <w:r>
        <w:rPr>
          <w:rFonts w:ascii="Times New Roman" w:hAnsi="Times New Roman"/>
          <w:color w:val="000000"/>
          <w:sz w:val="20"/>
          <w:u w:val="single"/>
        </w:rPr>
        <w:t>Stock Certificates</w:t>
      </w:r>
      <w:r>
        <w:rPr>
          <w:rFonts w:ascii="Times New Roman" w:hAnsi="Times New Roman"/>
          <w:color w:val="000000"/>
          <w:sz w:val="20"/>
        </w:rPr>
        <w:t>.  Stock of the Corporation shall be uncertificated and shall not initially be represented by certificates, except to the extent as may be required by applicable law, as requested by a stockholder or as may otherwise be authorized by the Board of Directors.  In the event stock of the Corporation are represented by certificates, such share certificates shall be in the form prescribed by the Board of Directors and shall be signed by the President or a Vice President and by the Secretary or the Treasurer or an Assistant Secretary or an Assistant Treasurer of the Corporation, but such signatures may be facsimiles, engraved or printed.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2.         </w:t>
      </w:r>
      <w:r>
        <w:rPr>
          <w:rFonts w:ascii="Times New Roman" w:hAnsi="Times New Roman"/>
          <w:color w:val="000000"/>
          <w:sz w:val="20"/>
          <w:u w:val="single"/>
        </w:rPr>
        <w:t>Lost Certificates</w:t>
      </w:r>
      <w:r>
        <w:rPr>
          <w:rFonts w:ascii="Times New Roman" w:hAnsi="Times New Roman"/>
          <w:color w:val="000000"/>
          <w:sz w:val="20"/>
        </w:rPr>
        <w:t>.  The Board of Directors may direct a new certificate to be issued in place of any certificate theretofore issued by the Corporation alleged to have been lost, stolen or destroyed, upon the making of an affidavit of that fact by the person claiming the certificate of stock to be lost, stolen or destroyed.  When authorizing such issue of a new certificate, the Board of Directors may, in its discretion and as a condition precedent to the issuance thereof, require the owner of such lost, stolen or destroyed certificate, or such owner’s legal representative, to advertise the same in such manner as the Board of Directors shall require and/or to give the Corporation a bond in such sum as it may direct as indemnity against any claim that may be made against the Corporation on account of the alleged loss, theft or destruction of such certificate or the issuance of such new certificate.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3.         </w:t>
      </w:r>
      <w:r>
        <w:rPr>
          <w:rFonts w:ascii="Times New Roman" w:hAnsi="Times New Roman"/>
          <w:color w:val="000000"/>
          <w:sz w:val="20"/>
          <w:u w:val="single"/>
        </w:rPr>
        <w:t>Transfers</w:t>
      </w:r>
      <w:r>
        <w:rPr>
          <w:rFonts w:ascii="Times New Roman" w:hAnsi="Times New Roman"/>
          <w:color w:val="000000"/>
          <w:sz w:val="20"/>
        </w:rPr>
        <w:t>.  Stock of the Corporation shall be transferable in the manner prescribed by applicable law and in these Bylaws.  Transfers of stock shall be made on the books of the Corporation only by the person named in the certificate or by such person’s attorney lawfully constituted in writing and upon the surrender of the certificate therefor, properly endorsed for transfer and payment of all necessary transfer taxes; provided, however, that such surrender and endorsement or payment of taxes shall not be required in any case in which the officers of the Corporation shall determine to waive such requirement.  Every certificate exchanged, returned or surrendered to the Corporation shall be marked “Canceled,” with the date of cancellation, by the Secretary or Assistant Secretary of the Corporation or the transfer agent thereof.  No transfer of stock shall be valid as against the Corporation for any purpose until it shall have been entered in the stock records of the Corporation by an entry showing from and to whom transferred.</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4.         </w:t>
      </w:r>
      <w:r>
        <w:rPr>
          <w:rFonts w:ascii="Times New Roman" w:hAnsi="Times New Roman"/>
          <w:color w:val="000000"/>
          <w:sz w:val="20"/>
          <w:u w:val="single"/>
        </w:rPr>
        <w:t>Dividend Record Date</w:t>
      </w:r>
      <w:r>
        <w:rPr>
          <w:rFonts w:ascii="Times New Roman" w:hAnsi="Times New Roman"/>
          <w:color w:val="000000"/>
          <w:sz w:val="20"/>
        </w:rPr>
        <w:t>.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5.         </w:t>
      </w:r>
      <w:r>
        <w:rPr>
          <w:rFonts w:ascii="Times New Roman" w:hAnsi="Times New Roman"/>
          <w:color w:val="000000"/>
          <w:sz w:val="20"/>
          <w:u w:val="single"/>
        </w:rPr>
        <w:t>Record Owners</w:t>
      </w:r>
      <w:r>
        <w:rPr>
          <w:rFonts w:ascii="Times New Roman" w:hAnsi="Times New Roman"/>
          <w:color w:val="000000"/>
          <w:sz w:val="20"/>
        </w:rPr>
        <w:t>.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required by law.</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6.         </w:t>
      </w:r>
      <w:r>
        <w:rPr>
          <w:rFonts w:ascii="Times New Roman" w:hAnsi="Times New Roman"/>
          <w:color w:val="000000"/>
          <w:sz w:val="20"/>
          <w:u w:val="single"/>
        </w:rPr>
        <w:t>Transfer and Registry Agents</w:t>
      </w:r>
      <w:r>
        <w:rPr>
          <w:rFonts w:ascii="Times New Roman" w:hAnsi="Times New Roman"/>
          <w:color w:val="000000"/>
          <w:sz w:val="20"/>
        </w:rPr>
        <w:t>.  The Corporation may from time to time maintain one or more transfer offices or agencies and registry offices or agencies at such place or places as may be determined from time to time by the Board of Directors.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VI</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NOTICES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1.         </w:t>
      </w:r>
      <w:r>
        <w:rPr>
          <w:rFonts w:ascii="Times New Roman" w:hAnsi="Times New Roman"/>
          <w:color w:val="000000"/>
          <w:sz w:val="20"/>
          <w:u w:val="single"/>
        </w:rPr>
        <w:t>Notices</w:t>
      </w:r>
      <w:r>
        <w:rPr>
          <w:rFonts w:ascii="Times New Roman" w:hAnsi="Times New Roman"/>
          <w:color w:val="000000"/>
          <w:sz w:val="20"/>
        </w:rPr>
        <w:t>.  Whenever written notice is required by law, the Certificate of Incorporation or these Bylaws, to be given to any director, member of a committee or stockholder, such notice may be given in writing directed to such director’s, committee member’s or stockholder’s mailing address (or by electronic transmission directed to such director’s, committee member’s or stockholder’ electronic mail address, as applicable) as it appears on the records of the Corporation and shall be given: (a) if mailed, when the notice is deposited in the United States mail, postage prepaid, (b) if delivered by courier service, the earlier of when the notice is received or left at such director’s, committee member’s or stockholder’s address or (c) if given by electronic mail, when directed to such director’s, committee member’s or stockholder’s electronic mail address unless such director, committee member or stockholder has notified the corporation in writing or by electronic transmission of an objection to receiving notice by electronic mail or such notice is prohibited by the under applicable law, the Certificate of Incorporation or these Bylaws.  Without limiting the manner by which notice otherwise may be given effectively to stockholders, but subject to Section 232(e) of the DGCL, any notice to stockholders given by the Corporation under applicable law,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Corporation.  The Corporation may give notice by electronic mail in accordance with the first sentence of this Section 1 without obtaining the consent required by the second sentence of this Section 1.  Notice given by electronic transmission, as described above, shall be deemed given: (i) if by facsimile telecommunication, when directed to a number at which the stockholder has consented to receive notice; (ii) if by a posting on an electronic network, together with separate notice to the stockholder of such specific posting, upon the later of (A) such posting and (B) the giving of such separate notice; and (iii) if by any other form of electronic transmission, when directed to the stockholder.  Notwithstanding the foregoing, a notice may not be given by an electronic transmission from and after the time that (i) the Corporation is unable to deliver by such electronic transmission two consecutive notices given by the Corporation and (ii) such inability becomes known to the Secretary or an Assistant Secretary of the Corporation or to the transfer agent, or other person responsible for the giving of notice, provided, however, the inadvertent failure to discover such inability shall not invalidate any meeting or other action.</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2.         </w:t>
      </w:r>
      <w:r>
        <w:rPr>
          <w:rFonts w:ascii="Times New Roman" w:hAnsi="Times New Roman"/>
          <w:color w:val="000000"/>
          <w:sz w:val="20"/>
          <w:u w:val="single"/>
        </w:rPr>
        <w:t>Waivers of Notice</w:t>
      </w:r>
      <w:r>
        <w:rPr>
          <w:rFonts w:ascii="Times New Roman" w:hAnsi="Times New Roman"/>
          <w:color w:val="000000"/>
          <w:sz w:val="20"/>
        </w:rPr>
        <w:t>.  Whenever any notice is required, by applicable law, the Certificate of Incorporation or these Bylaws, to be given to any director, member of a committee or stockholder, a waiver thereof in writing, signed by the person or persons entitled to notice, or a waiver by electronic transmission by the person or persons entitled to notice, whether before or after the time stated therein, shall be deemed equivalent thereto.  Attendance of a person at a meeting, present in person or represented by proxy, shall constitute a waiver of notice of such meeting, except where the person attends the meeting for the express purpose of objecting at the beginning of the meeting to the transaction of any business because the meeting is not lawfully called or convened.  Neither the business to be transacted at, nor the purpose of, any Annual or Special Meeting of Stockholders or any regular or special meeting of the directors or members of a committee of directors need be specified in any written waiver of notice or any waiver by electronic transmission unless so required by law, the Certificate of Incorporation or these Bylaws.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VII</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GENERAL PROVISIONS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1.         </w:t>
      </w:r>
      <w:r>
        <w:rPr>
          <w:rFonts w:ascii="Times New Roman" w:hAnsi="Times New Roman"/>
          <w:color w:val="000000"/>
          <w:sz w:val="20"/>
          <w:u w:val="single"/>
        </w:rPr>
        <w:t>Dividends</w:t>
      </w:r>
      <w:r>
        <w:rPr>
          <w:rFonts w:ascii="Times New Roman" w:hAnsi="Times New Roman"/>
          <w:color w:val="000000"/>
          <w:sz w:val="20"/>
        </w:rPr>
        <w:t>.  Dividends upon the capital stock of the Corporation, subject to the requirements of the DGCL and the provisions of the Certificate of Incorporation, if any, may be declared by the Board of Directors at any regular or special meeting of the Board of Directors (or any action by written consent in lieu thereof in accordance with Section 8 of Article III hereof), and may be paid in cash, in property, or in shares of the Corporation’s capital stock.  Before payment of any dividend, there may be set aside out of any funds of the Corporation available for dividends such sum or sums as the Board of Directors from time to time, in its absolute discretion, deems proper as a reserve or reserves to meet contingencies, or for purchasing any of the shares of capital stock, warrants, rights, options, bonds, debentures, notes, scrip or other securities or evidences of indebtedness of the Corporation, or for equalizing dividends, or for repairing or maintaining any property of the Corporation, or for any proper purpose, and the Board of Directors may modify or abolish any such reserve.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2.         </w:t>
      </w:r>
      <w:r>
        <w:rPr>
          <w:rFonts w:ascii="Times New Roman" w:hAnsi="Times New Roman"/>
          <w:color w:val="000000"/>
          <w:sz w:val="20"/>
          <w:u w:val="single"/>
        </w:rPr>
        <w:t>Disbursements</w:t>
      </w:r>
      <w:r>
        <w:rPr>
          <w:rFonts w:ascii="Times New Roman" w:hAnsi="Times New Roman"/>
          <w:color w:val="000000"/>
          <w:sz w:val="20"/>
        </w:rPr>
        <w:t>.  All checks or demands for money and notes of the Corporation shall be signed by such officer or officers or such other person or persons as the Board of Directors may from time to time designate.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3.         </w:t>
      </w:r>
      <w:r>
        <w:rPr>
          <w:rFonts w:ascii="Times New Roman" w:hAnsi="Times New Roman"/>
          <w:color w:val="000000"/>
          <w:sz w:val="20"/>
          <w:u w:val="single"/>
        </w:rPr>
        <w:t>Fiscal Year</w:t>
      </w:r>
      <w:r>
        <w:rPr>
          <w:rFonts w:ascii="Times New Roman" w:hAnsi="Times New Roman"/>
          <w:color w:val="000000"/>
          <w:sz w:val="20"/>
        </w:rPr>
        <w:t xml:space="preserve"> .  The fiscal year of the Corporation shall be fixed by resolution of the Board of Directors.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4.         </w:t>
      </w:r>
      <w:r>
        <w:rPr>
          <w:rFonts w:ascii="Times New Roman" w:hAnsi="Times New Roman"/>
          <w:color w:val="000000"/>
          <w:sz w:val="20"/>
          <w:u w:val="single"/>
        </w:rPr>
        <w:t>Corporate Seal</w:t>
      </w:r>
      <w:r>
        <w:rPr>
          <w:rFonts w:ascii="Times New Roman" w:hAnsi="Times New Roman"/>
          <w:color w:val="000000"/>
          <w:sz w:val="20"/>
        </w:rPr>
        <w:t>.  The corporate seal shall have inscribed thereon the name of the Corporation, the year of its organization and the words “Corporate Seal, Delaware”.  The seal may be used by causing it or a facsimile thereof to be impressed or affixed or reproduced or otherwise.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VIII</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INDEMNIFICATION</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1.         </w:t>
      </w:r>
      <w:r>
        <w:rPr>
          <w:rFonts w:ascii="Times New Roman" w:hAnsi="Times New Roman"/>
          <w:color w:val="000000"/>
          <w:sz w:val="20"/>
          <w:u w:val="single"/>
        </w:rPr>
        <w:t>Power to Indemnify in Actions, Suits or Proceedings other than Those by or in the Right of the Corporation</w:t>
      </w:r>
      <w:r>
        <w:rPr>
          <w:rFonts w:ascii="Times New Roman" w:hAnsi="Times New Roman"/>
          <w:color w:val="000000"/>
          <w:sz w:val="20"/>
        </w:rPr>
        <w:t>.  Subject to Section 3 of this Article VIII,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2.         </w:t>
      </w:r>
      <w:r>
        <w:rPr>
          <w:rFonts w:ascii="Times New Roman" w:hAnsi="Times New Roman"/>
          <w:color w:val="000000"/>
          <w:sz w:val="20"/>
          <w:u w:val="single"/>
        </w:rPr>
        <w:t>Power to Indemnify in Actions, Suits or Proceedings by or in the Right of the Corporation</w:t>
      </w:r>
      <w:r>
        <w:rPr>
          <w:rFonts w:ascii="Times New Roman" w:hAnsi="Times New Roman"/>
          <w:color w:val="000000"/>
          <w:sz w:val="20"/>
        </w:rPr>
        <w:t>.  Subject to Section 3 of this Article VIII,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of the State of Delaware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3.         </w:t>
      </w:r>
      <w:r>
        <w:rPr>
          <w:rFonts w:ascii="Times New Roman" w:hAnsi="Times New Roman"/>
          <w:color w:val="000000"/>
          <w:sz w:val="20"/>
          <w:u w:val="single"/>
        </w:rPr>
        <w:t>Authorization of Indemnification</w:t>
      </w:r>
      <w:r>
        <w:rPr>
          <w:rFonts w:ascii="Times New Roman" w:hAnsi="Times New Roman"/>
          <w:color w:val="000000"/>
          <w:sz w:val="20"/>
        </w:rPr>
        <w:t>.  Any indemnification under this Article VIII (unless ordered by a court) shall be made by the Corporation only as authorized in the specific case upon a determination that indemnification of the present or former director or officer is proper in the circumstances because such person has met the applicable standard of conduct set forth in Section 1 or Section 2 of this Article VIII, as the case may be.  Such determination shall be made, with respect to a person who is a director or officer of the Corporation at the time of such determination, (i) by a majority vote of the directors who are not parties to such action, suit or proceeding, even though less than a quorum, or (ii) by a committee of such directors designated by a majority vote of such directors, even though less than a quorum, or (iii) if there are no such directors, or if such directors so direct, by independent legal counsel in a written opinion or (iv) by the stockholders.  Such determination shall be made, with respect to former directors and officers, by any person or persons having the authority to act on the matter on behalf of the Corporation.  To the extent, however, that a present or former director or officer of the Corporation has been successful on the merits or otherwise in defense of any action, suit or proceeding described above, or in defense of any claim, issue or matter therein, such person shall be indemnified against expenses (including attorneys’ fees) actually and reasonably incurred by such person in connection therewith, without the necessity of authorization in the specific case.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4.         </w:t>
      </w:r>
      <w:r>
        <w:rPr>
          <w:rFonts w:ascii="Times New Roman" w:hAnsi="Times New Roman"/>
          <w:color w:val="000000"/>
          <w:sz w:val="20"/>
          <w:u w:val="single"/>
        </w:rPr>
        <w:t>Good Faith Defined</w:t>
      </w:r>
      <w:r>
        <w:rPr>
          <w:rFonts w:ascii="Times New Roman" w:hAnsi="Times New Roman"/>
          <w:color w:val="000000"/>
          <w:sz w:val="20"/>
        </w:rPr>
        <w:t>.  For purposes of any determination under Section 3 of this Article VIII, a person shall be deemed to have acted in good faith and in a manner such person reasonably believed to be in or not opposed to the best interests of the Corporation, or, with respect to any criminal action or proceeding, to have had no reasonable cause to believe such person’s conduct was unlawful, if such person’s action is based on the records or books of account of the Corporation or another enterprise, or on information supplied to such person by the officers of the Corporation or another enterprise in the course of their duties, or on the advice of legal counsel for the Corporation or another enterprise or on information or records given or reports made to the Corporation or another enterprise by an independent certified public accountant or by an appraiser or other expert selected with reasonable care by the Corporation or another enterprise.  The provisions of this Section 4 shall not be deemed to be exclusive or to limit in any way the circumstances in which a person may be deemed to have met the applicable standard of conduct set forth in Section 1 or Section 2 of this Article VIII, as the case may be.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5.         </w:t>
      </w:r>
      <w:r>
        <w:rPr>
          <w:rFonts w:ascii="Times New Roman" w:hAnsi="Times New Roman"/>
          <w:color w:val="000000"/>
          <w:sz w:val="20"/>
          <w:u w:val="single"/>
        </w:rPr>
        <w:t>Indemnification by a Court</w:t>
      </w:r>
      <w:r>
        <w:rPr>
          <w:rFonts w:ascii="Times New Roman" w:hAnsi="Times New Roman"/>
          <w:color w:val="000000"/>
          <w:sz w:val="20"/>
        </w:rPr>
        <w:t>.  Notwithstanding any contrary determination in the specific case under Section 3 of this Article VIII, and notwithstanding the absence of any determination thereunder, any director or officer may apply to the Court of Chancery of the State of Delaware or any other court of competent jurisdiction in the State of Delaware for indemnification to the extent otherwise permissible under Section 1 or Section 2 of this Article VIII.  The basis of such indemnification by a court shall be a determination by such court that indemnification of the director or officer is proper in the circumstances because such person has met the applicable standard of conduct set forth in Section 1 or Section 2 of this Article VIII, as the case may be.  Neither a contrary determination in the specific case under Section 3 of this Article VIII nor the absence of any determination thereunder shall be a defense to such application or create a presumption that the director or officer seeking indemnification has not met any applicable standard of conduct.  Notice of any application for indemnification pursuant to this Section 5 shall be given to the Corporation promptly upon the filing of such application.  If successful, in whole or in part, the director or officer seeking indemnification shall also be entitled to be paid the expense of prosecuting such application.</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6.         </w:t>
      </w:r>
      <w:r>
        <w:rPr>
          <w:rFonts w:ascii="Times New Roman" w:hAnsi="Times New Roman"/>
          <w:color w:val="000000"/>
          <w:sz w:val="20"/>
          <w:u w:val="single"/>
        </w:rPr>
        <w:t>Expenses Payable in Advance</w:t>
      </w:r>
      <w:r>
        <w:rPr>
          <w:rFonts w:ascii="Times New Roman" w:hAnsi="Times New Roman"/>
          <w:color w:val="000000"/>
          <w:sz w:val="20"/>
        </w:rPr>
        <w:t>.  Expenses (including attorneys’ fees) incurred by a director or officer of the Corporation in defending any civil, criminal, administrative or investigative action, suit or proceeding shall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Article VIII.  Such expenses (including attorneys’ fees) incurred by former directors and officers or other employees and agents of the Corporation or by persons serving at the request of the Corporation as directors, officers, employees or agents of another corporation, partnership, joint venture, trust or other enterprise may be so paid upon such terms and conditions, if any, as the Corporation deems appropriate.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7.         </w:t>
      </w:r>
      <w:r>
        <w:rPr>
          <w:rFonts w:ascii="Times New Roman" w:hAnsi="Times New Roman"/>
          <w:color w:val="000000"/>
          <w:sz w:val="20"/>
          <w:u w:val="single"/>
        </w:rPr>
        <w:t>Nonexclusivity of Indemnification and Advancement of Expenses</w:t>
      </w:r>
      <w:r>
        <w:rPr>
          <w:rFonts w:ascii="Times New Roman" w:hAnsi="Times New Roman"/>
          <w:color w:val="000000"/>
          <w:sz w:val="20"/>
        </w:rPr>
        <w:t>.  The indemnification and advancement of expenses provided by, or granted pursuant to, this Article VIII shall not be deemed exclusive of any other rights to which those seeking indemnification or advancement of expenses may be entitled under the Certificate of Incorporation, these Bylaws, agreement, vote of stockholders or disinterested directors or otherwise, both as to action in such person’s official capacity and as to action in another capacity while holding such office, it being the policy of the Corporation that indemnification of the persons specified in Section 1 and Section 2 of this Article VIII shall be made to the fullest extent permitted by law.  A right to indemnification or to advancement of expenses arising under a provision of the Certificate of Incorporation or these Bylaws shall not be eliminated or impaired by an amendment to or repeal or elimination of a provision of the Certificate of Incorporation or these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 or omission has occurred.  The provisions of this Article VIII shall not be deemed to preclude the indemnification of any person who is not specified in Section 1 or Section 2 of this Article VIII but whom the Corporation has the power or obligation to indemnify, under the provisions of the DGCL, or otherwise.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8.         </w:t>
      </w:r>
      <w:r>
        <w:rPr>
          <w:rFonts w:ascii="Times New Roman" w:hAnsi="Times New Roman"/>
          <w:color w:val="000000"/>
          <w:sz w:val="20"/>
          <w:u w:val="single"/>
        </w:rPr>
        <w:t>Insurance</w:t>
      </w:r>
      <w:r>
        <w:rPr>
          <w:rFonts w:ascii="Times New Roman" w:hAnsi="Times New Roman"/>
          <w:color w:val="000000"/>
          <w:sz w:val="20"/>
        </w:rPr>
        <w:t>.  The Corporation may purchase and maintain insurance on behalf of any person who is or was a director or officer of the Corporation, or is or was a director or officer of the Corporation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or the obligation to indemnify such person against such liability under the provisions of this Article VIII.  For purposes of this Section 8, insurance shall include any insurance provided directly or indirectly (including pursuant to any fronting or reinsurance arrangement) by or through a captive insurance company in accordance with the requirements of Section 145(g) of the DGCL.</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9.         </w:t>
      </w:r>
      <w:r>
        <w:rPr>
          <w:rFonts w:ascii="Times New Roman" w:hAnsi="Times New Roman"/>
          <w:color w:val="000000"/>
          <w:sz w:val="20"/>
          <w:u w:val="single"/>
        </w:rPr>
        <w:t>Certain Definitions</w:t>
      </w:r>
      <w:r>
        <w:rPr>
          <w:rFonts w:ascii="Times New Roman" w:hAnsi="Times New Roman"/>
          <w:color w:val="000000"/>
          <w:sz w:val="20"/>
        </w:rPr>
        <w:t>.  For purposes of this Article VIII,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or officers, so that any person who is or was a director or officer of such constituent corporation, or is or was a director or officer of such constituent corporation serving at the request of such constituent corporation as a director, officer, employee or agent of another corporation, partnership, joint venture, trust or other enterprise, shall stand in the same position under the provisions of this Article VIII with respect to the resulting or surviving corporation as such person would have with respect to such constituent corporation if its separate existence had continued.  For purposes of this Article VIII, references to “officers” shall mean only a person who at the time of such or omission is deemed to have consented to service by the delivery of process to the registered agent of the Corporation pursuant to Section 3114(b) of Title 10 of the Delaware Code (treating residents of the State of Delaware as if they were nonresidents to apply Section 3114(b) of Title 10 of the Delaware Code to this sentence).  The term “another enterprise” as used in this Article VIII shall mean any other corporation or any partnership, joint venture, trust, employee benefit plan or other enterprise of which such person is or was serving at the request of the Corporation as a director, officer, employee or agent.  For purposes of this Article VIII,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or officer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Article VIII.</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10.       </w:t>
      </w:r>
      <w:r>
        <w:rPr>
          <w:rFonts w:ascii="Times New Roman" w:hAnsi="Times New Roman"/>
          <w:color w:val="000000"/>
          <w:sz w:val="20"/>
          <w:u w:val="single"/>
        </w:rPr>
        <w:t>Survival of Indemnification and Advancement of Expenses</w:t>
      </w:r>
      <w:r>
        <w:rPr>
          <w:rFonts w:ascii="Times New Roman" w:hAnsi="Times New Roman"/>
          <w:color w:val="000000"/>
          <w:sz w:val="20"/>
        </w:rPr>
        <w:t>.  The indemnification and advancement of expenses provided by, or granted pursuant to, this Article VIII shall, unless otherwise provided when authorized or ratified, continue as to a person who has ceased to be a director or officer and shall inure to the benefit of the heirs, executors and administrators of such a person.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11.       </w:t>
      </w:r>
      <w:r>
        <w:rPr>
          <w:rFonts w:ascii="Times New Roman" w:hAnsi="Times New Roman"/>
          <w:color w:val="000000"/>
          <w:sz w:val="20"/>
          <w:u w:val="single"/>
        </w:rPr>
        <w:t>Limitation on Indemnification</w:t>
      </w:r>
      <w:r>
        <w:rPr>
          <w:rFonts w:ascii="Times New Roman" w:hAnsi="Times New Roman"/>
          <w:color w:val="000000"/>
          <w:sz w:val="20"/>
        </w:rPr>
        <w:t>.  Notwithstanding anything contained in this Article VIII to the contrary, except for proceedings to enforce rights to indemnification (which shall be governed by Section 5 of this Article VIII), the Corporation shall not be obligated to indemnify any director or officer (or his or her heirs, executors or personal or legal representatives) or advance expenses in connection with a proceeding (or part thereof) initiated by such person unless such proceeding (or part thereof) was authorized or consented to by the Board of Directors of the Corporation.</w:t>
      </w:r>
    </w:p>
    <w:p>
      <w:pPr>
        <w:pStyle w:val="TextBody"/>
        <w:bidi w:val="0"/>
        <w:spacing w:before="0" w:after="0"/>
        <w:jc w:val="left"/>
        <w:rPr>
          <w:sz w:val="20"/>
        </w:rPr>
      </w:pPr>
      <w:r>
        <w:rPr>
          <w:sz w:val="20"/>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12.       </w:t>
      </w:r>
      <w:r>
        <w:rPr>
          <w:rFonts w:ascii="Times New Roman" w:hAnsi="Times New Roman"/>
          <w:color w:val="000000"/>
          <w:sz w:val="20"/>
          <w:u w:val="single"/>
        </w:rPr>
        <w:t>Indemnification of Employees and Agents</w:t>
      </w:r>
      <w:r>
        <w:rPr>
          <w:rFonts w:ascii="Times New Roman" w:hAnsi="Times New Roman"/>
          <w:color w:val="000000"/>
          <w:sz w:val="20"/>
        </w:rPr>
        <w:t>.  The Corporation may, to the extent authorized from time to time by the Board of Directors, provide rights to indemnification and to the advancement of expenses to officers, employees and agents of the Corporation similar to those conferred in this Article VIII to directors and officers of the Corporation.</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IX</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FORUM FOR ADJUDICATION OF CERTAIN DISPUTES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1.         </w:t>
      </w:r>
      <w:r>
        <w:rPr>
          <w:rFonts w:ascii="Times New Roman" w:hAnsi="Times New Roman"/>
          <w:color w:val="000000"/>
          <w:sz w:val="20"/>
          <w:u w:val="single"/>
        </w:rPr>
        <w:t>Forum for Adjudication of Certain Disputes</w:t>
      </w:r>
      <w:r>
        <w:rPr>
          <w:rFonts w:ascii="Times New Roman" w:hAnsi="Times New Roman"/>
          <w:color w:val="000000"/>
          <w:sz w:val="20"/>
        </w:rPr>
        <w:t>.  Unless the Corporation consents in writing to the selection of an alternative forum (an “</w:t>
      </w:r>
      <w:r>
        <w:rPr>
          <w:rFonts w:ascii="Times New Roman" w:hAnsi="Times New Roman"/>
          <w:color w:val="000000"/>
          <w:sz w:val="20"/>
          <w:u w:val="single"/>
        </w:rPr>
        <w:t>Alternative Forum Consent</w:t>
      </w:r>
      <w:r>
        <w:rPr>
          <w:rFonts w:ascii="Times New Roman" w:hAnsi="Times New Roman"/>
          <w:color w:val="000000"/>
          <w:sz w:val="20"/>
        </w:rPr>
        <w:t>”), the Court of Chancery of the State of Delaware shall be the sole and exclusive forum for (i) any derivative action or proceeding brought on behalf of the Corporation, (ii) any action asserting a claim of breach of a duty (including any fiduciary duty) owed by any current or former director, officer, stockholder, employee or agent of the Corporation to the Corporation or the Corporation's stockholders, (iii) any action asserting a claim against the Corporation or any current or former director, officer, stockholder, employee or agent of the Corporation arising out of or relating to any provision of the DGCL, the Certificate of Incorporation or these Bylaws (each, as in effect from time to time), or (iv) any action asserting a claim against the Corporation or any current or former director, officer, stockholder, employee or agent of the Corporation governed by the internal affairs doctrine of the State of Delaware; provided, however, that, in the event that the Court of Chancery of the State of Delaware lacks subject matter jurisdiction over any such action or proceeding, the sole and exclusive forum for such action or proceeding shall be another state or federal court located within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  Unless the Corporation gives an Alternative Forum Consent, the federal district courts of the United States of America shall, to the fullest extent permitted by law, be the sole and exclusive forum for the resolution of any complaint asserting a cause of action arising under the Securities Act of 1933, as amended.  Failure to enforce the foregoing provisions would cause the Corporation irreparable harm and the Corporation shall be entitled to equitable relief, including injunctive relief and specific performance, to enforce the foregoing provisions.  Any person or entity purchasing, otherwise acquiring or holding any interest in shares of capital stock of the Corporation shall be deemed to have notice of and consented to the provisions of this Section 1.  The existence of any prior Alternative Forum Consent shall not act as a waiver of the Corporation’s ongoing consent right as set forth above in this Section 1 with respect to any current or future actions or claims.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ARTICLE X</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AMENDMENTS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1.         </w:t>
      </w:r>
      <w:r>
        <w:rPr>
          <w:rFonts w:ascii="Times New Roman" w:hAnsi="Times New Roman"/>
          <w:color w:val="000000"/>
          <w:sz w:val="20"/>
          <w:u w:val="single"/>
        </w:rPr>
        <w:t>Amendments</w:t>
      </w:r>
      <w:r>
        <w:rPr>
          <w:rFonts w:ascii="Times New Roman" w:hAnsi="Times New Roman"/>
          <w:color w:val="000000"/>
          <w:sz w:val="20"/>
        </w:rPr>
        <w:t>.  These Bylaws may be altered, amended or repealed, in whole or in part, or new Bylaws may be adopted by the stockholders or by the Board of Directors; provided, however, that notice of such alteration, amendment, repeal or adoption of new Bylaws be contained in the notice of a meeting of the stockholders or Board of Directors, as the case may be, called for the purpose of acting upon any proposed alteration, amendment, repeal or adoption of new Bylaws.  All such alterations, amendments, repeals or adoptions of new Bylaws must be approved by either the holders of a majority of the outstanding capital stock entitled to vote thereon or by a majority of the entire Board of Directors then in office.  Any amendment to these Bylaws adopted by stockholders which specifies the votes that shall be necessary for the election of directors shall not be further amended or repealed by the Board of Directors.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Section 2.         </w:t>
      </w:r>
      <w:r>
        <w:rPr>
          <w:rFonts w:ascii="Times New Roman" w:hAnsi="Times New Roman"/>
          <w:color w:val="000000"/>
          <w:sz w:val="20"/>
          <w:u w:val="single"/>
        </w:rPr>
        <w:t>Entire Board of Directors</w:t>
      </w:r>
      <w:r>
        <w:rPr>
          <w:rFonts w:ascii="Times New Roman" w:hAnsi="Times New Roman"/>
          <w:color w:val="000000"/>
          <w:sz w:val="20"/>
        </w:rPr>
        <w:t>.  As used in this Article X and in these Bylaws generally, the term “entire Board of Directors” means the total number of directors which the Corporation would have if there were no vacancies.</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 * *</w:t>
      </w:r>
    </w:p>
    <w:p>
      <w:pPr>
        <w:pStyle w:val="TextBody"/>
        <w:bidi w:val="0"/>
        <w:spacing w:before="0" w:after="0"/>
        <w:jc w:val="left"/>
        <w:rPr>
          <w:rFonts w:ascii="Times New Roman" w:hAnsi="Times New Roman"/>
          <w:color w:val="000000"/>
          <w:sz w:val="24"/>
        </w:rPr>
      </w:pPr>
      <w:r>
        <w:rPr>
          <w:rFonts w:ascii="Times New Roman" w:hAnsi="Times New Roman"/>
          <w:color w:val="000000"/>
          <w:sz w:val="20"/>
          <w:u w:val="single"/>
        </w:rPr>
        <w:t>Adopted as of</w:t>
      </w:r>
      <w:r>
        <w:rPr>
          <w:rFonts w:ascii="Times New Roman" w:hAnsi="Times New Roman"/>
          <w:color w:val="000000"/>
          <w:sz w:val="20"/>
        </w:rPr>
        <w:t>: May 13,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b w:val="false"/>
          <w:i w:val="false"/>
          <w:caps w:val="false"/>
          <w:smallCaps w:val="false"/>
          <w:color w:val="000000"/>
          <w:sz w:val="16"/>
        </w:rPr>
        <w:t>21</w:t>
      </w:r>
      <w:r>
        <w:rPr>
          <w:rFonts w:ascii="Times New Roman" w:hAnsi="Times New Roman"/>
          <w:color w:val="000000"/>
          <w:sz w:val="20"/>
        </w:rPr>
        <w:t xml:space="preserve"> </w:t>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43907/000119312526009914/d20291dex2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15964</Words>
  <Characters>80038</Characters>
  <CharactersWithSpaces>96501</CharactersWithSpaces>
  <Paragraphs>692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