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3"/>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3"/>
            <w:vMerge w:val="restart"/>
          </w:tcPr>
          <w:p>
            <w:pPr>
              <w:jc w:val="center"/>
              <w:ind w:right="77"/>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80" w:type="dxa"/>
            <w:vAlign w:val="bottom"/>
            <w:gridSpan w:val="2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180" w:type="dxa"/>
            <w:vAlign w:val="bottom"/>
            <w:gridSpan w:val="16"/>
            <w:vMerge w:val="restart"/>
          </w:tcPr>
          <w:p>
            <w:pPr>
              <w:jc w:val="center"/>
              <w:ind w:right="12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180" w:type="dxa"/>
            <w:vAlign w:val="bottom"/>
            <w:gridSpan w:val="16"/>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80" w:type="dxa"/>
            <w:vAlign w:val="bottom"/>
            <w:gridSpan w:val="16"/>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jc w:val="center"/>
              <w:ind w:right="154"/>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6"/>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15"/>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Gyurci John</w:t>
              </w:r>
            </w:hyperlink>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20" w:type="dxa"/>
            <w:vAlign w:val="bottom"/>
            <w:gridSpan w:val="1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1620" w:type="dxa"/>
            <w:vAlign w:val="bottom"/>
            <w:gridSpan w:val="8"/>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Borders>
              <w:bottom w:val="single" w:sz="8" w:color="0000EE"/>
            </w:tcBorders>
            <w:gridSpan w:val="2"/>
            <w:vMerge w:val="continue"/>
          </w:tcPr>
          <w:p>
            <w:pPr>
              <w:spacing w:after="0"/>
              <w:rPr>
                <w:sz w:val="4"/>
                <w:szCs w:val="4"/>
                <w:color w:val="auto"/>
              </w:rPr>
            </w:pPr>
          </w:p>
        </w:tc>
        <w:tc>
          <w:tcPr>
            <w:tcW w:w="3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gridSpan w:val="6"/>
            <w:vMerge w:val="restart"/>
          </w:tcPr>
          <w:p>
            <w:pPr>
              <w:ind w:left="360"/>
              <w:spacing w:after="0" w:line="238" w:lineRule="exact"/>
              <w:rPr>
                <w:sz w:val="20"/>
                <w:szCs w:val="20"/>
                <w:color w:val="auto"/>
              </w:rPr>
            </w:pPr>
            <w:r>
              <w:rPr>
                <w:rFonts w:ascii="Arial" w:cs="Arial" w:eastAsia="Arial" w:hAnsi="Arial"/>
                <w:sz w:val="21"/>
                <w:szCs w:val="21"/>
                <w:color w:val="auto"/>
              </w:rPr>
              <w:t>]</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tcPr>
          <w:p>
            <w:pPr>
              <w:spacing w:after="0"/>
              <w:rPr>
                <w:sz w:val="3"/>
                <w:szCs w:val="3"/>
                <w:color w:val="auto"/>
              </w:rPr>
            </w:pPr>
          </w:p>
        </w:tc>
        <w:tc>
          <w:tcPr>
            <w:tcW w:w="3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gridSpan w:val="6"/>
            <w:vMerge w:val="continue"/>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7"/>
              </w:rPr>
              <w:t>X</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11"/>
                <w:szCs w:val="1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60" w:type="dxa"/>
            <w:vAlign w:val="bottom"/>
            <w:tcBorders>
              <w:top w:val="single" w:sz="8" w:color="9A9A9A"/>
            </w:tcBorders>
          </w:tcPr>
          <w:p>
            <w:pPr>
              <w:spacing w:after="0"/>
              <w:rPr>
                <w:sz w:val="4"/>
                <w:szCs w:val="4"/>
                <w:color w:val="auto"/>
              </w:rPr>
            </w:pPr>
          </w:p>
        </w:tc>
        <w:tc>
          <w:tcPr>
            <w:tcW w:w="460" w:type="dxa"/>
            <w:vAlign w:val="bottom"/>
            <w:tcBorders>
              <w:top w:val="single" w:sz="8" w:color="9A9A9A"/>
            </w:tcBorders>
          </w:tcPr>
          <w:p>
            <w:pPr>
              <w:spacing w:after="0"/>
              <w:rPr>
                <w:sz w:val="4"/>
                <w:szCs w:val="4"/>
                <w:color w:val="auto"/>
              </w:rPr>
            </w:pPr>
          </w:p>
        </w:tc>
        <w:tc>
          <w:tcPr>
            <w:tcW w:w="320" w:type="dxa"/>
            <w:vAlign w:val="bottom"/>
            <w:tcBorders>
              <w:top w:val="single" w:sz="8" w:color="9A9A9A"/>
            </w:tcBorders>
          </w:tcPr>
          <w:p>
            <w:pPr>
              <w:spacing w:after="0"/>
              <w:rPr>
                <w:sz w:val="4"/>
                <w:szCs w:val="4"/>
                <w:color w:val="auto"/>
              </w:rPr>
            </w:pPr>
          </w:p>
        </w:tc>
        <w:tc>
          <w:tcPr>
            <w:tcW w:w="1100" w:type="dxa"/>
            <w:vAlign w:val="bottom"/>
            <w:tcBorders>
              <w:top w:val="single" w:sz="8" w:color="9A9A9A"/>
            </w:tcBorders>
          </w:tcPr>
          <w:p>
            <w:pPr>
              <w:spacing w:after="0"/>
              <w:rPr>
                <w:sz w:val="4"/>
                <w:szCs w:val="4"/>
                <w:color w:val="auto"/>
              </w:rPr>
            </w:pPr>
          </w:p>
        </w:tc>
        <w:tc>
          <w:tcPr>
            <w:tcW w:w="560" w:type="dxa"/>
            <w:vAlign w:val="bottom"/>
            <w:tcBorders>
              <w:top w:val="single" w:sz="8" w:color="9A9A9A"/>
            </w:tcBorders>
          </w:tcPr>
          <w:p>
            <w:pPr>
              <w:spacing w:after="0"/>
              <w:rPr>
                <w:sz w:val="4"/>
                <w:szCs w:val="4"/>
                <w:color w:val="auto"/>
              </w:rPr>
            </w:pPr>
          </w:p>
        </w:tc>
        <w:tc>
          <w:tcPr>
            <w:tcW w:w="440" w:type="dxa"/>
            <w:vAlign w:val="bottom"/>
            <w:tcBorders>
              <w:top w:val="single" w:sz="8" w:color="9A9A9A"/>
            </w:tcBorders>
          </w:tcPr>
          <w:p>
            <w:pPr>
              <w:spacing w:after="0"/>
              <w:rPr>
                <w:sz w:val="4"/>
                <w:szCs w:val="4"/>
                <w:color w:val="auto"/>
              </w:rPr>
            </w:pPr>
          </w:p>
        </w:tc>
        <w:tc>
          <w:tcPr>
            <w:tcW w:w="80" w:type="dxa"/>
            <w:vAlign w:val="bottom"/>
            <w:tcBorders>
              <w:top w:val="single" w:sz="8" w:color="9A9A9A"/>
            </w:tcBorders>
          </w:tcPr>
          <w:p>
            <w:pPr>
              <w:spacing w:after="0"/>
              <w:rPr>
                <w:sz w:val="4"/>
                <w:szCs w:val="4"/>
                <w:color w:val="auto"/>
              </w:rPr>
            </w:pPr>
          </w:p>
        </w:tc>
        <w:tc>
          <w:tcPr>
            <w:tcW w:w="120" w:type="dxa"/>
            <w:vAlign w:val="bottom"/>
            <w:tcBorders>
              <w:top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4"/>
                <w:szCs w:val="4"/>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40" w:type="dxa"/>
            <w:vAlign w:val="bottom"/>
            <w:tcBorders>
              <w:top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restart"/>
          </w:tcPr>
          <w:p>
            <w:pPr>
              <w:ind w:left="40"/>
              <w:spacing w:after="0" w:line="109" w:lineRule="exact"/>
              <w:rPr>
                <w:sz w:val="20"/>
                <w:szCs w:val="20"/>
                <w:color w:val="auto"/>
              </w:rPr>
            </w:pPr>
            <w:r>
              <w:rPr>
                <w:rFonts w:ascii="Arial" w:cs="Arial" w:eastAsia="Arial" w:hAnsi="Arial"/>
                <w:sz w:val="12"/>
                <w:szCs w:val="12"/>
                <w:color w:val="auto"/>
              </w:rPr>
              <w:t>below)</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11"/>
            <w:vMerge w:val="restart"/>
          </w:tcPr>
          <w:p>
            <w:pPr>
              <w:ind w:left="6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HOLDINGS, INC.</w:t>
            </w:r>
          </w:p>
        </w:tc>
        <w:tc>
          <w:tcPr>
            <w:tcW w:w="440" w:type="dxa"/>
            <w:vAlign w:val="bottom"/>
          </w:tcPr>
          <w:p>
            <w:pPr>
              <w:spacing w:after="0"/>
              <w:rPr>
                <w:sz w:val="18"/>
                <w:szCs w:val="18"/>
                <w:color w:val="auto"/>
              </w:rPr>
            </w:pPr>
          </w:p>
        </w:tc>
        <w:tc>
          <w:tcPr>
            <w:tcW w:w="1500" w:type="dxa"/>
            <w:vAlign w:val="bottom"/>
            <w:gridSpan w:val="9"/>
          </w:tcPr>
          <w:p>
            <w:pPr>
              <w:ind w:left="360"/>
              <w:spacing w:after="0"/>
              <w:rPr>
                <w:sz w:val="20"/>
                <w:szCs w:val="20"/>
                <w:color w:val="auto"/>
              </w:rPr>
            </w:pPr>
            <w:r>
              <w:rPr>
                <w:rFonts w:ascii="Arial" w:cs="Arial" w:eastAsia="Arial" w:hAnsi="Arial"/>
                <w:sz w:val="17"/>
                <w:szCs w:val="17"/>
                <w:color w:val="0000FF"/>
              </w:rPr>
              <w:t>06/30/2023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6"/>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ind w:left="20"/>
              <w:spacing w:after="0" w:line="193" w:lineRule="exact"/>
              <w:rPr>
                <w:sz w:val="20"/>
                <w:szCs w:val="20"/>
                <w:color w:val="auto"/>
              </w:rPr>
            </w:pPr>
            <w:r>
              <w:rPr>
                <w:rFonts w:ascii="Arial" w:cs="Arial" w:eastAsia="Arial" w:hAnsi="Arial"/>
                <w:sz w:val="17"/>
                <w:szCs w:val="17"/>
                <w:color w:val="0000FF"/>
                <w:w w:val="95"/>
              </w:rPr>
              <w:t>2005 CARGO RD.</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gridSpan w:val="15"/>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40" w:type="dxa"/>
            <w:vAlign w:val="bottom"/>
            <w:gridSpan w:val="15"/>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11"/>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7"/>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20" w:type="dxa"/>
            <w:vAlign w:val="bottom"/>
            <w:gridSpan w:val="10"/>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19"/>
                <w:szCs w:val="19"/>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20" w:type="dxa"/>
            <w:vAlign w:val="bottom"/>
            <w:gridSpan w:val="10"/>
            <w:vMerge w:val="continue"/>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920" w:type="dxa"/>
            <w:vAlign w:val="bottom"/>
            <w:gridSpan w:val="24"/>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92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60" w:type="dxa"/>
            <w:vAlign w:val="bottom"/>
            <w:gridSpan w:val="13"/>
          </w:tcPr>
          <w:p>
            <w:pPr>
              <w:spacing w:after="0" w:line="123" w:lineRule="exact"/>
              <w:rPr>
                <w:sz w:val="20"/>
                <w:szCs w:val="20"/>
                <w:color w:val="auto"/>
              </w:rPr>
            </w:pPr>
            <w:r>
              <w:rPr>
                <w:rFonts w:ascii="Arial" w:cs="Arial" w:eastAsia="Arial" w:hAnsi="Arial"/>
                <w:sz w:val="12"/>
                <w:szCs w:val="12"/>
                <w:color w:val="auto"/>
                <w:w w:val="96"/>
              </w:rPr>
              <w:t>satisfy the affirmative defense conditions of Rule 10b5-1(c). See Instruction 10.</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4"/>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040" w:type="dxa"/>
            <w:vAlign w:val="bottom"/>
            <w:gridSpan w:val="8"/>
          </w:tcPr>
          <w:p>
            <w:pPr>
              <w:ind w:left="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ind w:left="100"/>
              <w:spacing w:after="0"/>
              <w:rPr>
                <w:sz w:val="20"/>
                <w:szCs w:val="20"/>
                <w:color w:val="auto"/>
              </w:rPr>
            </w:pPr>
            <w:r>
              <w:rPr>
                <w:rFonts w:ascii="Arial" w:cs="Arial" w:eastAsia="Arial" w:hAnsi="Arial"/>
                <w:sz w:val="12"/>
                <w:szCs w:val="12"/>
                <w:b w:val="1"/>
                <w:bCs w:val="1"/>
                <w:color w:val="auto"/>
                <w:w w:val="95"/>
              </w:rPr>
              <w:t>4. Securities Acquired (A) or</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10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4"/>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88"/>
              </w:rPr>
              <w:t>Price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4"/>
              </w:rPr>
              <w:t>Common Stock, par value $0.01 per share</w:t>
            </w:r>
          </w:p>
        </w:tc>
        <w:tc>
          <w:tcPr>
            <w:tcW w:w="960" w:type="dxa"/>
            <w:vAlign w:val="bottom"/>
            <w:tcBorders>
              <w:bottom w:val="single" w:sz="8" w:color="2C2C2C"/>
            </w:tcBorders>
            <w:gridSpan w:val="7"/>
          </w:tcPr>
          <w:p>
            <w:pPr>
              <w:jc w:val="right"/>
              <w:spacing w:after="0"/>
              <w:rPr>
                <w:sz w:val="20"/>
                <w:szCs w:val="20"/>
                <w:color w:val="auto"/>
              </w:rPr>
            </w:pPr>
            <w:r>
              <w:rPr>
                <w:rFonts w:ascii="Arial" w:cs="Arial" w:eastAsia="Arial" w:hAnsi="Arial"/>
                <w:sz w:val="17"/>
                <w:szCs w:val="17"/>
                <w:color w:val="0000FF"/>
              </w:rPr>
              <w:t>07/03/2023</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310</w:t>
            </w:r>
            <w:r>
              <w:rPr>
                <w:rFonts w:ascii="Arial" w:cs="Arial" w:eastAsia="Arial" w:hAnsi="Arial"/>
                <w:sz w:val="21"/>
                <w:szCs w:val="21"/>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22.4109</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10,178</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4"/>
          </w:tcPr>
          <w:p>
            <w:pPr>
              <w:jc w:val="center"/>
              <w:ind w:left="81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9"/>
          </w:tcPr>
          <w:p>
            <w:pPr>
              <w:jc w:val="center"/>
              <w:ind w:righ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Amount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3, 4 and 5)</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w w:val="98"/>
              </w:rPr>
              <w:t>54,225</w:t>
            </w:r>
            <w:r>
              <w:rPr>
                <w:rFonts w:ascii="Arial" w:cs="Arial" w:eastAsia="Arial" w:hAnsi="Arial"/>
                <w:sz w:val="21"/>
                <w:szCs w:val="21"/>
                <w:color w:val="008000"/>
                <w:w w:val="98"/>
                <w:vertAlign w:val="superscript"/>
              </w:rPr>
              <w:t>(2)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3"/>
            <w:vMerge w:val="restart"/>
          </w:tcPr>
          <w:p>
            <w:pPr>
              <w:ind w:left="20"/>
              <w:spacing w:after="0"/>
              <w:rPr>
                <w:sz w:val="20"/>
                <w:szCs w:val="20"/>
                <w:color w:val="auto"/>
              </w:rPr>
            </w:pPr>
            <w:r>
              <w:rPr>
                <w:rFonts w:ascii="Arial" w:cs="Arial" w:eastAsia="Arial" w:hAnsi="Arial"/>
                <w:sz w:val="17"/>
                <w:szCs w:val="17"/>
                <w:color w:val="0000FF"/>
                <w:w w:val="99"/>
              </w:rPr>
              <w:t>54,225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100" w:type="dxa"/>
            <w:vAlign w:val="bottom"/>
          </w:tcPr>
          <w:p>
            <w:pPr>
              <w:jc w:val="right"/>
              <w:ind w:right="192"/>
              <w:spacing w:after="0" w:line="138" w:lineRule="exact"/>
              <w:rPr>
                <w:sz w:val="20"/>
                <w:szCs w:val="20"/>
                <w:color w:val="auto"/>
              </w:rPr>
            </w:pPr>
            <w:r>
              <w:rPr>
                <w:rFonts w:ascii="Arial" w:cs="Arial" w:eastAsia="Arial" w:hAnsi="Arial"/>
                <w:sz w:val="13"/>
                <w:szCs w:val="13"/>
                <w:color w:val="0000FF"/>
              </w:rPr>
              <w:t>06/30/2023</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5"/>
          </w:tcPr>
          <w:p>
            <w:pPr>
              <w:ind w:left="60"/>
              <w:spacing w:after="0" w:line="138"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120"/>
              <w:spacing w:after="0" w:line="138" w:lineRule="exact"/>
              <w:rPr>
                <w:sz w:val="20"/>
                <w:szCs w:val="20"/>
                <w:color w:val="auto"/>
              </w:rPr>
            </w:pPr>
            <w:r>
              <w:rPr>
                <w:rFonts w:ascii="Arial" w:cs="Arial" w:eastAsia="Arial" w:hAnsi="Arial"/>
                <w:sz w:val="13"/>
                <w:szCs w:val="13"/>
                <w:color w:val="0000FF"/>
              </w:rPr>
              <w:t>06/30/2023</w:t>
            </w: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w w:val="98"/>
              </w:rPr>
              <w:t>11/21/2028</w:t>
            </w:r>
          </w:p>
        </w:tc>
        <w:tc>
          <w:tcPr>
            <w:tcW w:w="64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gridSpan w:val="3"/>
          </w:tcPr>
          <w:p>
            <w:pPr>
              <w:ind w:left="200"/>
              <w:spacing w:after="0" w:line="138" w:lineRule="exact"/>
              <w:rPr>
                <w:sz w:val="20"/>
                <w:szCs w:val="20"/>
                <w:color w:val="auto"/>
              </w:rPr>
            </w:pPr>
            <w:r>
              <w:rPr>
                <w:rFonts w:ascii="Arial" w:cs="Arial" w:eastAsia="Arial" w:hAnsi="Arial"/>
                <w:sz w:val="13"/>
                <w:szCs w:val="13"/>
                <w:color w:val="0000FF"/>
                <w:w w:val="85"/>
              </w:rPr>
              <w:t>147,558</w:t>
            </w:r>
          </w:p>
        </w:tc>
        <w:tc>
          <w:tcPr>
            <w:tcW w:w="24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-5751195</wp:posOffset>
            </wp:positionV>
            <wp:extent cx="7046595" cy="590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9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300" w:firstLine="2"/>
        <w:spacing w:after="0" w:line="286"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21, 2018, the reporting person was granted an option to purchase 99,135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2,776 shares occurred on that date. On June 29, 2023, the Company's Compensation Committee determined pursuant to the award agreement that the performance criteria for the final installment were met, resulting in vesting as to an additional 54,225 shares on June 30, 2023.</w:t>
      </w:r>
    </w:p>
    <w:p>
      <w:pPr>
        <w:spacing w:after="0" w:line="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87"/>
              </w:rPr>
              <w:t>/s/ Rose Neale, as attorney-in-</w:t>
            </w:r>
          </w:p>
        </w:tc>
        <w:tc>
          <w:tcPr>
            <w:tcW w:w="8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07/05/2023</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ind w:left="20"/>
              <w:spacing w:after="0" w:line="187" w:lineRule="exact"/>
              <w:rPr>
                <w:sz w:val="20"/>
                <w:szCs w:val="20"/>
                <w:color w:val="auto"/>
              </w:rPr>
            </w:pPr>
            <w:r>
              <w:rPr>
                <w:rFonts w:ascii="Arial" w:cs="Arial" w:eastAsia="Arial" w:hAnsi="Arial"/>
                <w:sz w:val="17"/>
                <w:szCs w:val="17"/>
                <w:color w:val="0000FF"/>
              </w:rPr>
              <w:t>fact for John Gyurci</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688"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2023-07-05T16:21:28Z</dcterms:created>
  <dcterms:modified xsi:type="dcterms:W3CDTF">2023-07-05T16:21:28Z</dcterms:modified>
</cp:coreProperties>
</file>