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4"/>
          <w:szCs w:val="24"/>
          <w:color w:val="auto"/>
        </w:rPr>
      </w:pPr>
    </w:p>
    <w:p>
      <w:pPr>
        <w:spacing w:after="0" w:line="297" w:lineRule="exact"/>
        <w:rPr>
          <w:sz w:val="24"/>
          <w:szCs w:val="24"/>
          <w:color w:val="auto"/>
        </w:rPr>
      </w:pPr>
    </w:p>
    <w:p>
      <w:pPr>
        <w:ind w:left="7800"/>
        <w:spacing w:after="0"/>
        <w:rPr>
          <w:sz w:val="20"/>
          <w:szCs w:val="20"/>
          <w:color w:val="auto"/>
        </w:rPr>
      </w:pPr>
      <w:r>
        <w:rPr>
          <w:rFonts w:ascii="Times New Roman" w:cs="Times New Roman" w:eastAsia="Times New Roman" w:hAnsi="Times New Roman"/>
          <w:sz w:val="17"/>
          <w:szCs w:val="17"/>
          <w:b w:val="1"/>
          <w:bCs w:val="1"/>
          <w:color w:val="auto"/>
        </w:rPr>
        <w:t> Filed Pursuant to Rule 424(b)(3)</w:t>
      </w:r>
    </w:p>
    <w:p>
      <w:pPr>
        <w:spacing w:after="0" w:line="43" w:lineRule="exact"/>
        <w:rPr>
          <w:sz w:val="24"/>
          <w:szCs w:val="24"/>
          <w:color w:val="auto"/>
        </w:rPr>
      </w:pPr>
    </w:p>
    <w:p>
      <w:pPr>
        <w:ind w:left="8160"/>
        <w:spacing w:after="0"/>
        <w:rPr>
          <w:sz w:val="20"/>
          <w:szCs w:val="20"/>
          <w:color w:val="auto"/>
        </w:rPr>
      </w:pPr>
      <w:r>
        <w:rPr>
          <w:rFonts w:ascii="Times New Roman" w:cs="Times New Roman" w:eastAsia="Times New Roman" w:hAnsi="Times New Roman"/>
          <w:sz w:val="17"/>
          <w:szCs w:val="17"/>
          <w:b w:val="1"/>
          <w:bCs w:val="1"/>
          <w:color w:val="auto"/>
        </w:rPr>
        <w:t> Registration No. 333-269023​</w:t>
      </w:r>
    </w:p>
    <w:p>
      <w:pPr>
        <w:spacing w:after="0" w:line="25"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(To the Prospectus dated January 12,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2308860</wp:posOffset>
            </wp:positionH>
            <wp:positionV relativeFrom="paragraph">
              <wp:posOffset>74295</wp:posOffset>
            </wp:positionV>
            <wp:extent cx="2202815" cy="2743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02815" cy="2743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jc w:val="center"/>
        <w:ind w:right="-439"/>
        <w:spacing w:after="0"/>
        <w:rPr>
          <w:sz w:val="20"/>
          <w:szCs w:val="20"/>
          <w:color w:val="auto"/>
        </w:rPr>
      </w:pPr>
      <w:r>
        <w:rPr>
          <w:rFonts w:ascii="Times New Roman" w:cs="Times New Roman" w:eastAsia="Times New Roman" w:hAnsi="Times New Roman"/>
          <w:sz w:val="25"/>
          <w:szCs w:val="25"/>
          <w:b w:val="1"/>
          <w:bCs w:val="1"/>
          <w:color w:val="auto"/>
        </w:rPr>
        <w:t>4,000,000 Shares</w:t>
      </w:r>
    </w:p>
    <w:p>
      <w:pPr>
        <w:spacing w:after="0" w:line="47" w:lineRule="exact"/>
        <w:rPr>
          <w:sz w:val="24"/>
          <w:szCs w:val="24"/>
          <w:color w:val="auto"/>
        </w:rPr>
      </w:pPr>
    </w:p>
    <w:p>
      <w:pPr>
        <w:jc w:val="center"/>
        <w:ind w:right="-439"/>
        <w:spacing w:after="0"/>
        <w:rPr>
          <w:sz w:val="20"/>
          <w:szCs w:val="20"/>
          <w:color w:val="auto"/>
        </w:rPr>
      </w:pPr>
      <w:r>
        <w:rPr>
          <w:rFonts w:ascii="Times New Roman" w:cs="Times New Roman" w:eastAsia="Times New Roman" w:hAnsi="Times New Roman"/>
          <w:sz w:val="29"/>
          <w:szCs w:val="29"/>
          <w:b w:val="1"/>
          <w:bCs w:val="1"/>
          <w:color w:val="auto"/>
        </w:rPr>
        <w:t>Sun Country Airlines Holdings, Inc.</w:t>
      </w:r>
    </w:p>
    <w:p>
      <w:pPr>
        <w:spacing w:after="0" w:line="48" w:lineRule="exact"/>
        <w:rPr>
          <w:sz w:val="24"/>
          <w:szCs w:val="24"/>
          <w:color w:val="auto"/>
        </w:rPr>
      </w:pPr>
    </w:p>
    <w:p>
      <w:pPr>
        <w:jc w:val="center"/>
        <w:ind w:right="-43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88" w:lineRule="exact"/>
        <w:rPr>
          <w:sz w:val="24"/>
          <w:szCs w:val="24"/>
          <w:color w:val="auto"/>
        </w:rPr>
      </w:pPr>
    </w:p>
    <w:p>
      <w:pPr>
        <w:ind w:left="500" w:right="120" w:firstLine="360"/>
        <w:spacing w:after="0" w:line="261" w:lineRule="auto"/>
        <w:rPr>
          <w:sz w:val="20"/>
          <w:szCs w:val="20"/>
          <w:color w:val="auto"/>
        </w:rPr>
      </w:pPr>
      <w:r>
        <w:rPr>
          <w:rFonts w:ascii="Times New Roman" w:cs="Times New Roman" w:eastAsia="Times New Roman" w:hAnsi="Times New Roman"/>
          <w:sz w:val="18"/>
          <w:szCs w:val="18"/>
          <w:color w:val="auto"/>
        </w:rPr>
        <w:t>The information included or incorporated by reference in this prospectus supplement relates to the resale of an aggregate of 4,000,000 shares of common stock of Sun Country Airlines Holdings, Inc., a Delaware corporation, by SCA Horus Holdings, LLC, or the selling stockholder. In addition, the selling stockholder has granted the underwriter an option to purchase up to an additional 600,000 shares of common stock.</w:t>
      </w:r>
    </w:p>
    <w:p>
      <w:pPr>
        <w:spacing w:after="0" w:line="31" w:lineRule="exact"/>
        <w:rPr>
          <w:sz w:val="24"/>
          <w:szCs w:val="24"/>
          <w:color w:val="auto"/>
        </w:rPr>
      </w:pPr>
    </w:p>
    <w:p>
      <w:pPr>
        <w:ind w:left="500" w:right="320" w:firstLine="360"/>
        <w:spacing w:after="0" w:line="282" w:lineRule="auto"/>
        <w:rPr>
          <w:sz w:val="20"/>
          <w:szCs w:val="20"/>
          <w:color w:val="auto"/>
        </w:rPr>
      </w:pPr>
      <w:r>
        <w:rPr>
          <w:rFonts w:ascii="Times New Roman" w:cs="Times New Roman" w:eastAsia="Times New Roman" w:hAnsi="Times New Roman"/>
          <w:sz w:val="18"/>
          <w:szCs w:val="18"/>
          <w:color w:val="auto"/>
        </w:rPr>
        <w:t>Our shares of common stock are listed on the Nasdaq Global Select Market, or “Nasdaq,” under the symbol “SNCY.” On December 8, 2023, the last reported sale price per share of our common stock on Nasdaq was $17.10.</w:t>
      </w:r>
    </w:p>
    <w:p>
      <w:pPr>
        <w:spacing w:after="0" w:line="27"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8"/>
          <w:szCs w:val="18"/>
          <w:color w:val="auto"/>
        </w:rPr>
        <w:t>We will not receive any of the proceeds from the sale of the shares of common stock by the selling stockholder.</w:t>
      </w:r>
    </w:p>
    <w:p>
      <w:pPr>
        <w:spacing w:after="0" w:line="77" w:lineRule="exact"/>
        <w:rPr>
          <w:sz w:val="24"/>
          <w:szCs w:val="24"/>
          <w:color w:val="auto"/>
        </w:rPr>
      </w:pPr>
    </w:p>
    <w:p>
      <w:pPr>
        <w:ind w:left="500" w:right="100" w:firstLine="360"/>
        <w:spacing w:after="0" w:line="258" w:lineRule="auto"/>
        <w:rPr>
          <w:sz w:val="20"/>
          <w:szCs w:val="20"/>
          <w:color w:val="auto"/>
        </w:rPr>
      </w:pPr>
      <w:r>
        <w:rPr>
          <w:rFonts w:ascii="Times New Roman" w:cs="Times New Roman" w:eastAsia="Times New Roman" w:hAnsi="Times New Roman"/>
          <w:sz w:val="18"/>
          <w:szCs w:val="18"/>
          <w:color w:val="auto"/>
        </w:rPr>
        <w:t>Subject to the completion of this offering, we have agreed to repurchase 312,500 of the shares of common stock that are the subject of this offering from the underwriter at a price of $16.00 per share, which is the price at which the underwriter will purchase the shares from the selling stockholder in this offering. The underwriter will not receive any compensation for the shares of our common stock being repurchased by us. The repurchase will be made pursuant to our existing stock repurchase program. See “</w:t>
      </w:r>
      <w:r>
        <w:rPr>
          <w:rFonts w:ascii="Times New Roman" w:cs="Times New Roman" w:eastAsia="Times New Roman" w:hAnsi="Times New Roman"/>
          <w:sz w:val="18"/>
          <w:szCs w:val="18"/>
          <w:i w:val="1"/>
          <w:iCs w:val="1"/>
          <w:color w:val="auto"/>
        </w:rPr>
        <w:t>Concurrent Share Repurchase</w:t>
      </w:r>
      <w:r>
        <w:rPr>
          <w:rFonts w:ascii="Times New Roman" w:cs="Times New Roman" w:eastAsia="Times New Roman" w:hAnsi="Times New Roman"/>
          <w:sz w:val="18"/>
          <w:szCs w:val="18"/>
          <w:color w:val="auto"/>
        </w:rPr>
        <w:t>.”</w:t>
      </w:r>
    </w:p>
    <w:p>
      <w:pPr>
        <w:spacing w:after="0" w:line="35" w:lineRule="exact"/>
        <w:rPr>
          <w:sz w:val="24"/>
          <w:szCs w:val="24"/>
          <w:color w:val="auto"/>
        </w:rPr>
      </w:pPr>
    </w:p>
    <w:p>
      <w:pPr>
        <w:ind w:left="500" w:right="240" w:firstLine="360"/>
        <w:spacing w:after="0" w:line="282"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and are eligible for reduced public company reporting requirements. See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27"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8"/>
          <w:szCs w:val="18"/>
          <w:color w:val="auto"/>
        </w:rPr>
        <w:t>By participating in this offering, you are representing that you are a citizen of the United States, as defined in 49 U.S.C.</w:t>
      </w:r>
    </w:p>
    <w:p>
      <w:pPr>
        <w:spacing w:after="0" w:line="27" w:lineRule="exact"/>
        <w:rPr>
          <w:sz w:val="24"/>
          <w:szCs w:val="24"/>
          <w:color w:val="auto"/>
        </w:rPr>
      </w:pPr>
    </w:p>
    <w:p>
      <w:pPr>
        <w:ind w:left="500" w:right="280" w:hanging="8"/>
        <w:spacing w:after="0" w:line="260" w:lineRule="auto"/>
        <w:tabs>
          <w:tab w:leader="none" w:pos="642"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40102(a)(15). See “</w:t>
      </w:r>
      <w:r>
        <w:rPr>
          <w:rFonts w:ascii="Times New Roman" w:cs="Times New Roman" w:eastAsia="Times New Roman" w:hAnsi="Times New Roman"/>
          <w:sz w:val="18"/>
          <w:szCs w:val="18"/>
          <w:i w:val="1"/>
          <w:iCs w:val="1"/>
          <w:color w:val="auto"/>
        </w:rPr>
        <w:t>Description of Capital Stock — Limited Ownership and Voting by Foreign Owners</w:t>
      </w:r>
      <w:r>
        <w:rPr>
          <w:rFonts w:ascii="Times New Roman" w:cs="Times New Roman" w:eastAsia="Times New Roman" w:hAnsi="Times New Roman"/>
          <w:sz w:val="18"/>
          <w:szCs w:val="18"/>
          <w:color w:val="auto"/>
        </w:rPr>
        <w:t>” in the accompanying prospectus.</w:t>
      </w:r>
    </w:p>
    <w:p>
      <w:pPr>
        <w:spacing w:after="0" w:line="29" w:lineRule="exact"/>
        <w:rPr>
          <w:sz w:val="24"/>
          <w:szCs w:val="24"/>
          <w:color w:val="auto"/>
        </w:rPr>
      </w:pPr>
    </w:p>
    <w:p>
      <w:pPr>
        <w:ind w:left="500" w:right="560"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the common stock involves risks that are described in the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xml:space="preserve">” section beginning on page </w:t>
      </w:r>
      <w:r>
        <w:rPr>
          <w:rFonts w:ascii="Times New Roman" w:cs="Times New Roman" w:eastAsia="Times New Roman" w:hAnsi="Times New Roman"/>
          <w:sz w:val="18"/>
          <w:szCs w:val="18"/>
          <w:b w:val="1"/>
          <w:bCs w:val="1"/>
          <w:u w:val="single" w:color="auto"/>
          <w:color w:val="0000EE"/>
        </w:rPr>
        <w:t>S-4</w:t>
      </w:r>
      <w:r>
        <w:rPr>
          <w:rFonts w:ascii="Times New Roman" w:cs="Times New Roman" w:eastAsia="Times New Roman" w:hAnsi="Times New Roman"/>
          <w:sz w:val="18"/>
          <w:szCs w:val="18"/>
          <w:b w:val="1"/>
          <w:bCs w:val="1"/>
          <w:color w:val="auto"/>
        </w:rPr>
        <w:t xml:space="preserve"> of this prospectus supplement and in the documents incorporated by reference in this prospectus supplement.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146685</wp:posOffset>
            </wp:positionV>
            <wp:extent cx="12344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41" w:lineRule="exact"/>
        <w:rPr>
          <w:sz w:val="24"/>
          <w:szCs w:val="24"/>
          <w:color w:val="auto"/>
        </w:rPr>
      </w:pPr>
    </w:p>
    <w:p>
      <w:pPr>
        <w:ind w:left="500" w:right="80" w:firstLine="360"/>
        <w:spacing w:after="0" w:line="254" w:lineRule="auto"/>
        <w:rPr>
          <w:sz w:val="20"/>
          <w:szCs w:val="20"/>
          <w:color w:val="auto"/>
        </w:rPr>
      </w:pPr>
      <w:r>
        <w:rPr>
          <w:rFonts w:ascii="Times New Roman" w:cs="Times New Roman" w:eastAsia="Times New Roman" w:hAnsi="Times New Roman"/>
          <w:sz w:val="18"/>
          <w:szCs w:val="18"/>
          <w:color w:val="auto"/>
        </w:rPr>
        <w:t>The underwriter has agreed to purchase the shares of common stock at a price of $16.00 per share, which will result in approximately $64.0 million of net proceeds (before deducting expenses) to the selling stockholder (or approximately $73.6 million if the underwriter’s option to purchase additional shares is exercised in full). The underwriter may offer the shares of common stock from time to time for sale directly or through agents, or through brokers in one or more brokerage transactions on Nasdaq, or to dealers in negotiated transactions or in a combination of such methods of sale, at a fixed price or prices, which may be changed, or at market prices prevailing at the time of sale, at prices related to prevailing market prices or at negotiated prices, subject to its right to reject any order in whole or in part. See “</w:t>
      </w:r>
      <w:r>
        <w:rPr>
          <w:rFonts w:ascii="Times New Roman" w:cs="Times New Roman" w:eastAsia="Times New Roman" w:hAnsi="Times New Roman"/>
          <w:sz w:val="18"/>
          <w:szCs w:val="18"/>
          <w:i w:val="1"/>
          <w:iCs w:val="1"/>
          <w:color w:val="auto"/>
        </w:rPr>
        <w:t>Underwriting (Conflict of Interest)</w:t>
      </w:r>
      <w:r>
        <w:rPr>
          <w:rFonts w:ascii="Times New Roman" w:cs="Times New Roman" w:eastAsia="Times New Roman" w:hAnsi="Times New Roman"/>
          <w:sz w:val="18"/>
          <w:szCs w:val="18"/>
          <w:color w:val="auto"/>
        </w:rPr>
        <w:t>”. The underwriter may exercise its option to purchase up to an additional 600,000 shares from the selling stockholder at the price set forth above for 30 days after the date of this prospectus supplement.</w:t>
      </w:r>
    </w:p>
    <w:p>
      <w:pPr>
        <w:spacing w:after="0" w:line="53" w:lineRule="exact"/>
        <w:rPr>
          <w:sz w:val="24"/>
          <w:szCs w:val="24"/>
          <w:color w:val="auto"/>
        </w:rPr>
      </w:pPr>
    </w:p>
    <w:p>
      <w:pPr>
        <w:ind w:left="500" w:right="720" w:firstLine="360"/>
        <w:spacing w:after="0" w:line="282" w:lineRule="auto"/>
        <w:rPr>
          <w:sz w:val="20"/>
          <w:szCs w:val="20"/>
          <w:color w:val="auto"/>
        </w:rPr>
      </w:pPr>
      <w:r>
        <w:rPr>
          <w:rFonts w:ascii="Times New Roman" w:cs="Times New Roman" w:eastAsia="Times New Roman" w:hAnsi="Times New Roman"/>
          <w:sz w:val="18"/>
          <w:szCs w:val="18"/>
          <w:color w:val="auto"/>
        </w:rPr>
        <w:t>References to “underwriter” or “underwriters” in this prospectus supplement refer to each underwriter named in the “</w:t>
      </w:r>
      <w:r>
        <w:rPr>
          <w:rFonts w:ascii="Times New Roman" w:cs="Times New Roman" w:eastAsia="Times New Roman" w:hAnsi="Times New Roman"/>
          <w:sz w:val="18"/>
          <w:szCs w:val="18"/>
          <w:i w:val="1"/>
          <w:iCs w:val="1"/>
          <w:color w:val="auto"/>
        </w:rPr>
        <w:t>Underwriting (Conflict of Interest)</w:t>
      </w:r>
      <w:r>
        <w:rPr>
          <w:rFonts w:ascii="Times New Roman" w:cs="Times New Roman" w:eastAsia="Times New Roman" w:hAnsi="Times New Roman"/>
          <w:sz w:val="18"/>
          <w:szCs w:val="18"/>
          <w:color w:val="auto"/>
        </w:rPr>
        <w:t>” section of this prospectus supplement.</w:t>
      </w:r>
    </w:p>
    <w:p>
      <w:pPr>
        <w:spacing w:after="0" w:line="9" w:lineRule="exact"/>
        <w:rPr>
          <w:sz w:val="24"/>
          <w:szCs w:val="24"/>
          <w:color w:val="auto"/>
        </w:rPr>
      </w:pPr>
    </w:p>
    <w:p>
      <w:pPr>
        <w:ind w:left="500" w:right="140"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supplement or the accompanying prospectus are truthful or complete. Any representation to the contrary is a criminal offense.</w:t>
      </w:r>
    </w:p>
    <w:p>
      <w:pPr>
        <w:spacing w:after="0" w:line="26" w:lineRule="exact"/>
        <w:rPr>
          <w:sz w:val="24"/>
          <w:szCs w:val="24"/>
          <w:color w:val="auto"/>
        </w:rPr>
      </w:pPr>
    </w:p>
    <w:p>
      <w:pPr>
        <w:ind w:left="2740"/>
        <w:spacing w:after="0"/>
        <w:rPr>
          <w:sz w:val="20"/>
          <w:szCs w:val="20"/>
          <w:color w:val="auto"/>
        </w:rPr>
      </w:pPr>
      <w:r>
        <w:rPr>
          <w:rFonts w:ascii="Times New Roman" w:cs="Times New Roman" w:eastAsia="Times New Roman" w:hAnsi="Times New Roman"/>
          <w:sz w:val="18"/>
          <w:szCs w:val="18"/>
          <w:color w:val="auto"/>
        </w:rPr>
        <w:t>The shares will be ready for delivery on or about December 14,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111760</wp:posOffset>
            </wp:positionV>
            <wp:extent cx="12344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199" w:lineRule="exact"/>
        <w:rPr>
          <w:sz w:val="24"/>
          <w:szCs w:val="24"/>
          <w:color w:val="auto"/>
        </w:rPr>
      </w:pPr>
    </w:p>
    <w:p>
      <w:pPr>
        <w:jc w:val="both"/>
        <w:ind w:left="2360"/>
        <w:spacing w:after="0"/>
        <w:tabs>
          <w:tab w:leader="none" w:pos="5280" w:val="left"/>
          <w:tab w:leader="none" w:pos="6860" w:val="left"/>
          <w:tab w:leader="none" w:pos="10200" w:val="left"/>
        </w:tabs>
        <w:rPr>
          <w:sz w:val="20"/>
          <w:szCs w:val="20"/>
          <w:color w:val="auto"/>
        </w:rPr>
      </w:pPr>
      <w:r>
        <w:rPr>
          <w:rFonts w:ascii="Times New Roman" w:cs="Times New Roman" w:eastAsia="Times New Roman" w:hAnsi="Times New Roman"/>
          <w:sz w:val="29"/>
          <w:szCs w:val="29"/>
          <w:b w:val="1"/>
          <w:bCs w:val="1"/>
          <w:color w:val="auto"/>
        </w:rPr>
        <w:t>Barclays</w:t>
      </w:r>
      <w:r>
        <w:rPr>
          <w:sz w:val="20"/>
          <w:szCs w:val="20"/>
          <w:color w:val="auto"/>
        </w:rPr>
        <w:tab/>
      </w:r>
      <w:r>
        <w:rPr>
          <w:rFonts w:ascii="Times New Roman" w:cs="Times New Roman" w:eastAsia="Times New Roman" w:hAnsi="Times New Roman"/>
          <w:sz w:val="29"/>
          <w:szCs w:val="29"/>
          <w:b w:val="1"/>
          <w:bCs w:val="1"/>
          <w:color w:val="auto"/>
        </w:rPr>
        <w:t>​​</w:t>
      </w:r>
      <w:r>
        <w:rPr>
          <w:sz w:val="20"/>
          <w:szCs w:val="20"/>
          <w:color w:val="auto"/>
        </w:rPr>
        <w:tab/>
      </w:r>
      <w:r>
        <w:rPr>
          <w:rFonts w:ascii="Times New Roman" w:cs="Times New Roman" w:eastAsia="Times New Roman" w:hAnsi="Times New Roman"/>
          <w:sz w:val="29"/>
          <w:szCs w:val="29"/>
          <w:b w:val="1"/>
          <w:bCs w:val="1"/>
          <w:color w:val="auto"/>
        </w:rPr>
        <w:t>Morgan Stanley</w:t>
      </w:r>
      <w:r>
        <w:rPr>
          <w:sz w:val="20"/>
          <w:szCs w:val="20"/>
          <w:color w:val="auto"/>
        </w:rPr>
        <w:tab/>
      </w:r>
      <w:r>
        <w:rPr>
          <w:rFonts w:ascii="Times New Roman" w:cs="Times New Roman" w:eastAsia="Times New Roman" w:hAnsi="Times New Roman"/>
          <w:sz w:val="29"/>
          <w:szCs w:val="29"/>
          <w:b w:val="1"/>
          <w:bCs w:val="1"/>
          <w:color w:val="auto"/>
        </w:rPr>
        <w:t>​</w:t>
      </w:r>
    </w:p>
    <w:p>
      <w:pPr>
        <w:spacing w:after="0" w:line="78"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8"/>
          <w:szCs w:val="18"/>
          <w:color w:val="auto"/>
        </w:rPr>
        <w:t>The date of this prospectus supplement is December 11,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758825</wp:posOffset>
            </wp:positionV>
            <wp:extent cx="683196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300"/>
          </w:cols>
          <w:pgMar w:left="580" w:top="205" w:right="1019" w:bottom="1440" w:gutter="0" w:footer="0" w:header="0"/>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left="250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17" w:lineRule="exact"/>
        <w:rPr>
          <w:sz w:val="20"/>
          <w:szCs w:val="20"/>
          <w:color w:val="auto"/>
        </w:rPr>
      </w:pPr>
    </w:p>
    <w:p>
      <w:pPr>
        <w:jc w:val="center"/>
        <w:ind w:left="2500"/>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1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ABOUT</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THIS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-110490</wp:posOffset>
            </wp:positionV>
            <wp:extent cx="5212080" cy="1200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212080" cy="120015"/>
                    </a:xfrm>
                    <a:prstGeom prst="rect">
                      <a:avLst/>
                    </a:prstGeom>
                    <a:noFill/>
                  </pic:spPr>
                </pic:pic>
              </a:graphicData>
            </a:graphic>
          </wp:anchor>
        </w:drawing>
      </w:r>
    </w:p>
    <w:p>
      <w:pPr>
        <w:spacing w:after="0" w:line="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INCORPORATION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-10795</wp:posOffset>
            </wp:positionV>
            <wp:extent cx="5212080" cy="1968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WHERE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YOU CAN FIND MORE INFORMATION</w:t>
      </w:r>
    </w:p>
    <w:p>
      <w:pPr>
        <w:spacing w:after="0" w:line="63" w:lineRule="exact"/>
        <w:rPr>
          <w:sz w:val="20"/>
          <w:szCs w:val="20"/>
          <w:color w:val="auto"/>
        </w:rPr>
      </w:pPr>
    </w:p>
    <w:p>
      <w:pPr>
        <w:jc w:val="right"/>
        <w:ind w:right="1000"/>
        <w:spacing w:after="0"/>
        <w:rPr>
          <w:sz w:val="20"/>
          <w:szCs w:val="20"/>
          <w:color w:val="auto"/>
        </w:rPr>
      </w:pPr>
      <w:r>
        <w:rPr>
          <w:rFonts w:ascii="Times New Roman" w:cs="Times New Roman" w:eastAsia="Times New Roman" w:hAnsi="Times New Roman"/>
          <w:sz w:val="18"/>
          <w:szCs w:val="18"/>
          <w:color w:val="0000EE"/>
        </w:rPr>
        <w:t>CAUTIONARY</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NOTE REGARDING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TRADEMARKS,</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TRADE NAMES, AND SERVICE MARKS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INDUSTRY</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AND MARKET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74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PROSPECTUS</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SUMMARY</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RISK</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74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CONCURRENT</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SHARE REPURCHASE</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USE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74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SELLING</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STOCKHOLDER</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CERTAIN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MATERIAL U.S. FEDERAL INCOME TAX CONSIDERATIONS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74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UNDERWRITING</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(CONFLICT OF INTEREST)</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LEGAL</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74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EXPERTS</w:t>
      </w:r>
      <w:r>
        <w:rPr>
          <w:rFonts w:ascii="Times New Roman" w:cs="Times New Roman" w:eastAsia="Times New Roman" w:hAnsi="Times New Roman"/>
          <w:sz w:val="18"/>
          <w:szCs w:val="18"/>
          <w:color w:val="000000"/>
        </w:rPr>
        <w:t>​</w:t>
      </w:r>
    </w:p>
    <w:p>
      <w:pPr>
        <w:spacing w:after="0" w:line="22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1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ABOUT</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-110490</wp:posOffset>
            </wp:positionV>
            <wp:extent cx="5212080" cy="1200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212080" cy="120015"/>
                    </a:xfrm>
                    <a:prstGeom prst="rect">
                      <a:avLst/>
                    </a:prstGeom>
                    <a:noFill/>
                  </pic:spPr>
                </pic:pic>
              </a:graphicData>
            </a:graphic>
          </wp:anchor>
        </w:drawing>
      </w:r>
    </w:p>
    <w:p>
      <w:pPr>
        <w:spacing w:after="0" w:line="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INCORPORATION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-10795</wp:posOffset>
            </wp:positionV>
            <wp:extent cx="5212080" cy="1968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WHERE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YOU CAN FIND MORE INFORMATION</w:t>
      </w:r>
    </w:p>
    <w:p>
      <w:pPr>
        <w:spacing w:after="0" w:line="63" w:lineRule="exact"/>
        <w:rPr>
          <w:sz w:val="20"/>
          <w:szCs w:val="20"/>
          <w:color w:val="auto"/>
        </w:rPr>
      </w:pPr>
    </w:p>
    <w:p>
      <w:pPr>
        <w:jc w:val="right"/>
        <w:ind w:right="1000"/>
        <w:spacing w:after="0"/>
        <w:rPr>
          <w:sz w:val="20"/>
          <w:szCs w:val="20"/>
          <w:color w:val="auto"/>
        </w:rPr>
      </w:pPr>
      <w:r>
        <w:rPr>
          <w:rFonts w:ascii="Times New Roman" w:cs="Times New Roman" w:eastAsia="Times New Roman" w:hAnsi="Times New Roman"/>
          <w:sz w:val="18"/>
          <w:szCs w:val="18"/>
          <w:color w:val="0000EE"/>
        </w:rPr>
        <w:t>CAUTIONARY</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NOTE REGARDING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74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COMPANY</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OVERVIEW</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RISK</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USE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PROCEEDS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SELLING</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CAPITAL STOCK</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PLAN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LEGAL</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MATTERS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EXPERTS</w:t>
      </w:r>
      <w:r>
        <w:rPr>
          <w:rFonts w:ascii="Times New Roman" w:cs="Times New Roman" w:eastAsia="Times New Roman" w:hAnsi="Times New Roman"/>
          <w:sz w:val="18"/>
          <w:szCs w:val="18"/>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S-ii</w:t>
      </w:r>
      <w:r>
        <w:rPr>
          <w:rFonts w:ascii="Times New Roman" w:cs="Times New Roman" w:eastAsia="Times New Roman" w:hAnsi="Times New Roman"/>
          <w:sz w:val="18"/>
          <w:szCs w:val="18"/>
          <w:color w:val="auto"/>
        </w:rPr>
        <w:t>​</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S-ii</w:t>
      </w:r>
      <w:r>
        <w:rPr>
          <w:rFonts w:ascii="Times New Roman" w:cs="Times New Roman" w:eastAsia="Times New Roman" w:hAnsi="Times New Roman"/>
          <w:sz w:val="18"/>
          <w:szCs w:val="18"/>
          <w:color w:val="auto"/>
        </w:rPr>
        <w: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S-iv</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S-v</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S-vi</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S-vi</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S-1</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S-4</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S-13</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S-14</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S-15</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S-16</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S-20</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S-27</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S-27</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ii</w:t>
      </w:r>
      <w:r>
        <w:rPr>
          <w:rFonts w:ascii="Times New Roman" w:cs="Times New Roman" w:eastAsia="Times New Roman" w:hAnsi="Times New Roman"/>
          <w:sz w:val="18"/>
          <w:szCs w:val="18"/>
          <w:color w:val="auto"/>
        </w:rPr>
        <w:t>​</w:t>
      </w:r>
    </w:p>
    <w:p>
      <w:pPr>
        <w:spacing w:after="0" w:line="41"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iii</w:t>
      </w:r>
      <w:r>
        <w:rPr>
          <w:rFonts w:ascii="Times New Roman" w:cs="Times New Roman" w:eastAsia="Times New Roman" w:hAnsi="Times New Roman"/>
          <w:sz w:val="18"/>
          <w:szCs w:val="18"/>
          <w:color w:val="auto"/>
        </w:rPr>
        <w:t>​</w:t>
      </w:r>
    </w:p>
    <w:p>
      <w:pPr>
        <w:spacing w:after="0" w:line="58"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v</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3</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4</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5</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6</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7</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16</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19</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20</w:t>
      </w:r>
      <w:r>
        <w:rPr>
          <w:rFonts w:ascii="Times New Roman" w:cs="Times New Roman" w:eastAsia="Times New Roman" w:hAnsi="Times New Roman"/>
          <w:sz w:val="18"/>
          <w:szCs w:val="18"/>
          <w:color w:val="auto"/>
        </w:rPr>
        <w:t>​</w:t>
      </w:r>
    </w:p>
    <w:p>
      <w:pPr>
        <w:sectPr>
          <w:pgSz w:w="11900" w:h="16838" w:orient="portrait"/>
          <w:cols w:equalWidth="0" w:num="2">
            <w:col w:w="8220" w:space="720"/>
            <w:col w:w="939"/>
          </w:cols>
          <w:pgMar w:left="580" w:top="97" w:right="1440" w:bottom="1440" w:gutter="0" w:footer="0" w:header="0"/>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162"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This document consists of two parts. The first part is this prospectus supplement, which contains specific information about the selling stockholder and the terms on which the selling stockholder is offering and selling shares of our common stock. The second part is the accompanying prospectus, which gives more general information, some of which may not apply to this offering.</w:t>
      </w:r>
    </w:p>
    <w:p>
      <w:pPr>
        <w:spacing w:after="0" w:line="110"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To the extent there is a conflict between the information contained in this prospectus supplement and the information contained in the accompanying prospectus or any document incorporated by reference herein or therein filed prior to the date of this prospectus supplement, you should rely on the information in this prospectus supplement.</w:t>
      </w:r>
    </w:p>
    <w:p>
      <w:pPr>
        <w:spacing w:after="0" w:line="110"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To understand the terms of the securities offered by this prospectus supplement, you should carefully read this prospectus supplement and the accompanying prospectus. You should also read the documents referred to under the heading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for information regarding us and the business conducted by us.</w:t>
      </w:r>
    </w:p>
    <w:p>
      <w:pPr>
        <w:spacing w:after="0" w:line="110"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are part of a registration statement on Form S-3 that Sun Country Airlines Holdings, Inc. a Delaware corporation, which is also referred to as “Sun Country,” “Sun Country Airlines,” “the Company,” “we,” “us,” and “our,” has filed with the U.S. Securities and Exchange Commission, or the SEC, using a “shelf” registration process. References to “Apollo” refer to Apollo Global Management, Inc. and its subsidiaries. References to the “Apollo Stockholder” refer to SCA Horus Holdings, LLC. References to “Apollo Funds” refer to certain investment funds managed by affiliates of Apollo.</w:t>
      </w:r>
    </w:p>
    <w:p>
      <w:pPr>
        <w:spacing w:after="0" w:line="321" w:lineRule="exact"/>
        <w:rPr>
          <w:sz w:val="20"/>
          <w:szCs w:val="20"/>
          <w:color w:val="auto"/>
        </w:rPr>
      </w:pPr>
    </w:p>
    <w:p>
      <w:pPr>
        <w:ind w:left="1260" w:right="519" w:firstLine="360"/>
        <w:spacing w:after="0" w:line="247" w:lineRule="auto"/>
        <w:rPr>
          <w:sz w:val="20"/>
          <w:szCs w:val="20"/>
          <w:color w:val="auto"/>
        </w:rPr>
      </w:pPr>
      <w:r>
        <w:rPr>
          <w:rFonts w:ascii="Times New Roman" w:cs="Times New Roman" w:eastAsia="Times New Roman" w:hAnsi="Times New Roman"/>
          <w:sz w:val="18"/>
          <w:szCs w:val="18"/>
          <w:b w:val="1"/>
          <w:bCs w:val="1"/>
          <w:color w:val="auto"/>
        </w:rPr>
        <w:t>THE SECURITIES OFFERED HEREBY HAVE NOT BEEN RECOMMENDED BY ANY UNITED STATES FEDERAL OR STATE SECURITIES COMMISSION OR REGULATORY AUTHORITY. FURTHERMORE, THE FOREGOING AUTHORITIES HAVE NOT CONFIRMED THE ACCURACY OR DETERMINED THE ADEQUACY OF THIS DOCUMENT. ANY REPRESENTATION TO THE CONTRARY IS A CRIMINAL OFFENSE.</w:t>
      </w:r>
    </w:p>
    <w:p>
      <w:pPr>
        <w:spacing w:after="0" w:line="113" w:lineRule="exact"/>
        <w:rPr>
          <w:sz w:val="20"/>
          <w:szCs w:val="20"/>
          <w:color w:val="auto"/>
        </w:rPr>
      </w:pPr>
    </w:p>
    <w:p>
      <w:pPr>
        <w:ind w:left="1260" w:right="519" w:firstLine="360"/>
        <w:spacing w:after="0" w:line="250" w:lineRule="auto"/>
        <w:rPr>
          <w:sz w:val="20"/>
          <w:szCs w:val="20"/>
          <w:color w:val="auto"/>
        </w:rPr>
      </w:pPr>
      <w:r>
        <w:rPr>
          <w:rFonts w:ascii="Times New Roman" w:cs="Times New Roman" w:eastAsia="Times New Roman" w:hAnsi="Times New Roman"/>
          <w:sz w:val="18"/>
          <w:szCs w:val="18"/>
          <w:color w:val="auto"/>
        </w:rPr>
        <w:t>Neither we, the selling stockholder or the underwriter have authorized anyone to provide you with information or to make any representations about anything not contained in this prospectus supplement, the accompanying prospectus or the documents incorporated by reference in this prospectus supplement. We can provide no assurance as to the reliability of any other information.</w:t>
      </w:r>
    </w:p>
    <w:p>
      <w:pPr>
        <w:spacing w:after="0" w:line="110" w:lineRule="exact"/>
        <w:rPr>
          <w:sz w:val="20"/>
          <w:szCs w:val="20"/>
          <w:color w:val="auto"/>
        </w:rPr>
      </w:pPr>
    </w:p>
    <w:p>
      <w:pPr>
        <w:ind w:left="1260" w:right="579" w:firstLine="360"/>
        <w:spacing w:after="0" w:line="247" w:lineRule="auto"/>
        <w:rPr>
          <w:sz w:val="20"/>
          <w:szCs w:val="20"/>
          <w:color w:val="auto"/>
        </w:rPr>
      </w:pPr>
      <w:r>
        <w:rPr>
          <w:rFonts w:ascii="Times New Roman" w:cs="Times New Roman" w:eastAsia="Times New Roman" w:hAnsi="Times New Roman"/>
          <w:sz w:val="18"/>
          <w:szCs w:val="18"/>
          <w:color w:val="auto"/>
        </w:rPr>
        <w:t>The distribution of this prospectus supplement and the accompanying prospectus and the offering and sale of the common stock in certain jurisdictions may be restricted by law. We require persons into whose possession this prospectus supplement and the accompanying prospectus come to inform themselves about and to observe any such restrictions. This prospectus supplement and the accompanying prospectus do not constitute an offer of, or an invitation to purchase, any of the common stock in any jurisdiction in which such offer or invitation would be unlawful.</w:t>
      </w:r>
    </w:p>
    <w:p>
      <w:pPr>
        <w:spacing w:after="0" w:line="176"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162" w:lineRule="exact"/>
        <w:rPr>
          <w:sz w:val="20"/>
          <w:szCs w:val="20"/>
          <w:color w:val="auto"/>
        </w:rPr>
      </w:pPr>
    </w:p>
    <w:p>
      <w:pPr>
        <w:ind w:left="1260" w:right="579" w:firstLine="360"/>
        <w:spacing w:after="0" w:line="244" w:lineRule="auto"/>
        <w:rPr>
          <w:sz w:val="20"/>
          <w:szCs w:val="20"/>
          <w:color w:val="auto"/>
        </w:rPr>
      </w:pPr>
      <w:r>
        <w:rPr>
          <w:rFonts w:ascii="Times New Roman" w:cs="Times New Roman" w:eastAsia="Times New Roman" w:hAnsi="Times New Roman"/>
          <w:sz w:val="18"/>
          <w:szCs w:val="18"/>
          <w:color w:val="auto"/>
        </w:rPr>
        <w:t>In this prospectus supplement, we “incorporate by reference” certain information that we file with the SEC, which means that we can disclose important information to you by referring you to that information. The information we incorporate by reference is an important part of this prospectus supplement and the accompanying prospectus, and later information that we file with the SEC will automatically update and supersede this information. The following documents have been filed by us with the SEC and are incorporated by reference into this prospectus supplement and the accompanying prospectus:</w:t>
      </w:r>
    </w:p>
    <w:p>
      <w:pPr>
        <w:spacing w:after="0" w:line="87" w:lineRule="exact"/>
        <w:rPr>
          <w:sz w:val="20"/>
          <w:szCs w:val="20"/>
          <w:color w:val="auto"/>
        </w:rPr>
      </w:pPr>
    </w:p>
    <w:p>
      <w:pPr>
        <w:ind w:left="1800" w:right="619" w:hanging="180"/>
        <w:spacing w:after="0" w:line="282" w:lineRule="auto"/>
        <w:tabs>
          <w:tab w:leader="none" w:pos="1800" w:val="left"/>
        </w:tabs>
        <w:numPr>
          <w:ilvl w:val="0"/>
          <w:numId w:val="2"/>
        </w:numPr>
        <w:rPr>
          <w:rFonts w:ascii="Times New Roman" w:cs="Times New Roman" w:eastAsia="Times New Roman" w:hAnsi="Times New Roman"/>
          <w:sz w:val="18"/>
          <w:szCs w:val="18"/>
          <w:u w:val="single" w:color="auto"/>
          <w:color w:val="0000EE"/>
        </w:rPr>
      </w:pPr>
      <w:hyperlink r:id="rId27">
        <w:r>
          <w:rPr>
            <w:rFonts w:ascii="Times New Roman" w:cs="Times New Roman" w:eastAsia="Times New Roman" w:hAnsi="Times New Roman"/>
            <w:sz w:val="18"/>
            <w:szCs w:val="18"/>
            <w:u w:val="single" w:color="auto"/>
            <w:color w:val="0000EE"/>
          </w:rPr>
          <w:t>Our Annual Report on Form 10-K for the fiscal year ended December 31, 2022, filed with the SEC</w:t>
        </w:r>
      </w:hyperlink>
      <w:r>
        <w:rPr>
          <w:rFonts w:ascii="Times New Roman" w:cs="Times New Roman" w:eastAsia="Times New Roman" w:hAnsi="Times New Roman"/>
          <w:sz w:val="18"/>
          <w:szCs w:val="18"/>
          <w:u w:val="single" w:color="auto"/>
          <w:color w:val="0000EE"/>
        </w:rPr>
        <w:t xml:space="preserve"> </w:t>
      </w:r>
      <w:hyperlink r:id="rId27">
        <w:r>
          <w:rPr>
            <w:rFonts w:ascii="Times New Roman" w:cs="Times New Roman" w:eastAsia="Times New Roman" w:hAnsi="Times New Roman"/>
            <w:sz w:val="18"/>
            <w:szCs w:val="18"/>
            <w:u w:val="single" w:color="auto"/>
            <w:color w:val="0000EE"/>
          </w:rPr>
          <w:t>on February 15, 2023 (the “2022 Annual Report”);</w:t>
        </w:r>
      </w:hyperlink>
    </w:p>
    <w:p>
      <w:pPr>
        <w:spacing w:after="0" w:line="40" w:lineRule="exact"/>
        <w:rPr>
          <w:rFonts w:ascii="Times New Roman" w:cs="Times New Roman" w:eastAsia="Times New Roman" w:hAnsi="Times New Roman"/>
          <w:sz w:val="18"/>
          <w:szCs w:val="18"/>
          <w:u w:val="single" w:color="auto"/>
          <w:color w:val="0000EE"/>
        </w:rPr>
      </w:pPr>
    </w:p>
    <w:p>
      <w:pPr>
        <w:ind w:left="1800" w:right="579" w:hanging="180"/>
        <w:spacing w:after="0" w:line="282"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portions of our </w:t>
      </w:r>
      <w:hyperlink r:id="rId28">
        <w:r>
          <w:rPr>
            <w:rFonts w:ascii="Times New Roman" w:cs="Times New Roman" w:eastAsia="Times New Roman" w:hAnsi="Times New Roman"/>
            <w:sz w:val="18"/>
            <w:szCs w:val="18"/>
            <w:u w:val="single" w:color="auto"/>
            <w:color w:val="0000EE"/>
          </w:rPr>
          <w:t>Definitive Proxy Statement on Schedule 14A, filed with the SEC on April 28, 2023,</w:t>
        </w:r>
      </w:hyperlink>
      <w:r>
        <w:rPr>
          <w:rFonts w:ascii="Times New Roman" w:cs="Times New Roman" w:eastAsia="Times New Roman" w:hAnsi="Times New Roman"/>
          <w:sz w:val="18"/>
          <w:szCs w:val="18"/>
          <w:color w:val="auto"/>
        </w:rPr>
        <w:t xml:space="preserve"> that are incorporated by reference into Part III of the 2022 Annual Report;</w:t>
      </w:r>
    </w:p>
    <w:p>
      <w:pPr>
        <w:spacing w:after="0" w:line="53" w:lineRule="exact"/>
        <w:rPr>
          <w:rFonts w:ascii="Times New Roman" w:cs="Times New Roman" w:eastAsia="Times New Roman" w:hAnsi="Times New Roman"/>
          <w:sz w:val="18"/>
          <w:szCs w:val="18"/>
          <w:color w:val="auto"/>
        </w:rPr>
      </w:pPr>
    </w:p>
    <w:p>
      <w:pPr>
        <w:ind w:left="1800" w:right="739" w:hanging="180"/>
        <w:spacing w:after="0" w:line="282" w:lineRule="auto"/>
        <w:tabs>
          <w:tab w:leader="none" w:pos="1800" w:val="left"/>
        </w:tabs>
        <w:numPr>
          <w:ilvl w:val="0"/>
          <w:numId w:val="2"/>
        </w:numPr>
        <w:rPr>
          <w:rFonts w:ascii="Times New Roman" w:cs="Times New Roman" w:eastAsia="Times New Roman" w:hAnsi="Times New Roman"/>
          <w:sz w:val="18"/>
          <w:szCs w:val="18"/>
          <w:u w:val="single" w:color="auto"/>
          <w:color w:val="0000EE"/>
        </w:rPr>
      </w:pPr>
      <w:hyperlink r:id="rId29">
        <w:r>
          <w:rPr>
            <w:rFonts w:ascii="Times New Roman" w:cs="Times New Roman" w:eastAsia="Times New Roman" w:hAnsi="Times New Roman"/>
            <w:sz w:val="18"/>
            <w:szCs w:val="18"/>
            <w:u w:val="single" w:color="auto"/>
            <w:color w:val="0000EE"/>
          </w:rPr>
          <w:t>Our Quarterly Report on Form 10-Q for the quarter ended March 31, 2023, filed with the SEC on</w:t>
        </w:r>
      </w:hyperlink>
      <w:r>
        <w:rPr>
          <w:rFonts w:ascii="Times New Roman" w:cs="Times New Roman" w:eastAsia="Times New Roman" w:hAnsi="Times New Roman"/>
          <w:sz w:val="18"/>
          <w:szCs w:val="18"/>
          <w:u w:val="single" w:color="auto"/>
          <w:color w:val="0000EE"/>
        </w:rPr>
        <w:t xml:space="preserve"> </w:t>
      </w:r>
      <w:hyperlink r:id="rId29">
        <w:r>
          <w:rPr>
            <w:rFonts w:ascii="Times New Roman" w:cs="Times New Roman" w:eastAsia="Times New Roman" w:hAnsi="Times New Roman"/>
            <w:sz w:val="18"/>
            <w:szCs w:val="18"/>
            <w:u w:val="single" w:color="auto"/>
            <w:color w:val="0000EE"/>
          </w:rPr>
          <w:t>April 28, 2023 (the “Q1 2023 Quarterly Report”);</w:t>
        </w:r>
      </w:hyperlink>
    </w:p>
    <w:p>
      <w:pPr>
        <w:spacing w:after="0" w:line="351" w:lineRule="exact"/>
        <w:rPr>
          <w:rFonts w:ascii="Times New Roman" w:cs="Times New Roman" w:eastAsia="Times New Roman" w:hAnsi="Times New Roman"/>
          <w:sz w:val="18"/>
          <w:szCs w:val="18"/>
          <w:color w:val="auto"/>
        </w:rPr>
      </w:pPr>
    </w:p>
    <w:p>
      <w:pPr>
        <w:ind w:left="5200"/>
        <w:spacing w:after="0"/>
        <w:rPr>
          <w:sz w:val="20"/>
          <w:szCs w:val="20"/>
          <w:color w:val="auto"/>
        </w:rPr>
      </w:pPr>
      <w:r>
        <w:rPr>
          <w:rFonts w:ascii="Times New Roman" w:cs="Times New Roman" w:eastAsia="Times New Roman" w:hAnsi="Times New Roman"/>
          <w:sz w:val="18"/>
          <w:szCs w:val="18"/>
          <w:color w:val="auto"/>
        </w:rPr>
        <w:t>S-ii</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879" w:hanging="180"/>
        <w:spacing w:after="0" w:line="282" w:lineRule="auto"/>
        <w:tabs>
          <w:tab w:leader="none" w:pos="1800" w:val="left"/>
        </w:tabs>
        <w:numPr>
          <w:ilvl w:val="0"/>
          <w:numId w:val="3"/>
        </w:numPr>
        <w:rPr>
          <w:rFonts w:ascii="Times New Roman" w:cs="Times New Roman" w:eastAsia="Times New Roman" w:hAnsi="Times New Roman"/>
          <w:sz w:val="18"/>
          <w:szCs w:val="18"/>
          <w:u w:val="single" w:color="auto"/>
          <w:color w:val="0000EE"/>
        </w:rPr>
      </w:pPr>
      <w:hyperlink r:id="rId31">
        <w:r>
          <w:rPr>
            <w:rFonts w:ascii="Times New Roman" w:cs="Times New Roman" w:eastAsia="Times New Roman" w:hAnsi="Times New Roman"/>
            <w:sz w:val="18"/>
            <w:szCs w:val="18"/>
            <w:u w:val="single" w:color="auto"/>
            <w:color w:val="0000EE"/>
          </w:rPr>
          <w:t>Our Quarterly Report on Form 10-Q for the quarter ended June 30, 2023, filed with the SEC on</w:t>
        </w:r>
      </w:hyperlink>
      <w:r>
        <w:rPr>
          <w:rFonts w:ascii="Times New Roman" w:cs="Times New Roman" w:eastAsia="Times New Roman" w:hAnsi="Times New Roman"/>
          <w:sz w:val="18"/>
          <w:szCs w:val="18"/>
          <w:u w:val="single" w:color="auto"/>
          <w:color w:val="0000EE"/>
        </w:rPr>
        <w:t xml:space="preserve"> </w:t>
      </w:r>
      <w:hyperlink r:id="rId31">
        <w:r>
          <w:rPr>
            <w:rFonts w:ascii="Times New Roman" w:cs="Times New Roman" w:eastAsia="Times New Roman" w:hAnsi="Times New Roman"/>
            <w:sz w:val="18"/>
            <w:szCs w:val="18"/>
            <w:u w:val="single" w:color="auto"/>
            <w:color w:val="0000EE"/>
          </w:rPr>
          <w:t>August 4, 2023 (the “Q2 2023 Quarterly Report”);</w:t>
        </w:r>
      </w:hyperlink>
    </w:p>
    <w:p>
      <w:pPr>
        <w:spacing w:after="0" w:line="53" w:lineRule="exact"/>
        <w:rPr>
          <w:rFonts w:ascii="Times New Roman" w:cs="Times New Roman" w:eastAsia="Times New Roman" w:hAnsi="Times New Roman"/>
          <w:sz w:val="18"/>
          <w:szCs w:val="18"/>
          <w:u w:val="single" w:color="auto"/>
          <w:color w:val="0000EE"/>
        </w:rPr>
      </w:pPr>
    </w:p>
    <w:p>
      <w:pPr>
        <w:jc w:val="both"/>
        <w:ind w:left="1800" w:right="419" w:hanging="180"/>
        <w:spacing w:after="0" w:line="266" w:lineRule="auto"/>
        <w:tabs>
          <w:tab w:leader="none" w:pos="1800" w:val="left"/>
        </w:tabs>
        <w:numPr>
          <w:ilvl w:val="0"/>
          <w:numId w:val="3"/>
        </w:numPr>
        <w:rPr>
          <w:rFonts w:ascii="Times New Roman" w:cs="Times New Roman" w:eastAsia="Times New Roman" w:hAnsi="Times New Roman"/>
          <w:sz w:val="18"/>
          <w:szCs w:val="18"/>
          <w:u w:val="single" w:color="auto"/>
          <w:color w:val="0000EE"/>
        </w:rPr>
      </w:pPr>
      <w:hyperlink r:id="rId32">
        <w:r>
          <w:rPr>
            <w:rFonts w:ascii="Times New Roman" w:cs="Times New Roman" w:eastAsia="Times New Roman" w:hAnsi="Times New Roman"/>
            <w:sz w:val="18"/>
            <w:szCs w:val="18"/>
            <w:u w:val="single" w:color="auto"/>
            <w:color w:val="0000EE"/>
          </w:rPr>
          <w:t>Our Quarterly Report on Form 10-Q for the quarter ended September 30, 2023, filed with the SEC on</w:t>
        </w:r>
      </w:hyperlink>
      <w:r>
        <w:rPr>
          <w:rFonts w:ascii="Times New Roman" w:cs="Times New Roman" w:eastAsia="Times New Roman" w:hAnsi="Times New Roman"/>
          <w:sz w:val="18"/>
          <w:szCs w:val="18"/>
          <w:u w:val="single" w:color="auto"/>
          <w:color w:val="0000EE"/>
        </w:rPr>
        <w:t xml:space="preserve"> </w:t>
      </w:r>
      <w:hyperlink r:id="rId32">
        <w:r>
          <w:rPr>
            <w:rFonts w:ascii="Times New Roman" w:cs="Times New Roman" w:eastAsia="Times New Roman" w:hAnsi="Times New Roman"/>
            <w:sz w:val="18"/>
            <w:szCs w:val="18"/>
            <w:u w:val="single" w:color="auto"/>
            <w:color w:val="0000EE"/>
          </w:rPr>
          <w:t>November 7, 2023 (the “Q3 2023 Quarterly Report” and together, with the Q1 2023 Quarterly Report</w:t>
        </w:r>
      </w:hyperlink>
      <w:r>
        <w:rPr>
          <w:rFonts w:ascii="Times New Roman" w:cs="Times New Roman" w:eastAsia="Times New Roman" w:hAnsi="Times New Roman"/>
          <w:sz w:val="18"/>
          <w:szCs w:val="18"/>
          <w:u w:val="single" w:color="auto"/>
          <w:color w:val="0000EE"/>
        </w:rPr>
        <w:t xml:space="preserve"> </w:t>
      </w:r>
      <w:hyperlink r:id="rId32">
        <w:r>
          <w:rPr>
            <w:rFonts w:ascii="Times New Roman" w:cs="Times New Roman" w:eastAsia="Times New Roman" w:hAnsi="Times New Roman"/>
            <w:sz w:val="18"/>
            <w:szCs w:val="18"/>
            <w:u w:val="single" w:color="auto"/>
            <w:color w:val="0000EE"/>
          </w:rPr>
          <w:t>and the Q2 2023 Quarterly Report, the “Quarterly Reports”);</w:t>
        </w:r>
      </w:hyperlink>
    </w:p>
    <w:p>
      <w:pPr>
        <w:spacing w:after="0" w:line="67" w:lineRule="exact"/>
        <w:rPr>
          <w:rFonts w:ascii="Times New Roman" w:cs="Times New Roman" w:eastAsia="Times New Roman" w:hAnsi="Times New Roman"/>
          <w:sz w:val="18"/>
          <w:szCs w:val="18"/>
          <w:u w:val="single" w:color="auto"/>
          <w:color w:val="0000EE"/>
        </w:rPr>
      </w:pPr>
    </w:p>
    <w:p>
      <w:pPr>
        <w:ind w:left="1800" w:right="439" w:hanging="180"/>
        <w:spacing w:after="0" w:line="261" w:lineRule="auto"/>
        <w:tabs>
          <w:tab w:leader="none" w:pos="1800" w:val="left"/>
        </w:tabs>
        <w:numPr>
          <w:ilvl w:val="0"/>
          <w:numId w:val="3"/>
        </w:numPr>
        <w:rPr>
          <w:rFonts w:ascii="Times New Roman" w:cs="Times New Roman" w:eastAsia="Times New Roman" w:hAnsi="Times New Roman"/>
          <w:sz w:val="18"/>
          <w:szCs w:val="18"/>
          <w:color w:val="000000"/>
        </w:rPr>
      </w:pPr>
      <w:r>
        <w:rPr>
          <w:rFonts w:ascii="Times New Roman" w:cs="Times New Roman" w:eastAsia="Times New Roman" w:hAnsi="Times New Roman"/>
          <w:sz w:val="18"/>
          <w:szCs w:val="18"/>
          <w:color w:val="auto"/>
        </w:rPr>
        <w:t xml:space="preserve">Our Current Reports on Form 8-K filed with the SEC on </w:t>
      </w:r>
      <w:hyperlink r:id="rId33">
        <w:r>
          <w:rPr>
            <w:rFonts w:ascii="Times New Roman" w:cs="Times New Roman" w:eastAsia="Times New Roman" w:hAnsi="Times New Roman"/>
            <w:sz w:val="18"/>
            <w:szCs w:val="18"/>
            <w:u w:val="single" w:color="auto"/>
            <w:color w:val="0000EE"/>
          </w:rPr>
          <w:t xml:space="preserve">January 23, 2023, </w:t>
        </w:r>
      </w:hyperlink>
      <w:hyperlink r:id="rId34">
        <w:r>
          <w:rPr>
            <w:rFonts w:ascii="Times New Roman" w:cs="Times New Roman" w:eastAsia="Times New Roman" w:hAnsi="Times New Roman"/>
            <w:sz w:val="18"/>
            <w:szCs w:val="18"/>
            <w:u w:val="single" w:color="auto"/>
            <w:color w:val="auto"/>
          </w:rPr>
          <w:t xml:space="preserve">February </w:t>
        </w:r>
        <w:r>
          <w:rPr>
            <w:rFonts w:ascii="Times New Roman" w:cs="Times New Roman" w:eastAsia="Times New Roman" w:hAnsi="Times New Roman"/>
            <w:sz w:val="18"/>
            <w:szCs w:val="18"/>
            <w:u w:val="single" w:color="auto"/>
            <w:color w:val="0000EE"/>
          </w:rPr>
          <w:t>6, 2023,</w:t>
        </w:r>
      </w:hyperlink>
      <w:r>
        <w:rPr>
          <w:rFonts w:ascii="Times New Roman" w:cs="Times New Roman" w:eastAsia="Times New Roman" w:hAnsi="Times New Roman"/>
          <w:sz w:val="18"/>
          <w:szCs w:val="18"/>
          <w:color w:val="auto"/>
        </w:rPr>
        <w:t xml:space="preserve"> </w:t>
      </w:r>
      <w:hyperlink r:id="rId35">
        <w:r>
          <w:rPr>
            <w:rFonts w:ascii="Times New Roman" w:cs="Times New Roman" w:eastAsia="Times New Roman" w:hAnsi="Times New Roman"/>
            <w:sz w:val="18"/>
            <w:szCs w:val="18"/>
            <w:u w:val="single" w:color="auto"/>
            <w:color w:val="0000EE"/>
          </w:rPr>
          <w:t xml:space="preserve">February 22, 2023, </w:t>
        </w:r>
      </w:hyperlink>
      <w:hyperlink r:id="rId36">
        <w:r>
          <w:rPr>
            <w:rFonts w:ascii="Times New Roman" w:cs="Times New Roman" w:eastAsia="Times New Roman" w:hAnsi="Times New Roman"/>
            <w:sz w:val="18"/>
            <w:szCs w:val="18"/>
            <w:u w:val="single" w:color="auto"/>
            <w:color w:val="0000EE"/>
          </w:rPr>
          <w:t xml:space="preserve">March 7, 2023, </w:t>
        </w:r>
      </w:hyperlink>
      <w:hyperlink r:id="rId37">
        <w:r>
          <w:rPr>
            <w:rFonts w:ascii="Times New Roman" w:cs="Times New Roman" w:eastAsia="Times New Roman" w:hAnsi="Times New Roman"/>
            <w:sz w:val="18"/>
            <w:szCs w:val="18"/>
            <w:u w:val="single" w:color="auto"/>
            <w:color w:val="0000EE"/>
          </w:rPr>
          <w:t xml:space="preserve">March 27, 2023, </w:t>
        </w:r>
      </w:hyperlink>
      <w:hyperlink r:id="rId38">
        <w:r>
          <w:rPr>
            <w:rFonts w:ascii="Times New Roman" w:cs="Times New Roman" w:eastAsia="Times New Roman" w:hAnsi="Times New Roman"/>
            <w:sz w:val="18"/>
            <w:szCs w:val="18"/>
            <w:u w:val="single" w:color="auto"/>
            <w:color w:val="0000EE"/>
          </w:rPr>
          <w:t xml:space="preserve">May 12, 2023, </w:t>
        </w:r>
      </w:hyperlink>
      <w:hyperlink r:id="rId39">
        <w:r>
          <w:rPr>
            <w:rFonts w:ascii="Times New Roman" w:cs="Times New Roman" w:eastAsia="Times New Roman" w:hAnsi="Times New Roman"/>
            <w:sz w:val="18"/>
            <w:szCs w:val="18"/>
            <w:u w:val="single" w:color="auto"/>
            <w:color w:val="0000EE"/>
          </w:rPr>
          <w:t xml:space="preserve">June 14, 2023, </w:t>
        </w:r>
      </w:hyperlink>
      <w:hyperlink r:id="rId40">
        <w:r>
          <w:rPr>
            <w:rFonts w:ascii="Times New Roman" w:cs="Times New Roman" w:eastAsia="Times New Roman" w:hAnsi="Times New Roman"/>
            <w:sz w:val="18"/>
            <w:szCs w:val="18"/>
            <w:u w:val="single" w:color="auto"/>
            <w:color w:val="0000EE"/>
          </w:rPr>
          <w:t>August 3, 2023</w:t>
        </w:r>
      </w:hyperlink>
      <w:r>
        <w:rPr>
          <w:rFonts w:ascii="Times New Roman" w:cs="Times New Roman" w:eastAsia="Times New Roman" w:hAnsi="Times New Roman"/>
          <w:sz w:val="18"/>
          <w:szCs w:val="18"/>
          <w:u w:val="single" w:color="auto"/>
          <w:color w:val="0000EE"/>
        </w:rPr>
        <w:t xml:space="preserve"> </w:t>
      </w:r>
      <w:r>
        <w:rPr>
          <w:rFonts w:ascii="Times New Roman" w:cs="Times New Roman" w:eastAsia="Times New Roman" w:hAnsi="Times New Roman"/>
          <w:sz w:val="18"/>
          <w:szCs w:val="18"/>
          <w:color w:val="000000"/>
        </w:rPr>
        <w:t xml:space="preserve">(only with regards to information included in Item 8.01) and </w:t>
      </w:r>
      <w:hyperlink r:id="rId41">
        <w:r>
          <w:rPr>
            <w:rFonts w:ascii="Times New Roman" w:cs="Times New Roman" w:eastAsia="Times New Roman" w:hAnsi="Times New Roman"/>
            <w:sz w:val="18"/>
            <w:szCs w:val="18"/>
            <w:u w:val="single" w:color="auto"/>
            <w:color w:val="0000EE"/>
          </w:rPr>
          <w:t>November 7, 2023</w:t>
        </w:r>
        <w:r>
          <w:rPr>
            <w:rFonts w:ascii="Times New Roman" w:cs="Times New Roman" w:eastAsia="Times New Roman" w:hAnsi="Times New Roman"/>
            <w:sz w:val="18"/>
            <w:szCs w:val="18"/>
            <w:u w:val="single" w:color="auto"/>
            <w:color w:val="000000"/>
          </w:rPr>
          <w:t xml:space="preserve"> </w:t>
        </w:r>
      </w:hyperlink>
      <w:r>
        <w:rPr>
          <w:rFonts w:ascii="Times New Roman" w:cs="Times New Roman" w:eastAsia="Times New Roman" w:hAnsi="Times New Roman"/>
          <w:sz w:val="18"/>
          <w:szCs w:val="18"/>
          <w:color w:val="000000"/>
        </w:rPr>
        <w:t>(only with regards to information included in Item 8.01); and</w:t>
      </w:r>
    </w:p>
    <w:p>
      <w:pPr>
        <w:spacing w:after="0" w:line="71" w:lineRule="exact"/>
        <w:rPr>
          <w:rFonts w:ascii="Times New Roman" w:cs="Times New Roman" w:eastAsia="Times New Roman" w:hAnsi="Times New Roman"/>
          <w:sz w:val="18"/>
          <w:szCs w:val="18"/>
          <w:color w:val="000000"/>
        </w:rPr>
      </w:pPr>
    </w:p>
    <w:p>
      <w:pPr>
        <w:ind w:left="1800" w:right="459" w:hanging="180"/>
        <w:spacing w:after="0" w:line="263" w:lineRule="auto"/>
        <w:tabs>
          <w:tab w:leader="none" w:pos="1800" w:val="left"/>
        </w:tabs>
        <w:numPr>
          <w:ilvl w:val="0"/>
          <w:numId w:val="3"/>
        </w:numPr>
        <w:rPr>
          <w:rFonts w:ascii="Times New Roman" w:cs="Times New Roman" w:eastAsia="Times New Roman" w:hAnsi="Times New Roman"/>
          <w:sz w:val="18"/>
          <w:szCs w:val="18"/>
          <w:u w:val="single" w:color="auto"/>
          <w:color w:val="0000EE"/>
        </w:rPr>
      </w:pPr>
      <w:hyperlink r:id="rId42">
        <w:r>
          <w:rPr>
            <w:rFonts w:ascii="Times New Roman" w:cs="Times New Roman" w:eastAsia="Times New Roman" w:hAnsi="Times New Roman"/>
            <w:sz w:val="18"/>
            <w:szCs w:val="18"/>
            <w:u w:val="single" w:color="auto"/>
            <w:color w:val="0000EE"/>
          </w:rPr>
          <w:t>The description of our common stock set forth in our registration statement filed on Form 8-A</w:t>
        </w:r>
      </w:hyperlink>
      <w:r>
        <w:rPr>
          <w:rFonts w:ascii="Times New Roman" w:cs="Times New Roman" w:eastAsia="Times New Roman" w:hAnsi="Times New Roman"/>
          <w:sz w:val="18"/>
          <w:szCs w:val="18"/>
          <w:u w:val="single" w:color="auto"/>
          <w:color w:val="0000EE"/>
        </w:rPr>
        <w:t xml:space="preserve"> </w:t>
      </w:r>
      <w:hyperlink r:id="rId42">
        <w:r>
          <w:rPr>
            <w:rFonts w:ascii="Times New Roman" w:cs="Times New Roman" w:eastAsia="Times New Roman" w:hAnsi="Times New Roman"/>
            <w:sz w:val="18"/>
            <w:szCs w:val="18"/>
            <w:u w:val="single" w:color="auto"/>
            <w:color w:val="0000EE"/>
          </w:rPr>
          <w:t>pursuant to Section 12 of the Securities Exchange Act of 1934, as amended (the “Exchange Act”),</w:t>
        </w:r>
      </w:hyperlink>
      <w:r>
        <w:rPr>
          <w:rFonts w:ascii="Times New Roman" w:cs="Times New Roman" w:eastAsia="Times New Roman" w:hAnsi="Times New Roman"/>
          <w:sz w:val="18"/>
          <w:szCs w:val="18"/>
          <w:u w:val="single" w:color="auto"/>
          <w:color w:val="0000EE"/>
        </w:rPr>
        <w:t xml:space="preserve"> </w:t>
      </w:r>
      <w:hyperlink r:id="rId42">
        <w:r>
          <w:rPr>
            <w:rFonts w:ascii="Times New Roman" w:cs="Times New Roman" w:eastAsia="Times New Roman" w:hAnsi="Times New Roman"/>
            <w:sz w:val="18"/>
            <w:szCs w:val="18"/>
            <w:u w:val="single" w:color="auto"/>
            <w:color w:val="0000EE"/>
          </w:rPr>
          <w:t>with the SEC on March 15, 2021, and any amendment or report filed for the purpose of updating that</w:t>
        </w:r>
      </w:hyperlink>
      <w:r>
        <w:rPr>
          <w:rFonts w:ascii="Times New Roman" w:cs="Times New Roman" w:eastAsia="Times New Roman" w:hAnsi="Times New Roman"/>
          <w:sz w:val="18"/>
          <w:szCs w:val="18"/>
          <w:u w:val="single" w:color="auto"/>
          <w:color w:val="0000EE"/>
        </w:rPr>
        <w:t xml:space="preserve"> </w:t>
      </w:r>
      <w:hyperlink r:id="rId42">
        <w:r>
          <w:rPr>
            <w:rFonts w:ascii="Times New Roman" w:cs="Times New Roman" w:eastAsia="Times New Roman" w:hAnsi="Times New Roman"/>
            <w:sz w:val="18"/>
            <w:szCs w:val="18"/>
            <w:u w:val="single" w:color="auto"/>
            <w:color w:val="0000EE"/>
          </w:rPr>
          <w:t>description.</w:t>
        </w:r>
      </w:hyperlink>
    </w:p>
    <w:p>
      <w:pPr>
        <w:spacing w:after="0" w:line="332" w:lineRule="exact"/>
        <w:rPr>
          <w:rFonts w:ascii="Times New Roman" w:cs="Times New Roman" w:eastAsia="Times New Roman" w:hAnsi="Times New Roman"/>
          <w:sz w:val="18"/>
          <w:szCs w:val="18"/>
          <w:u w:val="single" w:color="auto"/>
          <w:color w:val="0000EE"/>
        </w:rPr>
      </w:pPr>
    </w:p>
    <w:p>
      <w:pPr>
        <w:ind w:left="1260" w:right="559" w:firstLine="360"/>
        <w:spacing w:after="0" w:line="256" w:lineRule="auto"/>
        <w:rPr>
          <w:sz w:val="20"/>
          <w:szCs w:val="20"/>
          <w:color w:val="auto"/>
        </w:rPr>
      </w:pPr>
      <w:r>
        <w:rPr>
          <w:rFonts w:ascii="Times New Roman" w:cs="Times New Roman" w:eastAsia="Times New Roman" w:hAnsi="Times New Roman"/>
          <w:sz w:val="18"/>
          <w:szCs w:val="18"/>
          <w:color w:val="auto"/>
        </w:rPr>
        <w:t>All documents and reports that we file with the SEC (other than any portion of such filings that are furnished under applicable SEC rules rather than filed) under Sections 13(a), 13(c), 14 or 15(d) of the Exchange Act from the date of this prospectus supplement until the completion of the offering under this prospectus supplement shall be deemed to be incorporated in this prospectus supplement and the accompanying prospectus by reference. The information contained on or accessible through our website at www.suncountry.com is not incorporated into this prospectus supplement or the accompanying prospectus.</w:t>
      </w:r>
    </w:p>
    <w:p>
      <w:pPr>
        <w:spacing w:after="0" w:line="120" w:lineRule="exact"/>
        <w:rPr>
          <w:rFonts w:ascii="Times New Roman" w:cs="Times New Roman" w:eastAsia="Times New Roman" w:hAnsi="Times New Roman"/>
          <w:sz w:val="18"/>
          <w:szCs w:val="18"/>
          <w:u w:val="single" w:color="auto"/>
          <w:color w:val="0000EE"/>
        </w:rPr>
      </w:pPr>
    </w:p>
    <w:p>
      <w:pPr>
        <w:ind w:left="1260" w:right="759" w:firstLine="360"/>
        <w:spacing w:after="0" w:line="261" w:lineRule="auto"/>
        <w:rPr>
          <w:sz w:val="20"/>
          <w:szCs w:val="20"/>
          <w:color w:val="auto"/>
        </w:rPr>
      </w:pPr>
      <w:r>
        <w:rPr>
          <w:rFonts w:ascii="Times New Roman" w:cs="Times New Roman" w:eastAsia="Times New Roman" w:hAnsi="Times New Roman"/>
          <w:sz w:val="18"/>
          <w:szCs w:val="18"/>
          <w:color w:val="auto"/>
        </w:rPr>
        <w:t>You may request a copy of these filings, other than an exhibit to these filings unless we have specifically included or incorporated that exhibit by reference into the filing, from the SEC as described under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or, at no cost, by writing or telephoning Sun Country Airlines Holdings, Inc. at the following address:</w:t>
      </w:r>
    </w:p>
    <w:p>
      <w:pPr>
        <w:spacing w:after="0" w:line="99" w:lineRule="exact"/>
        <w:rPr>
          <w:rFonts w:ascii="Times New Roman" w:cs="Times New Roman" w:eastAsia="Times New Roman" w:hAnsi="Times New Roman"/>
          <w:sz w:val="18"/>
          <w:szCs w:val="18"/>
          <w:u w:val="single" w:color="auto"/>
          <w:color w:val="0000EE"/>
        </w:rPr>
      </w:pPr>
    </w:p>
    <w:p>
      <w:pPr>
        <w:jc w:val="center"/>
        <w:ind w:right="-800"/>
        <w:spacing w:after="0"/>
        <w:rPr>
          <w:sz w:val="20"/>
          <w:szCs w:val="20"/>
          <w:color w:val="auto"/>
        </w:rPr>
      </w:pPr>
      <w:r>
        <w:rPr>
          <w:rFonts w:ascii="Times New Roman" w:cs="Times New Roman" w:eastAsia="Times New Roman" w:hAnsi="Times New Roman"/>
          <w:sz w:val="18"/>
          <w:szCs w:val="18"/>
          <w:color w:val="auto"/>
        </w:rPr>
        <w:t>Sun Country Airlines Holdings, Inc.</w:t>
      </w:r>
    </w:p>
    <w:p>
      <w:pPr>
        <w:spacing w:after="0" w:line="27" w:lineRule="exact"/>
        <w:rPr>
          <w:rFonts w:ascii="Times New Roman" w:cs="Times New Roman" w:eastAsia="Times New Roman" w:hAnsi="Times New Roman"/>
          <w:sz w:val="18"/>
          <w:szCs w:val="18"/>
          <w:u w:val="single" w:color="auto"/>
          <w:color w:val="0000EE"/>
        </w:rPr>
      </w:pPr>
    </w:p>
    <w:p>
      <w:pPr>
        <w:jc w:val="center"/>
        <w:ind w:right="-800"/>
        <w:spacing w:after="0"/>
        <w:rPr>
          <w:sz w:val="20"/>
          <w:szCs w:val="20"/>
          <w:color w:val="auto"/>
        </w:rPr>
      </w:pPr>
      <w:r>
        <w:rPr>
          <w:rFonts w:ascii="Times New Roman" w:cs="Times New Roman" w:eastAsia="Times New Roman" w:hAnsi="Times New Roman"/>
          <w:sz w:val="18"/>
          <w:szCs w:val="18"/>
          <w:color w:val="auto"/>
        </w:rPr>
        <w:t>2005 Cargo Road</w:t>
      </w:r>
    </w:p>
    <w:p>
      <w:pPr>
        <w:spacing w:after="0" w:line="9" w:lineRule="exact"/>
        <w:rPr>
          <w:rFonts w:ascii="Times New Roman" w:cs="Times New Roman" w:eastAsia="Times New Roman" w:hAnsi="Times New Roman"/>
          <w:sz w:val="18"/>
          <w:szCs w:val="18"/>
          <w:u w:val="single" w:color="auto"/>
          <w:color w:val="0000EE"/>
        </w:rPr>
      </w:pPr>
    </w:p>
    <w:p>
      <w:pPr>
        <w:jc w:val="center"/>
        <w:ind w:right="-800"/>
        <w:spacing w:after="0"/>
        <w:rPr>
          <w:sz w:val="20"/>
          <w:szCs w:val="20"/>
          <w:color w:val="auto"/>
        </w:rPr>
      </w:pPr>
      <w:r>
        <w:rPr>
          <w:rFonts w:ascii="Times New Roman" w:cs="Times New Roman" w:eastAsia="Times New Roman" w:hAnsi="Times New Roman"/>
          <w:sz w:val="18"/>
          <w:szCs w:val="18"/>
          <w:color w:val="auto"/>
        </w:rPr>
        <w:t>Minneapolis, MN 55450</w:t>
      </w:r>
    </w:p>
    <w:p>
      <w:pPr>
        <w:spacing w:after="0" w:line="9" w:lineRule="exact"/>
        <w:rPr>
          <w:rFonts w:ascii="Times New Roman" w:cs="Times New Roman" w:eastAsia="Times New Roman" w:hAnsi="Times New Roman"/>
          <w:sz w:val="18"/>
          <w:szCs w:val="18"/>
          <w:u w:val="single" w:color="auto"/>
          <w:color w:val="0000EE"/>
        </w:rPr>
      </w:pPr>
    </w:p>
    <w:p>
      <w:pPr>
        <w:jc w:val="center"/>
        <w:ind w:right="-800"/>
        <w:spacing w:after="0"/>
        <w:rPr>
          <w:sz w:val="20"/>
          <w:szCs w:val="20"/>
          <w:color w:val="auto"/>
        </w:rPr>
      </w:pPr>
      <w:r>
        <w:rPr>
          <w:rFonts w:ascii="Times New Roman" w:cs="Times New Roman" w:eastAsia="Times New Roman" w:hAnsi="Times New Roman"/>
          <w:sz w:val="18"/>
          <w:szCs w:val="18"/>
          <w:color w:val="auto"/>
        </w:rPr>
        <w:t>(651) 681-3900</w:t>
      </w:r>
    </w:p>
    <w:p>
      <w:pPr>
        <w:spacing w:after="0" w:line="9" w:lineRule="exact"/>
        <w:rPr>
          <w:rFonts w:ascii="Times New Roman" w:cs="Times New Roman" w:eastAsia="Times New Roman" w:hAnsi="Times New Roman"/>
          <w:sz w:val="18"/>
          <w:szCs w:val="18"/>
          <w:u w:val="single" w:color="auto"/>
          <w:color w:val="0000EE"/>
        </w:rPr>
      </w:pPr>
    </w:p>
    <w:p>
      <w:pPr>
        <w:jc w:val="center"/>
        <w:ind w:right="-840"/>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139" w:lineRule="exact"/>
        <w:rPr>
          <w:rFonts w:ascii="Times New Roman" w:cs="Times New Roman" w:eastAsia="Times New Roman" w:hAnsi="Times New Roman"/>
          <w:sz w:val="18"/>
          <w:szCs w:val="18"/>
          <w:u w:val="single" w:color="auto"/>
          <w:color w:val="0000EE"/>
        </w:rPr>
      </w:pPr>
    </w:p>
    <w:p>
      <w:pPr>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You should not assume that the information in this prospectus supplement, the accompanying prospectus or any free writing prospectus that we authorize or any documents incorporated by reference is accurate as of any date other than the date of the applicable document.</w:t>
      </w:r>
    </w:p>
    <w:p>
      <w:pPr>
        <w:spacing w:after="0" w:line="108" w:lineRule="exact"/>
        <w:rPr>
          <w:rFonts w:ascii="Times New Roman" w:cs="Times New Roman" w:eastAsia="Times New Roman" w:hAnsi="Times New Roman"/>
          <w:sz w:val="18"/>
          <w:szCs w:val="18"/>
          <w:u w:val="single" w:color="auto"/>
          <w:color w:val="0000EE"/>
        </w:rPr>
      </w:pPr>
    </w:p>
    <w:p>
      <w:pPr>
        <w:ind w:left="1260" w:right="519" w:firstLine="360"/>
        <w:spacing w:after="0" w:line="255" w:lineRule="auto"/>
        <w:rPr>
          <w:sz w:val="20"/>
          <w:szCs w:val="20"/>
          <w:color w:val="auto"/>
        </w:rPr>
      </w:pPr>
      <w:r>
        <w:rPr>
          <w:rFonts w:ascii="Times New Roman" w:cs="Times New Roman" w:eastAsia="Times New Roman" w:hAnsi="Times New Roman"/>
          <w:sz w:val="18"/>
          <w:szCs w:val="18"/>
          <w:color w:val="auto"/>
        </w:rPr>
        <w:t>Any statement contained in a document incorporated or deemed to be incorporated by reference into this prospectus supplement or the accompanying prospectus will be deemed to be modified or superseded for purposes of this prospectus supplement to the extent that a statement contained in this prospectus supplement or any other subsequently filed document that is deemed to be incorporated by reference into this prospectus supplement or the accompanying prospectus modifies or supersedes the statement. Any statement so modified or superseded will not be deemed, except as so modified or superseded, to constitute a part of this prospectus supplement and the accompanying prospectus.</w:t>
      </w: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322" w:lineRule="exact"/>
        <w:rPr>
          <w:rFonts w:ascii="Times New Roman" w:cs="Times New Roman" w:eastAsia="Times New Roman" w:hAnsi="Times New Roman"/>
          <w:sz w:val="18"/>
          <w:szCs w:val="18"/>
          <w:u w:val="single" w:color="auto"/>
          <w:color w:val="0000EE"/>
        </w:rPr>
      </w:pPr>
    </w:p>
    <w:p>
      <w:pPr>
        <w:ind w:left="5180"/>
        <w:spacing w:after="0"/>
        <w:rPr>
          <w:sz w:val="20"/>
          <w:szCs w:val="20"/>
          <w:color w:val="auto"/>
        </w:rPr>
      </w:pPr>
      <w:r>
        <w:rPr>
          <w:rFonts w:ascii="Times New Roman" w:cs="Times New Roman" w:eastAsia="Times New Roman" w:hAnsi="Times New Roman"/>
          <w:sz w:val="18"/>
          <w:szCs w:val="18"/>
          <w:color w:val="auto"/>
        </w:rPr>
        <w:t>S-iii</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62"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S-3 with respect to the shares of common stock being sold in this offering. This prospectus supplement and the accompanying prospectus constitute a part of that registration statement. This prospectus supplement and the accompanying prospectus do not contain all the information set forth in the registration statement and the exhibits and schedules to the registration statement, because some parts have been omitted in accordance with the rules and regulations of the SEC. For further information with respect to us and our shares of common stock being sold in this offering, you should refer to the registration statement and the exhibits and schedules filed as part of the registration statement. Statements contained in this prospectus supplement and the accompanying prospectus regarding the contents of any agreement, contract or other document referred to are not necessarily complete; reference is made in each instance to the copy of the contract or document filed as an exhibit to the registration statement. Each statement is qualified by reference to the exhibit. You may read and obtain a copy of the registration statement without charge at the SEC’s website. The SEC’s website address is www.sec.gov.</w:t>
      </w:r>
    </w:p>
    <w:p>
      <w:pPr>
        <w:spacing w:after="0" w:line="338" w:lineRule="exact"/>
        <w:rPr>
          <w:sz w:val="20"/>
          <w:szCs w:val="20"/>
          <w:color w:val="auto"/>
        </w:rPr>
      </w:pPr>
    </w:p>
    <w:p>
      <w:pPr>
        <w:ind w:left="1260" w:right="639" w:firstLine="360"/>
        <w:spacing w:after="0" w:line="255"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You can read and obtain such filings from the SEC’s website at https://www.sec.gov. We also make available free of charge on our website at https://www.suncountry.com all materials that we file electronically with the SEC. Our website and the information contained therein or connected thereto shall not be deemed to be incorporated into this prospectus supplement, the accompanying prospectus or the registration statement of which this prospectus supplement forms a part, and you should not rely on any such information in making your decision whether to purchase our shares of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S-iv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62" w:lineRule="exact"/>
        <w:rPr>
          <w:sz w:val="20"/>
          <w:szCs w:val="20"/>
          <w:color w:val="auto"/>
        </w:rPr>
      </w:pPr>
    </w:p>
    <w:p>
      <w:pPr>
        <w:ind w:left="1260" w:right="579" w:firstLine="360"/>
        <w:spacing w:after="0" w:line="243"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contain “forward-looking statements” within the meaning of the U.S. Private Securities Litigation Reform Act of 1995, which involve risks and uncertainties. These forward-looking statements are generally identified by the use of forward-looking terminology, including the terms “anticipate,” “believe,” “continue,” “could,” “estimate,” “expect,” “intend,” “likely,” “may,” “plan,” “possible,” “potential,” “predict,” “project,” “should,” “target,” “will,” “would” and, in each case, their negative or other various or comparable terminology. All statements other than statements of historical facts contained in this prospectus supplement and the accompanying prospectus, including statements regarding our strategy, future operations, future financial position, future revenue, projected costs, prospects, plans, objectives of management, and expected market growth are forward-looking statements.</w:t>
      </w:r>
    </w:p>
    <w:p>
      <w:pPr>
        <w:spacing w:after="0" w:line="328"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Important factors that could cause our results to vary from expectations include, but are not limited to:</w:t>
      </w:r>
    </w:p>
    <w:p>
      <w:pPr>
        <w:spacing w:after="0" w:line="69" w:lineRule="exact"/>
        <w:rPr>
          <w:sz w:val="20"/>
          <w:szCs w:val="20"/>
          <w:color w:val="auto"/>
        </w:rPr>
      </w:pPr>
    </w:p>
    <w:p>
      <w:pPr>
        <w:ind w:left="1800" w:right="459" w:hanging="180"/>
        <w:spacing w:after="0" w:line="282" w:lineRule="auto"/>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COVID-19 virus and its effects, including variants, travel restrictions, social distancing measures and decreased demand for air travel;</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economic conditions, including inflationary pressures;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and availability of aircraft fuel and our ability to control other costs;</w:t>
      </w:r>
    </w:p>
    <w:p>
      <w:pPr>
        <w:spacing w:after="0" w:line="117" w:lineRule="exact"/>
        <w:rPr>
          <w:rFonts w:ascii="Times New Roman" w:cs="Times New Roman" w:eastAsia="Times New Roman" w:hAnsi="Times New Roman"/>
          <w:sz w:val="18"/>
          <w:szCs w:val="18"/>
          <w:color w:val="auto"/>
        </w:rPr>
      </w:pPr>
    </w:p>
    <w:p>
      <w:pPr>
        <w:ind w:left="1800" w:right="579" w:hanging="180"/>
        <w:spacing w:after="0" w:line="282" w:lineRule="auto"/>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threatened or actual terrorist attacks or security concerns, including the unauthorized use, incursion or breach of our information technology and other cybersecurity risks;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operate in an exceedingly competitive industry;</w:t>
      </w:r>
    </w:p>
    <w:p>
      <w:pPr>
        <w:spacing w:after="0" w:line="117" w:lineRule="exact"/>
        <w:rPr>
          <w:rFonts w:ascii="Times New Roman" w:cs="Times New Roman" w:eastAsia="Times New Roman" w:hAnsi="Times New Roman"/>
          <w:sz w:val="18"/>
          <w:szCs w:val="18"/>
          <w:color w:val="auto"/>
        </w:rPr>
      </w:pPr>
    </w:p>
    <w:p>
      <w:pPr>
        <w:ind w:left="1800" w:right="779" w:hanging="180"/>
        <w:spacing w:after="0" w:line="282" w:lineRule="auto"/>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beyond our control, including air traffic congestion, adverse weather, federal government shutdowns, aircraft-type groundings, increased security measures or outbreaks of disease;</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or increased taxes applicable to charges for ancillary products and services;</w:t>
      </w:r>
    </w:p>
    <w:p>
      <w:pPr>
        <w:spacing w:after="0" w:line="117" w:lineRule="exact"/>
        <w:rPr>
          <w:rFonts w:ascii="Times New Roman" w:cs="Times New Roman" w:eastAsia="Times New Roman" w:hAnsi="Times New Roman"/>
          <w:sz w:val="18"/>
          <w:szCs w:val="18"/>
          <w:color w:val="auto"/>
        </w:rPr>
      </w:pPr>
    </w:p>
    <w:p>
      <w:pPr>
        <w:ind w:left="1800" w:right="719" w:hanging="180"/>
        <w:spacing w:after="0" w:line="282" w:lineRule="auto"/>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concentration of our business in the Minneapolis-St. Paul market and the concentration of our cargo business with amazon.com Services, Inc. (together with its affiliates, “Amazon”);</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presence in international markets;</w:t>
      </w:r>
    </w:p>
    <w:p>
      <w:pPr>
        <w:spacing w:after="0" w:line="117" w:lineRule="exact"/>
        <w:rPr>
          <w:rFonts w:ascii="Times New Roman" w:cs="Times New Roman" w:eastAsia="Times New Roman" w:hAnsi="Times New Roman"/>
          <w:sz w:val="18"/>
          <w:szCs w:val="18"/>
          <w:color w:val="auto"/>
        </w:rPr>
      </w:pPr>
    </w:p>
    <w:p>
      <w:pPr>
        <w:ind w:left="1800" w:right="599" w:hanging="180"/>
        <w:spacing w:after="0" w:line="282" w:lineRule="auto"/>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and regulations, including regulation to reduce emissions of greenhouse gases;</w:t>
      </w:r>
    </w:p>
    <w:p>
      <w:pPr>
        <w:spacing w:after="0" w:line="53" w:lineRule="exact"/>
        <w:rPr>
          <w:rFonts w:ascii="Times New Roman" w:cs="Times New Roman" w:eastAsia="Times New Roman" w:hAnsi="Times New Roman"/>
          <w:sz w:val="18"/>
          <w:szCs w:val="18"/>
          <w:color w:val="auto"/>
        </w:rPr>
      </w:pPr>
    </w:p>
    <w:p>
      <w:pPr>
        <w:ind w:left="1800" w:right="539" w:hanging="180"/>
        <w:spacing w:after="0" w:line="282" w:lineRule="auto"/>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shortages and our ability to attract and retain qualified personnel, including but not limited to, pilots and technicians, at a reasonable cost or maintain our company culture;</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our and third-party technology and systems;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insurance costs or reductions in insurance coverage; and</w:t>
      </w:r>
    </w:p>
    <w:p>
      <w:pPr>
        <w:spacing w:after="0" w:line="117" w:lineRule="exact"/>
        <w:rPr>
          <w:rFonts w:ascii="Times New Roman" w:cs="Times New Roman" w:eastAsia="Times New Roman" w:hAnsi="Times New Roman"/>
          <w:sz w:val="18"/>
          <w:szCs w:val="18"/>
          <w:color w:val="auto"/>
        </w:rPr>
      </w:pPr>
    </w:p>
    <w:p>
      <w:pPr>
        <w:ind w:left="1800" w:right="719" w:hanging="180"/>
        <w:spacing w:after="0" w:line="261" w:lineRule="auto"/>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uncertainties and factors included or incorporated by reference in this prospectus supplement and the accompanying prospectus, including those set forth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those included under the heading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the 2022 Annual Report and the Quarterly Reports.</w:t>
      </w:r>
    </w:p>
    <w:p>
      <w:pPr>
        <w:spacing w:after="0" w:line="112"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These forward-looking statements reflect our views, estimates and assumptions with respect to future events as of the date of this prospectus supplement and the accompanying prospectus, as applicable, and are based on assumptions and subject to risks and uncertainties. Given these uncertainties, you should not place undue reliance on these forward- looking statements. Except as required by law, we undertake no obligation to update or review publicly any forward-looking statements, whether as a result of new information, future events or otherwise after the date of this prospectus supplement. We anticipate that subsequent events and developments will cause our views to change. You should read this prospectus supplement, the accompanying prospectus, the documents incorporated by reference herein and therein and the documents filed as exhibits to the registration statement, of which this prospectus supplement is a part, completely and with the understanding that our actual future results may be materially different from</w:t>
      </w:r>
    </w:p>
    <w:p>
      <w:pPr>
        <w:sectPr>
          <w:pgSz w:w="11900" w:h="16838" w:orient="portrait"/>
          <w:cols w:equalWidth="0" w:num="1">
            <w:col w:w="9879"/>
          </w:cols>
          <w:pgMar w:left="580" w:top="97" w:right="1440" w:bottom="1440" w:gutter="0" w:footer="0" w:header="0"/>
        </w:sectPr>
      </w:pPr>
    </w:p>
    <w:p>
      <w:pPr>
        <w:spacing w:after="0" w:line="375"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79"/>
        <w:spacing w:after="0" w:line="266" w:lineRule="auto"/>
        <w:rPr>
          <w:sz w:val="20"/>
          <w:szCs w:val="20"/>
          <w:color w:val="auto"/>
        </w:rPr>
      </w:pPr>
      <w:r>
        <w:rPr>
          <w:rFonts w:ascii="Times New Roman" w:cs="Times New Roman" w:eastAsia="Times New Roman" w:hAnsi="Times New Roman"/>
          <w:sz w:val="18"/>
          <w:szCs w:val="18"/>
          <w:color w:val="auto"/>
        </w:rPr>
        <w:t>what we expect. Our forward-looking statements do not reflect the potential impact of any future acquisitions, merger, dispositions, joint ventures, or investments we may undertake. We qualify all of our forward- looking statements by these cautionary statements.</w:t>
      </w:r>
    </w:p>
    <w:p>
      <w:pPr>
        <w:spacing w:after="0" w:line="172"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TRADEMARKS, TRADE NAMES, AND SERVICE MARKS</w:t>
      </w:r>
    </w:p>
    <w:p>
      <w:pPr>
        <w:spacing w:after="0" w:line="162"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 xml:space="preserve">We use various trademarks, trade names and service marks in our business, including “Sun Country,” “Sun Country Airlines,” “Sun Country Connections,” “Sun Country Rewards,” “Sun Country Vacations,” “The Hometown Airline” and “UFLY,” as well as our signature “S” logo. This prospectus supplement and the documents incorporated by reference herein reference to our trademarks, trade names and service marks. Solely for convenience, trademarks and trade names referred to and incorporated by reference in this prospectus supplement may appear without the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symbols, but such references are not intended to indicate, in any way, that we will not assert, to the fullest extent under applicable law, our rights or the rights of the applicable licensor to these trademarks and trade names. We do not intend our use or display of other companies’ trade names, trademarks or service marks to imply a relationship with, or endorsement or sponsorship of us by, any other companies.</w:t>
      </w:r>
    </w:p>
    <w:p>
      <w:pPr>
        <w:spacing w:after="0" w:line="19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INDUSTRY AND MARKET DATA</w:t>
      </w:r>
    </w:p>
    <w:p>
      <w:pPr>
        <w:spacing w:after="0" w:line="162"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We include and incorporate by reference in this prospectus supplement statements regarding our industry, our competitors and factors that have impacted our and our customers’ industries. Such statements are statements of belief and are based on industry data and forecasts that we have obtained from industry publications and surveys, including those published by the United States Department of Transportation, as well as internal company sources. Industry publications, surveys and forecasts generally state that the information contained therein has been obtained from sources believed to be reliable, but there can be no assurance as to the accuracy or completeness of such information. In addition, while we believe that the industry information included and incorporated by reference herein is generally reliable, such information is inherently imprecise. Certain statements regarding our competitors are based on publicly available information, including filings with the Securities and Exchange Commission and United States Department of Transportation by such competitors, published industry sources and management estimates. While we are not aware of any misstatements regarding the industry, competitor and market data presented and incorporated by reference herein, our estimates involve risks and uncertainties and are subject to change based on various factors, including those discussed under the caption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this prospectus supplement and in the documents incorporated by reference in this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S-vi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7">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160" w:lineRule="exact"/>
        <w:rPr>
          <w:sz w:val="20"/>
          <w:szCs w:val="20"/>
          <w:color w:val="auto"/>
        </w:rPr>
      </w:pPr>
    </w:p>
    <w:p>
      <w:pPr>
        <w:ind w:left="1280" w:right="399" w:firstLine="360"/>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summary highlights certain information about us and about this offering that is contained elsewhere in this prospectus supplement, the accompanying prospectus or the documents that are incorporated by reference herein. It does not contain all of the information that is important to you and your investment decision. Before you make an investment decision, you should review this entire prospectus supplement, the accompanying prospectus and the documents incorporated by reference herein and therein, including the sections entitled “Risk Factors” in this prospectus supplement, the accompanying prospectus and in the 2022 Annual Report and the Quarterly Reports. Some of the statements in the following summary constitute forward- looking statements. See “Cautionary Note Regarding Forward-Looking Statements.”</w:t>
      </w:r>
    </w:p>
    <w:p>
      <w:pPr>
        <w:spacing w:after="0" w:line="183"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62" w:lineRule="exact"/>
        <w:rPr>
          <w:sz w:val="20"/>
          <w:szCs w:val="20"/>
          <w:color w:val="auto"/>
        </w:rPr>
      </w:pPr>
    </w:p>
    <w:p>
      <w:pPr>
        <w:ind w:left="1280" w:right="419" w:firstLine="360"/>
        <w:spacing w:after="0" w:line="253" w:lineRule="auto"/>
        <w:rPr>
          <w:sz w:val="20"/>
          <w:szCs w:val="20"/>
          <w:color w:val="auto"/>
        </w:rPr>
      </w:pPr>
      <w:r>
        <w:rPr>
          <w:rFonts w:ascii="Times New Roman" w:cs="Times New Roman" w:eastAsia="Times New Roman" w:hAnsi="Times New Roman"/>
          <w:sz w:val="18"/>
          <w:szCs w:val="18"/>
          <w:color w:val="auto"/>
        </w:rPr>
        <w:t>Sun Country Airlines is a new breed of hybrid low-cost air carrier that dynamically deploys shared resources across our synergistic scheduled service, charter, and cargo businesses. By doing so, we believe we are able to generate high growth, high margins and strong cash flows with greater resilience than other passenger airlines. Based in Minnesota, we focus on serving leisure and visiting friends and relatives passengers, charter customers, and providing crew, maintenance and insurance service to Amazon, with flights throughout the United States and to destinations in Canada, Mexico, Central America and the Caribbean. We share resources, such as flight crews, across our scheduled service, charter and cargo business lines with the objective of generating higher returns and margins and mitigating the seasonality of our route network. We optimize capacity allocation by market, time of year, day of week and line of business by shifting flying to markets during periods of peak demand and away from markets during periods of low demand with far greater frequency than nearly all other large U.S. passenger airlines. We believe our flexible business model generates higher returns and margins while also providing greater resiliency to economic and industry downturns than a traditional scheduled service carrier.</w:t>
      </w:r>
    </w:p>
    <w:p>
      <w:pPr>
        <w:spacing w:after="0" w:line="106" w:lineRule="exact"/>
        <w:rPr>
          <w:sz w:val="20"/>
          <w:szCs w:val="20"/>
          <w:color w:val="auto"/>
        </w:rPr>
      </w:pPr>
    </w:p>
    <w:p>
      <w:pPr>
        <w:ind w:left="1280" w:right="559" w:firstLine="360"/>
        <w:spacing w:after="0" w:line="261" w:lineRule="auto"/>
        <w:rPr>
          <w:sz w:val="20"/>
          <w:szCs w:val="20"/>
          <w:color w:val="auto"/>
        </w:rPr>
      </w:pPr>
      <w:r>
        <w:rPr>
          <w:rFonts w:ascii="Times New Roman" w:cs="Times New Roman" w:eastAsia="Times New Roman" w:hAnsi="Times New Roman"/>
          <w:sz w:val="18"/>
          <w:szCs w:val="18"/>
          <w:color w:val="auto"/>
        </w:rPr>
        <w:t>As of September 30, 2023, our fleet consisted of 59 Boeing 737-NG aircraft. This includes 42 aircraft in the passenger fleet, 12 cargo operated aircraft through the Air Transportation Services Agreement (the “ATSA”) with Amazon and 5 aircraft held for operating lease. This fleet is managed through our two reportable segments: Passenger, which includes both Scheduled Service and Charter, and Cargo.</w:t>
      </w:r>
    </w:p>
    <w:p>
      <w:pPr>
        <w:spacing w:after="0" w:line="176"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8"/>
          <w:szCs w:val="18"/>
          <w:b w:val="1"/>
          <w:bCs w:val="1"/>
          <w:color w:val="auto"/>
        </w:rPr>
        <w:t>Selling Stockholder</w:t>
      </w:r>
    </w:p>
    <w:p>
      <w:pPr>
        <w:spacing w:after="0" w:line="162" w:lineRule="exact"/>
        <w:rPr>
          <w:sz w:val="20"/>
          <w:szCs w:val="20"/>
          <w:color w:val="auto"/>
        </w:rPr>
      </w:pPr>
    </w:p>
    <w:p>
      <w:pPr>
        <w:ind w:left="1280" w:right="419" w:firstLine="360"/>
        <w:spacing w:after="0" w:line="254"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relate to the resale of 4,000,000 shares of our common stock by the selling stockholder (or 4,600,000 shares if the underwriter’s option to purchase additional shares is exercised in full). The shares to be sold by the selling stockholder in this offering represent approximately 7.4% of our outstanding shares of common stock prior to giving effect to this offering (or approximately 8.5% if the underwriter’s option to purchase additional shares is exercised in full). After this offering, the selling stockholder will beneficially own an aggregate of 11,392,497 shares of common stock (or 10,792,497 shares if the underwriter’s option to purchase additional shares is exercised in full), which represents approximately 21.2% of our outstanding shares of common stock after giving effect to this offering (or approximately 20.1% if the underwriter’s option to purchase additional shares is exercised in full).</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1051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9">
                      <a:extLst>
                        <a:ext uri="{28A0092B-C50C-407E-A947-70E740481C1C}"/>
                      </a:extLst>
                    </a:blip>
                    <a:srcRect/>
                    <a:stretch>
                      <a:fillRect/>
                    </a:stretch>
                  </pic:blipFill>
                  <pic:spPr bwMode="auto">
                    <a:xfrm>
                      <a:off x="0" y="0"/>
                      <a:ext cx="5516245" cy="8105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162"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color w:val="auto"/>
        </w:rPr>
        <w:t>By participating in this offering, you are representing that you are a citizen of the United States, as</w:t>
      </w:r>
    </w:p>
    <w:p>
      <w:pPr>
        <w:spacing w:after="0" w:line="16" w:lineRule="exact"/>
        <w:rPr>
          <w:sz w:val="20"/>
          <w:szCs w:val="20"/>
          <w:color w:val="auto"/>
        </w:rPr>
      </w:pPr>
    </w:p>
    <w:p>
      <w:pPr>
        <w:ind w:left="1280" w:right="439"/>
        <w:spacing w:after="0" w:line="258" w:lineRule="auto"/>
        <w:rPr>
          <w:sz w:val="20"/>
          <w:szCs w:val="20"/>
          <w:color w:val="auto"/>
        </w:rPr>
      </w:pPr>
      <w:r>
        <w:rPr>
          <w:rFonts w:ascii="Times New Roman" w:cs="Times New Roman" w:eastAsia="Times New Roman" w:hAnsi="Times New Roman"/>
          <w:sz w:val="18"/>
          <w:szCs w:val="18"/>
          <w:color w:val="auto"/>
        </w:rPr>
        <w:t>defined in 49 U.S.C. § 40102(a)(15). See “</w:t>
      </w:r>
      <w:r>
        <w:rPr>
          <w:rFonts w:ascii="Times New Roman" w:cs="Times New Roman" w:eastAsia="Times New Roman" w:hAnsi="Times New Roman"/>
          <w:sz w:val="18"/>
          <w:szCs w:val="18"/>
          <w:i w:val="1"/>
          <w:iCs w:val="1"/>
          <w:color w:val="auto"/>
        </w:rPr>
        <w:t>Description of Capital Stock — Limited Ownership and Voting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Foreign Owners</w:t>
      </w:r>
      <w:r>
        <w:rPr>
          <w:rFonts w:ascii="Times New Roman" w:cs="Times New Roman" w:eastAsia="Times New Roman" w:hAnsi="Times New Roman"/>
          <w:sz w:val="18"/>
          <w:szCs w:val="18"/>
          <w:color w:val="auto"/>
        </w:rPr>
        <w:t>” in the accompanying prospectus.</w:t>
      </w:r>
    </w:p>
    <w:p>
      <w:pPr>
        <w:sectPr>
          <w:pgSz w:w="11900" w:h="16838" w:orient="portrait"/>
          <w:cols w:equalWidth="0" w:num="1">
            <w:col w:w="9879"/>
          </w:cols>
          <w:pgMar w:left="580" w:top="97" w:right="1440" w:bottom="1440" w:gutter="0" w:footer="0" w:header="0"/>
        </w:sectPr>
      </w:pPr>
    </w:p>
    <w:p>
      <w:pPr>
        <w:spacing w:after="0" w:line="61" w:lineRule="exact"/>
        <w:rPr>
          <w:sz w:val="20"/>
          <w:szCs w:val="20"/>
          <w:color w:val="auto"/>
        </w:rPr>
      </w:pPr>
    </w:p>
    <w:p>
      <w:pPr>
        <w:ind w:left="1460" w:right="140" w:hanging="179"/>
        <w:spacing w:after="0" w:line="266" w:lineRule="auto"/>
        <w:rPr>
          <w:sz w:val="20"/>
          <w:szCs w:val="20"/>
          <w:color w:val="auto"/>
        </w:rPr>
      </w:pPr>
      <w:r>
        <w:rPr>
          <w:rFonts w:ascii="Times New Roman" w:cs="Times New Roman" w:eastAsia="Times New Roman" w:hAnsi="Times New Roman"/>
          <w:sz w:val="18"/>
          <w:szCs w:val="18"/>
          <w:color w:val="auto"/>
        </w:rPr>
        <w:t>Shares of common stock offered for resale by the selling stockholder in this offering</w:t>
      </w:r>
    </w:p>
    <w:p>
      <w:pPr>
        <w:spacing w:after="0" w:line="284" w:lineRule="exact"/>
        <w:rPr>
          <w:sz w:val="20"/>
          <w:szCs w:val="20"/>
          <w:color w:val="auto"/>
        </w:rPr>
      </w:pPr>
    </w:p>
    <w:p>
      <w:pPr>
        <w:ind w:left="1460" w:hanging="179"/>
        <w:spacing w:after="0" w:line="266" w:lineRule="auto"/>
        <w:rPr>
          <w:sz w:val="20"/>
          <w:szCs w:val="20"/>
          <w:color w:val="auto"/>
        </w:rPr>
      </w:pPr>
      <w:r>
        <w:rPr>
          <w:rFonts w:ascii="Times New Roman" w:cs="Times New Roman" w:eastAsia="Times New Roman" w:hAnsi="Times New Roman"/>
          <w:sz w:val="18"/>
          <w:szCs w:val="18"/>
          <w:color w:val="auto"/>
        </w:rPr>
        <w:t>Shares of common stock to be outstanding upon completion of this offering</w:t>
      </w:r>
    </w:p>
    <w:p>
      <w:pPr>
        <w:spacing w:after="0" w:line="200" w:lineRule="exact"/>
        <w:rPr>
          <w:sz w:val="20"/>
          <w:szCs w:val="20"/>
          <w:color w:val="auto"/>
        </w:rPr>
      </w:pPr>
    </w:p>
    <w:p>
      <w:pPr>
        <w:spacing w:after="0" w:line="313" w:lineRule="exact"/>
        <w:rPr>
          <w:sz w:val="20"/>
          <w:szCs w:val="20"/>
          <w:color w:val="auto"/>
        </w:rPr>
      </w:pPr>
    </w:p>
    <w:p>
      <w:pPr>
        <w:ind w:left="1460" w:right="340" w:hanging="179"/>
        <w:spacing w:after="0" w:line="282" w:lineRule="auto"/>
        <w:rPr>
          <w:sz w:val="20"/>
          <w:szCs w:val="20"/>
          <w:color w:val="auto"/>
        </w:rPr>
      </w:pPr>
      <w:r>
        <w:rPr>
          <w:rFonts w:ascii="Times New Roman" w:cs="Times New Roman" w:eastAsia="Times New Roman" w:hAnsi="Times New Roman"/>
          <w:sz w:val="18"/>
          <w:szCs w:val="18"/>
          <w:color w:val="auto"/>
        </w:rPr>
        <w:t>Option to purchase additional shares of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Concurrent Share</w:t>
      </w:r>
    </w:p>
    <w:p>
      <w:pPr>
        <w:spacing w:after="0" w:line="27"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Repurchase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3" w:lineRule="exact"/>
        <w:rPr>
          <w:sz w:val="20"/>
          <w:szCs w:val="20"/>
          <w:color w:val="auto"/>
        </w:rPr>
      </w:pPr>
    </w:p>
    <w:p>
      <w:pPr>
        <w:ind w:right="539"/>
        <w:spacing w:after="0" w:line="282" w:lineRule="auto"/>
        <w:rPr>
          <w:sz w:val="20"/>
          <w:szCs w:val="20"/>
          <w:color w:val="auto"/>
        </w:rPr>
      </w:pPr>
      <w:r>
        <w:rPr>
          <w:rFonts w:ascii="Times New Roman" w:cs="Times New Roman" w:eastAsia="Times New Roman" w:hAnsi="Times New Roman"/>
          <w:sz w:val="18"/>
          <w:szCs w:val="18"/>
          <w:color w:val="auto"/>
        </w:rPr>
        <w:t>4,000,000 shares (or 4,600,000 shares if the underwriter exercises its option to purchase additional shares in full as described below).</w:t>
      </w:r>
    </w:p>
    <w:p>
      <w:pPr>
        <w:spacing w:after="0" w:line="200" w:lineRule="exact"/>
        <w:rPr>
          <w:sz w:val="20"/>
          <w:szCs w:val="20"/>
          <w:color w:val="auto"/>
        </w:rPr>
      </w:pPr>
    </w:p>
    <w:p>
      <w:pPr>
        <w:spacing w:after="0" w:line="286" w:lineRule="exact"/>
        <w:rPr>
          <w:sz w:val="20"/>
          <w:szCs w:val="20"/>
          <w:color w:val="auto"/>
        </w:rPr>
      </w:pPr>
    </w:p>
    <w:p>
      <w:pPr>
        <w:ind w:right="759"/>
        <w:spacing w:after="0" w:line="258" w:lineRule="auto"/>
        <w:rPr>
          <w:sz w:val="20"/>
          <w:szCs w:val="20"/>
          <w:color w:val="auto"/>
        </w:rPr>
      </w:pPr>
      <w:r>
        <w:rPr>
          <w:rFonts w:ascii="Times New Roman" w:cs="Times New Roman" w:eastAsia="Times New Roman" w:hAnsi="Times New Roman"/>
          <w:sz w:val="18"/>
          <w:szCs w:val="18"/>
          <w:color w:val="auto"/>
        </w:rPr>
        <w:t>53,821,351 shares (after giving effect to the repurchase by us of 312,500 shares of common stock from the underwriter in the Concurrent Share Repurchase).</w:t>
      </w:r>
      <w:r>
        <w:rPr>
          <w:rFonts w:ascii="Times New Roman" w:cs="Times New Roman" w:eastAsia="Times New Roman" w:hAnsi="Times New Roman"/>
          <w:sz w:val="26"/>
          <w:szCs w:val="26"/>
          <w:color w:val="auto"/>
          <w:vertAlign w:val="superscript"/>
        </w:rPr>
        <w:t>(1)</w:t>
      </w:r>
    </w:p>
    <w:p>
      <w:pPr>
        <w:spacing w:after="0" w:line="219" w:lineRule="exact"/>
        <w:rPr>
          <w:sz w:val="20"/>
          <w:szCs w:val="20"/>
          <w:color w:val="auto"/>
        </w:rPr>
      </w:pPr>
    </w:p>
    <w:p>
      <w:pPr>
        <w:jc w:val="both"/>
        <w:ind w:right="739"/>
        <w:spacing w:after="0" w:line="258" w:lineRule="auto"/>
        <w:rPr>
          <w:sz w:val="20"/>
          <w:szCs w:val="20"/>
          <w:color w:val="auto"/>
        </w:rPr>
      </w:pPr>
      <w:r>
        <w:rPr>
          <w:rFonts w:ascii="Times New Roman" w:cs="Times New Roman" w:eastAsia="Times New Roman" w:hAnsi="Times New Roman"/>
          <w:sz w:val="18"/>
          <w:szCs w:val="18"/>
          <w:color w:val="auto"/>
        </w:rPr>
        <w:t>The selling stockholder has granted the underwriter an option to purchase up to 600,000 additional shares of common stock. The underwriter may exercise this option at any time within 30 days from the date of this prospectus supplement. See “</w:t>
      </w:r>
      <w:r>
        <w:rPr>
          <w:rFonts w:ascii="Times New Roman" w:cs="Times New Roman" w:eastAsia="Times New Roman" w:hAnsi="Times New Roman"/>
          <w:sz w:val="18"/>
          <w:szCs w:val="18"/>
          <w:i w:val="1"/>
          <w:iCs w:val="1"/>
          <w:color w:val="auto"/>
        </w:rPr>
        <w:t>Underwriting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(Conflict of Interest)</w:t>
      </w:r>
      <w:r>
        <w:rPr>
          <w:rFonts w:ascii="Times New Roman" w:cs="Times New Roman" w:eastAsia="Times New Roman" w:hAnsi="Times New Roman"/>
          <w:sz w:val="18"/>
          <w:szCs w:val="18"/>
          <w:color w:val="auto"/>
        </w:rPr>
        <w:t>.”</w:t>
      </w:r>
    </w:p>
    <w:p>
      <w:pPr>
        <w:spacing w:after="0" w:line="291" w:lineRule="exact"/>
        <w:rPr>
          <w:sz w:val="20"/>
          <w:szCs w:val="20"/>
          <w:color w:val="auto"/>
        </w:rPr>
      </w:pPr>
    </w:p>
    <w:p>
      <w:pPr>
        <w:ind w:right="439"/>
        <w:spacing w:after="0" w:line="253" w:lineRule="auto"/>
        <w:rPr>
          <w:sz w:val="20"/>
          <w:szCs w:val="20"/>
          <w:color w:val="auto"/>
        </w:rPr>
      </w:pPr>
      <w:r>
        <w:rPr>
          <w:rFonts w:ascii="Times New Roman" w:cs="Times New Roman" w:eastAsia="Times New Roman" w:hAnsi="Times New Roman"/>
          <w:sz w:val="18"/>
          <w:szCs w:val="18"/>
          <w:color w:val="auto"/>
        </w:rPr>
        <w:t>Subject to the completion of this offering, we have agreed to repurchase 312,500 of the shares of common stock that are the subject of this offering from the underwriter at a price of $16.00 per share, which is the price at which the underwriter will purchase the shares from the selling stockholder in this offering (the “Concurrent Share Repurchase”). The terms and conditions of the Concurrent Share Repurchase were reviewed and approved by the independent members of our board of directors. The Concurrent Share Repurchase will be funded from our existing cash on hand. The underwriter will not receive any compensation for the shares of our common stock being repurchased by us. The Concurrent Share Repurchase will be made pursuant to our existing stock repurchase program. See “</w:t>
      </w:r>
      <w:r>
        <w:rPr>
          <w:rFonts w:ascii="Times New Roman" w:cs="Times New Roman" w:eastAsia="Times New Roman" w:hAnsi="Times New Roman"/>
          <w:sz w:val="18"/>
          <w:szCs w:val="18"/>
          <w:i w:val="1"/>
          <w:iCs w:val="1"/>
          <w:color w:val="auto"/>
        </w:rPr>
        <w:t>Concurrent Share Repurchase</w:t>
      </w:r>
      <w:r>
        <w:rPr>
          <w:rFonts w:ascii="Times New Roman" w:cs="Times New Roman" w:eastAsia="Times New Roman" w:hAnsi="Times New Roman"/>
          <w:sz w:val="18"/>
          <w:szCs w:val="18"/>
          <w:color w:val="auto"/>
        </w:rPr>
        <w:t>.”</w:t>
      </w:r>
    </w:p>
    <w:p>
      <w:pPr>
        <w:spacing w:after="0" w:line="79" w:lineRule="exact"/>
        <w:rPr>
          <w:sz w:val="20"/>
          <w:szCs w:val="20"/>
          <w:color w:val="auto"/>
        </w:rPr>
      </w:pPr>
    </w:p>
    <w:p>
      <w:pPr>
        <w:sectPr>
          <w:pgSz w:w="11900" w:h="16838" w:orient="portrait"/>
          <w:cols w:equalWidth="0" w:num="2">
            <w:col w:w="3860" w:space="440"/>
            <w:col w:w="5579"/>
          </w:cols>
          <w:pgMar w:left="580" w:top="97" w:right="1440" w:bottom="1440" w:gutter="0" w:footer="0" w:header="0"/>
          <w:type w:val="continuous"/>
        </w:sectPr>
      </w:pPr>
    </w:p>
    <w:p>
      <w:pPr>
        <w:ind w:left="1280"/>
        <w:spacing w:after="0"/>
        <w:tabs>
          <w:tab w:leader="none" w:pos="4280" w:val="left"/>
        </w:tabs>
        <w:rPr>
          <w:sz w:val="20"/>
          <w:szCs w:val="20"/>
          <w:color w:val="auto"/>
        </w:rPr>
      </w:pPr>
      <w:r>
        <w:rPr>
          <w:rFonts w:ascii="Times New Roman" w:cs="Times New Roman" w:eastAsia="Times New Roman" w:hAnsi="Times New Roman"/>
          <w:sz w:val="18"/>
          <w:szCs w:val="18"/>
          <w:color w:val="auto"/>
        </w:rPr>
        <w:t>Dividend policy</w:t>
      </w:r>
      <w:r>
        <w:rPr>
          <w:sz w:val="20"/>
          <w:szCs w:val="20"/>
          <w:color w:val="auto"/>
        </w:rPr>
        <w:tab/>
      </w:r>
      <w:r>
        <w:rPr>
          <w:rFonts w:ascii="Times New Roman" w:cs="Times New Roman" w:eastAsia="Times New Roman" w:hAnsi="Times New Roman"/>
          <w:sz w:val="18"/>
          <w:szCs w:val="18"/>
          <w:color w:val="auto"/>
        </w:rPr>
        <w:t>We have not to date paid any cash dividends on our common stock</w:t>
      </w:r>
    </w:p>
    <w:p>
      <w:pPr>
        <w:spacing w:after="0" w:line="27" w:lineRule="exact"/>
        <w:rPr>
          <w:sz w:val="20"/>
          <w:szCs w:val="20"/>
          <w:color w:val="auto"/>
        </w:rPr>
      </w:pPr>
    </w:p>
    <w:p>
      <w:pPr>
        <w:ind w:left="4300" w:right="479"/>
        <w:spacing w:after="0" w:line="251" w:lineRule="auto"/>
        <w:rPr>
          <w:sz w:val="20"/>
          <w:szCs w:val="20"/>
          <w:color w:val="auto"/>
        </w:rPr>
      </w:pPr>
      <w:r>
        <w:rPr>
          <w:rFonts w:ascii="Times New Roman" w:cs="Times New Roman" w:eastAsia="Times New Roman" w:hAnsi="Times New Roman"/>
          <w:sz w:val="18"/>
          <w:szCs w:val="18"/>
          <w:color w:val="auto"/>
        </w:rPr>
        <w:t>and we currently do not intend to pay cash dividends on our common stock in the foreseeable future. However, we may, in the future, decide to pay dividends on our common stock. Any declaration and payment of cash dividends in the future, if any, will be at the discretion of our board of directors and will depend upon such factors as earnings levels, cash flows, capital requirements, levels of indebtedness, deployment of cash for share repurchases, restrictions imposed by applicable law, our overall financial condition, restrictions in our debt agreements, and any other factors deemed relevant by our board of directors.</w:t>
      </w:r>
    </w:p>
    <w:p>
      <w:pPr>
        <w:spacing w:after="0" w:line="125" w:lineRule="exact"/>
        <w:rPr>
          <w:sz w:val="20"/>
          <w:szCs w:val="20"/>
          <w:color w:val="auto"/>
        </w:rPr>
      </w:pPr>
    </w:p>
    <w:p>
      <w:pPr>
        <w:ind w:left="4300" w:right="459"/>
        <w:spacing w:after="0" w:line="247" w:lineRule="auto"/>
        <w:rPr>
          <w:sz w:val="20"/>
          <w:szCs w:val="20"/>
          <w:color w:val="auto"/>
        </w:rPr>
      </w:pPr>
      <w:r>
        <w:rPr>
          <w:rFonts w:ascii="Times New Roman" w:cs="Times New Roman" w:eastAsia="Times New Roman" w:hAnsi="Times New Roman"/>
          <w:sz w:val="18"/>
          <w:szCs w:val="18"/>
          <w:color w:val="auto"/>
        </w:rPr>
        <w:t>As a holding company, our ability to pay dividends also depends on our receipt of cash dividends from our operating subsidiaries. Our ability to pay dividends will therefore be restricted as a result of</w:t>
      </w:r>
    </w:p>
    <w:p>
      <w:pPr>
        <w:ind w:left="4300"/>
        <w:spacing w:after="0" w:line="237" w:lineRule="auto"/>
        <w:rPr>
          <w:sz w:val="20"/>
          <w:szCs w:val="20"/>
          <w:color w:val="auto"/>
        </w:rPr>
      </w:pPr>
      <w:r>
        <w:rPr>
          <w:rFonts w:ascii="Times New Roman" w:cs="Times New Roman" w:eastAsia="Times New Roman" w:hAnsi="Times New Roman"/>
          <w:sz w:val="18"/>
          <w:szCs w:val="18"/>
          <w:color w:val="auto"/>
        </w:rPr>
        <w:t>restrictions on their ability to pay dividends to us under our</w:t>
      </w:r>
    </w:p>
    <w:p>
      <w:pPr>
        <w:ind w:left="4300"/>
        <w:spacing w:after="0" w:line="234" w:lineRule="auto"/>
        <w:rPr>
          <w:sz w:val="20"/>
          <w:szCs w:val="20"/>
          <w:color w:val="auto"/>
        </w:rPr>
      </w:pPr>
      <w:r>
        <w:rPr>
          <w:rFonts w:ascii="Times New Roman" w:cs="Times New Roman" w:eastAsia="Times New Roman" w:hAnsi="Times New Roman"/>
          <w:sz w:val="18"/>
          <w:szCs w:val="18"/>
          <w:color w:val="auto"/>
        </w:rPr>
        <w:t>subsidiaries’ credit agreement and may be restricted under future</w:t>
      </w:r>
    </w:p>
    <w:p>
      <w:pPr>
        <w:spacing w:after="0" w:line="1"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indebtedness that we or they may incur.</w:t>
      </w:r>
    </w:p>
    <w:p>
      <w:pPr>
        <w:spacing w:after="0" w:line="97" w:lineRule="exact"/>
        <w:rPr>
          <w:sz w:val="20"/>
          <w:szCs w:val="20"/>
          <w:color w:val="auto"/>
        </w:rPr>
      </w:pPr>
    </w:p>
    <w:p>
      <w:pPr>
        <w:ind w:left="1280"/>
        <w:spacing w:after="0"/>
        <w:tabs>
          <w:tab w:leader="none" w:pos="4280" w:val="left"/>
        </w:tabs>
        <w:rPr>
          <w:sz w:val="20"/>
          <w:szCs w:val="20"/>
          <w:color w:val="auto"/>
        </w:rPr>
      </w:pPr>
      <w:r>
        <w:rPr>
          <w:rFonts w:ascii="Times New Roman" w:cs="Times New Roman" w:eastAsia="Times New Roman" w:hAnsi="Times New Roman"/>
          <w:sz w:val="18"/>
          <w:szCs w:val="18"/>
          <w:color w:val="auto"/>
        </w:rPr>
        <w:t>Use of Proceeds</w:t>
      </w:r>
      <w:r>
        <w:rPr>
          <w:sz w:val="20"/>
          <w:szCs w:val="20"/>
          <w:color w:val="auto"/>
        </w:rPr>
        <w:tab/>
      </w:r>
      <w:r>
        <w:rPr>
          <w:rFonts w:ascii="Times New Roman" w:cs="Times New Roman" w:eastAsia="Times New Roman" w:hAnsi="Times New Roman"/>
          <w:sz w:val="18"/>
          <w:szCs w:val="18"/>
          <w:color w:val="auto"/>
        </w:rPr>
        <w:t>All of the shares of common stock offered hereby are being sold by</w:t>
      </w:r>
    </w:p>
    <w:p>
      <w:pPr>
        <w:spacing w:after="0" w:line="27"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the selling stockholder identified in this prospectus supplement.</w:t>
      </w:r>
    </w:p>
    <w:p>
      <w:pPr>
        <w:sectPr>
          <w:pgSz w:w="11900" w:h="16838" w:orient="portrait"/>
          <w:cols w:equalWidth="0" w:num="1">
            <w:col w:w="9879"/>
          </w:cols>
          <w:pgMar w:left="580" w:top="97" w:right="1440" w:bottom="1440" w:gutter="0" w:footer="0" w:header="0"/>
          <w:type w:val="continuous"/>
        </w:sectPr>
      </w:pPr>
    </w:p>
    <w:p>
      <w:pPr>
        <w:spacing w:after="0" w:line="396"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1">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1280" w:type="dxa"/>
        <w:tblCellMar>
          <w:top w:w="0" w:type="dxa"/>
          <w:left w:w="0" w:type="dxa"/>
          <w:bottom w:w="0" w:type="dxa"/>
          <w:right w:w="0" w:type="dxa"/>
        </w:tblCellMar>
      </w:tblPr>
      <w:tr>
        <w:trPr>
          <w:trHeight w:val="216"/>
        </w:trPr>
        <w:tc>
          <w:tcPr>
            <w:tcW w:w="30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 will not receive any proceeds from the sale of the shares of</w:t>
            </w:r>
          </w:p>
        </w:tc>
      </w:tr>
      <w:tr>
        <w:trPr>
          <w:trHeight w:val="214"/>
        </w:trPr>
        <w:tc>
          <w:tcPr>
            <w:tcW w:w="30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 offered pursuant to this prospectus supplement. See</w:t>
            </w:r>
          </w:p>
        </w:tc>
      </w:tr>
      <w:tr>
        <w:trPr>
          <w:trHeight w:val="236"/>
        </w:trPr>
        <w:tc>
          <w:tcPr>
            <w:tcW w:w="3020" w:type="dxa"/>
            <w:vAlign w:val="bottom"/>
          </w:tcPr>
          <w:p>
            <w:pPr>
              <w:spacing w:after="0"/>
              <w:rPr>
                <w:sz w:val="20"/>
                <w:szCs w:val="20"/>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w:t>
            </w:r>
          </w:p>
        </w:tc>
      </w:tr>
      <w:tr>
        <w:trPr>
          <w:trHeight w:val="324"/>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Listing</w:t>
            </w: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Our common stock is listed on Nasdaq under the symbol “SNCY.”</w:t>
            </w:r>
          </w:p>
        </w:tc>
      </w:tr>
      <w:tr>
        <w:trPr>
          <w:trHeight w:val="306"/>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Risk Factors</w:t>
            </w: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You should read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beginning on page</w:t>
            </w:r>
          </w:p>
        </w:tc>
      </w:tr>
      <w:tr>
        <w:trPr>
          <w:trHeight w:val="194"/>
        </w:trPr>
        <w:tc>
          <w:tcPr>
            <w:tcW w:w="3020" w:type="dxa"/>
            <w:vAlign w:val="bottom"/>
          </w:tcPr>
          <w:p>
            <w:pPr>
              <w:spacing w:after="0"/>
              <w:rPr>
                <w:sz w:val="16"/>
                <w:szCs w:val="16"/>
                <w:color w:val="auto"/>
              </w:rPr>
            </w:pPr>
          </w:p>
        </w:tc>
        <w:tc>
          <w:tcPr>
            <w:tcW w:w="518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EE"/>
              </w:rPr>
              <w:t xml:space="preserve">S-4 </w:t>
            </w:r>
            <w:r>
              <w:rPr>
                <w:rFonts w:ascii="Times New Roman" w:cs="Times New Roman" w:eastAsia="Times New Roman" w:hAnsi="Times New Roman"/>
                <w:sz w:val="18"/>
                <w:szCs w:val="18"/>
                <w:color w:val="000000"/>
              </w:rPr>
              <w:t>of, and the other information included and incorporated by</w:t>
            </w:r>
          </w:p>
        </w:tc>
      </w:tr>
      <w:tr>
        <w:trPr>
          <w:trHeight w:val="20"/>
        </w:trPr>
        <w:tc>
          <w:tcPr>
            <w:tcW w:w="30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r>
      <w:tr>
        <w:trPr>
          <w:trHeight w:val="218"/>
        </w:trPr>
        <w:tc>
          <w:tcPr>
            <w:tcW w:w="30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reference in, this prospectus supplement, as well as the other risk</w:t>
            </w:r>
          </w:p>
        </w:tc>
      </w:tr>
      <w:tr>
        <w:trPr>
          <w:trHeight w:val="216"/>
        </w:trPr>
        <w:tc>
          <w:tcPr>
            <w:tcW w:w="30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factors included in the accompanying prospectus and incorporated</w:t>
            </w:r>
          </w:p>
        </w:tc>
      </w:tr>
      <w:tr>
        <w:trPr>
          <w:trHeight w:val="216"/>
        </w:trPr>
        <w:tc>
          <w:tcPr>
            <w:tcW w:w="30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reference in this prospectus supplement, for a discussion of some</w:t>
            </w:r>
          </w:p>
        </w:tc>
      </w:tr>
      <w:tr>
        <w:trPr>
          <w:trHeight w:val="216"/>
        </w:trPr>
        <w:tc>
          <w:tcPr>
            <w:tcW w:w="30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 the risks and uncertainties you should carefully consider before</w:t>
            </w:r>
          </w:p>
        </w:tc>
      </w:tr>
      <w:tr>
        <w:trPr>
          <w:trHeight w:val="234"/>
        </w:trPr>
        <w:tc>
          <w:tcPr>
            <w:tcW w:w="3020" w:type="dxa"/>
            <w:vAlign w:val="bottom"/>
          </w:tcPr>
          <w:p>
            <w:pPr>
              <w:spacing w:after="0"/>
              <w:rPr>
                <w:sz w:val="20"/>
                <w:szCs w:val="20"/>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deciding to invest in our common stock.</w:t>
            </w:r>
          </w:p>
        </w:tc>
      </w:tr>
      <w:tr>
        <w:trPr>
          <w:trHeight w:val="306"/>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Conflict of Interest</w:t>
            </w: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Apollo Global Securities, LLC (“AGS”) has a “conflict of interest”</w:t>
            </w:r>
          </w:p>
        </w:tc>
      </w:tr>
      <w:tr>
        <w:trPr>
          <w:trHeight w:val="216"/>
        </w:trPr>
        <w:tc>
          <w:tcPr>
            <w:tcW w:w="30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within the meaning of FINRA Rule 5121 in this offering because</w:t>
            </w:r>
          </w:p>
        </w:tc>
      </w:tr>
      <w:tr>
        <w:trPr>
          <w:trHeight w:val="216"/>
        </w:trPr>
        <w:tc>
          <w:tcPr>
            <w:tcW w:w="30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AGS is affiliated with the selling stockholder, who is in turn our</w:t>
            </w:r>
          </w:p>
        </w:tc>
      </w:tr>
      <w:tr>
        <w:trPr>
          <w:trHeight w:val="216"/>
        </w:trPr>
        <w:tc>
          <w:tcPr>
            <w:tcW w:w="30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affiliate, and because the net proceeds of this offering will be</w:t>
            </w:r>
          </w:p>
        </w:tc>
      </w:tr>
      <w:tr>
        <w:trPr>
          <w:trHeight w:val="216"/>
        </w:trPr>
        <w:tc>
          <w:tcPr>
            <w:tcW w:w="30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received by the selling stockholder. Accordingly, this offering will</w:t>
            </w:r>
          </w:p>
        </w:tc>
      </w:tr>
      <w:tr>
        <w:trPr>
          <w:trHeight w:val="216"/>
        </w:trPr>
        <w:tc>
          <w:tcPr>
            <w:tcW w:w="30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 conducted in accordance with the requirements of FINRA</w:t>
            </w:r>
          </w:p>
        </w:tc>
      </w:tr>
      <w:tr>
        <w:trPr>
          <w:trHeight w:val="216"/>
        </w:trPr>
        <w:tc>
          <w:tcPr>
            <w:tcW w:w="30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Rule 5121 regarding a FINRA member firm’s participation in a</w:t>
            </w:r>
          </w:p>
        </w:tc>
      </w:tr>
      <w:tr>
        <w:trPr>
          <w:trHeight w:val="216"/>
        </w:trPr>
        <w:tc>
          <w:tcPr>
            <w:tcW w:w="30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public offering of securities of an affiliate. Pursuant to that rule, the</w:t>
            </w:r>
          </w:p>
        </w:tc>
      </w:tr>
      <w:tr>
        <w:trPr>
          <w:trHeight w:val="216"/>
        </w:trPr>
        <w:tc>
          <w:tcPr>
            <w:tcW w:w="30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appointment of a “qualified independent underwriter” is not</w:t>
            </w:r>
          </w:p>
        </w:tc>
      </w:tr>
      <w:tr>
        <w:trPr>
          <w:trHeight w:val="216"/>
        </w:trPr>
        <w:tc>
          <w:tcPr>
            <w:tcW w:w="30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required in connection with this offering. In accordance with</w:t>
            </w:r>
          </w:p>
        </w:tc>
      </w:tr>
      <w:tr>
        <w:trPr>
          <w:trHeight w:val="216"/>
        </w:trPr>
        <w:tc>
          <w:tcPr>
            <w:tcW w:w="30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FINRA Rule 5121, neither AGS nor any other affiliated underwriter,</w:t>
            </w:r>
          </w:p>
        </w:tc>
      </w:tr>
      <w:tr>
        <w:trPr>
          <w:trHeight w:val="216"/>
        </w:trPr>
        <w:tc>
          <w:tcPr>
            <w:tcW w:w="30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agent or dealer may sell the securities to any account over which it</w:t>
            </w:r>
          </w:p>
        </w:tc>
      </w:tr>
      <w:tr>
        <w:trPr>
          <w:trHeight w:val="216"/>
        </w:trPr>
        <w:tc>
          <w:tcPr>
            <w:tcW w:w="30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exercises discretionary authority without the specific written</w:t>
            </w:r>
          </w:p>
        </w:tc>
      </w:tr>
      <w:tr>
        <w:trPr>
          <w:trHeight w:val="234"/>
        </w:trPr>
        <w:tc>
          <w:tcPr>
            <w:tcW w:w="3020" w:type="dxa"/>
            <w:vAlign w:val="bottom"/>
          </w:tcPr>
          <w:p>
            <w:pPr>
              <w:spacing w:after="0"/>
              <w:rPr>
                <w:sz w:val="20"/>
                <w:szCs w:val="20"/>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approval of the account holder.</w:t>
            </w:r>
          </w:p>
        </w:tc>
      </w:tr>
    </w:tbl>
    <w:p>
      <w:pPr>
        <w:spacing w:after="0" w:line="333" w:lineRule="exact"/>
        <w:rPr>
          <w:sz w:val="20"/>
          <w:szCs w:val="20"/>
          <w:color w:val="auto"/>
        </w:rPr>
      </w:pPr>
    </w:p>
    <w:p>
      <w:pPr>
        <w:ind w:left="1640" w:right="619" w:hanging="362"/>
        <w:spacing w:after="0" w:line="282" w:lineRule="auto"/>
        <w:tabs>
          <w:tab w:leader="none" w:pos="1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indicated, all information in this prospectus supplement regarding the number of shares of our common stock to be outstanding immediately after this offering:</w:t>
      </w:r>
    </w:p>
    <w:p>
      <w:pPr>
        <w:spacing w:after="0" w:line="53"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based on 54,133,851 shares of our common stock outstanding as of September 30, 2023;</w:t>
      </w:r>
    </w:p>
    <w:p>
      <w:pPr>
        <w:spacing w:after="0" w:line="117" w:lineRule="exact"/>
        <w:rPr>
          <w:rFonts w:ascii="Times New Roman" w:cs="Times New Roman" w:eastAsia="Times New Roman" w:hAnsi="Times New Roman"/>
          <w:sz w:val="18"/>
          <w:szCs w:val="18"/>
          <w:color w:val="auto"/>
        </w:rPr>
      </w:pPr>
    </w:p>
    <w:p>
      <w:pPr>
        <w:ind w:left="1820" w:right="539" w:hanging="182"/>
        <w:spacing w:after="0" w:line="259" w:lineRule="auto"/>
        <w:tabs>
          <w:tab w:leader="none" w:pos="18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4,074,938 shares of our common stock reserved for issuance upon exercise of outstanding stock options as of September 30, 2023, 476,355 shares of our common stock reserved for issuance upon vesting of outstanding restricted stock units as of September 30, 2023 and 2,889,407 shares of our common stock reserved for issuance under our 2021 equity incentive plan as of September 30, 2023;</w:t>
      </w:r>
    </w:p>
    <w:p>
      <w:pPr>
        <w:spacing w:after="0" w:line="294" w:lineRule="exact"/>
        <w:rPr>
          <w:rFonts w:ascii="Times New Roman" w:cs="Times New Roman" w:eastAsia="Times New Roman" w:hAnsi="Times New Roman"/>
          <w:sz w:val="18"/>
          <w:szCs w:val="18"/>
          <w:color w:val="auto"/>
        </w:rPr>
      </w:pPr>
    </w:p>
    <w:p>
      <w:pPr>
        <w:ind w:left="1820" w:right="559" w:hanging="182"/>
        <w:spacing w:after="0" w:line="282" w:lineRule="auto"/>
        <w:tabs>
          <w:tab w:leader="none" w:pos="18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no exercise of the warrants to purchase an aggregate of 9,482,606 shares of common stock issued to Amazon, approximately 32.0% of which have vested as of September 30, 2023; and</w:t>
      </w:r>
    </w:p>
    <w:p>
      <w:pPr>
        <w:spacing w:after="0" w:line="53" w:lineRule="exact"/>
        <w:rPr>
          <w:rFonts w:ascii="Times New Roman" w:cs="Times New Roman" w:eastAsia="Times New Roman" w:hAnsi="Times New Roman"/>
          <w:sz w:val="18"/>
          <w:szCs w:val="18"/>
          <w:color w:val="auto"/>
        </w:rPr>
      </w:pPr>
    </w:p>
    <w:p>
      <w:pPr>
        <w:ind w:left="1820" w:right="579" w:hanging="182"/>
        <w:spacing w:after="0" w:line="282" w:lineRule="auto"/>
        <w:tabs>
          <w:tab w:leader="none" w:pos="18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gives effect to the repurchase by us of 312,500 shares of common stock from the underwriter in the Concurrent Share Repurchase.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60"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Before you invest in our common stock, in addition to the other information contained in this prospectus supplement and the accompanying prospectus, you should carefully consider the discussion of risks under the heading “Item 1A. Risk Factors” in the 2022 Annual Report and the Quarterly Reports and the other risks and uncertainties identified in the Company’s reports filed with the SEC that are incorporated or deemed incorporated by reference into this prospectus supplement and the accompanying prospectus. Please see the section of this prospectus supplement entitled “Incorporation by Reference.” The occurrence of one or more of those risk factors could adversely impact our business, financial condition or results of operations. In such a case, you may lose all or part of your original investment. These risks are not the only risks that we face. Our business, financial condition and results of operations could also be affected by additional factors that are not presently known to us or that we currently do not consider to be material. In addition, you should carefully consider the risk factors set forth below.</w:t>
      </w:r>
    </w:p>
    <w:p>
      <w:pPr>
        <w:spacing w:after="0" w:line="39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Related to this Offering and Ownership of Our Common Stock</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i w:val="1"/>
          <w:iCs w:val="1"/>
          <w:color w:val="auto"/>
        </w:rPr>
        <w:t>Our stock price may fluctuate significantly and purchasers of our common stock could incur substantial losses.</w:t>
      </w:r>
    </w:p>
    <w:p>
      <w:pPr>
        <w:spacing w:after="0" w:line="173" w:lineRule="exact"/>
        <w:rPr>
          <w:sz w:val="20"/>
          <w:szCs w:val="20"/>
          <w:color w:val="auto"/>
        </w:rPr>
      </w:pPr>
    </w:p>
    <w:p>
      <w:pPr>
        <w:jc w:val="both"/>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The market price of our common stock could vary significantly as a result of a number of factors, some of which are beyond our control. In the event of a drop in the market price of our common stock, you could lose a substantial part or all of your investment in our common stock. The following factors could affect our stock price:</w:t>
      </w:r>
    </w:p>
    <w:p>
      <w:pPr>
        <w:spacing w:after="0" w:line="69" w:lineRule="exact"/>
        <w:rPr>
          <w:sz w:val="20"/>
          <w:szCs w:val="20"/>
          <w:color w:val="auto"/>
        </w:rPr>
      </w:pPr>
    </w:p>
    <w:p>
      <w:pPr>
        <w:ind w:left="1800" w:hanging="180"/>
        <w:spacing w:after="0"/>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and financial performance and prospects;</w:t>
      </w:r>
    </w:p>
    <w:p>
      <w:pPr>
        <w:spacing w:after="0" w:line="103" w:lineRule="exact"/>
        <w:rPr>
          <w:rFonts w:ascii="Times New Roman" w:cs="Times New Roman" w:eastAsia="Times New Roman" w:hAnsi="Times New Roman"/>
          <w:sz w:val="18"/>
          <w:szCs w:val="18"/>
          <w:color w:val="auto"/>
        </w:rPr>
      </w:pPr>
    </w:p>
    <w:p>
      <w:pPr>
        <w:ind w:left="1800" w:right="639" w:hanging="180"/>
        <w:spacing w:after="0" w:line="266" w:lineRule="auto"/>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variations in the rate of growth (if any) of our financial or operational indicators, such as earnings per share, net income, revenues, Adjusted Net Income (Loss), Adjusted EBITDA and Adjusted CASM (each, as defined in the 2022 Annual Report);</w:t>
      </w:r>
    </w:p>
    <w:p>
      <w:pPr>
        <w:spacing w:after="0" w:line="67" w:lineRule="exact"/>
        <w:rPr>
          <w:rFonts w:ascii="Times New Roman" w:cs="Times New Roman" w:eastAsia="Times New Roman" w:hAnsi="Times New Roman"/>
          <w:sz w:val="18"/>
          <w:szCs w:val="18"/>
          <w:color w:val="auto"/>
        </w:rPr>
      </w:pPr>
    </w:p>
    <w:p>
      <w:pPr>
        <w:ind w:left="1800" w:right="759" w:hanging="180"/>
        <w:spacing w:after="0" w:line="282" w:lineRule="auto"/>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 reaction to our press releases, our other public announcements and our filings with the SEC;</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actions by our competitors;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performance and the stock market valuations of other companies;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related to litigation;</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meet revenue or earnings estimates made by research analysts or other investors;</w:t>
      </w:r>
    </w:p>
    <w:p>
      <w:pPr>
        <w:spacing w:after="0" w:line="117"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revenue or earnings estimates, or changes in recommendations or withdrawal of research coverage, by equity research analysts;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in the press or investment community;</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or our stockholders, or the perception that such sales may occur;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 policies, guidance, interpretations, or standards;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management personnel;</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our stockholders;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market conditions;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COVID-19 virus and its variants and their effects;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domestic and international economic, legal and regulatory factors unrelated to our performance;</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weaknesses in our internal control over financial reporting; and</w:t>
      </w:r>
    </w:p>
    <w:p>
      <w:pPr>
        <w:spacing w:after="0" w:line="115" w:lineRule="exact"/>
        <w:rPr>
          <w:rFonts w:ascii="Times New Roman" w:cs="Times New Roman" w:eastAsia="Times New Roman" w:hAnsi="Times New Roman"/>
          <w:sz w:val="18"/>
          <w:szCs w:val="18"/>
          <w:color w:val="auto"/>
        </w:rPr>
      </w:pPr>
    </w:p>
    <w:p>
      <w:pPr>
        <w:ind w:left="1800" w:right="939" w:hanging="180"/>
        <w:spacing w:after="0" w:line="284" w:lineRule="auto"/>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realization of any risks described under this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 or other risks that may materialize in the future.</w:t>
      </w:r>
    </w:p>
    <w:p>
      <w:pPr>
        <w:spacing w:after="0" w:line="93" w:lineRule="exact"/>
        <w:rPr>
          <w:sz w:val="20"/>
          <w:szCs w:val="20"/>
          <w:color w:val="auto"/>
        </w:rPr>
      </w:pPr>
    </w:p>
    <w:p>
      <w:pPr>
        <w:ind w:left="1260" w:right="639" w:firstLine="360"/>
        <w:spacing w:after="0" w:line="266" w:lineRule="auto"/>
        <w:rPr>
          <w:sz w:val="20"/>
          <w:szCs w:val="20"/>
          <w:color w:val="auto"/>
        </w:rPr>
      </w:pPr>
      <w:r>
        <w:rPr>
          <w:rFonts w:ascii="Times New Roman" w:cs="Times New Roman" w:eastAsia="Times New Roman" w:hAnsi="Times New Roman"/>
          <w:sz w:val="18"/>
          <w:szCs w:val="18"/>
          <w:color w:val="auto"/>
        </w:rPr>
        <w:t>The stock markets in general have experienced extreme volatility that has often been unrelated to the operating performance of particular companies. These broad market fluctuations may adversely affect the</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spacing w:after="0" w:line="250" w:lineRule="auto"/>
        <w:rPr>
          <w:sz w:val="20"/>
          <w:szCs w:val="20"/>
          <w:color w:val="auto"/>
        </w:rPr>
      </w:pPr>
      <w:r>
        <w:rPr>
          <w:rFonts w:ascii="Times New Roman" w:cs="Times New Roman" w:eastAsia="Times New Roman" w:hAnsi="Times New Roman"/>
          <w:sz w:val="18"/>
          <w:szCs w:val="18"/>
          <w:color w:val="auto"/>
        </w:rPr>
        <w:t>trading price of our common stock. Securities class action litigation has often been instituted against companies following periods of volatility in the overall market and in the market price of a company’s securities. Such litigation, if instituted against us, could result in very substantial costs, divert our management’s attention and resources and harm our business, financial condition, and results of operations.</w:t>
      </w:r>
    </w:p>
    <w:p>
      <w:pPr>
        <w:spacing w:after="0" w:line="187" w:lineRule="exact"/>
        <w:rPr>
          <w:sz w:val="20"/>
          <w:szCs w:val="20"/>
          <w:color w:val="auto"/>
        </w:rPr>
      </w:pPr>
    </w:p>
    <w:p>
      <w:pPr>
        <w:ind w:left="1260" w:right="89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We are an “emerging growth company,” and are able to take advantage of reduced disclosure requirements applicable to “emerging growth companies,” which could make our common stock less attractive to investors.</w:t>
      </w:r>
    </w:p>
    <w:p>
      <w:pPr>
        <w:spacing w:after="0" w:line="67"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(the “JOBS Act”), and, for as long as we continue to be an “emerging growth company,” we intend to take advantage of certain exemptions from various reporting requirements applicable to other public companies but not to “emerging growth companies.” These exemptions include not being required to comply with the auditor attestation requirements of Section 404(b)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cannot predict if investors will find our common stock less attractive if we choose to rely on these exemptions. If some investors find our common stock less attractive as a result of any choices to reduce future disclosure, there may be a less active trading market for our common stock and our stock price may decline or become more volatile and it may be difficult for us to raise additional capital if and when we need it.</w:t>
      </w:r>
    </w:p>
    <w:p>
      <w:pPr>
        <w:spacing w:after="0" w:line="118"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color w:val="auto"/>
        </w:rPr>
        <w:t>As of December 31, 2023, we will no longer qualify as an “emerging growth company” and the reduced disclosure requirements applicable to “emerging growth companies” will no longer apply to us. As a result, we will not be permitted to take advantage of the reduced regulatory and reporting requirements afforded to “emerging growth companies”. Accordingly, we will likely incur additional expenses and devote substantial management effort toward ensuring compliance with those additional requirements, including the auditor attestation requirements for internal controls over financial reporting. Compliance with these additional laws, rules and regulations will likely increase our legal and financial compliance costs, make some activities more difficult, time consuming or costly and increase demand on our systems and resources. In addition, management’s attention may be diverted from other business concerns and our costs and expenses will increase, which could harm our business and operating results. We may also need to hire more employees in the future or engage additional outside consultants to comply with these requirements, which would increase our costs and expenses.</w:t>
      </w:r>
    </w:p>
    <w:p>
      <w:pPr>
        <w:spacing w:after="0" w:line="188" w:lineRule="exact"/>
        <w:rPr>
          <w:sz w:val="20"/>
          <w:szCs w:val="20"/>
          <w:color w:val="auto"/>
        </w:rPr>
      </w:pPr>
    </w:p>
    <w:p>
      <w:pPr>
        <w:ind w:left="1260" w:right="7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continue to incur significant costs and devote substantial management time as a result of operating as a public company, particularly after we are no longer an “emerging growth company.”</w:t>
      </w:r>
    </w:p>
    <w:p>
      <w:pPr>
        <w:spacing w:after="0" w:line="91"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As a public company, we have and will continue to incur significant legal, accounting and other expenses. For example, we are required to comply with the requirements of Section 404(a) of the Sarbanes-Oxley Act and the Dodd-Frank Act, as well as rules and regulations subsequently implemented by the SEC and heightened auditing standards, and Nasdaq, our stock exchange, including the establishment and maintenance of effective disclosure and financial controls and changes in corporate governance practices. The rules governing management’s assessment of our internal control over financial reporting are complex and require significant documentation, testing and possible remediation. Compliance with these requirements will increase our legal and financial compliance costs and will make some activities more time consuming and costly. Further, the expenses incurred by public companies generally for reporting and corporate governance purposes have been increasing. These laws and regulations could also make it more costly for us to obtain certain types of insurance, including director and officer liability insurance and we may be forced to accept reduced policy limits and coverage or incur substantially higher costs to obtain the same or similar coverage.</w:t>
      </w:r>
    </w:p>
    <w:p>
      <w:pPr>
        <w:spacing w:after="0" w:line="338"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In addition, our management and other personnel may need to divert attention from operational and other business matters to devote substantial time to these public company requirements. In particular, we expect to continue incurring significant expenses and devote substantial management effort toward ensuring compliance with the requirements of the Sarbanes-Oxley Act. In that regard, we have needed to and may continue to need to hire additional accounting and financial staff with appropriate public company experience and technical accounting knowledge. Furthermore, if we fail to achieve and maintain an effective internal control environment, we could suffer material misstatements in our consolidated financial statements and fail</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44" w:lineRule="auto"/>
        <w:rPr>
          <w:sz w:val="20"/>
          <w:szCs w:val="20"/>
          <w:color w:val="auto"/>
        </w:rPr>
      </w:pPr>
      <w:r>
        <w:rPr>
          <w:rFonts w:ascii="Times New Roman" w:cs="Times New Roman" w:eastAsia="Times New Roman" w:hAnsi="Times New Roman"/>
          <w:sz w:val="18"/>
          <w:szCs w:val="18"/>
          <w:color w:val="auto"/>
        </w:rPr>
        <w:t>in meeting our reporting obligations, which would likely cause investors to lose confidence in our reported financial information. Additionally, ineffective internal control over financial reporting could expose us to increased risk of fraud or misuse of corporate assets and subject us to potential delisting from Nasdaq, regulatory investigations, civil or criminal sanctions and litigation, any of which would have a material and adverse effect on our business, results of operations and financial condition. Furthermore, if we are unable to satisfy our obligations as a public company, our common stock could be delisted, and we could be subject to fines, sanctions and other regulatory action and potentially civil litigation. Failure to remain in full compliance with these and other applicable rules and regulations may also subject us to fines or other enforcement action or adversely affect our business, results of operations and financial condition.</w:t>
      </w:r>
    </w:p>
    <w:p>
      <w:pPr>
        <w:spacing w:after="0" w:line="118" w:lineRule="exact"/>
        <w:rPr>
          <w:sz w:val="20"/>
          <w:szCs w:val="20"/>
          <w:color w:val="auto"/>
        </w:rPr>
      </w:pPr>
    </w:p>
    <w:p>
      <w:pPr>
        <w:ind w:left="1260" w:right="619" w:firstLine="360"/>
        <w:spacing w:after="0" w:line="245" w:lineRule="auto"/>
        <w:rPr>
          <w:sz w:val="20"/>
          <w:szCs w:val="20"/>
          <w:color w:val="auto"/>
        </w:rPr>
      </w:pPr>
      <w:r>
        <w:rPr>
          <w:rFonts w:ascii="Times New Roman" w:cs="Times New Roman" w:eastAsia="Times New Roman" w:hAnsi="Times New Roman"/>
          <w:sz w:val="18"/>
          <w:szCs w:val="18"/>
          <w:color w:val="auto"/>
        </w:rPr>
        <w:t>However, for as long as we remain an “emerging growth company” as defined in the JOBS Act, we intend to take advantage of certain exemptions from various reporting requirements that are applicable to other public companies that are not “emerging growth companies” including, but not limited to, not being required to comply with the auditor attestation requirements of Section 404(b)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w:t>
      </w:r>
    </w:p>
    <w:p>
      <w:pPr>
        <w:spacing w:after="0" w:line="114"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Under the JOBS Act, “emerging growth companies” can delay adopting new or revised accounting standards until such time as those standards apply to private companies. As of September 30, 2023 we have not delayed the adoption of new or revised accounting standards as allowed under the JOBS Act.</w:t>
      </w:r>
    </w:p>
    <w:p>
      <w:pPr>
        <w:spacing w:after="0" w:line="102"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After we are no longer an “emerging growth company,” we expect to incur additional management time and cost to comply with the more stringent reporting requirements applicable to companies that are deemed accelerated filers or large accelerated filers, including complying with the auditor attestation requirements of Section 404 of the Sarbanes-Oxley Act.</w:t>
      </w:r>
    </w:p>
    <w:p>
      <w:pPr>
        <w:spacing w:after="0" w:line="96" w:lineRule="exact"/>
        <w:rPr>
          <w:sz w:val="20"/>
          <w:szCs w:val="20"/>
          <w:color w:val="auto"/>
        </w:rPr>
      </w:pPr>
    </w:p>
    <w:p>
      <w:pPr>
        <w:ind w:left="1260" w:right="679" w:firstLine="360"/>
        <w:spacing w:after="0" w:line="282" w:lineRule="auto"/>
        <w:rPr>
          <w:sz w:val="20"/>
          <w:szCs w:val="20"/>
          <w:color w:val="auto"/>
        </w:rPr>
      </w:pPr>
      <w:r>
        <w:rPr>
          <w:rFonts w:ascii="Times New Roman" w:cs="Times New Roman" w:eastAsia="Times New Roman" w:hAnsi="Times New Roman"/>
          <w:sz w:val="18"/>
          <w:szCs w:val="18"/>
          <w:color w:val="auto"/>
        </w:rPr>
        <w:t>We cannot predict or estimate the amount of additional costs we may incur as a result of becoming a public company or the timing and materiality of such costs.</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i w:val="1"/>
          <w:iCs w:val="1"/>
          <w:color w:val="auto"/>
        </w:rPr>
        <w:t>Our certificate of incorporation and bylaws include provisions limiting ownership and voting by non-U.S. citizens.</w:t>
      </w:r>
    </w:p>
    <w:p>
      <w:pPr>
        <w:spacing w:after="0" w:line="160"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To comply with restrictions imposed by federal law on foreign ownership and control of U.S. airlines, our certificate of incorporation and bylaws restrict ownership and control of shares of our common stock by non-U.S. citizens. The restrictions imposed by federal law and DOT policy require that we be owned and controlled by U.S. citizens, that no more than 25% of our voting stock be owned or controlled, directly or indirectly, by persons or entities who are not U.S. citizens, as defined in 49 U.S.C. § 40102(a)(15), that no more than 49% of our stock be owned or controlled, directly or indirectly, by persons or entities who are not U.S. citizens and are from countries that have entered into “open skies” air transport agreements with the United States, that our president and at least two-thirds of the members of our board of directors and other managing officers be U.S. citizens and that we be under the actual control of U.S. citizens. Our certificate of incorporation and bylaws provide that the failure of non-U.S. citizens to register their shares on a separate stock record, which we refer to as the “foreign stock record,” would result in a loss of their voting rights in the event and to the extent that the aggregate foreign ownership of the outstanding common stock exceeds the foreign ownership restrictions imposed by federal law. Our bylaws further provide that no shares of our common stock will be registered on the foreign stock record if the amount so registered would exceed the foreign ownership restrictions imposed by federal law. If it is determined that the amount registered in the foreign stock record exceeds the foreign ownership restrictions imposed by federal law, shares will be removed from the foreign stock record, resulting in the loss of voting rights, in reverse chronological order based on the date of registration therein, until the number of shares registered therein does not exceed the foreign ownership restrictions imposed by federal law.</w:t>
      </w:r>
    </w:p>
    <w:p>
      <w:pPr>
        <w:spacing w:after="0" w:line="336" w:lineRule="exact"/>
        <w:rPr>
          <w:sz w:val="20"/>
          <w:szCs w:val="20"/>
          <w:color w:val="auto"/>
        </w:rPr>
      </w:pPr>
    </w:p>
    <w:p>
      <w:pPr>
        <w:ind w:left="1260" w:right="679" w:firstLine="360"/>
        <w:spacing w:after="0" w:line="253" w:lineRule="auto"/>
        <w:rPr>
          <w:sz w:val="20"/>
          <w:szCs w:val="20"/>
          <w:color w:val="auto"/>
        </w:rPr>
      </w:pPr>
      <w:r>
        <w:rPr>
          <w:rFonts w:ascii="Times New Roman" w:cs="Times New Roman" w:eastAsia="Times New Roman" w:hAnsi="Times New Roman"/>
          <w:sz w:val="18"/>
          <w:szCs w:val="18"/>
          <w:color w:val="auto"/>
        </w:rPr>
        <w:t>In addition, only U.S. citizens may purchase shares in this offering. By participating in this offering, you will be deemed to represent that you are a citizen of the United States, as defined in 49 U.S.C.</w:t>
      </w:r>
    </w:p>
    <w:p>
      <w:pPr>
        <w:ind w:left="1260" w:right="479"/>
        <w:spacing w:after="0"/>
        <w:tabs>
          <w:tab w:leader="none" w:pos="140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40102(a)(15). The restrictions on ownership and control of shares of our common stock could materially limit your ability to resell any shares you purchase in this offering and could adversely impact the price that investors might be willing to pay in the future for shares of our common stock.</w:t>
      </w:r>
    </w:p>
    <w:p>
      <w:pPr>
        <w:spacing w:after="0" w:line="37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4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Apollo Stockholder has significant influence over us, and Apollo’s interests may conflict with our interests and the interests of other stockholders.</w:t>
      </w:r>
    </w:p>
    <w:p>
      <w:pPr>
        <w:spacing w:after="0" w:line="78"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As of September 30, 2023, the Apollo Stockholder beneficially owned approximately 28.4% of the voting power of our outstanding common equity. Following this offering, the Apollo Stockholder will beneficially own approximately 21.2% of the voting power of our outstanding common equity (or approximately 20.1% if the underwriter exercises its option to purchase additional shares in full). Although the Apollo Stockholder beneficially owns less than 50% of our outstanding common equity, individuals affiliated with Apollo continue to have significant influence over the outcome of votes on all matters requiring approval by our stockholders, including the election of directors, changes to certain of our governing documents, entering into significant corporate transactions such as mergers, tender offers, and the sale of all or substantially all of our assets and issuance of additional debt or equity. The interests of Apollo and its affiliates, including the Apollo Funds and the Apollo Stockholder, could conflict with or differ from our interests or the interests of our other stockholders. For example, the concentration of ownership held by the Apollo Stockholder could delay, defer, or prevent a change in control of our company or impede a merger, takeover, or other business combination which may otherwise be favorable for us. Additionally, Apollo and its affiliates are in the business of making investments in companies and may, from time to time, acquire and hold interests in or provide advice to businesses that compete directly or indirectly with us, or are suppliers or customers of ours. Apollo and its affiliates may also pursue acquisition opportunities that may be complementary to our business, and as a result, those acquisition opportunities may not be available to us. Any such investment may increase the potential for the conflicts of interest discussed in this risk factor. So long as the Apollo Stockholder continues to directly or indirectly beneficially own a significant amount of our equity the Apollo Stockholder will continue to be able to substantially influence or effectively control our ability to enter into corporate transactions. The Apollo Stockholder also has a right to nominate a number of directors comprising a percentage of our board of directors in accordance with Apollo and its affiliates’ beneficial ownership of the voting power of our outstanding common stock (rounded up to the nearest whole number). As of the date of this prospectus supplement, Apollo has not exercised its right to nominate any members to our board of directors.</w:t>
      </w:r>
    </w:p>
    <w:p>
      <w:pPr>
        <w:spacing w:after="0" w:line="394" w:lineRule="exact"/>
        <w:rPr>
          <w:sz w:val="20"/>
          <w:szCs w:val="20"/>
          <w:color w:val="auto"/>
        </w:rPr>
      </w:pPr>
    </w:p>
    <w:p>
      <w:pPr>
        <w:ind w:left="1260" w:right="87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organizational documents may impede or discourage a takeover, which could deprive our investors of the opportunity to receive a premium on their shares.</w:t>
      </w:r>
    </w:p>
    <w:p>
      <w:pPr>
        <w:spacing w:after="0" w:line="90" w:lineRule="exact"/>
        <w:rPr>
          <w:sz w:val="20"/>
          <w:szCs w:val="20"/>
          <w:color w:val="auto"/>
        </w:rPr>
      </w:pPr>
    </w:p>
    <w:p>
      <w:pPr>
        <w:jc w:val="both"/>
        <w:ind w:left="1260" w:right="659" w:firstLine="360"/>
        <w:spacing w:after="0" w:line="258" w:lineRule="auto"/>
        <w:rPr>
          <w:sz w:val="20"/>
          <w:szCs w:val="20"/>
          <w:color w:val="auto"/>
        </w:rPr>
      </w:pPr>
      <w:r>
        <w:rPr>
          <w:rFonts w:ascii="Times New Roman" w:cs="Times New Roman" w:eastAsia="Times New Roman" w:hAnsi="Times New Roman"/>
          <w:sz w:val="18"/>
          <w:szCs w:val="18"/>
          <w:color w:val="auto"/>
        </w:rPr>
        <w:t>Provisions of our certificate of incorporation and bylaws may make it more difficult for, or prevent a third-party from, acquiring control of us without the approval of our board of directors. These provisions include:</w:t>
      </w:r>
    </w:p>
    <w:p>
      <w:pPr>
        <w:spacing w:after="0" w:line="61" w:lineRule="exact"/>
        <w:rPr>
          <w:sz w:val="20"/>
          <w:szCs w:val="20"/>
          <w:color w:val="auto"/>
        </w:rPr>
      </w:pPr>
    </w:p>
    <w:p>
      <w:pPr>
        <w:ind w:left="1800" w:right="639" w:hanging="180"/>
        <w:spacing w:after="0" w:line="282" w:lineRule="auto"/>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that our board of directors will be divided into three classes, with each class of directors serving staggered three-year terms;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prohibiting cumulative voting in the election of directors;</w:t>
      </w:r>
    </w:p>
    <w:p>
      <w:pPr>
        <w:spacing w:after="0" w:line="103" w:lineRule="exact"/>
        <w:rPr>
          <w:rFonts w:ascii="Times New Roman" w:cs="Times New Roman" w:eastAsia="Times New Roman" w:hAnsi="Times New Roman"/>
          <w:sz w:val="18"/>
          <w:szCs w:val="18"/>
          <w:color w:val="auto"/>
        </w:rPr>
      </w:pPr>
    </w:p>
    <w:p>
      <w:pPr>
        <w:ind w:left="1800" w:right="959" w:hanging="180"/>
        <w:spacing w:after="0" w:line="266" w:lineRule="auto"/>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for the removal of directors only for cause and only upon the affirmative vote of the holders of at least 66 2∕3% in voting power of all the then-outstanding shares of stock of the Company entitled to vote thereon, voting together as a single class;</w:t>
      </w:r>
    </w:p>
    <w:p>
      <w:pPr>
        <w:spacing w:after="0" w:line="67" w:lineRule="exact"/>
        <w:rPr>
          <w:rFonts w:ascii="Times New Roman" w:cs="Times New Roman" w:eastAsia="Times New Roman" w:hAnsi="Times New Roman"/>
          <w:sz w:val="18"/>
          <w:szCs w:val="18"/>
          <w:color w:val="auto"/>
        </w:rPr>
      </w:pPr>
    </w:p>
    <w:p>
      <w:pPr>
        <w:ind w:left="1800" w:right="639" w:hanging="180"/>
        <w:spacing w:after="0" w:line="261" w:lineRule="auto"/>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empowering only the board of directors to fill any vacancy on our board of directors (other than in respect of an Apollo Director or an Amazon Director, if any (each as defined in the accompanying prospectus)), whether such vacancy occurs as a result of an increase in the number of directors or otherwise;</w:t>
      </w:r>
    </w:p>
    <w:p>
      <w:pPr>
        <w:spacing w:after="0" w:line="71" w:lineRule="exact"/>
        <w:rPr>
          <w:rFonts w:ascii="Times New Roman" w:cs="Times New Roman" w:eastAsia="Times New Roman" w:hAnsi="Times New Roman"/>
          <w:sz w:val="18"/>
          <w:szCs w:val="18"/>
          <w:color w:val="auto"/>
        </w:rPr>
      </w:pPr>
    </w:p>
    <w:p>
      <w:pPr>
        <w:ind w:left="1800" w:right="1379" w:hanging="180"/>
        <w:spacing w:after="0" w:line="282" w:lineRule="auto"/>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authorizing the issuance of “blank check” preferred stock without any need for action by stockholders;</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prohibiting stockholders from acting by written consent;</w:t>
      </w:r>
    </w:p>
    <w:p>
      <w:pPr>
        <w:spacing w:after="0" w:line="117" w:lineRule="exact"/>
        <w:rPr>
          <w:rFonts w:ascii="Times New Roman" w:cs="Times New Roman" w:eastAsia="Times New Roman" w:hAnsi="Times New Roman"/>
          <w:sz w:val="18"/>
          <w:szCs w:val="18"/>
          <w:color w:val="auto"/>
        </w:rPr>
      </w:pPr>
    </w:p>
    <w:p>
      <w:pPr>
        <w:ind w:left="1800" w:right="499" w:hanging="180"/>
        <w:spacing w:after="0" w:line="266" w:lineRule="auto"/>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law, prohibiting stockholders from calling a special meeting of stockholders if less than 50.1% of the voting power of our outstanding common stock is beneficially owned by Apollo and its affiliates, including the Apollo Stockholder; and</w:t>
      </w:r>
    </w:p>
    <w:p>
      <w:pPr>
        <w:spacing w:after="0" w:line="67"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advance notice requirements for nominations for election to our board of directors or for proposing matters that can be acted on by stockholders at stockholder meetings.</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Additionally, our certificate of incorporation provides that we are not governed by Section 203 of the Delaware General Corporation Law (the “DGCL”), which, in the absence of such provisions, would have imposed additional requirements regarding mergers and other business combinations. However, our certificate of incorporation includes a provision that restricts us from engaging in any business combination with an interested stockholder for three years following the date that person becomes an interested stockholder, but such restrictions shall not apply to any business combination between Apollo and any affiliate thereof or their direct and indirect transferees, on the one hand, and us, on the other, or certain other</w:t>
      </w:r>
    </w:p>
    <w:p>
      <w:pPr>
        <w:spacing w:after="0" w:line="3" w:lineRule="exact"/>
        <w:rPr>
          <w:sz w:val="20"/>
          <w:szCs w:val="20"/>
          <w:color w:val="auto"/>
        </w:rPr>
      </w:pPr>
    </w:p>
    <w:p>
      <w:pPr>
        <w:ind w:left="1260" w:right="519"/>
        <w:spacing w:after="0" w:line="245" w:lineRule="auto"/>
        <w:rPr>
          <w:sz w:val="20"/>
          <w:szCs w:val="20"/>
          <w:color w:val="auto"/>
        </w:rPr>
      </w:pPr>
      <w:r>
        <w:rPr>
          <w:rFonts w:ascii="Times New Roman" w:cs="Times New Roman" w:eastAsia="Times New Roman" w:hAnsi="Times New Roman"/>
          <w:sz w:val="18"/>
          <w:szCs w:val="18"/>
          <w:color w:val="auto"/>
        </w:rPr>
        <w:t>situations as described under the heading “</w:t>
      </w:r>
      <w:r>
        <w:rPr>
          <w:rFonts w:ascii="Times New Roman" w:cs="Times New Roman" w:eastAsia="Times New Roman" w:hAnsi="Times New Roman"/>
          <w:sz w:val="18"/>
          <w:szCs w:val="18"/>
          <w:i w:val="1"/>
          <w:iCs w:val="1"/>
          <w:color w:val="auto"/>
        </w:rPr>
        <w:t>Description of Capital Stock — Certain Corporate Anti-takeover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Provisions — Delaware Takeover Statute</w:t>
      </w:r>
      <w:r>
        <w:rPr>
          <w:rFonts w:ascii="Times New Roman" w:cs="Times New Roman" w:eastAsia="Times New Roman" w:hAnsi="Times New Roman"/>
          <w:sz w:val="18"/>
          <w:szCs w:val="18"/>
          <w:color w:val="auto"/>
        </w:rPr>
        <w:t>” in the accompanying prospectus.</w:t>
      </w:r>
    </w:p>
    <w:p>
      <w:pPr>
        <w:spacing w:after="0" w:line="113"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Any issuance by us of preferred stock could delay or prevent a change in control of us. Our board of directors will have the authority to cause us to issue, without any further vote or action by the stockholders, shares of preferred stock, par value $ 0.01 per share, in one or more series, to designate the number of shares constituting any series, and to fix the rights, preferences, privileges, and restrictions thereof, including dividend rights, voting rights, rights and terms of redemption, redemption price or prices, and liquidation preferences of such series. The issuance of shares of our preferred stock may have the effect of delaying, deferring or preventing a change in control without further action by the stockholders, even where stockholders are offered a premium for their shares.</w:t>
      </w:r>
    </w:p>
    <w:p>
      <w:pPr>
        <w:spacing w:after="0" w:line="119" w:lineRule="exact"/>
        <w:rPr>
          <w:sz w:val="20"/>
          <w:szCs w:val="20"/>
          <w:color w:val="auto"/>
        </w:rPr>
      </w:pPr>
    </w:p>
    <w:p>
      <w:pPr>
        <w:ind w:left="1260" w:right="499" w:firstLine="360"/>
        <w:spacing w:after="0" w:line="244" w:lineRule="auto"/>
        <w:rPr>
          <w:sz w:val="20"/>
          <w:szCs w:val="20"/>
          <w:color w:val="auto"/>
        </w:rPr>
      </w:pPr>
      <w:r>
        <w:rPr>
          <w:rFonts w:ascii="Times New Roman" w:cs="Times New Roman" w:eastAsia="Times New Roman" w:hAnsi="Times New Roman"/>
          <w:sz w:val="18"/>
          <w:szCs w:val="18"/>
          <w:color w:val="auto"/>
        </w:rPr>
        <w:t>In addition, our Stockholders Agreement also requires the approval of the Apollo Stockholder for certain important matters, including material acquisitions and dispositions other than certain transactions in the ordinary course of business, certain issuances of equity securities and incurrence of debt, and mergers, consolidations and transfers of all or substantially all of our assets, until the first time that Apollo and its affiliates, including the Apollo Stockholder, cease to beneficially own at least 25% of our common stock. See “</w:t>
      </w:r>
      <w:r>
        <w:rPr>
          <w:rFonts w:ascii="Times New Roman" w:cs="Times New Roman" w:eastAsia="Times New Roman" w:hAnsi="Times New Roman"/>
          <w:sz w:val="18"/>
          <w:szCs w:val="18"/>
          <w:i w:val="1"/>
          <w:iCs w:val="1"/>
          <w:color w:val="auto"/>
        </w:rPr>
        <w:t>Description of Capital Stock — Certain Corporate Anti-takeover Provisions — Certain Matters that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Require Consent of Our Stockholders</w:t>
      </w:r>
      <w:r>
        <w:rPr>
          <w:rFonts w:ascii="Times New Roman" w:cs="Times New Roman" w:eastAsia="Times New Roman" w:hAnsi="Times New Roman"/>
          <w:sz w:val="18"/>
          <w:szCs w:val="18"/>
          <w:color w:val="auto"/>
        </w:rPr>
        <w:t>” in the accompanying prospectus. We expect the approval rights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terminate upon the completion of this offering as the Apollo stockholder will no longer beneficially own at least 25% of our common stock.</w:t>
      </w:r>
    </w:p>
    <w:p>
      <w:pPr>
        <w:spacing w:after="0" w:line="118"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Together, the provisions in our certificate of incorporation, bylaws and Stockholders Agreement and statutory provisions could make the removal of management more difficult and may discourage transactions that otherwise could involve payment of a premium over prevailing market prices for our common stock.</w:t>
      </w:r>
    </w:p>
    <w:p>
      <w:pPr>
        <w:spacing w:after="0" w:line="109" w:lineRule="exact"/>
        <w:rPr>
          <w:sz w:val="20"/>
          <w:szCs w:val="20"/>
          <w:color w:val="auto"/>
        </w:rPr>
      </w:pPr>
    </w:p>
    <w:p>
      <w:pPr>
        <w:ind w:left="1260" w:right="499" w:firstLine="360"/>
        <w:spacing w:after="0" w:line="245" w:lineRule="auto"/>
        <w:rPr>
          <w:sz w:val="20"/>
          <w:szCs w:val="20"/>
          <w:color w:val="auto"/>
        </w:rPr>
      </w:pPr>
      <w:r>
        <w:rPr>
          <w:rFonts w:ascii="Times New Roman" w:cs="Times New Roman" w:eastAsia="Times New Roman" w:hAnsi="Times New Roman"/>
          <w:sz w:val="18"/>
          <w:szCs w:val="18"/>
          <w:color w:val="auto"/>
        </w:rPr>
        <w:t>Furthermore, the existence of the foregoing provisions, as well as the significant common stock beneficially owned by the Apollo Stockholder and its right to nominate a specified number of directors in certain circumstances, could limit the price that investors might be willing to pay in the future for shares of our common stock. They could also deter potential acquirers of us, thereby reducing the likelihood that you could receive a premium for your common stock in an acquisition. For a further discussion of these and other such anti-takeover provisions, see “</w:t>
      </w:r>
      <w:r>
        <w:rPr>
          <w:rFonts w:ascii="Times New Roman" w:cs="Times New Roman" w:eastAsia="Times New Roman" w:hAnsi="Times New Roman"/>
          <w:sz w:val="18"/>
          <w:szCs w:val="18"/>
          <w:i w:val="1"/>
          <w:iCs w:val="1"/>
          <w:color w:val="auto"/>
        </w:rPr>
        <w:t>Description of Capital Stock — Certain Corporate Anti-takeover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Provisions</w:t>
      </w:r>
      <w:r>
        <w:rPr>
          <w:rFonts w:ascii="Times New Roman" w:cs="Times New Roman" w:eastAsia="Times New Roman" w:hAnsi="Times New Roman"/>
          <w:sz w:val="18"/>
          <w:szCs w:val="18"/>
          <w:color w:val="auto"/>
        </w:rPr>
        <w:t>.” in the accompanying prospectus.</w:t>
      </w:r>
    </w:p>
    <w:p>
      <w:pPr>
        <w:spacing w:after="0" w:line="191" w:lineRule="exact"/>
        <w:rPr>
          <w:sz w:val="20"/>
          <w:szCs w:val="20"/>
          <w:color w:val="auto"/>
        </w:rPr>
      </w:pPr>
    </w:p>
    <w:p>
      <w:pPr>
        <w:ind w:left="1260" w:right="539"/>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Our certificate of incorporation provides that the Court of Chancery of the State of Delaware will be the sole and exclusive forum for substantially all disputes between us and our stockholders, which could limit our stockholders’ ability to obtain a favorable judicial forum for disputes with us or our directors, officers or employees.</w:t>
      </w:r>
    </w:p>
    <w:p>
      <w:pPr>
        <w:spacing w:after="0" w:line="90"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Our certificate of incorporation provides that, unless we consent in writing to the selection of an alternative forum, the Court of Chancery of the State of Delaware is the sole and exclusive forum for (i) any derivative action or proceeding brought on our behalf, (ii) any action asserting a claim of breach of a fiduciary duty owed by any of our directors, officers, employees or agents to us or our stockholders,</w:t>
      </w:r>
    </w:p>
    <w:p>
      <w:pPr>
        <w:spacing w:after="0" w:line="3" w:lineRule="exact"/>
        <w:rPr>
          <w:sz w:val="20"/>
          <w:szCs w:val="20"/>
          <w:color w:val="auto"/>
        </w:rPr>
      </w:pPr>
    </w:p>
    <w:p>
      <w:pPr>
        <w:ind w:left="1260" w:right="479"/>
        <w:spacing w:after="0"/>
        <w:tabs>
          <w:tab w:leader="none" w:pos="159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arising pursuant to any provision of the DGCL or of our certificate of incorporation or our bylaws, or (iv) any action asserting a claim related to or involving the Company that is governed by the internal affairs doctrine; provided that the exclusive forum provisions will not apply to suits brought to enforce any liability or duty created by the Securities Act or the Exchange Act, or to any claim for which the federal district courts of the United States have exclusive jurisdiction. Our certificate of incorporation further provides that the federal district courts of the United States shall, to the fullest extent permitted by law, be the sole and exclusive forum for the resolution of any action, suit or proceeding asserting a cause of action arising under the Securities Act. We recognize that the forum selection clause</w:t>
      </w:r>
    </w:p>
    <w:p>
      <w:pPr>
        <w:spacing w:after="0" w:line="37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54" w:lineRule="auto"/>
        <w:rPr>
          <w:sz w:val="20"/>
          <w:szCs w:val="20"/>
          <w:color w:val="auto"/>
        </w:rPr>
      </w:pPr>
      <w:r>
        <w:rPr>
          <w:rFonts w:ascii="Times New Roman" w:cs="Times New Roman" w:eastAsia="Times New Roman" w:hAnsi="Times New Roman"/>
          <w:sz w:val="18"/>
          <w:szCs w:val="18"/>
          <w:color w:val="auto"/>
        </w:rPr>
        <w:t>in our certificate of incorporation may impose additional litigation costs on stockholders in pursuing any such claims, particularly if the stockholders do not reside in or near the State of Delaware. Additionally, the forum selection clause in our certificate of incorporation may limit our stockholders’ ability to bring a claim in a forum that they find favorable for disputes with us or our directors, officers or employees, which may discourage such lawsuits against us and our directors, officers and employees even though an action, if successful, might benefit our stockholders. The Court of Chancery of the State of Delaware and the federal district courts of the United States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121"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Any person or entity purchasing or otherwise acquiring any interest in shares of our capital stock will be deemed to have notice of and, to the fullest extent permitted by law, to have consented to the provisions of our certificate of incorporation described above.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However, the enforceability of similar forum provisions in other companies’ certificates of incorporation has been challenged in legal proceedings. If a court were to find the choice of forum provision contained in our certificate of incorporation to be inapplicable or unenforceable in an action, we may incur additional costs associated with resolving such action in other jurisdictions, which could materially and adversely affect our business, financial condition and results of operations.</w:t>
      </w:r>
    </w:p>
    <w:p>
      <w:pPr>
        <w:spacing w:after="0" w:line="190" w:lineRule="exact"/>
        <w:rPr>
          <w:sz w:val="20"/>
          <w:szCs w:val="20"/>
          <w:color w:val="auto"/>
        </w:rPr>
      </w:pPr>
    </w:p>
    <w:p>
      <w:pPr>
        <w:ind w:left="1260" w:right="6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contains a provision renouncing our interest and expectancy in certain corporate opportunities.</w:t>
      </w:r>
    </w:p>
    <w:p>
      <w:pPr>
        <w:spacing w:after="0" w:line="91" w:lineRule="exact"/>
        <w:rPr>
          <w:sz w:val="20"/>
          <w:szCs w:val="20"/>
          <w:color w:val="auto"/>
        </w:rPr>
      </w:pPr>
    </w:p>
    <w:p>
      <w:pPr>
        <w:ind w:left="1260" w:right="419" w:firstLine="360"/>
        <w:spacing w:after="0" w:line="251" w:lineRule="auto"/>
        <w:rPr>
          <w:sz w:val="20"/>
          <w:szCs w:val="20"/>
          <w:color w:val="auto"/>
        </w:rPr>
      </w:pPr>
      <w:r>
        <w:rPr>
          <w:rFonts w:ascii="Times New Roman" w:cs="Times New Roman" w:eastAsia="Times New Roman" w:hAnsi="Times New Roman"/>
          <w:sz w:val="18"/>
          <w:szCs w:val="18"/>
          <w:color w:val="auto"/>
        </w:rPr>
        <w:t>Under our certificate of incorporation, none of Apollo, its affiliated funds, the portfolio companies owned by such funds, the Apollo Stockholder, any other affiliates of Apollo, Amazon or any of their respective officers, directors, principals, partners, members, managers, employees, agents or other representatives, have any duty to refrain from engaging, directly or indirectly, in the same business activities, similar business activities, or lines of business in which we operate. Under our certificate of incorporation, Apollo, its affiliated funds, the portfolio companies owned by such funds, the Apollo Stockholder, any other affiliates of Apollo, Amazon, any affiliates of Amazon or any of their respective officers, directors, principals, partners, members, managers, employees, agents or other representatives have the right to invest in, or provide services to, any person that is engaged in the same or similar business activities as us or our affiliates or directly or indirectly competes with us or any of our affiliates. In addition, our certificate of incorporation provides that, to the fullest extent permitted by law, no officer or director of ours who is also an officer, director, principal, partner, member, manager, employee, agent or other representative of Apollo, Amazon or their respective affiliates will be liable to us or our stockholders for breach of any fiduciary duty by reason of the fact that any such individual directs a corporate opportunity to Apollo, Amazon or their respective affiliates, instead of us, or does not communicate information regarding a corporate opportunity to us that the officer, director, employee, managing director, or other affiliate has directed to Apollo, Amazon or their respective affiliates and representatives. For instance, a director of our company who also serves as a director, officer, principal, partner, member, manager, employee, agent or other representative of Apollo or any of its portfolio companies, funds or other affiliates may pursue certain acquisitions or other opportunities that may be complementary to our business and, as a result, such acquisition or other opportunities may not be available to us. Our board of directors consists of eight members. For so long as Amazon holds the 2019 Warrants (as defined in the accompanying prospectus) or any shares of common stock issued upon exercise of the 2019 Warrants and the ATSA remains in effect, Amazon will have the right to nominate a member or an observer to our board of directors. As of the date of this prospectus supplement, there are no Apollo Directors on our board of directors and Amazon has not exercised its right to nominate a member or an observer to our board of directors. These potential conflicts of interest could have a material and adverse effect on our business, financial condition, results of operations, or prospects if attractive corporate opportunities are allocated by Apollo to itself or its affiliated funds, the portfolio companies owned by such funds, the Apollo Stockholder or any other affiliates of Apollo instead of to us or allocated by Amazon to itself instead of to us. A description of our obligations related to corporate opportunities under our certificate of incorporation are more fully described in under the heading “</w:t>
      </w:r>
      <w:r>
        <w:rPr>
          <w:rFonts w:ascii="Times New Roman" w:cs="Times New Roman" w:eastAsia="Times New Roman" w:hAnsi="Times New Roman"/>
          <w:sz w:val="18"/>
          <w:szCs w:val="18"/>
          <w:i w:val="1"/>
          <w:iCs w:val="1"/>
          <w:color w:val="auto"/>
        </w:rPr>
        <w:t>Description of Capital Stock — Corporate Opportunity</w:t>
      </w:r>
      <w:r>
        <w:rPr>
          <w:rFonts w:ascii="Times New Roman" w:cs="Times New Roman" w:eastAsia="Times New Roman" w:hAnsi="Times New Roman"/>
          <w:sz w:val="18"/>
          <w:szCs w:val="18"/>
          <w:color w:val="auto"/>
        </w:rPr>
        <w:t>” in the accompanying prospectus.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7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holding company and rely on dividends, distributions, and other payments, advances, and transfers of funds from our subsidiaries to meet our obligations.</w:t>
      </w:r>
    </w:p>
    <w:p>
      <w:pPr>
        <w:spacing w:after="0" w:line="78"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We are a holding company that does not conduct any business operations of our own. As a result, we are largely dependent upon cash dividends and distributions and other transfers, including for payments in respect of our indebtedness, from our subsidiaries to meet our obligations. The agreements governing the indebtedness of our subsidiaries, including our subsidiaries’ credit agreement, impose restrictions on our subsidiaries’ ability to pay dividends or other distributions to us. Each of our subsidiaries is a distinct legal entity, and under certain circumstances legal and contractual restrictions may limit our ability to obtain cash from them and we may be limited in our ability to cause any future joint ventures to distribute their earnings to us. The deterioration of the earnings from, or other available assets of, our subsidiaries for any reason could also limit or impair their ability to pay dividends or other distributions to us.</w:t>
      </w:r>
    </w:p>
    <w:p>
      <w:pPr>
        <w:spacing w:after="0" w:line="197" w:lineRule="exact"/>
        <w:rPr>
          <w:sz w:val="20"/>
          <w:szCs w:val="20"/>
          <w:color w:val="auto"/>
        </w:rPr>
      </w:pPr>
    </w:p>
    <w:p>
      <w:pPr>
        <w:ind w:left="1260" w:right="49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Our future earnings and earnings per share, as reported under GAAP, could be adversely impacted by the warrants granted to Amazon. If Amazon exercises its right to acquire shares of our common stock pursuant to the 2019 Warrants, this will dilute the ownership interests of our then-existing stockholders and could adversely affect the market price of our common stock.</w:t>
      </w:r>
    </w:p>
    <w:p>
      <w:pPr>
        <w:spacing w:after="0" w:line="107" w:lineRule="exact"/>
        <w:rPr>
          <w:sz w:val="20"/>
          <w:szCs w:val="20"/>
          <w:color w:val="auto"/>
        </w:rPr>
      </w:pPr>
    </w:p>
    <w:p>
      <w:pPr>
        <w:ind w:left="1260" w:right="479" w:firstLine="360"/>
        <w:spacing w:after="0" w:line="241" w:lineRule="auto"/>
        <w:rPr>
          <w:sz w:val="20"/>
          <w:szCs w:val="20"/>
          <w:color w:val="auto"/>
        </w:rPr>
      </w:pPr>
      <w:r>
        <w:rPr>
          <w:rFonts w:ascii="Times New Roman" w:cs="Times New Roman" w:eastAsia="Times New Roman" w:hAnsi="Times New Roman"/>
          <w:sz w:val="18"/>
          <w:szCs w:val="18"/>
          <w:color w:val="auto"/>
        </w:rPr>
        <w:t>The warrants granted to Amazon in 2019 increase the number of diluted shares reported, which has an effect on our diluted earnings per share to the extent the warrants actually vest. The warrants have an exercise price of approximately $15.17 per share, approximately 32.0% of which had vested as of September 30, 2023. A portion of the 2019 Warrants will vest incrementally based on aggregate global payments by Amazon to the Company or its affiliates pursuant to the ATSA. In addition, vesting can occur immediately in certain circumstances, including upon a change of control (as defined in the 2019 Warrant) or certain transfers of 30% or more of the voting power in the Company to a new person or group, other than any equity offering by the Company or the Apollo Stockholder pursuant to an effective registration statement so long as no person or group, within the meaning of the Exchange Act, acquires more than 50% of the voting power of the Company in such offering). If additional 2019 Warrants vest and Amazon exercises its right to acquire shares of our common stock pursuant to the 2019 Warrants, it will dilute the ownership interests of our then- existing stockholders and reduce our earnings per share. In addition, to the extent the common stock issued upon exercise of the 2019 Warrants is transferred to non-U.S. citizens, it will further limit the amount of our common stock that may be owned or controlled by other non-U.S. citizens. Furthermore, any sales in the public market of any common stock issuable upon the exercise of the 2019 Warrants could adversely affect prevailing market prices of our common stock.</w:t>
      </w:r>
    </w:p>
    <w:p>
      <w:pPr>
        <w:spacing w:after="0" w:line="194" w:lineRule="exact"/>
        <w:rPr>
          <w:sz w:val="20"/>
          <w:szCs w:val="20"/>
          <w:color w:val="auto"/>
        </w:rPr>
      </w:pPr>
    </w:p>
    <w:p>
      <w:pPr>
        <w:ind w:left="1260" w:right="59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You may be diluted by the future issuance of additional common stock or convertible securities in connection with our incentive plans, acquisitions or otherwise, which could adversely affect our stock price.</w:t>
      </w:r>
    </w:p>
    <w:p>
      <w:pPr>
        <w:spacing w:after="0" w:line="90"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As of September 30, 2023, we had 936,184,861 shares of common stock authorized but unissued. Our certificate of incorporation authorizes us to issue these shares of common stock and options, rights, warrants and appreciation rights relating to common stock for the consideration and on the terms and conditions established by our board of directors in its sole discretion, whether in connection with acquisitions or otherwise. As of September 30, 2023, we had approximately 4,074,938 options outstanding, which are exercisable into approximately 4,074,938 shares of common stock, 476,355 shares of common stock that may be issued upon the vesting of outstanding restricted stock units and the 2019 Warrants outstanding, which are exercisable for 9,482,606 shares of common stock, subject to vesting requirements. Of the 2019 Warrants, approximately 32.0% have vested as of September 30, 2023 and the remainder will vest incrementally based on aggregate global payments by Amazon to the Company or its affiliates pursuant to the ATSA.</w:t>
      </w:r>
    </w:p>
    <w:p>
      <w:pPr>
        <w:spacing w:after="0" w:line="329"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We reserved approximately 3,600,000 shares for grant under our 2021 equity incentive plan, of which 2,889,407 remain available as of September 30, 2023. Any common stock that we issue, including under our 2021 equity incentive plan or other equity incentive plans that we may adopt in the future, as well as under outstanding options or warrants would dilute the percentage ownership held by the investors who purchase common stock in this offering.</w:t>
      </w:r>
    </w:p>
    <w:p>
      <w:pPr>
        <w:spacing w:after="0" w:line="110" w:lineRule="exact"/>
        <w:rPr>
          <w:sz w:val="20"/>
          <w:szCs w:val="20"/>
          <w:color w:val="auto"/>
        </w:rPr>
      </w:pPr>
    </w:p>
    <w:p>
      <w:pPr>
        <w:jc w:val="both"/>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From time to time in the future, we may also issue additional shares of our common stock or securities convertible into common stock pursuant to a variety of transactions, including acquisitions. Our issuance of additional shares of our common stock or securities convertible into our common stock would dilute your</w:t>
      </w:r>
    </w:p>
    <w:p>
      <w:pPr>
        <w:sectPr>
          <w:pgSz w:w="11900" w:h="16838" w:orient="portrait"/>
          <w:cols w:equalWidth="0" w:num="1">
            <w:col w:w="9879"/>
          </w:cols>
          <w:pgMar w:left="580" w:top="97" w:right="1440" w:bottom="1440" w:gutter="0" w:footer="0" w:header="0"/>
        </w:sectPr>
      </w:pPr>
    </w:p>
    <w:p>
      <w:pPr>
        <w:spacing w:after="0" w:line="36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759"/>
        <w:spacing w:after="0" w:line="282" w:lineRule="auto"/>
        <w:rPr>
          <w:sz w:val="20"/>
          <w:szCs w:val="20"/>
          <w:color w:val="auto"/>
        </w:rPr>
      </w:pPr>
      <w:r>
        <w:rPr>
          <w:rFonts w:ascii="Times New Roman" w:cs="Times New Roman" w:eastAsia="Times New Roman" w:hAnsi="Times New Roman"/>
          <w:sz w:val="18"/>
          <w:szCs w:val="18"/>
          <w:color w:val="auto"/>
        </w:rPr>
        <w:t>ownership of us and the sale of a significant amount of such shares in the public market could adversely affect prevailing market prices of our common stock.</w:t>
      </w:r>
    </w:p>
    <w:p>
      <w:pPr>
        <w:spacing w:after="0" w:line="158" w:lineRule="exact"/>
        <w:rPr>
          <w:sz w:val="20"/>
          <w:szCs w:val="20"/>
          <w:color w:val="auto"/>
        </w:rPr>
      </w:pPr>
    </w:p>
    <w:p>
      <w:pPr>
        <w:ind w:left="1260" w:right="5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of our common stock in the public market, or the perception in the public market that such sales may occur, could reduce our stock price.</w:t>
      </w:r>
    </w:p>
    <w:p>
      <w:pPr>
        <w:spacing w:after="0" w:line="91" w:lineRule="exact"/>
        <w:rPr>
          <w:sz w:val="20"/>
          <w:szCs w:val="20"/>
          <w:color w:val="auto"/>
        </w:rPr>
      </w:pPr>
    </w:p>
    <w:p>
      <w:pPr>
        <w:ind w:left="1260" w:right="419" w:firstLine="360"/>
        <w:spacing w:after="0" w:line="251" w:lineRule="auto"/>
        <w:rPr>
          <w:sz w:val="20"/>
          <w:szCs w:val="20"/>
          <w:color w:val="auto"/>
        </w:rPr>
      </w:pPr>
      <w:r>
        <w:rPr>
          <w:rFonts w:ascii="Times New Roman" w:cs="Times New Roman" w:eastAsia="Times New Roman" w:hAnsi="Times New Roman"/>
          <w:sz w:val="18"/>
          <w:szCs w:val="18"/>
          <w:color w:val="auto"/>
        </w:rPr>
        <w:t>As of September 30, 2023, we had 54,133,851 shares of common stock outstanding, warrants to purchase 9,482,606 shares of common stock outstanding, options to purchase 4,074,938 shares of common stock outstanding and 476,355 shares of common stock that may be issued upon the vesting of outstanding restricted stock units. We, the Apollo Stockholder and all of our executive officers and directors have agreed that, for a period of 30 days after the date of this prospectus supplement, we and they will not, without the prior written consent of Barclays Capital Inc. or Morgan Stanley &amp; Co. LLC, dispose of any shares of common stock or any securities convertible into or exchangeable for our common stock, subject to certain exceptions. See “</w:t>
      </w:r>
      <w:r>
        <w:rPr>
          <w:rFonts w:ascii="Times New Roman" w:cs="Times New Roman" w:eastAsia="Times New Roman" w:hAnsi="Times New Roman"/>
          <w:sz w:val="18"/>
          <w:szCs w:val="18"/>
          <w:i w:val="1"/>
          <w:iCs w:val="1"/>
          <w:color w:val="auto"/>
        </w:rPr>
        <w:t>Underwriting (Conflict of Interest)</w:t>
      </w:r>
      <w:r>
        <w:rPr>
          <w:rFonts w:ascii="Times New Roman" w:cs="Times New Roman" w:eastAsia="Times New Roman" w:hAnsi="Times New Roman"/>
          <w:sz w:val="18"/>
          <w:szCs w:val="18"/>
          <w:color w:val="auto"/>
        </w:rPr>
        <w:t>.” Following the expiration of the applicable lock-up period, all of the issued and outstanding shares of our common stock will be eligible for future sale, subject to the applicable volume, manner of sale, holding periods, and other limitations of Rule 144. Either of Barclays Capital Inc. or Morgan Stanley &amp; Co. LLC, in its sole discretion, may release all or any portion of the shares subject to lock-up agreements at any time and for any reason. In addition, certain of our existing stockholders, including the Apollo Stockholder and Amazon, have certain rights to require us to register the sale of common stock held by them including in connection with underwritten offerings. Pursuant to these registration rights, we filed a “shelf” registration statement, under which the Apollo Stockholder and Amazon could offer and sell, from time-to-time, up to an aggregate of 34,352,603 shares of our common stock, including 9,482,606 shares of our common stock issuable upon exercise of outstanding warrants. 9,477,500 shares of our common stock that were covered by the “shelf” registration statement were previously sold and reduced the remaining number of shares that may be offered and sold under such “shelf” registration statement. This prospectus supplement and the accompanying prospectus form a part of such “shelf” registration statement and the resale of shares of common stock by the Apollo Stockholder in this offering will reduce the number of shares of common stock that may be offered and sold under such “shelf” registration statement in the future. Additionally, we filed a registration statement in respect of all shares of common stock that we may issue under our 2021 equity incentive plan and our 2018 equity incentive plan. After registration, these shares can be freely sold in the public market upon issuance. Sales of significant amounts of stock in the public market upon expiration of lock-up agreements, the perception that such sales may occur, or early release of any lock-up agreements, could adversely affect prevailing market prices of our common stock or make it more difficult to sell shares of common stock at a time and price that you deem appropriate.</w:t>
      </w:r>
    </w:p>
    <w:p>
      <w:pPr>
        <w:spacing w:after="0" w:line="200" w:lineRule="exact"/>
        <w:rPr>
          <w:sz w:val="20"/>
          <w:szCs w:val="20"/>
          <w:color w:val="auto"/>
        </w:rPr>
      </w:pPr>
    </w:p>
    <w:p>
      <w:pPr>
        <w:spacing w:after="0" w:line="21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We do not anticipate paying dividends on our common stock in the foreseeable future.</w:t>
      </w:r>
    </w:p>
    <w:p>
      <w:pPr>
        <w:spacing w:after="0" w:line="162"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We do not anticipate paying any dividends in the foreseeable future on our common stock. We intend to retain all future earnings for the operation and expansion of our business, the repayment of outstanding debt, and for general corporate purposes. Our subsidiaries’ credit agreement contains, and any future indebtedness likely will contain, restrictive covenants that impose significant operating and financial restrictions on us, including restrictions on our ability to pay dividends and make other restricted payments. As a result, capital appreciation, if any, of our common stock may be the only source of gain for the foreseeable future. While we may change this policy at some point in the future, we cannot assure you that we will make such a change.</w:t>
      </w:r>
    </w:p>
    <w:p>
      <w:pPr>
        <w:spacing w:after="0" w:line="200" w:lineRule="exact"/>
        <w:rPr>
          <w:sz w:val="20"/>
          <w:szCs w:val="20"/>
          <w:color w:val="auto"/>
        </w:rPr>
      </w:pPr>
    </w:p>
    <w:p>
      <w:pPr>
        <w:spacing w:after="0" w:line="201" w:lineRule="exact"/>
        <w:rPr>
          <w:sz w:val="20"/>
          <w:szCs w:val="20"/>
          <w:color w:val="auto"/>
        </w:rPr>
      </w:pPr>
    </w:p>
    <w:p>
      <w:pPr>
        <w:ind w:left="1260" w:right="5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publish negative reports, our stock price could decline.</w:t>
      </w:r>
    </w:p>
    <w:p>
      <w:pPr>
        <w:spacing w:after="0" w:line="78" w:lineRule="exact"/>
        <w:rPr>
          <w:sz w:val="20"/>
          <w:szCs w:val="20"/>
          <w:color w:val="auto"/>
        </w:rPr>
      </w:pPr>
    </w:p>
    <w:p>
      <w:pPr>
        <w:ind w:left="1260" w:right="519" w:firstLine="360"/>
        <w:spacing w:after="0" w:line="256" w:lineRule="auto"/>
        <w:rPr>
          <w:sz w:val="20"/>
          <w:szCs w:val="20"/>
          <w:color w:val="auto"/>
        </w:rPr>
      </w:pPr>
      <w:r>
        <w:rPr>
          <w:rFonts w:ascii="Times New Roman" w:cs="Times New Roman" w:eastAsia="Times New Roman" w:hAnsi="Times New Roman"/>
          <w:sz w:val="18"/>
          <w:szCs w:val="18"/>
          <w:color w:val="auto"/>
        </w:rPr>
        <w:t>The trading market for our common stock is influenced by the research and reports that industry or securities analysts publish about us or our business. If one or more of these analysts ceases coverage of our company or fails to publish reports on us regularly, we could lose visibility in the financial markets, which in turn could cause our stock price or trading volume to decline. Moreover, if one or more of the analysts who cover our company downgrades our common stock, publishes unfavorable research about our business or if our operating results do not meet their expectations, our stock price could decline.</w:t>
      </w:r>
    </w:p>
    <w:p>
      <w:pPr>
        <w:sectPr>
          <w:pgSz w:w="11900" w:h="16838" w:orient="portrait"/>
          <w:cols w:equalWidth="0" w:num="1">
            <w:col w:w="9879"/>
          </w:cols>
          <w:pgMar w:left="580" w:top="97" w:right="1440" w:bottom="1440" w:gutter="0" w:footer="0" w:header="0"/>
        </w:sectPr>
      </w:pPr>
    </w:p>
    <w:p>
      <w:pPr>
        <w:spacing w:after="0" w:line="37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9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issue preferred securities, the terms of which could adversely affect the voting power or value of our common stock.</w:t>
      </w:r>
    </w:p>
    <w:p>
      <w:pPr>
        <w:spacing w:after="0" w:line="91"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Our certificate of incorporation authorizes us to issue, without the approval of our stockholders, one or more classes or series of preferred securities having such designations, preferences, limitations, and relative rights, including preferences over our common stock respecting dividends and distributions, as our board of directors may determine. The terms of one or more classes or series of preferred securities could adversely impact the voting power or value of our common stock. For example, we might grant holders of preferred securities the right to elect some number of our directors in all events or on the happening of specified events or the right to veto specified transactions. Similarly, the repurchase or redemption rights or liquidation preferences we might assign to holders of preferred securities could affect the residual value of the common stock.</w:t>
      </w:r>
    </w:p>
    <w:p>
      <w:pPr>
        <w:spacing w:after="0" w:line="200" w:lineRule="exact"/>
        <w:rPr>
          <w:sz w:val="20"/>
          <w:szCs w:val="20"/>
          <w:color w:val="auto"/>
        </w:rPr>
      </w:pPr>
    </w:p>
    <w:p>
      <w:pPr>
        <w:spacing w:after="0" w:line="204" w:lineRule="exact"/>
        <w:rPr>
          <w:sz w:val="20"/>
          <w:szCs w:val="20"/>
          <w:color w:val="auto"/>
        </w:rPr>
      </w:pPr>
    </w:p>
    <w:p>
      <w:pPr>
        <w:ind w:left="1260" w:right="5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required to pay our pre-IPO stockholders for certain tax benefits, and the amounts of such payments could be material.</w:t>
      </w:r>
    </w:p>
    <w:p>
      <w:pPr>
        <w:spacing w:after="0" w:line="91"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We entered into an income tax receivable agreement with our pre-IPO stockholders that provides for the payment by us to our pre-IPO stockholders of 85% of the amount of cash savings, if any, in U.S. federal, foreign, state and local income tax that we and our subsidiaries actually realize for periods starting at least 12 months after the closing date of our initial public offering as a result of the utilization of tax attributes existing at the time of our initial public offering.</w:t>
      </w:r>
    </w:p>
    <w:p>
      <w:pPr>
        <w:spacing w:after="0" w:line="102"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These tax attributes include net operating loss carryforwards, deductions, tax basis and certain other tax attributes, in each case that relate to periods (or portions thereof) ending on or prior to the closing date of our initial public offering.</w:t>
      </w:r>
    </w:p>
    <w:p>
      <w:pPr>
        <w:spacing w:after="0" w:line="10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expect that the payments we make under the income tax receivable agreement could be material.</w:t>
      </w:r>
    </w:p>
    <w:p>
      <w:pPr>
        <w:spacing w:after="0" w:line="158" w:lineRule="exact"/>
        <w:rPr>
          <w:sz w:val="20"/>
          <w:szCs w:val="20"/>
          <w:color w:val="auto"/>
        </w:rPr>
      </w:pPr>
    </w:p>
    <w:p>
      <w:pPr>
        <w:jc w:val="both"/>
        <w:ind w:left="1260" w:right="519" w:firstLine="360"/>
        <w:spacing w:after="0" w:line="257" w:lineRule="auto"/>
        <w:rPr>
          <w:sz w:val="20"/>
          <w:szCs w:val="20"/>
          <w:color w:val="auto"/>
        </w:rPr>
      </w:pPr>
      <w:r>
        <w:rPr>
          <w:rFonts w:ascii="Times New Roman" w:cs="Times New Roman" w:eastAsia="Times New Roman" w:hAnsi="Times New Roman"/>
          <w:sz w:val="18"/>
          <w:szCs w:val="18"/>
          <w:color w:val="auto"/>
        </w:rPr>
        <w:t>Assuming no material changes in the relevant tax law, and that we and our subsidiaries earn sufficient income to realize the full tax benefits subject to the income tax receivable agreement, we expect that future payments under the income tax receivable agreement will aggregate to be approximately $101.0 million.</w:t>
      </w:r>
    </w:p>
    <w:p>
      <w:pPr>
        <w:spacing w:after="0" w:line="1" w:lineRule="exact"/>
        <w:rPr>
          <w:sz w:val="20"/>
          <w:szCs w:val="20"/>
          <w:color w:val="auto"/>
        </w:rPr>
      </w:pPr>
    </w:p>
    <w:p>
      <w:pPr>
        <w:ind w:left="1260" w:right="459"/>
        <w:spacing w:after="0" w:line="260" w:lineRule="auto"/>
        <w:rPr>
          <w:sz w:val="20"/>
          <w:szCs w:val="20"/>
          <w:color w:val="auto"/>
        </w:rPr>
      </w:pPr>
      <w:r>
        <w:rPr>
          <w:rFonts w:ascii="Times New Roman" w:cs="Times New Roman" w:eastAsia="Times New Roman" w:hAnsi="Times New Roman"/>
          <w:sz w:val="18"/>
          <w:szCs w:val="18"/>
          <w:color w:val="auto"/>
        </w:rPr>
        <w:t>Payments in accordance with the terms of the income tax receivable agreement could have an adverse effect on our liquidity and financial condition.</w:t>
      </w:r>
    </w:p>
    <w:p>
      <w:pPr>
        <w:spacing w:after="0" w:line="100" w:lineRule="exact"/>
        <w:rPr>
          <w:sz w:val="20"/>
          <w:szCs w:val="20"/>
          <w:color w:val="auto"/>
        </w:rPr>
      </w:pPr>
    </w:p>
    <w:p>
      <w:pPr>
        <w:ind w:left="1260" w:right="499" w:firstLine="360"/>
        <w:spacing w:after="0" w:line="254" w:lineRule="auto"/>
        <w:rPr>
          <w:sz w:val="20"/>
          <w:szCs w:val="20"/>
          <w:color w:val="auto"/>
        </w:rPr>
      </w:pPr>
      <w:r>
        <w:rPr>
          <w:rFonts w:ascii="Times New Roman" w:cs="Times New Roman" w:eastAsia="Times New Roman" w:hAnsi="Times New Roman"/>
          <w:sz w:val="18"/>
          <w:szCs w:val="18"/>
          <w:color w:val="auto"/>
        </w:rPr>
        <w:t>In addition, under some circumstances, including certain mergers, asset sales and other transactions constituting a “change of control” under the income tax receivable agreement or if we breach our obligations thereunder, the income tax receivable agreement will terminate and we will be required to make a payment equal to the present value of future payments under the income tax receivable agreement, which payment will be calculated based on certain assumptions, including those relating to our and our subsidiaries’ future taxable income. In these situations, our obligations under the income tax receivable agreement could have a material and adverse impact on our liquidity and could have the effect of delaying, deferring or preventing certain mergers, asset sales or other “change of control” transactions.</w:t>
      </w:r>
    </w:p>
    <w:p>
      <w:pPr>
        <w:spacing w:after="0" w:line="124" w:lineRule="exact"/>
        <w:rPr>
          <w:sz w:val="20"/>
          <w:szCs w:val="20"/>
          <w:color w:val="auto"/>
        </w:rPr>
      </w:pPr>
    </w:p>
    <w:p>
      <w:pPr>
        <w:jc w:val="both"/>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To the extent that we are unable to make payments under the income tax receivable agreement for any reason, such payments will be deferred and will accrue interest until paid, which could adversely affect our results of operations and could also affect our liquidity in periods in which such payments are made.</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We are continuing to improve our internal control over financial reporting.</w:t>
      </w:r>
    </w:p>
    <w:p>
      <w:pPr>
        <w:spacing w:after="0" w:line="162" w:lineRule="exact"/>
        <w:rPr>
          <w:sz w:val="20"/>
          <w:szCs w:val="20"/>
          <w:color w:val="auto"/>
        </w:rPr>
      </w:pPr>
    </w:p>
    <w:p>
      <w:pPr>
        <w:ind w:left="1260" w:right="659" w:firstLine="360"/>
        <w:spacing w:after="0" w:line="258" w:lineRule="auto"/>
        <w:rPr>
          <w:sz w:val="20"/>
          <w:szCs w:val="20"/>
          <w:color w:val="auto"/>
        </w:rPr>
      </w:pPr>
      <w:r>
        <w:rPr>
          <w:rFonts w:ascii="Times New Roman" w:cs="Times New Roman" w:eastAsia="Times New Roman" w:hAnsi="Times New Roman"/>
          <w:sz w:val="18"/>
          <w:szCs w:val="18"/>
          <w:color w:val="auto"/>
        </w:rPr>
        <w:t>Our independent registered public accounting firm is not required to audit the effectiveness of our internal control over financial reporting until after we are no longer an “emerging growth company,” as defined in the JOBS Act, which will occur on December 31, 2023. At such time, our internal control over financial reporting may be insufficiently documented, designed or operating, which may cause our independent registered public accounting firm to issue a report that is adverse.</w:t>
      </w:r>
    </w:p>
    <w:p>
      <w:pPr>
        <w:spacing w:after="0" w:line="200" w:lineRule="exact"/>
        <w:rPr>
          <w:sz w:val="20"/>
          <w:szCs w:val="20"/>
          <w:color w:val="auto"/>
        </w:rPr>
      </w:pPr>
    </w:p>
    <w:p>
      <w:pPr>
        <w:spacing w:after="0" w:line="28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CONCURRENT SHARE REPURCHASE</w:t>
      </w:r>
    </w:p>
    <w:p>
      <w:pPr>
        <w:spacing w:after="0" w:line="162"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Subject to the completion of this offering, we have agreed to repurchase 312,500 of the shares of common stock that are the subject of this offering from the underwriter at a price of $16.00 per share, which is the price at which the underwriter will purchase the shares from the selling stockholder in this offering. The terms and conditions of the Concurrent Share Repurchase were reviewed and approved by the independent members of our board of directors. The Concurrent Share Repurchase will be funded from our existing cash on hand. The underwriter will not receive any compensation for the shares of our common stock being repurchased by us.</w:t>
      </w:r>
    </w:p>
    <w:p>
      <w:pPr>
        <w:spacing w:after="0" w:line="336" w:lineRule="exact"/>
        <w:rPr>
          <w:sz w:val="20"/>
          <w:szCs w:val="20"/>
          <w:color w:val="auto"/>
        </w:rPr>
      </w:pPr>
    </w:p>
    <w:p>
      <w:pPr>
        <w:ind w:left="1260" w:right="519" w:firstLine="360"/>
        <w:spacing w:after="0" w:line="282" w:lineRule="auto"/>
        <w:rPr>
          <w:sz w:val="20"/>
          <w:szCs w:val="20"/>
          <w:color w:val="auto"/>
        </w:rPr>
      </w:pPr>
      <w:r>
        <w:rPr>
          <w:rFonts w:ascii="Times New Roman" w:cs="Times New Roman" w:eastAsia="Times New Roman" w:hAnsi="Times New Roman"/>
          <w:sz w:val="18"/>
          <w:szCs w:val="18"/>
          <w:color w:val="auto"/>
        </w:rPr>
        <w:t>The Concurrent Share Repurchase will be made pursuant to, and will reduce the remaining availability under, our existing stock repurchase program.</w:t>
      </w:r>
    </w:p>
    <w:p>
      <w:pPr>
        <w:spacing w:after="0" w:line="81" w:lineRule="exact"/>
        <w:rPr>
          <w:sz w:val="20"/>
          <w:szCs w:val="20"/>
          <w:color w:val="auto"/>
        </w:rPr>
      </w:pPr>
    </w:p>
    <w:p>
      <w:pPr>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This description and the other information in this prospectus supplement regarding the Concurrent Share Repurchase are included in this prospectus supplement solely for informational purposes. Nothing in this prospectus supplement should be construed as an offer to sell, or the solicitation of an offer to buy, any shares of our common stock subject to the Concurrent Share Repurchase.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62" w:lineRule="exact"/>
        <w:rPr>
          <w:sz w:val="20"/>
          <w:szCs w:val="20"/>
          <w:color w:val="auto"/>
        </w:rPr>
      </w:pPr>
    </w:p>
    <w:p>
      <w:pPr>
        <w:ind w:left="1260" w:right="599" w:firstLine="360"/>
        <w:spacing w:after="0" w:line="258" w:lineRule="auto"/>
        <w:rPr>
          <w:sz w:val="20"/>
          <w:szCs w:val="20"/>
          <w:color w:val="auto"/>
        </w:rPr>
      </w:pPr>
      <w:r>
        <w:rPr>
          <w:rFonts w:ascii="Times New Roman" w:cs="Times New Roman" w:eastAsia="Times New Roman" w:hAnsi="Times New Roman"/>
          <w:sz w:val="18"/>
          <w:szCs w:val="18"/>
          <w:color w:val="auto"/>
        </w:rPr>
        <w:t>All of the shares of common stock being offered hereby are being sold by the selling stockholder identified in this prospectus supplement. We will not receive any proceeds from the sale of the shares of common stock by the selling stockholder. The selling stockholder will receive all of the net proceeds from this offering. We have agreed to pay all expenses relating to registering the shares of common stock. See “</w:t>
      </w:r>
      <w:r>
        <w:rPr>
          <w:rFonts w:ascii="Times New Roman" w:cs="Times New Roman" w:eastAsia="Times New Roman" w:hAnsi="Times New Roman"/>
          <w:sz w:val="18"/>
          <w:szCs w:val="18"/>
          <w:i w:val="1"/>
          <w:iCs w:val="1"/>
          <w:color w:val="auto"/>
        </w:rPr>
        <w:t>Selling Stockholder</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SELLING STOCKHOLDER</w:t>
      </w:r>
    </w:p>
    <w:p>
      <w:pPr>
        <w:spacing w:after="0" w:line="162" w:lineRule="exact"/>
        <w:rPr>
          <w:sz w:val="20"/>
          <w:szCs w:val="20"/>
          <w:color w:val="auto"/>
        </w:rPr>
      </w:pPr>
    </w:p>
    <w:p>
      <w:pPr>
        <w:ind w:left="1260" w:right="47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as of December 8, 2023 with respect to the ownership of our shares of common stock by the Apollo Stockholder, the selling stockholder.</w:t>
      </w:r>
    </w:p>
    <w:p>
      <w:pPr>
        <w:spacing w:after="0" w:line="94"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The percentage of common stock beneficially owned by the selling stockholder before this offering is based on 54,133,851 shares of common stock outstanding as of September 30, 2023. Beneficial ownership is determined in accordance with the rules of the SEC. These rules generally attribute beneficial ownership of securities to persons who possess sole or shared voting power or investment power with respect to such securities. Except as otherwise indicated, all persons listed below have sole voting and investment power with respect to the shares beneficially owned by them, subject to applicable community property laws.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16510</wp:posOffset>
            </wp:positionV>
            <wp:extent cx="13030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4">
                      <a:extLst>
                        <a:ext uri="{28A0092B-C50C-407E-A947-70E740481C1C}"/>
                      </a:extLst>
                    </a:blip>
                    <a:srcRect/>
                    <a:stretch>
                      <a:fillRect/>
                    </a:stretch>
                  </pic:blipFill>
                  <pic:spPr bwMode="auto">
                    <a:xfrm>
                      <a:off x="0" y="0"/>
                      <a:ext cx="1303020" cy="8255"/>
                    </a:xfrm>
                    <a:prstGeom prst="rect">
                      <a:avLst/>
                    </a:prstGeom>
                    <a:noFill/>
                  </pic:spPr>
                </pic:pic>
              </a:graphicData>
            </a:graphic>
          </wp:anchor>
        </w:drawing>
      </w:r>
    </w:p>
    <w:p>
      <w:pPr>
        <w:spacing w:after="0" w:line="2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5"/>
          <w:szCs w:val="15"/>
          <w:color w:val="auto"/>
          <w:shd w:val="clear" w:color="auto" w:fill="CCEEFF"/>
        </w:rPr>
        <w:t>SCA Horus Holdings, LLC</w:t>
      </w:r>
      <w:r>
        <w:rPr>
          <w:rFonts w:ascii="Times New Roman" w:cs="Times New Roman" w:eastAsia="Times New Roman" w:hAnsi="Times New Roman"/>
          <w:sz w:val="19"/>
          <w:szCs w:val="19"/>
          <w:color w:val="auto"/>
          <w:vertAlign w:val="superscript"/>
          <w:shd w:val="clear" w:color="auto" w:fill="CCEEFF"/>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172085</wp:posOffset>
            </wp:positionV>
            <wp:extent cx="123444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7"/>
              </w:rPr>
              <w:t>Shares of</w:t>
            </w: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Shares of</w:t>
            </w:r>
          </w:p>
        </w:tc>
        <w:tc>
          <w:tcPr>
            <w:tcW w:w="140" w:type="dxa"/>
            <w:vAlign w:val="bottom"/>
          </w:tcPr>
          <w:p>
            <w:pPr>
              <w:spacing w:after="0"/>
              <w:rPr>
                <w:sz w:val="14"/>
                <w:szCs w:val="14"/>
                <w:color w:val="auto"/>
              </w:rPr>
            </w:pPr>
          </w:p>
        </w:tc>
        <w:tc>
          <w:tcPr>
            <w:tcW w:w="124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Common Stock</w:t>
            </w:r>
          </w:p>
        </w:tc>
        <w:tc>
          <w:tcPr>
            <w:tcW w:w="140" w:type="dxa"/>
            <w:vAlign w:val="bottom"/>
          </w:tcPr>
          <w:p>
            <w:pPr>
              <w:spacing w:after="0"/>
              <w:rPr>
                <w:sz w:val="14"/>
                <w:szCs w:val="14"/>
                <w:color w:val="auto"/>
              </w:rPr>
            </w:pPr>
          </w:p>
        </w:tc>
        <w:tc>
          <w:tcPr>
            <w:tcW w:w="94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7"/>
              </w:rPr>
              <w:t>Shares of</w:t>
            </w:r>
          </w:p>
        </w:tc>
        <w:tc>
          <w:tcPr>
            <w:tcW w:w="120" w:type="dxa"/>
            <w:vAlign w:val="bottom"/>
          </w:tcPr>
          <w:p>
            <w:pPr>
              <w:spacing w:after="0"/>
              <w:rPr>
                <w:sz w:val="14"/>
                <w:szCs w:val="14"/>
                <w:color w:val="auto"/>
              </w:rPr>
            </w:pPr>
          </w:p>
        </w:tc>
        <w:tc>
          <w:tcPr>
            <w:tcW w:w="124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7"/>
              </w:rPr>
              <w:t>Shares of Common</w:t>
            </w:r>
          </w:p>
        </w:tc>
        <w:tc>
          <w:tcPr>
            <w:tcW w:w="40" w:type="dxa"/>
            <w:vAlign w:val="bottom"/>
          </w:tcPr>
          <w:p>
            <w:pPr>
              <w:spacing w:after="0"/>
              <w:rPr>
                <w:sz w:val="14"/>
                <w:szCs w:val="14"/>
                <w:color w:val="auto"/>
              </w:rPr>
            </w:pPr>
          </w:p>
        </w:tc>
      </w:tr>
      <w:tr>
        <w:trPr>
          <w:trHeight w:val="162"/>
        </w:trPr>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Common Stock</w:t>
            </w:r>
          </w:p>
        </w:tc>
        <w:tc>
          <w:tcPr>
            <w:tcW w:w="140" w:type="dxa"/>
            <w:vAlign w:val="bottom"/>
          </w:tcPr>
          <w:p>
            <w:pPr>
              <w:spacing w:after="0"/>
              <w:rPr>
                <w:sz w:val="14"/>
                <w:szCs w:val="14"/>
                <w:color w:val="auto"/>
              </w:rPr>
            </w:pPr>
          </w:p>
        </w:tc>
        <w:tc>
          <w:tcPr>
            <w:tcW w:w="124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7"/>
              </w:rPr>
              <w:t>Beneficially Owned</w:t>
            </w:r>
          </w:p>
        </w:tc>
        <w:tc>
          <w:tcPr>
            <w:tcW w:w="1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Common Stock</w:t>
            </w:r>
          </w:p>
        </w:tc>
        <w:tc>
          <w:tcPr>
            <w:tcW w:w="120" w:type="dxa"/>
            <w:vAlign w:val="bottom"/>
          </w:tcPr>
          <w:p>
            <w:pPr>
              <w:spacing w:after="0"/>
              <w:rPr>
                <w:sz w:val="14"/>
                <w:szCs w:val="14"/>
                <w:color w:val="auto"/>
              </w:rPr>
            </w:pPr>
          </w:p>
        </w:tc>
        <w:tc>
          <w:tcPr>
            <w:tcW w:w="124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7"/>
              </w:rPr>
              <w:t>Stock Beneficially</w:t>
            </w:r>
          </w:p>
        </w:tc>
        <w:tc>
          <w:tcPr>
            <w:tcW w:w="40" w:type="dxa"/>
            <w:vAlign w:val="bottom"/>
          </w:tcPr>
          <w:p>
            <w:pPr>
              <w:spacing w:after="0"/>
              <w:rPr>
                <w:sz w:val="14"/>
                <w:szCs w:val="14"/>
                <w:color w:val="auto"/>
              </w:rPr>
            </w:pPr>
          </w:p>
        </w:tc>
      </w:tr>
      <w:tr>
        <w:trPr>
          <w:trHeight w:val="162"/>
        </w:trPr>
        <w:tc>
          <w:tcPr>
            <w:tcW w:w="120" w:type="dxa"/>
            <w:vAlign w:val="bottom"/>
          </w:tcPr>
          <w:p>
            <w:pPr>
              <w:spacing w:after="0"/>
              <w:rPr>
                <w:sz w:val="14"/>
                <w:szCs w:val="14"/>
                <w:color w:val="auto"/>
              </w:rPr>
            </w:pPr>
          </w:p>
        </w:tc>
        <w:tc>
          <w:tcPr>
            <w:tcW w:w="12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Shares of</w:t>
            </w:r>
          </w:p>
        </w:tc>
        <w:tc>
          <w:tcPr>
            <w:tcW w:w="14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Offered Hereby</w:t>
            </w:r>
          </w:p>
        </w:tc>
        <w:tc>
          <w:tcPr>
            <w:tcW w:w="140" w:type="dxa"/>
            <w:vAlign w:val="bottom"/>
          </w:tcPr>
          <w:p>
            <w:pPr>
              <w:spacing w:after="0"/>
              <w:rPr>
                <w:sz w:val="14"/>
                <w:szCs w:val="14"/>
                <w:color w:val="auto"/>
              </w:rPr>
            </w:pPr>
          </w:p>
        </w:tc>
        <w:tc>
          <w:tcPr>
            <w:tcW w:w="124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7"/>
              </w:rPr>
              <w:t>After this</w:t>
            </w:r>
          </w:p>
        </w:tc>
        <w:tc>
          <w:tcPr>
            <w:tcW w:w="1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Offered Hereby</w:t>
            </w:r>
          </w:p>
        </w:tc>
        <w:tc>
          <w:tcPr>
            <w:tcW w:w="120" w:type="dxa"/>
            <w:vAlign w:val="bottom"/>
          </w:tcPr>
          <w:p>
            <w:pPr>
              <w:spacing w:after="0"/>
              <w:rPr>
                <w:sz w:val="14"/>
                <w:szCs w:val="14"/>
                <w:color w:val="auto"/>
              </w:rPr>
            </w:pPr>
          </w:p>
        </w:tc>
        <w:tc>
          <w:tcPr>
            <w:tcW w:w="124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8"/>
              </w:rPr>
              <w:t>Owned After this</w:t>
            </w:r>
          </w:p>
        </w:tc>
        <w:tc>
          <w:tcPr>
            <w:tcW w:w="40" w:type="dxa"/>
            <w:vAlign w:val="bottom"/>
          </w:tcPr>
          <w:p>
            <w:pPr>
              <w:spacing w:after="0"/>
              <w:rPr>
                <w:sz w:val="14"/>
                <w:szCs w:val="14"/>
                <w:color w:val="auto"/>
              </w:rPr>
            </w:pPr>
          </w:p>
        </w:tc>
      </w:tr>
      <w:tr>
        <w:trPr>
          <w:trHeight w:val="162"/>
        </w:trPr>
        <w:tc>
          <w:tcPr>
            <w:tcW w:w="120" w:type="dxa"/>
            <w:vAlign w:val="bottom"/>
          </w:tcPr>
          <w:p>
            <w:pPr>
              <w:spacing w:after="0"/>
              <w:rPr>
                <w:sz w:val="14"/>
                <w:szCs w:val="14"/>
                <w:color w:val="auto"/>
              </w:rPr>
            </w:pPr>
          </w:p>
        </w:tc>
        <w:tc>
          <w:tcPr>
            <w:tcW w:w="12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Common Stock</w:t>
            </w:r>
          </w:p>
        </w:tc>
        <w:tc>
          <w:tcPr>
            <w:tcW w:w="14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Assuming</w:t>
            </w:r>
          </w:p>
        </w:tc>
        <w:tc>
          <w:tcPr>
            <w:tcW w:w="140" w:type="dxa"/>
            <w:vAlign w:val="bottom"/>
          </w:tcPr>
          <w:p>
            <w:pPr>
              <w:spacing w:after="0"/>
              <w:rPr>
                <w:sz w:val="14"/>
                <w:szCs w:val="14"/>
                <w:color w:val="auto"/>
              </w:rPr>
            </w:pPr>
          </w:p>
        </w:tc>
        <w:tc>
          <w:tcPr>
            <w:tcW w:w="124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8"/>
              </w:rPr>
              <w:t>Offering Assuming</w:t>
            </w:r>
          </w:p>
        </w:tc>
        <w:tc>
          <w:tcPr>
            <w:tcW w:w="1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Assuming</w:t>
            </w:r>
          </w:p>
        </w:tc>
        <w:tc>
          <w:tcPr>
            <w:tcW w:w="120" w:type="dxa"/>
            <w:vAlign w:val="bottom"/>
          </w:tcPr>
          <w:p>
            <w:pPr>
              <w:spacing w:after="0"/>
              <w:rPr>
                <w:sz w:val="14"/>
                <w:szCs w:val="14"/>
                <w:color w:val="auto"/>
              </w:rPr>
            </w:pPr>
          </w:p>
        </w:tc>
        <w:tc>
          <w:tcPr>
            <w:tcW w:w="124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8"/>
              </w:rPr>
              <w:t>Offering Assuming</w:t>
            </w:r>
          </w:p>
        </w:tc>
        <w:tc>
          <w:tcPr>
            <w:tcW w:w="40" w:type="dxa"/>
            <w:vAlign w:val="bottom"/>
          </w:tcPr>
          <w:p>
            <w:pPr>
              <w:spacing w:after="0"/>
              <w:rPr>
                <w:sz w:val="14"/>
                <w:szCs w:val="14"/>
                <w:color w:val="auto"/>
              </w:rPr>
            </w:pPr>
          </w:p>
        </w:tc>
      </w:tr>
      <w:tr>
        <w:trPr>
          <w:trHeight w:val="162"/>
        </w:trPr>
        <w:tc>
          <w:tcPr>
            <w:tcW w:w="120" w:type="dxa"/>
            <w:vAlign w:val="bottom"/>
          </w:tcPr>
          <w:p>
            <w:pPr>
              <w:spacing w:after="0"/>
              <w:rPr>
                <w:sz w:val="14"/>
                <w:szCs w:val="14"/>
                <w:color w:val="auto"/>
              </w:rPr>
            </w:pPr>
          </w:p>
        </w:tc>
        <w:tc>
          <w:tcPr>
            <w:tcW w:w="12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Beneficially</w:t>
            </w:r>
          </w:p>
        </w:tc>
        <w:tc>
          <w:tcPr>
            <w:tcW w:w="14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Underwriter’s</w:t>
            </w:r>
          </w:p>
        </w:tc>
        <w:tc>
          <w:tcPr>
            <w:tcW w:w="140" w:type="dxa"/>
            <w:vAlign w:val="bottom"/>
          </w:tcPr>
          <w:p>
            <w:pPr>
              <w:spacing w:after="0"/>
              <w:rPr>
                <w:sz w:val="14"/>
                <w:szCs w:val="14"/>
                <w:color w:val="auto"/>
              </w:rPr>
            </w:pPr>
          </w:p>
        </w:tc>
        <w:tc>
          <w:tcPr>
            <w:tcW w:w="124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8"/>
              </w:rPr>
              <w:t>Underwriter’s</w:t>
            </w:r>
          </w:p>
        </w:tc>
        <w:tc>
          <w:tcPr>
            <w:tcW w:w="1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Underwriter’s</w:t>
            </w:r>
          </w:p>
        </w:tc>
        <w:tc>
          <w:tcPr>
            <w:tcW w:w="120" w:type="dxa"/>
            <w:vAlign w:val="bottom"/>
          </w:tcPr>
          <w:p>
            <w:pPr>
              <w:spacing w:after="0"/>
              <w:rPr>
                <w:sz w:val="14"/>
                <w:szCs w:val="14"/>
                <w:color w:val="auto"/>
              </w:rPr>
            </w:pPr>
          </w:p>
        </w:tc>
        <w:tc>
          <w:tcPr>
            <w:tcW w:w="124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8"/>
              </w:rPr>
              <w:t>Underwriter’s</w:t>
            </w:r>
          </w:p>
        </w:tc>
        <w:tc>
          <w:tcPr>
            <w:tcW w:w="40" w:type="dxa"/>
            <w:vAlign w:val="bottom"/>
          </w:tcPr>
          <w:p>
            <w:pPr>
              <w:spacing w:after="0"/>
              <w:rPr>
                <w:sz w:val="14"/>
                <w:szCs w:val="14"/>
                <w:color w:val="auto"/>
              </w:rPr>
            </w:pPr>
          </w:p>
        </w:tc>
      </w:tr>
      <w:tr>
        <w:trPr>
          <w:trHeight w:val="162"/>
        </w:trPr>
        <w:tc>
          <w:tcPr>
            <w:tcW w:w="120" w:type="dxa"/>
            <w:vAlign w:val="bottom"/>
          </w:tcPr>
          <w:p>
            <w:pPr>
              <w:spacing w:after="0"/>
              <w:rPr>
                <w:sz w:val="14"/>
                <w:szCs w:val="14"/>
                <w:color w:val="auto"/>
              </w:rPr>
            </w:pPr>
          </w:p>
        </w:tc>
        <w:tc>
          <w:tcPr>
            <w:tcW w:w="12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Owned Before</w:t>
            </w:r>
          </w:p>
        </w:tc>
        <w:tc>
          <w:tcPr>
            <w:tcW w:w="14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Option is Not</w:t>
            </w:r>
          </w:p>
        </w:tc>
        <w:tc>
          <w:tcPr>
            <w:tcW w:w="140" w:type="dxa"/>
            <w:vAlign w:val="bottom"/>
          </w:tcPr>
          <w:p>
            <w:pPr>
              <w:spacing w:after="0"/>
              <w:rPr>
                <w:sz w:val="14"/>
                <w:szCs w:val="14"/>
                <w:color w:val="auto"/>
              </w:rPr>
            </w:pPr>
          </w:p>
        </w:tc>
        <w:tc>
          <w:tcPr>
            <w:tcW w:w="124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7"/>
              </w:rPr>
              <w:t>Option is Not</w:t>
            </w:r>
          </w:p>
        </w:tc>
        <w:tc>
          <w:tcPr>
            <w:tcW w:w="140" w:type="dxa"/>
            <w:vAlign w:val="bottom"/>
          </w:tcPr>
          <w:p>
            <w:pPr>
              <w:spacing w:after="0"/>
              <w:rPr>
                <w:sz w:val="14"/>
                <w:szCs w:val="14"/>
                <w:color w:val="auto"/>
              </w:rPr>
            </w:pPr>
          </w:p>
        </w:tc>
        <w:tc>
          <w:tcPr>
            <w:tcW w:w="94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8"/>
              </w:rPr>
              <w:t>Option is</w:t>
            </w:r>
          </w:p>
        </w:tc>
        <w:tc>
          <w:tcPr>
            <w:tcW w:w="120" w:type="dxa"/>
            <w:vAlign w:val="bottom"/>
          </w:tcPr>
          <w:p>
            <w:pPr>
              <w:spacing w:after="0"/>
              <w:rPr>
                <w:sz w:val="14"/>
                <w:szCs w:val="14"/>
                <w:color w:val="auto"/>
              </w:rPr>
            </w:pPr>
          </w:p>
        </w:tc>
        <w:tc>
          <w:tcPr>
            <w:tcW w:w="124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8"/>
              </w:rPr>
              <w:t>Option is</w:t>
            </w:r>
          </w:p>
        </w:tc>
        <w:tc>
          <w:tcPr>
            <w:tcW w:w="40" w:type="dxa"/>
            <w:vAlign w:val="bottom"/>
          </w:tcPr>
          <w:p>
            <w:pPr>
              <w:spacing w:after="0"/>
              <w:rPr>
                <w:sz w:val="14"/>
                <w:szCs w:val="14"/>
                <w:color w:val="auto"/>
              </w:rPr>
            </w:pPr>
          </w:p>
        </w:tc>
      </w:tr>
      <w:tr>
        <w:trPr>
          <w:trHeight w:val="214"/>
        </w:trPr>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6"/>
              </w:rPr>
              <w:t>this Offering</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Exercised</w:t>
            </w:r>
          </w:p>
        </w:tc>
        <w:tc>
          <w:tcPr>
            <w:tcW w:w="1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2"/>
              </w:rPr>
              <w:t>Exercised</w:t>
            </w:r>
            <w:r>
              <w:rPr>
                <w:rFonts w:ascii="Times New Roman" w:cs="Times New Roman" w:eastAsia="Times New Roman" w:hAnsi="Times New Roman"/>
                <w:sz w:val="17"/>
                <w:szCs w:val="17"/>
                <w:b w:val="1"/>
                <w:bCs w:val="1"/>
                <w:color w:val="auto"/>
                <w:w w:val="92"/>
                <w:vertAlign w:val="superscript"/>
              </w:rPr>
              <w:t>(1)</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Exercised</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Exercised</w:t>
            </w:r>
            <w:r>
              <w:rPr>
                <w:rFonts w:ascii="Times New Roman" w:cs="Times New Roman" w:eastAsia="Times New Roman" w:hAnsi="Times New Roman"/>
                <w:sz w:val="17"/>
                <w:szCs w:val="17"/>
                <w:b w:val="1"/>
                <w:bCs w:val="1"/>
                <w:color w:val="auto"/>
                <w:w w:val="94"/>
                <w:vertAlign w:val="superscript"/>
              </w:rPr>
              <w:t>(1)</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120" w:type="dxa"/>
            <w:vAlign w:val="bottom"/>
            <w:tcBorders>
              <w:right w:val="single" w:sz="8" w:color="auto"/>
            </w:tcBorders>
          </w:tcPr>
          <w:p>
            <w:pPr>
              <w:spacing w:after="0" w:line="20" w:lineRule="exact"/>
              <w:rPr>
                <w:sz w:val="1"/>
                <w:szCs w:val="1"/>
                <w:color w:val="auto"/>
              </w:rPr>
            </w:pPr>
          </w:p>
        </w:tc>
        <w:tc>
          <w:tcPr>
            <w:tcW w:w="1200" w:type="dxa"/>
            <w:vAlign w:val="bottom"/>
            <w:gridSpan w:val="3"/>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240" w:type="dxa"/>
            <w:vAlign w:val="bottom"/>
            <w:gridSpan w:val="3"/>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340" w:type="dxa"/>
            <w:vAlign w:val="bottom"/>
            <w:gridSpan w:val="4"/>
          </w:tcPr>
          <w:p>
            <w:pPr>
              <w:jc w:val="right"/>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Number  </w:t>
            </w: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Percent </w:t>
            </w:r>
            <w:r>
              <w:rPr>
                <w:rFonts w:ascii="Times New Roman" w:cs="Times New Roman" w:eastAsia="Times New Roman" w:hAnsi="Times New Roman"/>
                <w:sz w:val="27"/>
                <w:szCs w:val="27"/>
                <w:b w:val="1"/>
                <w:bCs w:val="1"/>
                <w:color w:val="auto"/>
                <w:vertAlign w:val="subscript"/>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380" w:type="dxa"/>
            <w:vAlign w:val="bottom"/>
            <w:gridSpan w:val="4"/>
          </w:tcPr>
          <w:p>
            <w:pPr>
              <w:jc w:val="right"/>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Number  </w:t>
            </w: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Percent </w:t>
            </w:r>
            <w:r>
              <w:rPr>
                <w:rFonts w:ascii="Times New Roman" w:cs="Times New Roman" w:eastAsia="Times New Roman" w:hAnsi="Times New Roman"/>
                <w:sz w:val="27"/>
                <w:szCs w:val="27"/>
                <w:b w:val="1"/>
                <w:bCs w:val="1"/>
                <w:color w:val="auto"/>
                <w:vertAlign w:val="subscript"/>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280" w:type="dxa"/>
            <w:vAlign w:val="bottom"/>
            <w:gridSpan w:val="4"/>
          </w:tcPr>
          <w:p>
            <w:pPr>
              <w:jc w:val="right"/>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Number  </w:t>
            </w: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Percent</w:t>
            </w:r>
            <w:r>
              <w:rPr>
                <w:rFonts w:ascii="Times New Roman" w:cs="Times New Roman" w:eastAsia="Times New Roman" w:hAnsi="Times New Roman"/>
                <w:sz w:val="27"/>
                <w:szCs w:val="27"/>
                <w:b w:val="1"/>
                <w:bCs w:val="1"/>
                <w:color w:val="auto"/>
                <w:vertAlign w:val="subscript"/>
              </w:rPr>
              <w:t>​</w:t>
            </w:r>
          </w:p>
        </w:tc>
      </w:tr>
      <w:tr>
        <w:trPr>
          <w:trHeight w:val="20"/>
        </w:trPr>
        <w:tc>
          <w:tcPr>
            <w:tcW w:w="12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3582035</wp:posOffset>
            </wp:positionH>
            <wp:positionV relativeFrom="paragraph">
              <wp:posOffset>-7620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3067685</wp:posOffset>
            </wp:positionH>
            <wp:positionV relativeFrom="paragraph">
              <wp:posOffset>-7620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2390140</wp:posOffset>
            </wp:positionH>
            <wp:positionV relativeFrom="paragraph">
              <wp:posOffset>-7620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2030095</wp:posOffset>
            </wp:positionH>
            <wp:positionV relativeFrom="paragraph">
              <wp:posOffset>-7620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1515745</wp:posOffset>
            </wp:positionH>
            <wp:positionV relativeFrom="paragraph">
              <wp:posOffset>-7620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838835</wp:posOffset>
            </wp:positionH>
            <wp:positionV relativeFrom="paragraph">
              <wp:posOffset>-7620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478790</wp:posOffset>
            </wp:positionH>
            <wp:positionV relativeFrom="paragraph">
              <wp:posOffset>-7620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1" w:lineRule="auto"/>
        <w:tabs>
          <w:tab w:leader="none" w:pos="1580" w:val="left"/>
          <w:tab w:leader="none" w:pos="2360" w:val="left"/>
        </w:tabs>
        <w:rPr>
          <w:sz w:val="20"/>
          <w:szCs w:val="20"/>
          <w:color w:val="auto"/>
        </w:rPr>
      </w:pPr>
      <w:r>
        <w:rPr>
          <w:rFonts w:ascii="Times New Roman" w:cs="Times New Roman" w:eastAsia="Times New Roman" w:hAnsi="Times New Roman"/>
          <w:sz w:val="30"/>
          <w:szCs w:val="30"/>
          <w:color w:val="auto"/>
          <w:vertAlign w:val="subscript"/>
          <w:shd w:val="clear" w:color="auto" w:fill="CCEEFF"/>
        </w:rPr>
        <w:t>​​​</w:t>
      </w:r>
      <w:r>
        <w:rPr>
          <w:rFonts w:ascii="Times New Roman" w:cs="Times New Roman" w:eastAsia="Times New Roman" w:hAnsi="Times New Roman"/>
          <w:sz w:val="15"/>
          <w:szCs w:val="15"/>
          <w:color w:val="auto"/>
          <w:shd w:val="clear" w:color="auto" w:fill="CCEEFF"/>
        </w:rPr>
        <w:t>​15,392,497</w:t>
      </w:r>
      <w:r>
        <w:rPr>
          <w:rFonts w:ascii="Times New Roman" w:cs="Times New Roman" w:eastAsia="Times New Roman" w:hAnsi="Times New Roman"/>
          <w:sz w:val="30"/>
          <w:szCs w:val="30"/>
          <w:color w:val="auto"/>
          <w:vertAlign w:val="subscript"/>
          <w:shd w:val="clear" w:color="auto" w:fill="CCEEFF"/>
        </w:rPr>
        <w:t>​​​</w:t>
      </w:r>
      <w:r>
        <w:rPr>
          <w:rFonts w:ascii="Times New Roman" w:cs="Times New Roman" w:eastAsia="Times New Roman" w:hAnsi="Times New Roman"/>
          <w:sz w:val="15"/>
          <w:szCs w:val="15"/>
          <w:color w:val="auto"/>
          <w:shd w:val="clear" w:color="auto" w:fill="CCEEFF"/>
        </w:rPr>
        <w:t xml:space="preserve"> </w:t>
      </w:r>
      <w:r>
        <w:rPr>
          <w:rFonts w:ascii="Times New Roman" w:cs="Times New Roman" w:eastAsia="Times New Roman" w:hAnsi="Times New Roman"/>
          <w:sz w:val="30"/>
          <w:szCs w:val="30"/>
          <w:color w:val="auto"/>
          <w:vertAlign w:val="subscript"/>
          <w:shd w:val="clear" w:color="auto" w:fill="CCEEFF"/>
        </w:rPr>
        <w:t>​</w:t>
      </w:r>
      <w:r>
        <w:rPr>
          <w:rFonts w:ascii="Times New Roman" w:cs="Times New Roman" w:eastAsia="Times New Roman" w:hAnsi="Times New Roman"/>
          <w:sz w:val="15"/>
          <w:szCs w:val="15"/>
          <w:color w:val="auto"/>
          <w:shd w:val="clear" w:color="auto" w:fill="CCEEFF"/>
        </w:rPr>
        <w:t>28.4%</w:t>
      </w:r>
      <w:r>
        <w:rPr>
          <w:rFonts w:ascii="Times New Roman" w:cs="Times New Roman" w:eastAsia="Times New Roman" w:hAnsi="Times New Roman"/>
          <w:sz w:val="30"/>
          <w:szCs w:val="30"/>
          <w:color w:val="auto"/>
          <w:vertAlign w:val="subscript"/>
          <w:shd w:val="clear" w:color="auto" w:fill="CCEEFF"/>
        </w:rPr>
        <w:t>​​​</w:t>
      </w:r>
      <w:r>
        <w:rPr>
          <w:rFonts w:ascii="Times New Roman" w:cs="Times New Roman" w:eastAsia="Times New Roman" w:hAnsi="Times New Roman"/>
          <w:sz w:val="15"/>
          <w:szCs w:val="15"/>
          <w:color w:val="auto"/>
          <w:shd w:val="clear" w:color="auto" w:fill="CCEEFF"/>
        </w:rPr>
        <w:tab/>
        <w:t>​4,000,000</w:t>
      </w:r>
      <w:r>
        <w:rPr>
          <w:sz w:val="20"/>
          <w:szCs w:val="20"/>
          <w:color w:val="auto"/>
        </w:rPr>
        <w:tab/>
      </w:r>
      <w:r>
        <w:rPr>
          <w:rFonts w:ascii="Times New Roman" w:cs="Times New Roman" w:eastAsia="Times New Roman" w:hAnsi="Times New Roman"/>
          <w:sz w:val="30"/>
          <w:szCs w:val="30"/>
          <w:color w:val="auto"/>
          <w:vertAlign w:val="subscript"/>
          <w:shd w:val="clear" w:color="auto" w:fill="CCEEFF"/>
        </w:rPr>
        <w:t>​​​​</w:t>
      </w:r>
      <w:r>
        <w:rPr>
          <w:rFonts w:ascii="Times New Roman" w:cs="Times New Roman" w:eastAsia="Times New Roman" w:hAnsi="Times New Roman"/>
          <w:sz w:val="30"/>
          <w:szCs w:val="30"/>
          <w:color w:val="auto"/>
          <w:shd w:val="clear" w:color="auto" w:fill="CCEEFF"/>
        </w:rPr>
        <w:t>​11,392,497</w:t>
      </w:r>
      <w:r>
        <w:rPr>
          <w:rFonts w:ascii="Times New Roman" w:cs="Times New Roman" w:eastAsia="Times New Roman" w:hAnsi="Times New Roman"/>
          <w:sz w:val="30"/>
          <w:szCs w:val="30"/>
          <w:color w:val="auto"/>
          <w:vertAlign w:val="subscript"/>
          <w:shd w:val="clear" w:color="auto" w:fill="CCEEFF"/>
        </w:rPr>
        <w:t>​​​</w:t>
      </w:r>
      <w:r>
        <w:rPr>
          <w:rFonts w:ascii="Times New Roman" w:cs="Times New Roman" w:eastAsia="Times New Roman" w:hAnsi="Times New Roman"/>
          <w:sz w:val="30"/>
          <w:szCs w:val="30"/>
          <w:color w:val="auto"/>
          <w:shd w:val="clear" w:color="auto" w:fill="CCEEFF"/>
        </w:rPr>
        <w:t xml:space="preserve"> </w:t>
      </w:r>
      <w:r>
        <w:rPr>
          <w:rFonts w:ascii="Times New Roman" w:cs="Times New Roman" w:eastAsia="Times New Roman" w:hAnsi="Times New Roman"/>
          <w:sz w:val="30"/>
          <w:szCs w:val="30"/>
          <w:color w:val="auto"/>
          <w:vertAlign w:val="subscript"/>
          <w:shd w:val="clear" w:color="auto" w:fill="CCEEFF"/>
        </w:rPr>
        <w:t>​</w:t>
      </w:r>
      <w:r>
        <w:rPr>
          <w:rFonts w:ascii="Times New Roman" w:cs="Times New Roman" w:eastAsia="Times New Roman" w:hAnsi="Times New Roman"/>
          <w:sz w:val="15"/>
          <w:szCs w:val="15"/>
          <w:color w:val="auto"/>
          <w:shd w:val="clear" w:color="auto" w:fill="CCEEFF"/>
        </w:rPr>
        <w:t>21.2%</w:t>
      </w:r>
      <w:r>
        <w:rPr>
          <w:rFonts w:ascii="Times New Roman" w:cs="Times New Roman" w:eastAsia="Times New Roman" w:hAnsi="Times New Roman"/>
          <w:sz w:val="30"/>
          <w:szCs w:val="30"/>
          <w:color w:val="auto"/>
          <w:vertAlign w:val="subscript"/>
          <w:shd w:val="clear" w:color="auto" w:fill="CCEEFF"/>
        </w:rPr>
        <w:t>​​​</w:t>
      </w:r>
      <w:r>
        <w:rPr>
          <w:rFonts w:ascii="Times New Roman" w:cs="Times New Roman" w:eastAsia="Times New Roman" w:hAnsi="Times New Roman"/>
          <w:sz w:val="30"/>
          <w:szCs w:val="30"/>
          <w:color w:val="auto"/>
          <w:shd w:val="clear" w:color="auto" w:fill="CCEEFF"/>
        </w:rPr>
        <w:t xml:space="preserve">  </w:t>
      </w:r>
      <w:r>
        <w:rPr>
          <w:rFonts w:ascii="Times New Roman" w:cs="Times New Roman" w:eastAsia="Times New Roman" w:hAnsi="Times New Roman"/>
          <w:sz w:val="15"/>
          <w:szCs w:val="15"/>
          <w:color w:val="auto"/>
          <w:shd w:val="clear" w:color="auto" w:fill="CCEEFF"/>
        </w:rPr>
        <w:t>​4,600,000</w:t>
      </w:r>
      <w:r>
        <w:rPr>
          <w:rFonts w:ascii="Times New Roman" w:cs="Times New Roman" w:eastAsia="Times New Roman" w:hAnsi="Times New Roman"/>
          <w:sz w:val="30"/>
          <w:szCs w:val="30"/>
          <w:color w:val="auto"/>
          <w:shd w:val="clear" w:color="auto" w:fill="CCEEFF"/>
        </w:rPr>
        <w:t xml:space="preserve">  </w:t>
      </w:r>
      <w:r>
        <w:rPr>
          <w:rFonts w:ascii="Times New Roman" w:cs="Times New Roman" w:eastAsia="Times New Roman" w:hAnsi="Times New Roman"/>
          <w:sz w:val="30"/>
          <w:szCs w:val="30"/>
          <w:color w:val="auto"/>
          <w:vertAlign w:val="subscript"/>
          <w:shd w:val="clear" w:color="auto" w:fill="CCEEFF"/>
        </w:rPr>
        <w:t>​​​​</w:t>
      </w:r>
      <w:r>
        <w:rPr>
          <w:rFonts w:ascii="Times New Roman" w:cs="Times New Roman" w:eastAsia="Times New Roman" w:hAnsi="Times New Roman"/>
          <w:sz w:val="15"/>
          <w:szCs w:val="15"/>
          <w:color w:val="auto"/>
          <w:shd w:val="clear" w:color="auto" w:fill="CCEEFF"/>
        </w:rPr>
        <w:t>​10,792,497</w:t>
      </w:r>
      <w:r>
        <w:rPr>
          <w:rFonts w:ascii="Times New Roman" w:cs="Times New Roman" w:eastAsia="Times New Roman" w:hAnsi="Times New Roman"/>
          <w:sz w:val="30"/>
          <w:szCs w:val="30"/>
          <w:color w:val="auto"/>
          <w:vertAlign w:val="subscript"/>
          <w:shd w:val="clear" w:color="auto" w:fill="CCEEFF"/>
        </w:rPr>
        <w:t>​​​</w:t>
      </w:r>
      <w:r>
        <w:rPr>
          <w:rFonts w:ascii="Times New Roman" w:cs="Times New Roman" w:eastAsia="Times New Roman" w:hAnsi="Times New Roman"/>
          <w:sz w:val="30"/>
          <w:szCs w:val="30"/>
          <w:color w:val="auto"/>
          <w:shd w:val="clear" w:color="auto" w:fill="CCEEFF"/>
        </w:rPr>
        <w:t xml:space="preserve"> </w:t>
      </w:r>
      <w:r>
        <w:rPr>
          <w:rFonts w:ascii="Times New Roman" w:cs="Times New Roman" w:eastAsia="Times New Roman" w:hAnsi="Times New Roman"/>
          <w:sz w:val="30"/>
          <w:szCs w:val="30"/>
          <w:color w:val="auto"/>
          <w:vertAlign w:val="subscript"/>
          <w:shd w:val="clear" w:color="auto" w:fill="CCEEFF"/>
        </w:rPr>
        <w:t>​</w:t>
      </w:r>
      <w:r>
        <w:rPr>
          <w:rFonts w:ascii="Times New Roman" w:cs="Times New Roman" w:eastAsia="Times New Roman" w:hAnsi="Times New Roman"/>
          <w:sz w:val="15"/>
          <w:szCs w:val="15"/>
          <w:color w:val="auto"/>
          <w:shd w:val="clear" w:color="auto" w:fill="CCEEFF"/>
        </w:rPr>
        <w:t>20.1%</w:t>
      </w:r>
      <w:r>
        <w:rPr>
          <w:rFonts w:ascii="Times New Roman" w:cs="Times New Roman" w:eastAsia="Times New Roman" w:hAnsi="Times New Roman"/>
          <w:sz w:val="30"/>
          <w:szCs w:val="30"/>
          <w:b w:val="1"/>
          <w:bCs w:val="1"/>
          <w:color w:val="auto"/>
          <w:vertAlign w:val="subscript"/>
        </w:rPr>
        <w:t>​</w:t>
      </w:r>
    </w:p>
    <w:p>
      <w:pPr>
        <w:spacing w:after="0" w:line="200" w:lineRule="exact"/>
        <w:rPr>
          <w:sz w:val="20"/>
          <w:szCs w:val="20"/>
          <w:color w:val="auto"/>
        </w:rPr>
      </w:pPr>
    </w:p>
    <w:p>
      <w:pPr>
        <w:sectPr>
          <w:pgSz w:w="11900" w:h="16838" w:orient="portrait"/>
          <w:cols w:equalWidth="0" w:num="2">
            <w:col w:w="3120" w:space="140"/>
            <w:col w:w="6619"/>
          </w:cols>
          <w:pgMar w:left="580" w:top="97" w:right="1440" w:bottom="1440" w:gutter="0" w:footer="0" w:header="0"/>
          <w:type w:val="continuous"/>
        </w:sectPr>
      </w:pPr>
    </w:p>
    <w:p>
      <w:pPr>
        <w:spacing w:after="0" w:line="155" w:lineRule="exact"/>
        <w:rPr>
          <w:sz w:val="20"/>
          <w:szCs w:val="20"/>
          <w:color w:val="auto"/>
        </w:rPr>
      </w:pPr>
    </w:p>
    <w:p>
      <w:pPr>
        <w:jc w:val="both"/>
        <w:ind w:left="1620" w:right="479" w:hanging="360"/>
        <w:spacing w:after="0" w:line="266" w:lineRule="auto"/>
        <w:tabs>
          <w:tab w:leader="none" w:pos="1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beneficial ownership of our common stock after this offering is based on 54,133,851 shares of common stock outstanding as of September 30, 2023 and gives effect to the repurchase by us of 312,500 shares of common stock from the underwriter in the Concurrent Share Repurchase.</w:t>
      </w:r>
    </w:p>
    <w:p>
      <w:pPr>
        <w:spacing w:after="0" w:line="40" w:lineRule="exact"/>
        <w:rPr>
          <w:rFonts w:ascii="Times New Roman" w:cs="Times New Roman" w:eastAsia="Times New Roman" w:hAnsi="Times New Roman"/>
          <w:sz w:val="18"/>
          <w:szCs w:val="18"/>
          <w:color w:val="auto"/>
        </w:rPr>
      </w:pPr>
    </w:p>
    <w:p>
      <w:pPr>
        <w:ind w:left="1620" w:right="519" w:hanging="360"/>
        <w:spacing w:after="0" w:line="258" w:lineRule="auto"/>
        <w:tabs>
          <w:tab w:leader="none" w:pos="1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 Horus Holdings, LLC is managed by a board of directors consisting of James Elworth, Antoine Munfakh and Richard Offutt. Messrs. Elworth, Munfakh and Offutt each disclaim any beneficial ownership of the shares of common stock held by SCA Horus Holdings, LLC except to the extent of their pecuniary interest therein. The address for SCA Horus Holdings, LLC is 9 West 57th Street, 43rd Floor, New York, New York 10019.</w:t>
      </w:r>
    </w:p>
    <w:p>
      <w:pPr>
        <w:spacing w:after="0" w:line="179"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Material Relationships with Selling Stockholder</w:t>
      </w:r>
    </w:p>
    <w:p>
      <w:pPr>
        <w:spacing w:after="0" w:line="148" w:lineRule="exact"/>
        <w:rPr>
          <w:sz w:val="20"/>
          <w:szCs w:val="20"/>
          <w:color w:val="auto"/>
        </w:rPr>
      </w:pPr>
    </w:p>
    <w:p>
      <w:pPr>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The Apollo Stockholder is an affiliate of Apollo. Additionally, the Apollo Stockholder is a party to the Income Tax Receivable Agreement, the Stockholders Agreement and the Registration Rights Agreement, each of which provides Apollo with certain governance and other rights. For more information on each of these agreements, please refer to the descriptions of these agreements found in our filings, which are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b w:val="1"/>
          <w:bCs w:val="1"/>
          <w:color w:val="auto"/>
        </w:rPr>
        <w:t>CERTAIN MATERIAL U.S. FEDERAL INCOME TAX CONSIDERATIONS</w:t>
      </w:r>
    </w:p>
    <w:p>
      <w:pPr>
        <w:spacing w:after="0" w:line="162" w:lineRule="exact"/>
        <w:rPr>
          <w:sz w:val="20"/>
          <w:szCs w:val="20"/>
          <w:color w:val="auto"/>
        </w:rPr>
      </w:pPr>
    </w:p>
    <w:p>
      <w:pPr>
        <w:ind w:left="1260" w:right="519" w:firstLine="360"/>
        <w:spacing w:after="0" w:line="253" w:lineRule="auto"/>
        <w:rPr>
          <w:sz w:val="20"/>
          <w:szCs w:val="20"/>
          <w:color w:val="auto"/>
        </w:rPr>
      </w:pPr>
      <w:r>
        <w:rPr>
          <w:rFonts w:ascii="Times New Roman" w:cs="Times New Roman" w:eastAsia="Times New Roman" w:hAnsi="Times New Roman"/>
          <w:sz w:val="18"/>
          <w:szCs w:val="18"/>
          <w:color w:val="auto"/>
        </w:rPr>
        <w:t>The following is a discussion of certain material U.S. federal income tax considerations applicable to Non-U.S. Holders (as defined below) with respect to the ownership and disposition of our common stock. The following discussion is based upon current provisions of the Internal Revenue Code of 1986, as amended (the “Code”), U.S. judicial decisions, administrative pronouncements and existing and proposed Treasury regulations, all as in effect as of the date hereof. All of the preceding authorities are subject to change at any time, possibly with retroactive effect, so as to result in U.S. federal income tax consequences different from those discussed below. We have not requested, and will not request, a ruling from the U.S. Internal Revenue Service (the “IRS”) with respect to any of the U.S. federal income tax consequences described below, and as a result there can be no assurance that the IRS will not disagree with or challenge any of the conclusions we have reached and describe herein.</w:t>
      </w:r>
    </w:p>
    <w:p>
      <w:pPr>
        <w:spacing w:after="0" w:line="127"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This discussion addresses only beneficial owners of our common stock that hold such common stock as a capital asset within the meaning of Section 1221 of the Code (generally, property held for investment) and that are Non-U.S. Holders (as defined below). This discussion does not address all aspects of U.S. federal income taxation that may be important to a Non-U.S. Holder in light of such Non-U.S. Holder’s particular circumstances or that may be applicable to Non-U.S. Holders subject to special treatment under U.S. federal income tax law (including, for example, financial institutions, regulated investment companies, foreign governments, real estate investment trusts, dealers in securities, traders in securities that elect mark-to-market treatment, insurance companies, tax-exempt entities, Non-U.S. Holders who acquire our common stock pursuant to the exercise of employee stock options or otherwise as compensation for their services, Non-U.S. Holders liable for the alternative minimum tax, Non-U.S. Holders required to conform the timing of income accruals to financial statements pursuant to Section 451 of the Code, controlled foreign corporations, passive foreign investment companies, former citizens or former long-term residents of the United States, and Non-U.S. Holders that hold our common stock as part of a hedge, straddle, other integrated transaction, constructive sale or conversion transaction). In addition, this discussion does not address U.S. federal tax laws other than those pertaining to U.S. federal income tax (such as U.S. federal estate or gift tax, the Medicare contribution tax on certain net investment income, or the alternative minimum tax), nor does it address any aspects of U.S. state, local or non-U.S. taxes. Non-U.S. Holders are urged to consult with their own tax advisors regarding the possible application of these taxes.</w:t>
      </w:r>
    </w:p>
    <w:p>
      <w:pPr>
        <w:spacing w:after="0" w:line="111" w:lineRule="exact"/>
        <w:rPr>
          <w:sz w:val="20"/>
          <w:szCs w:val="20"/>
          <w:color w:val="auto"/>
        </w:rPr>
      </w:pPr>
    </w:p>
    <w:p>
      <w:pPr>
        <w:ind w:left="1260" w:right="519" w:firstLine="360"/>
        <w:spacing w:after="0" w:line="282" w:lineRule="auto"/>
        <w:rPr>
          <w:sz w:val="20"/>
          <w:szCs w:val="20"/>
          <w:color w:val="auto"/>
        </w:rPr>
      </w:pPr>
      <w:r>
        <w:rPr>
          <w:rFonts w:ascii="Times New Roman" w:cs="Times New Roman" w:eastAsia="Times New Roman" w:hAnsi="Times New Roman"/>
          <w:sz w:val="18"/>
          <w:szCs w:val="18"/>
          <w:color w:val="auto"/>
        </w:rPr>
        <w:t>For purposes of this discussion, the term “Non-U.S. Holder” means a beneficial owner of our common stock that is an individual, corporation, estate or trust, other than:</w:t>
      </w:r>
    </w:p>
    <w:p>
      <w:pPr>
        <w:spacing w:after="0" w:line="54" w:lineRule="exact"/>
        <w:rPr>
          <w:sz w:val="20"/>
          <w:szCs w:val="20"/>
          <w:color w:val="auto"/>
        </w:rPr>
      </w:pPr>
    </w:p>
    <w:p>
      <w:pPr>
        <w:ind w:left="1800" w:right="499" w:hanging="180"/>
        <w:spacing w:after="0" w:line="282"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 as determined for U.S. federal income tax purposes;</w:t>
      </w:r>
    </w:p>
    <w:p>
      <w:pPr>
        <w:spacing w:after="0" w:line="53" w:lineRule="exact"/>
        <w:rPr>
          <w:rFonts w:ascii="Times New Roman" w:cs="Times New Roman" w:eastAsia="Times New Roman" w:hAnsi="Times New Roman"/>
          <w:sz w:val="18"/>
          <w:szCs w:val="18"/>
          <w:color w:val="auto"/>
        </w:rPr>
      </w:pPr>
    </w:p>
    <w:p>
      <w:pPr>
        <w:ind w:left="1800" w:right="599" w:hanging="180"/>
        <w:spacing w:after="0" w:line="266"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for U.S. federal income tax purposes, created or organized in the United States or under the laws of the United States, any state thereof or the District of Columbia;</w:t>
      </w:r>
    </w:p>
    <w:p>
      <w:pPr>
        <w:spacing w:after="0" w:line="67" w:lineRule="exact"/>
        <w:rPr>
          <w:rFonts w:ascii="Times New Roman" w:cs="Times New Roman" w:eastAsia="Times New Roman" w:hAnsi="Times New Roman"/>
          <w:sz w:val="18"/>
          <w:szCs w:val="18"/>
          <w:color w:val="auto"/>
        </w:rPr>
      </w:pPr>
    </w:p>
    <w:p>
      <w:pPr>
        <w:ind w:left="1800" w:right="739" w:hanging="180"/>
        <w:spacing w:after="0" w:line="282"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includible in gross income for U.S. federal income tax purposes regardless of its source; or</w:t>
      </w:r>
    </w:p>
    <w:p>
      <w:pPr>
        <w:spacing w:after="0" w:line="53" w:lineRule="exact"/>
        <w:rPr>
          <w:rFonts w:ascii="Times New Roman" w:cs="Times New Roman" w:eastAsia="Times New Roman" w:hAnsi="Times New Roman"/>
          <w:sz w:val="18"/>
          <w:szCs w:val="18"/>
          <w:color w:val="auto"/>
        </w:rPr>
      </w:pPr>
    </w:p>
    <w:p>
      <w:pPr>
        <w:ind w:left="1800" w:right="619" w:hanging="180"/>
        <w:spacing w:after="0" w:line="261"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(i) a court within the United States is able to exercise primary supervision over the administration of the trust and one or more United States persons (as defined under the Code) have the authority to control all substantial decisions of the trust; or (ii) it has a valid election in effect under applicable Treasury regulations to be treated as a domestic trust.</w:t>
      </w:r>
    </w:p>
    <w:p>
      <w:pPr>
        <w:spacing w:after="0" w:line="112"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If an entity or arrangement treated as a partnership for U.S. federal income tax purposes holds shares of our common stock, the tax treatment of a person treated as a partner of such partnership generally will depend on the status of the partner and the activities of the partnership. Persons that, for U.S. federal income tax purposes, are treated as partners in a partnership holding shares of our common stock are urged to consult their own tax advisors.</w:t>
      </w:r>
    </w:p>
    <w:p>
      <w:pPr>
        <w:spacing w:after="0" w:line="116"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Prospective purchasers are urged to consult their tax advisors as to the particular consequences to them under U.S. federal, state and local, and applicable foreign tax laws of the acquisition, ownership and disposition of our common stock.</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Distributions</w:t>
      </w:r>
    </w:p>
    <w:p>
      <w:pPr>
        <w:spacing w:after="0" w:line="162"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 xml:space="preserve">Although we do not anticipate that we will make any distributions on our common stock in the foreseeable future, distributions of cash or property that we pay in respect of our common stock will constitute dividends for U.S. federal income tax purposes to the extent paid from our current or accumulated earnings and profits (as determined under U.S. federal income tax principles). Subject to the discussions below under “— </w:t>
      </w:r>
      <w:r>
        <w:rPr>
          <w:rFonts w:ascii="Times New Roman" w:cs="Times New Roman" w:eastAsia="Times New Roman" w:hAnsi="Times New Roman"/>
          <w:sz w:val="18"/>
          <w:szCs w:val="18"/>
          <w:i w:val="1"/>
          <w:iCs w:val="1"/>
          <w:color w:val="auto"/>
        </w:rPr>
        <w:t>U.S. Trade or Business Income</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Information Reporting and Backup Withholding</w:t>
      </w:r>
      <w:r>
        <w:rPr>
          <w:rFonts w:ascii="Times New Roman" w:cs="Times New Roman" w:eastAsia="Times New Roman" w:hAnsi="Times New Roman"/>
          <w:sz w:val="18"/>
          <w:szCs w:val="18"/>
          <w:color w:val="auto"/>
        </w:rPr>
        <w:t xml:space="preserve">” and “— </w:t>
      </w:r>
      <w:r>
        <w:rPr>
          <w:rFonts w:ascii="Times New Roman" w:cs="Times New Roman" w:eastAsia="Times New Roman" w:hAnsi="Times New Roman"/>
          <w:sz w:val="18"/>
          <w:szCs w:val="18"/>
          <w:i w:val="1"/>
          <w:iCs w:val="1"/>
          <w:color w:val="auto"/>
        </w:rPr>
        <w:t>FATCA</w:t>
      </w:r>
      <w:r>
        <w:rPr>
          <w:rFonts w:ascii="Times New Roman" w:cs="Times New Roman" w:eastAsia="Times New Roman" w:hAnsi="Times New Roman"/>
          <w:sz w:val="18"/>
          <w:szCs w:val="18"/>
          <w:color w:val="auto"/>
        </w:rPr>
        <w:t>,” you generally will be subject to U.S. federal withholding tax at a 30% rate, or at a reduced rate prescribed by an applicable income tax treaty, on any dividends received in respect of our common stock.</w:t>
      </w:r>
    </w:p>
    <w:p>
      <w:pPr>
        <w:spacing w:after="0" w:line="121" w:lineRule="exact"/>
        <w:rPr>
          <w:sz w:val="20"/>
          <w:szCs w:val="20"/>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color w:val="auto"/>
        </w:rPr>
        <w:t>If the amount of the distribution exceeds our current and accumulated earnings and profits, such excess first will be treated as a return of capital to the extent of your tax basis in our common stock, and thereafter will be treated as capital gain. However, except to the extent that we elect (or the paying agent or other intermediary through which you hold your common stock elects) otherwise, we (or the intermediary) must generally withhold at the applicable rate on the entire distribution, in which case you would be entitled to a refund from the IRS for the withholding tax on the portion, if any, of the distribution that exceeded our current and accumulated earnings and profits.</w:t>
      </w:r>
    </w:p>
    <w:p>
      <w:pPr>
        <w:spacing w:after="0" w:line="108"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In order to obtain a reduced rate of U.S. federal withholding tax under an applicable income tax treaty, you will be required to provide a properly executed IRS Form W-8BEN or IRS Form W-8BEN-E (or, in each case, another applicable form or an appropriate successor form) certifying your entitlement to benefits under the treaty. If you are eligible for a reduced rate of U.S. federal withholding tax under an income tax treaty, you may obtain a refund or credit of any excess amounts withheld by filing an appropriate claim for a refund with the IRS. You are urged to consult your own tax advisor regarding your possible entitlement to benefits under an applicable income tax treaty.</w:t>
      </w:r>
    </w:p>
    <w:p>
      <w:pPr>
        <w:spacing w:after="0" w:line="121" w:lineRule="exact"/>
        <w:rPr>
          <w:sz w:val="20"/>
          <w:szCs w:val="20"/>
          <w:color w:val="auto"/>
        </w:rPr>
      </w:pPr>
    </w:p>
    <w:p>
      <w:pPr>
        <w:ind w:left="1260" w:right="899" w:firstLine="360"/>
        <w:spacing w:after="0" w:line="282" w:lineRule="auto"/>
        <w:rPr>
          <w:sz w:val="20"/>
          <w:szCs w:val="20"/>
          <w:color w:val="auto"/>
        </w:rPr>
      </w:pPr>
      <w:r>
        <w:rPr>
          <w:rFonts w:ascii="Times New Roman" w:cs="Times New Roman" w:eastAsia="Times New Roman" w:hAnsi="Times New Roman"/>
          <w:sz w:val="18"/>
          <w:szCs w:val="18"/>
          <w:color w:val="auto"/>
        </w:rPr>
        <w:t xml:space="preserve">Dividend income that is effectively connected with your conduct of a trade or business within the United States will be taxed in the manner described in “— </w:t>
      </w:r>
      <w:r>
        <w:rPr>
          <w:rFonts w:ascii="Times New Roman" w:cs="Times New Roman" w:eastAsia="Times New Roman" w:hAnsi="Times New Roman"/>
          <w:sz w:val="18"/>
          <w:szCs w:val="18"/>
          <w:i w:val="1"/>
          <w:iCs w:val="1"/>
          <w:color w:val="auto"/>
        </w:rPr>
        <w:t>U.S. Trade or Business Income</w:t>
      </w:r>
      <w:r>
        <w:rPr>
          <w:rFonts w:ascii="Times New Roman" w:cs="Times New Roman" w:eastAsia="Times New Roman" w:hAnsi="Times New Roman"/>
          <w:sz w:val="18"/>
          <w:szCs w:val="18"/>
          <w:color w:val="auto"/>
        </w:rPr>
        <w:t>” below.</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Sale, Exchange or Other Taxable Disposition of Common Stock</w:t>
      </w:r>
    </w:p>
    <w:p>
      <w:pPr>
        <w:spacing w:after="0" w:line="160" w:lineRule="exact"/>
        <w:rPr>
          <w:sz w:val="20"/>
          <w:szCs w:val="20"/>
          <w:color w:val="auto"/>
        </w:rPr>
      </w:pPr>
    </w:p>
    <w:p>
      <w:pPr>
        <w:ind w:left="1260" w:right="439" w:firstLine="360"/>
        <w:spacing w:after="0" w:line="264" w:lineRule="auto"/>
        <w:rPr>
          <w:sz w:val="20"/>
          <w:szCs w:val="20"/>
          <w:color w:val="auto"/>
        </w:rPr>
      </w:pPr>
      <w:r>
        <w:rPr>
          <w:rFonts w:ascii="Times New Roman" w:cs="Times New Roman" w:eastAsia="Times New Roman" w:hAnsi="Times New Roman"/>
          <w:sz w:val="18"/>
          <w:szCs w:val="18"/>
          <w:color w:val="auto"/>
        </w:rPr>
        <w:t xml:space="preserve">Subject to the discussions below under “— </w:t>
      </w:r>
      <w:r>
        <w:rPr>
          <w:rFonts w:ascii="Times New Roman" w:cs="Times New Roman" w:eastAsia="Times New Roman" w:hAnsi="Times New Roman"/>
          <w:sz w:val="18"/>
          <w:szCs w:val="18"/>
          <w:i w:val="1"/>
          <w:iCs w:val="1"/>
          <w:color w:val="auto"/>
        </w:rPr>
        <w:t>U.S. Trade or Business Income</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Information Reporting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Backup Withholding</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 xml:space="preserve"> FATCA</w:t>
      </w:r>
      <w:r>
        <w:rPr>
          <w:rFonts w:ascii="Times New Roman" w:cs="Times New Roman" w:eastAsia="Times New Roman" w:hAnsi="Times New Roman"/>
          <w:sz w:val="18"/>
          <w:szCs w:val="18"/>
          <w:color w:val="auto"/>
        </w:rPr>
        <w:t>,” you generally will not be subject to U.S. federal income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withholding tax in respect of any gain on a sale, exchange or other taxable disposition of our common stock unless:</w:t>
      </w:r>
    </w:p>
    <w:p>
      <w:pPr>
        <w:spacing w:after="0" w:line="291" w:lineRule="exact"/>
        <w:rPr>
          <w:sz w:val="20"/>
          <w:szCs w:val="20"/>
          <w:color w:val="auto"/>
        </w:rPr>
      </w:pPr>
    </w:p>
    <w:p>
      <w:pPr>
        <w:ind w:left="1800" w:right="619" w:hanging="180"/>
        <w:spacing w:after="0" w:line="282" w:lineRule="auto"/>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gain is effectively connected with your conduct of a U.S. trade or business, in which case, such gain will be taxed as described in “— </w:t>
      </w:r>
      <w:r>
        <w:rPr>
          <w:rFonts w:ascii="Times New Roman" w:cs="Times New Roman" w:eastAsia="Times New Roman" w:hAnsi="Times New Roman"/>
          <w:sz w:val="18"/>
          <w:szCs w:val="18"/>
          <w:i w:val="1"/>
          <w:iCs w:val="1"/>
          <w:color w:val="auto"/>
        </w:rPr>
        <w:t>U.S. Trade or Business Income</w:t>
      </w:r>
      <w:r>
        <w:rPr>
          <w:rFonts w:ascii="Times New Roman" w:cs="Times New Roman" w:eastAsia="Times New Roman" w:hAnsi="Times New Roman"/>
          <w:sz w:val="18"/>
          <w:szCs w:val="18"/>
          <w:color w:val="auto"/>
        </w:rPr>
        <w:t>” below;</w:t>
      </w:r>
    </w:p>
    <w:p>
      <w:pPr>
        <w:spacing w:after="0" w:line="53" w:lineRule="exact"/>
        <w:rPr>
          <w:rFonts w:ascii="Times New Roman" w:cs="Times New Roman" w:eastAsia="Times New Roman" w:hAnsi="Times New Roman"/>
          <w:sz w:val="18"/>
          <w:szCs w:val="18"/>
          <w:color w:val="auto"/>
        </w:rPr>
      </w:pPr>
    </w:p>
    <w:p>
      <w:pPr>
        <w:ind w:left="1800" w:right="459" w:hanging="180"/>
        <w:spacing w:after="0" w:line="257" w:lineRule="auto"/>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an individual who is present in the United States for 183 or more days in the taxable year of the disposition and certain other conditions are met, in which case you will be subject to U.S. federal income tax at a rate of 30% (or a reduced rate under an applicable income tax treaty) on the amount by which certain capital gains allocable to U.S. sources exceed certain capital losses allocable to U.S. sources (provided that you have timely filed U.S. federal income tax returns with respect to such losses); or</w:t>
      </w:r>
    </w:p>
    <w:p>
      <w:pPr>
        <w:spacing w:after="0" w:line="295" w:lineRule="exact"/>
        <w:rPr>
          <w:rFonts w:ascii="Times New Roman" w:cs="Times New Roman" w:eastAsia="Times New Roman" w:hAnsi="Times New Roman"/>
          <w:sz w:val="18"/>
          <w:szCs w:val="18"/>
          <w:color w:val="auto"/>
        </w:rPr>
      </w:pPr>
    </w:p>
    <w:p>
      <w:pPr>
        <w:ind w:left="1800" w:right="619" w:hanging="180"/>
        <w:spacing w:after="0" w:line="258" w:lineRule="auto"/>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are or have been a “United States real property holding corporation” (a​ “USRPHC”) as defined under Section 897 of the Code at any time during the shorter of the five-year period ending on the date of the disposition and your holding period for the common stock, in which case, subject to the exception set forth in the second sentence of the next paragraph, such gain will be subject to U.S. federal income tax as described in “— </w:t>
      </w:r>
      <w:r>
        <w:rPr>
          <w:rFonts w:ascii="Times New Roman" w:cs="Times New Roman" w:eastAsia="Times New Roman" w:hAnsi="Times New Roman"/>
          <w:sz w:val="18"/>
          <w:szCs w:val="18"/>
          <w:i w:val="1"/>
          <w:iCs w:val="1"/>
          <w:color w:val="auto"/>
        </w:rPr>
        <w:t>U.S. Trade or Business Income</w:t>
      </w:r>
      <w:r>
        <w:rPr>
          <w:rFonts w:ascii="Times New Roman" w:cs="Times New Roman" w:eastAsia="Times New Roman" w:hAnsi="Times New Roman"/>
          <w:sz w:val="18"/>
          <w:szCs w:val="18"/>
          <w:color w:val="auto"/>
        </w:rPr>
        <w:t>” below.</w:t>
      </w:r>
    </w:p>
    <w:p>
      <w:pPr>
        <w:spacing w:after="0" w:line="116"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color w:val="auto"/>
        </w:rPr>
        <w:t>In general, a corporation is a USRPHC if the fair market value of its “United States real property interests” equals or exceeds 50% of the sum of the fair market value of its worldwide real property interests and its other assets used or held for use in a trade or business. If we are determined to be a USRPHC, gain on a sale, exchange or other taxable disposition of our common stock will not be subject to tax as U.S. trade or business income if your holdings (direct and indirect, taking into account certain constructive ownership rules) at all times during the applicable period described in the third bullet point above constituted 5% or</w:t>
      </w:r>
    </w:p>
    <w:p>
      <w:pPr>
        <w:spacing w:after="0" w:line="36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81" w:lineRule="auto"/>
        <w:rPr>
          <w:sz w:val="20"/>
          <w:szCs w:val="20"/>
          <w:color w:val="auto"/>
        </w:rPr>
      </w:pPr>
      <w:r>
        <w:rPr>
          <w:rFonts w:ascii="Times New Roman" w:cs="Times New Roman" w:eastAsia="Times New Roman" w:hAnsi="Times New Roman"/>
          <w:sz w:val="18"/>
          <w:szCs w:val="18"/>
          <w:color w:val="auto"/>
        </w:rPr>
        <w:t>less of our common stock, provided that our common stock was regularly traded on an established securities market during such period. We believe that we are not currently, and we do not anticipate becoming in the future, a USRPHC.</w:t>
      </w:r>
    </w:p>
    <w:p>
      <w:pPr>
        <w:spacing w:after="0" w:line="16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U.S. Trade or Business Income</w:t>
      </w:r>
    </w:p>
    <w:p>
      <w:pPr>
        <w:spacing w:after="0" w:line="162" w:lineRule="exact"/>
        <w:rPr>
          <w:sz w:val="20"/>
          <w:szCs w:val="20"/>
          <w:color w:val="auto"/>
        </w:rPr>
      </w:pPr>
    </w:p>
    <w:p>
      <w:pPr>
        <w:ind w:left="1260" w:right="499" w:firstLine="360"/>
        <w:spacing w:after="0" w:line="263" w:lineRule="auto"/>
        <w:rPr>
          <w:sz w:val="20"/>
          <w:szCs w:val="20"/>
          <w:color w:val="auto"/>
        </w:rPr>
      </w:pPr>
      <w:r>
        <w:rPr>
          <w:rFonts w:ascii="Times New Roman" w:cs="Times New Roman" w:eastAsia="Times New Roman" w:hAnsi="Times New Roman"/>
          <w:sz w:val="18"/>
          <w:szCs w:val="18"/>
          <w:color w:val="auto"/>
        </w:rPr>
        <w:t xml:space="preserve">For purposes of this discussion, dividend income and gain on the sale, exchange or other taxable disposition of our common stock will be considered to be “U.S. trade or business income” if (A)(i) such income or gain is effectively connected with your conduct of a trade or business within the United States and (ii) you are eligible for the benefits of an income tax treaty with the United States and such treaty requires, such income or gain is attributable to a permanent establishment (or, if you are an individual, a fixed base) that you maintain in the United States or (B) with respect to gain, we are or have been a USRPHC at any time during the shorter of the five-year period ending on the date of the disposition of our common stock and your holding period for our common stock (subject to the 5% ownership exception set forth above in the second paragraph of “— </w:t>
      </w:r>
      <w:r>
        <w:rPr>
          <w:rFonts w:ascii="Times New Roman" w:cs="Times New Roman" w:eastAsia="Times New Roman" w:hAnsi="Times New Roman"/>
          <w:sz w:val="18"/>
          <w:szCs w:val="18"/>
          <w:i w:val="1"/>
          <w:iCs w:val="1"/>
          <w:color w:val="auto"/>
        </w:rPr>
        <w:t>Sale, Exchange or Other Taxable Disposition of 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Stock</w:t>
      </w:r>
      <w:r>
        <w:rPr>
          <w:rFonts w:ascii="Times New Roman" w:cs="Times New Roman" w:eastAsia="Times New Roman" w:hAnsi="Times New Roman"/>
          <w:sz w:val="18"/>
          <w:szCs w:val="18"/>
          <w:color w:val="auto"/>
        </w:rPr>
        <w:t>”). Generally, U.S. trade or business income is not subject to U.S. federal withholding tax (provided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you comply with applicable certification and disclosure requirements, including providing a properly executed IRS Form W-8ECI (or other applicable form or an appropriate successor form)); instead, you are subject to U.S. federal income tax on a net basis at regular U.S. federal income tax rates (generally in the same manner as a United States person (as defined under the Code)) on your U.S. trade or business income. If you are a corporation, any U.S. trade or business income that you receive may also be subject to a “branch profits tax” at a 30% rate, or at a lower rate prescribed by an applicable income tax treaty.</w:t>
      </w:r>
    </w:p>
    <w:p>
      <w:pPr>
        <w:spacing w:after="0" w:line="17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w:t>
      </w:r>
    </w:p>
    <w:p>
      <w:pPr>
        <w:spacing w:after="0" w:line="162"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We must annually report to the IRS and to each Non-U.S. Holder any dividend income that is subject to U.S. federal withholding tax or that is exempt from such withholding pursuant to an income tax treaty. Copies of these information returns may also be made available under the provisions of a specific treaty or agreement to the tax authorities of the country in which a Non-U.S. Holder resides. Under certain circumstances, the Code imposes a backup withholding obligation on certain reportable payments. Dividends paid to you will generally be exempt from backup withholding if you provide a properly executed IRS Form W-8BEN or IRS Form W-8BEN-E (or, in each case, an appropriate successor form) or otherwise establish an exemption and the applicable withholding agent does not have actual knowledge or reason to know that you are a United States persons (as defined under the Code) or that the conditions of such other exemption are not, in fact, satisfied.</w:t>
      </w:r>
    </w:p>
    <w:p>
      <w:pPr>
        <w:spacing w:after="0" w:line="337"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The payment of the proceeds from the disposition of our common stock to or through the U.S. office of any broker (U.S. or non-U.S.) will be subject to information reporting and possible backup withholding unless you certify as to your non-U.S. status under penalties of perjury or otherwise establish an exemption and the broker does not have actual knowledge or reason to know that you are a United States persons (as defined under the Code) or that the conditions of any other exemption are not, in fact, satisfied. The payment of proceeds from the disposition of our common stock to or through a non-U.S. office of a non-U.S. broker will not be subject to information reporting or backup withholding unless the non-U.S. broker has certain types of relationships with the United States (a “U.S. related financial intermediary”). In the case of the payment of proceeds from the disposition of our common stock to or through a non-U.S. office of a broker that is either a United States persons (as defined under the Code) or a U.S. related financial intermediary, the Treasury regulations require information reporting (but not backup withholding) on the payment unless the broker has documentary evidence in its files that the owner is not a United States persons (as defined under the Code) and the broker has no knowledge to the contrary. You are urged to consult your tax advisor on the application of information reporting and backup withholding in light of your particular circumstances.</w:t>
      </w:r>
    </w:p>
    <w:p>
      <w:pPr>
        <w:spacing w:after="0" w:line="332"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from a payment to you will be refunded or credited against your U.S. federal income tax liability, if any, provided that the required information is timely furnished to the IRS.</w:t>
      </w:r>
    </w:p>
    <w:p>
      <w:pPr>
        <w:spacing w:after="0" w:line="36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FATCA</w:t>
      </w:r>
    </w:p>
    <w:p>
      <w:pPr>
        <w:spacing w:after="0" w:line="162"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Pursuant to Section 1471 through 1474 of the Code, commonly referred to as the Foreign Account Tax Compliance Act (“FATCA”), foreign financial institutions (which include most foreign hedge funds, private equity funds, mutual funds, securitization vehicles and any other investment vehicles) and certain other foreign entities that do not otherwise qualify for an exemption must comply with information reporting rules with respect to their U.S. account holders and investors or be subject to a withholding tax on U.S. source payments made to them (whether received as a beneficial owner or as an intermediary for another party).</w:t>
      </w:r>
    </w:p>
    <w:p>
      <w:pPr>
        <w:spacing w:after="0" w:line="120" w:lineRule="exact"/>
        <w:rPr>
          <w:sz w:val="20"/>
          <w:szCs w:val="20"/>
          <w:color w:val="auto"/>
        </w:rPr>
      </w:pPr>
    </w:p>
    <w:p>
      <w:pPr>
        <w:ind w:left="1260" w:right="519" w:firstLine="360"/>
        <w:spacing w:after="0" w:line="256" w:lineRule="auto"/>
        <w:rPr>
          <w:sz w:val="20"/>
          <w:szCs w:val="20"/>
          <w:color w:val="auto"/>
        </w:rPr>
      </w:pPr>
      <w:r>
        <w:rPr>
          <w:rFonts w:ascii="Times New Roman" w:cs="Times New Roman" w:eastAsia="Times New Roman" w:hAnsi="Times New Roman"/>
          <w:sz w:val="18"/>
          <w:szCs w:val="18"/>
          <w:color w:val="auto"/>
        </w:rPr>
        <w:t>More specifically, a foreign financial institution or other foreign entity that does not comply with the FATCA reporting requirements or otherwise qualify for an exemption will generally be subject to a 30% withholding tax with respect to any “withholdable payments.” For this purpose, withholdable payments generally include U.S.-source payments otherwise subject to nonresident withholding tax (e.g., U.S.-source dividends). Foreign financial institutions located in jurisdictions that have an intergovernmental agreement with the United States governing FATCA may be subject to different rules.</w:t>
      </w:r>
    </w:p>
    <w:p>
      <w:pPr>
        <w:spacing w:after="0" w:line="106"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FATCA currently applies to dividends made in respect of our common stock. Pursuant to proposed Treasury regulations, FATCA withholding would not apply to gross proceeds from dispositions of U.S. common stock. Taxpayers may generally rely on those proposed Treasury regulations until final Treasury regulations are issued. To avoid withholding on dividends, Non-U.S. Holders may be required to provide the Company (or its withholding agents) with applicable tax forms or other information. Non-U.S. Holders are urged to consult with their own tax advisors regarding the effect, if any, of the FATCA provisions to them based on their particular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UNDERWRITING (CONFLICT OF INTEREST)</w:t>
      </w:r>
    </w:p>
    <w:p>
      <w:pPr>
        <w:spacing w:after="0" w:line="162" w:lineRule="exact"/>
        <w:rPr>
          <w:sz w:val="20"/>
          <w:szCs w:val="20"/>
          <w:color w:val="auto"/>
        </w:rPr>
      </w:pPr>
    </w:p>
    <w:p>
      <w:pPr>
        <w:ind w:left="1260" w:right="479" w:firstLine="360"/>
        <w:spacing w:after="0" w:line="245" w:lineRule="auto"/>
        <w:rPr>
          <w:sz w:val="20"/>
          <w:szCs w:val="20"/>
          <w:color w:val="auto"/>
        </w:rPr>
      </w:pPr>
      <w:r>
        <w:rPr>
          <w:rFonts w:ascii="Times New Roman" w:cs="Times New Roman" w:eastAsia="Times New Roman" w:hAnsi="Times New Roman"/>
          <w:sz w:val="18"/>
          <w:szCs w:val="18"/>
          <w:color w:val="auto"/>
        </w:rPr>
        <w:t>Barclays Capital Inc. and Morgan Stanley &amp; Co. LLC are acting as representatives of the underwriters and the book-running managers of this offering. Under the terms of an underwriting agreement, each of the underwriters named below has severally agreed to purchase from the selling stockholder the respective number of shares of common stock shown opposite its name below, which includes the shares subject to the Concurrent Share Repurchase, see “</w:t>
      </w:r>
      <w:r>
        <w:rPr>
          <w:rFonts w:ascii="Times New Roman" w:cs="Times New Roman" w:eastAsia="Times New Roman" w:hAnsi="Times New Roman"/>
          <w:sz w:val="18"/>
          <w:szCs w:val="18"/>
          <w:i w:val="1"/>
          <w:iCs w:val="1"/>
          <w:color w:val="auto"/>
        </w:rPr>
        <w:t>Concurrent Share Repurchase</w:t>
      </w:r>
      <w:r>
        <w:rPr>
          <w:rFonts w:ascii="Times New Roman" w:cs="Times New Roman" w:eastAsia="Times New Roman" w:hAnsi="Times New Roman"/>
          <w:sz w:val="18"/>
          <w:szCs w:val="18"/>
          <w:color w:val="auto"/>
        </w:rPr>
        <w:t>.”</w:t>
      </w:r>
    </w:p>
    <w:p>
      <w:pPr>
        <w:spacing w:after="0" w:line="1" w:lineRule="exact"/>
        <w:rPr>
          <w:sz w:val="20"/>
          <w:szCs w:val="20"/>
          <w:color w:val="auto"/>
        </w:rPr>
      </w:pPr>
    </w:p>
    <w:tbl>
      <w:tblPr>
        <w:tblLayout w:type="fixed"/>
        <w:tblInd w:w="1260" w:type="dxa"/>
        <w:tblCellMar>
          <w:top w:w="0" w:type="dxa"/>
          <w:left w:w="0" w:type="dxa"/>
          <w:bottom w:w="0" w:type="dxa"/>
          <w:right w:w="0" w:type="dxa"/>
        </w:tblCellMar>
      </w:tblPr>
      <w:tr>
        <w:trPr>
          <w:trHeight w:val="364"/>
        </w:trPr>
        <w:tc>
          <w:tcPr>
            <w:tcW w:w="6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Underwriters</w:t>
            </w:r>
          </w:p>
        </w:tc>
        <w:tc>
          <w:tcPr>
            <w:tcW w:w="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116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Number of Shares</w:t>
            </w:r>
            <w:r>
              <w:rPr>
                <w:rFonts w:ascii="Times New Roman" w:cs="Times New Roman" w:eastAsia="Times New Roman" w:hAnsi="Times New Roman"/>
                <w:sz w:val="28"/>
                <w:szCs w:val="28"/>
                <w:b w:val="1"/>
                <w:bCs w:val="1"/>
                <w:color w:val="auto"/>
                <w:vertAlign w:val="subscript"/>
              </w:rPr>
              <w:t>​</w:t>
            </w:r>
          </w:p>
        </w:tc>
      </w:tr>
      <w:tr>
        <w:trPr>
          <w:trHeight w:val="250"/>
        </w:trPr>
        <w:tc>
          <w:tcPr>
            <w:tcW w:w="68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Barclays Capital Inc.</w:t>
            </w:r>
          </w:p>
        </w:tc>
        <w:tc>
          <w:tcPr>
            <w:tcW w:w="22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tcBorders>
              <w:top w:val="single" w:sz="8" w:color="auto"/>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​2,000,000</w:t>
            </w:r>
          </w:p>
        </w:tc>
        <w:tc>
          <w:tcPr>
            <w:tcW w:w="80" w:type="dxa"/>
            <w:vAlign w:val="bottom"/>
            <w:tcBorders>
              <w:top w:val="single" w:sz="8" w:color="auto"/>
            </w:tcBorders>
            <w:shd w:val="clear" w:color="auto" w:fill="CCEEFF"/>
          </w:tcPr>
          <w:p>
            <w:pPr>
              <w:spacing w:after="0"/>
              <w:rPr>
                <w:sz w:val="21"/>
                <w:szCs w:val="21"/>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6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Morgan Stanley &amp; Co. LLC</w:t>
            </w:r>
          </w:p>
        </w:tc>
        <w:tc>
          <w:tcPr>
            <w:tcW w:w="2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Borders>
              <w:bottom w:val="single" w:sz="8" w:color="CCEEFF"/>
            </w:tcBorders>
          </w:tcPr>
          <w:p>
            <w:pPr>
              <w:spacing w:after="0"/>
              <w:rPr>
                <w:sz w:val="23"/>
                <w:szCs w:val="23"/>
                <w:color w:val="auto"/>
              </w:rPr>
            </w:pPr>
          </w:p>
        </w:tc>
        <w:tc>
          <w:tcPr>
            <w:tcW w:w="740" w:type="dxa"/>
            <w:vAlign w:val="bottom"/>
            <w:tcBorders>
              <w:bottom w:val="single" w:sz="8" w:color="auto"/>
            </w:tcBorders>
          </w:tcPr>
          <w:p>
            <w:pP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2,000,000</w:t>
            </w:r>
          </w:p>
        </w:tc>
        <w:tc>
          <w:tcPr>
            <w:tcW w:w="10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4"/>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3"/>
            <w:shd w:val="clear" w:color="auto" w:fill="CCEEFF"/>
          </w:tcPr>
          <w:p>
            <w:pPr>
              <w:ind w:left="18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​4,000,000</w:t>
            </w:r>
          </w:p>
        </w:tc>
        <w:tc>
          <w:tcPr>
            <w:tcW w:w="80" w:type="dxa"/>
            <w:vAlign w:val="bottom"/>
            <w:shd w:val="clear" w:color="auto" w:fill="CCEEFF"/>
          </w:tcPr>
          <w:p>
            <w:pPr>
              <w:spacing w:after="0"/>
              <w:rPr>
                <w:sz w:val="24"/>
                <w:szCs w:val="24"/>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68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-213995</wp:posOffset>
            </wp:positionV>
            <wp:extent cx="52120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8">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5172075</wp:posOffset>
            </wp:positionH>
            <wp:positionV relativeFrom="paragraph">
              <wp:posOffset>-556895</wp:posOffset>
            </wp:positionV>
            <wp:extent cx="13716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9">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91" w:lineRule="exact"/>
        <w:rPr>
          <w:sz w:val="20"/>
          <w:szCs w:val="20"/>
          <w:color w:val="auto"/>
        </w:rPr>
      </w:pPr>
    </w:p>
    <w:p>
      <w:pPr>
        <w:ind w:left="1260" w:right="599" w:firstLine="360"/>
        <w:spacing w:after="0" w:line="264" w:lineRule="auto"/>
        <w:rPr>
          <w:sz w:val="20"/>
          <w:szCs w:val="20"/>
          <w:color w:val="auto"/>
        </w:rPr>
      </w:pPr>
      <w:r>
        <w:rPr>
          <w:rFonts w:ascii="Times New Roman" w:cs="Times New Roman" w:eastAsia="Times New Roman" w:hAnsi="Times New Roman"/>
          <w:sz w:val="18"/>
          <w:szCs w:val="18"/>
          <w:color w:val="auto"/>
        </w:rPr>
        <w:t>The underwriting agreement provides that the underwriters’ obligation to purchase shares of common stock depends on the satisfaction of the certain conditions contained in the underwriting agreement including:</w:t>
      </w:r>
    </w:p>
    <w:p>
      <w:pPr>
        <w:spacing w:after="0" w:line="274" w:lineRule="exact"/>
        <w:rPr>
          <w:sz w:val="20"/>
          <w:szCs w:val="20"/>
          <w:color w:val="auto"/>
        </w:rPr>
      </w:pPr>
    </w:p>
    <w:p>
      <w:pPr>
        <w:ind w:left="1800" w:right="459" w:hanging="180"/>
        <w:spacing w:after="0" w:line="266"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to purchase all of the shares of common stock offered hereby (other than those shares of common stock covered by their option to purchase additional shares as described below), if any of the shares are purchased;</w:t>
      </w:r>
    </w:p>
    <w:p>
      <w:pPr>
        <w:spacing w:after="0" w:line="40" w:lineRule="exact"/>
        <w:rPr>
          <w:rFonts w:ascii="Times New Roman" w:cs="Times New Roman" w:eastAsia="Times New Roman" w:hAnsi="Times New Roman"/>
          <w:sz w:val="18"/>
          <w:szCs w:val="18"/>
          <w:color w:val="auto"/>
        </w:rPr>
      </w:pPr>
    </w:p>
    <w:p>
      <w:pPr>
        <w:ind w:left="1800" w:right="759" w:hanging="180"/>
        <w:spacing w:after="0" w:line="282"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made by us and the selling stockholder to the underwriters are true;</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material change in our business or the financial markets; and</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closing documents are delivered to the underwriters.</w:t>
      </w:r>
    </w:p>
    <w:p>
      <w:pPr>
        <w:spacing w:after="0" w:line="144" w:lineRule="exact"/>
        <w:rPr>
          <w:sz w:val="20"/>
          <w:szCs w:val="20"/>
          <w:color w:val="auto"/>
        </w:rPr>
      </w:pPr>
    </w:p>
    <w:p>
      <w:pPr>
        <w:ind w:left="1260" w:right="659" w:firstLine="360"/>
        <w:spacing w:after="0" w:line="258" w:lineRule="auto"/>
        <w:rPr>
          <w:sz w:val="20"/>
          <w:szCs w:val="20"/>
          <w:color w:val="auto"/>
        </w:rPr>
      </w:pPr>
      <w:r>
        <w:rPr>
          <w:rFonts w:ascii="Times New Roman" w:cs="Times New Roman" w:eastAsia="Times New Roman" w:hAnsi="Times New Roman"/>
          <w:sz w:val="18"/>
          <w:szCs w:val="18"/>
          <w:color w:val="auto"/>
        </w:rPr>
        <w:t>We intend to purchase from the underwriters 312,500 of the shares of common stock at a price per share equal to the price at which the underwriters will purchase the shares from the selling stockholder in this offering. See “</w:t>
      </w:r>
      <w:r>
        <w:rPr>
          <w:rFonts w:ascii="Times New Roman" w:cs="Times New Roman" w:eastAsia="Times New Roman" w:hAnsi="Times New Roman"/>
          <w:sz w:val="18"/>
          <w:szCs w:val="18"/>
          <w:i w:val="1"/>
          <w:iCs w:val="1"/>
          <w:color w:val="auto"/>
        </w:rPr>
        <w:t>Concurrent Share Repurchase</w:t>
      </w:r>
      <w:r>
        <w:rPr>
          <w:rFonts w:ascii="Times New Roman" w:cs="Times New Roman" w:eastAsia="Times New Roman" w:hAnsi="Times New Roman"/>
          <w:sz w:val="18"/>
          <w:szCs w:val="18"/>
          <w:color w:val="auto"/>
        </w:rPr>
        <w:t>.”</w:t>
      </w:r>
    </w:p>
    <w:p>
      <w:pPr>
        <w:spacing w:after="0" w:line="16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Commissions and Expenses</w:t>
      </w:r>
    </w:p>
    <w:p>
      <w:pPr>
        <w:spacing w:after="0" w:line="162" w:lineRule="exact"/>
        <w:rPr>
          <w:sz w:val="20"/>
          <w:szCs w:val="20"/>
          <w:color w:val="auto"/>
        </w:rPr>
      </w:pPr>
    </w:p>
    <w:p>
      <w:pPr>
        <w:ind w:left="1260" w:right="839" w:firstLine="360"/>
        <w:spacing w:after="0" w:line="266" w:lineRule="auto"/>
        <w:rPr>
          <w:sz w:val="20"/>
          <w:szCs w:val="20"/>
          <w:color w:val="auto"/>
        </w:rPr>
      </w:pPr>
      <w:r>
        <w:rPr>
          <w:rFonts w:ascii="Times New Roman" w:cs="Times New Roman" w:eastAsia="Times New Roman" w:hAnsi="Times New Roman"/>
          <w:sz w:val="18"/>
          <w:szCs w:val="18"/>
          <w:color w:val="auto"/>
        </w:rPr>
        <w:t>The expenses of the offering that are payable by us are estimated to be approximately $0.6 million (excluding underwriting discounts and commissions).</w:t>
      </w:r>
    </w:p>
    <w:p>
      <w:pPr>
        <w:spacing w:after="0" w:line="95"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The underwriters propose to offer the shares of common stock offered hereby not subject to the Concurrent Share Repurchase from time to time for sale in one or more transactions on Nasdaq, in the over-the-counter market, through negotiated transactions or otherwise at market prices prevailing at the time of sale, subject to receipt and acceptance by them and subject to their right to reject any order in whole or in part. The underwriters may effect such transactions by selling the shares of common stock to or through dealers and such dealers may receive compensation in the form of discounts, concessions or commissions from the underwriters and/or purchasers of shares of common stock for whom they may act as agents or to whom they may sell as principal. The difference between the price at which the underwriters purchase shares of common stock and the price at which the underwriters resell such shares may be deemed underwriting compensation.</w:t>
      </w:r>
    </w:p>
    <w:p>
      <w:pPr>
        <w:spacing w:after="0" w:line="200" w:lineRule="exact"/>
        <w:rPr>
          <w:sz w:val="20"/>
          <w:szCs w:val="20"/>
          <w:color w:val="auto"/>
        </w:rPr>
      </w:pPr>
    </w:p>
    <w:p>
      <w:pPr>
        <w:spacing w:after="0" w:line="20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Option to Purchase Additional Shares</w:t>
      </w:r>
    </w:p>
    <w:p>
      <w:pPr>
        <w:spacing w:after="0" w:line="148" w:lineRule="exact"/>
        <w:rPr>
          <w:sz w:val="20"/>
          <w:szCs w:val="20"/>
          <w:color w:val="auto"/>
        </w:rPr>
      </w:pPr>
    </w:p>
    <w:p>
      <w:pPr>
        <w:ind w:left="1260" w:right="499" w:firstLine="360"/>
        <w:spacing w:after="0" w:line="254" w:lineRule="auto"/>
        <w:rPr>
          <w:sz w:val="20"/>
          <w:szCs w:val="20"/>
          <w:color w:val="auto"/>
        </w:rPr>
      </w:pPr>
      <w:r>
        <w:rPr>
          <w:rFonts w:ascii="Times New Roman" w:cs="Times New Roman" w:eastAsia="Times New Roman" w:hAnsi="Times New Roman"/>
          <w:sz w:val="18"/>
          <w:szCs w:val="18"/>
          <w:color w:val="auto"/>
        </w:rPr>
        <w:t>The selling stockholder has granted the underwriters an option exercisable for 30 days after the date of this prospectus supplement to purchase, from time to time, in whole or in part, up to an aggregate of</w:t>
      </w:r>
    </w:p>
    <w:p>
      <w:pPr>
        <w:ind w:left="1260" w:right="419"/>
        <w:spacing w:after="0" w:line="246" w:lineRule="auto"/>
        <w:rPr>
          <w:sz w:val="20"/>
          <w:szCs w:val="20"/>
          <w:color w:val="auto"/>
        </w:rPr>
      </w:pPr>
      <w:r>
        <w:rPr>
          <w:rFonts w:ascii="Times New Roman" w:cs="Times New Roman" w:eastAsia="Times New Roman" w:hAnsi="Times New Roman"/>
          <w:sz w:val="18"/>
          <w:szCs w:val="18"/>
          <w:color w:val="auto"/>
        </w:rPr>
        <w:t>600,000 shares from the selling stockholder. To the extent that this option is exercised, each underwriter will be obligated, subject to certain conditions, to purchase its pro rata portion of these additional shares based on the underwriter’s percentage underwriting commitment in this offering as indicated in the above table.</w:t>
      </w:r>
    </w:p>
    <w:p>
      <w:pPr>
        <w:spacing w:after="0" w:line="17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Lock-Up Agreements</w:t>
      </w:r>
    </w:p>
    <w:p>
      <w:pPr>
        <w:spacing w:after="0" w:line="162"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We, the selling stockholder and all of our directors and executive officers have agreed that, for a period of 30 days after the date of this prospectus, we and they will not, without the prior written consent of the</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39"/>
        <w:spacing w:after="0" w:line="282" w:lineRule="auto"/>
        <w:rPr>
          <w:sz w:val="20"/>
          <w:szCs w:val="20"/>
          <w:color w:val="auto"/>
        </w:rPr>
      </w:pPr>
      <w:r>
        <w:rPr>
          <w:rFonts w:ascii="Times New Roman" w:cs="Times New Roman" w:eastAsia="Times New Roman" w:hAnsi="Times New Roman"/>
          <w:sz w:val="18"/>
          <w:szCs w:val="18"/>
          <w:color w:val="auto"/>
        </w:rPr>
        <w:t>underwriters, dispose of any shares of common stock or any securities convertible into or exchangeable for our common stock, subject to certain exceptions.</w:t>
      </w:r>
    </w:p>
    <w:p>
      <w:pPr>
        <w:spacing w:after="0" w:line="9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lock-up agreement applicable to the Company is subject to certain specified exceptions, including:</w:t>
      </w:r>
    </w:p>
    <w:p>
      <w:pPr>
        <w:spacing w:after="0" w:line="27" w:lineRule="exact"/>
        <w:rPr>
          <w:sz w:val="20"/>
          <w:szCs w:val="20"/>
          <w:color w:val="auto"/>
        </w:rPr>
      </w:pPr>
    </w:p>
    <w:p>
      <w:pPr>
        <w:ind w:left="1260" w:right="419"/>
        <w:spacing w:after="0" w:line="250" w:lineRule="auto"/>
        <w:tabs>
          <w:tab w:leader="none" w:pos="148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issuance of common stock, options to purchase shares of common stock, restricted stock units and other equity incentive compensation pursuant to equity plans or similar plans described in this prospectus, common stock issued upon exercise of outstanding options, warrants or rights, whether or not issued under one of those plans, and common stock issued upon the exercise of options or the settlement of restricted stock units granted under such plans or under equity plans or similar plans of companies acquired by the Company in effect on the date of acquisition; (ii) any issuances of common stock upon the conversion or exchange of convertible or exchangeable securities outstanding as of the date of this prospectus, including common stock issued upon the exercise of any warrants and any transfer of common stock to the Company upon a “net” or “cashless” exercise of any warrants; and (iii) issuances by the Company of common stock or securities convertible into shares of common stock in connection with an acquisition or business combination, provided that the aggregate number of shares of common stock issued pursuant to this clause</w:t>
      </w:r>
    </w:p>
    <w:p>
      <w:pPr>
        <w:spacing w:after="0" w:line="4" w:lineRule="exact"/>
        <w:rPr>
          <w:rFonts w:ascii="Times New Roman" w:cs="Times New Roman" w:eastAsia="Times New Roman" w:hAnsi="Times New Roman"/>
          <w:sz w:val="18"/>
          <w:szCs w:val="18"/>
          <w:color w:val="auto"/>
        </w:rPr>
      </w:pPr>
    </w:p>
    <w:p>
      <w:pPr>
        <w:ind w:left="1260" w:right="579"/>
        <w:spacing w:after="0" w:line="255" w:lineRule="auto"/>
        <w:tabs>
          <w:tab w:leader="none" w:pos="159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restricted period shall not exceed 5% of the total number of shares of common stock issued and outstanding on the closing date of this offering and provided further that, in the case of any issuance pursuant to (iii), the transferee or distributee agrees in writing to be bound by the lock-up restrictions.</w:t>
      </w:r>
    </w:p>
    <w:p>
      <w:pPr>
        <w:spacing w:after="0" w:line="118" w:lineRule="exact"/>
        <w:rPr>
          <w:sz w:val="20"/>
          <w:szCs w:val="20"/>
          <w:color w:val="auto"/>
        </w:rPr>
      </w:pPr>
    </w:p>
    <w:p>
      <w:pPr>
        <w:ind w:left="1260" w:right="419" w:firstLine="360"/>
        <w:spacing w:after="0" w:line="251" w:lineRule="auto"/>
        <w:rPr>
          <w:sz w:val="20"/>
          <w:szCs w:val="20"/>
          <w:color w:val="auto"/>
        </w:rPr>
      </w:pPr>
      <w:r>
        <w:rPr>
          <w:rFonts w:ascii="Times New Roman" w:cs="Times New Roman" w:eastAsia="Times New Roman" w:hAnsi="Times New Roman"/>
          <w:sz w:val="18"/>
          <w:szCs w:val="18"/>
          <w:color w:val="auto"/>
        </w:rPr>
        <w:t>The lock-up agreements applicable to the selling stockholder and all of our directors and executive officers are subject to specified exceptions, including: (i) bona fide gifts; (ii) transfers to any trust for the direct or indirect benefit of the lock-up party or the immediate family of the lockup party; (iii) transfers by will or intestacy; (iv) transfers to a partnership, limited liability company or other entity in which the lock-up party and the immediate family of the lock-up party are the legal and beneficial owner of all the outstanding equity securities or similar interests; (v) transfers by operation of law, such as pursuant to a qualified domestic order or in connection with a divorce settlement; (vi) open market transactions after the completion of the offering or transfers to the underwriters of this offering; (vii) (A) the exercise of warrants issued by the Company and transfer to the Company upon the “net” or “cashless” exercise of warrants issued by the Company; (B) the exercise of stock options solely with cash granted pursuant to equity incentive plans described in this prospectus, and the receipt by the lock-up signatory from the Company of shares of common stock upon such exercise; (C) transfers to the Company upon the “net” or “cashless” exercise of stock options or other equity awards granted pursuant to equity incentive plans; (D) transfers for the primary purpose of satisfying any tax or other governmental withholding obligation with respect to any award of equity-based compensation granted pursuant to our equity incentive plans described in the prospectus; or (E) forfeitures to the Company to satisfy tax withholding requirements of the lock-up party or the Company upon the vesting, during the restricted period, of equity based awards granted under equity incentive plans or pursuant to other stock purchase arrangements, in each cased described in this prospectus;</w:t>
      </w:r>
    </w:p>
    <w:p>
      <w:pPr>
        <w:spacing w:after="0" w:line="10" w:lineRule="exact"/>
        <w:rPr>
          <w:sz w:val="20"/>
          <w:szCs w:val="20"/>
          <w:color w:val="auto"/>
        </w:rPr>
      </w:pPr>
    </w:p>
    <w:p>
      <w:pPr>
        <w:ind w:left="1260" w:right="439"/>
        <w:spacing w:after="0" w:line="251" w:lineRule="auto"/>
        <w:tabs>
          <w:tab w:leader="none" w:pos="169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bona fide third-party tender offer, merger, consolidation or other similar transaction made to all holders of our common stock; (ix) transfers to the Company in connection with the repurchase by the Company of shares of common stock or other securities pursuant to a repurchase right arising upon the termination of a lock-up signatory’s employment with the Company; (x) the establishment of a trading plan pursuant to Rule 10b5-1 of the Exchange Act or transfers pursuant to an existing 10b5-1 trading plan, provided that no such transfers shall be made prior to the closing date of the offering; (xi) if the holder is a corporation, partnership or limited liability company, (A) distributions to partners, limited liability company members, stockholder or holders of similar interests or (B) transfers to affiliates (as defined in Rule 405 of the Securities Act); (xii) transfers to any third-party pledgee in a bona fide transaction as collateral to secure obligations pursuant to lending or other similar arrangement relating to a financing arrangement between such third parties (or their affiliates or designees) and the lock-up party and/or its affiliates; (xiii) transfers pursuant to a bona fide loan or pledge and as a grant or maintenance of a bona fide lien, security interest, pledge or other similar encumbrance in connection with a loan to the lock-up party, including those that are in effect on the date of such agreement and has been disclosed to the representatives, subject to certain restrictions; and (xiv) transfers to the lock-up party’s employer or any affiliate of the lock-up party’s employer as compensation in his or her capacity as a member of the Company’s board of directors; provided that, in the case of any transfer or distribution pursuant to (i) through (v), (vii), (xi) and (xiv), the transferee or distributee agrees in writing to be bound by the lockup restrictions.</w:t>
      </w:r>
    </w:p>
    <w:p>
      <w:pPr>
        <w:spacing w:after="0" w:line="200" w:lineRule="exact"/>
        <w:rPr>
          <w:sz w:val="20"/>
          <w:szCs w:val="20"/>
          <w:color w:val="auto"/>
        </w:rPr>
      </w:pPr>
    </w:p>
    <w:p>
      <w:pPr>
        <w:spacing w:after="0" w:line="38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59" w:firstLine="360"/>
        <w:spacing w:after="0" w:line="258" w:lineRule="auto"/>
        <w:rPr>
          <w:sz w:val="20"/>
          <w:szCs w:val="20"/>
          <w:color w:val="auto"/>
        </w:rPr>
      </w:pPr>
      <w:r>
        <w:rPr>
          <w:rFonts w:ascii="Times New Roman" w:cs="Times New Roman" w:eastAsia="Times New Roman" w:hAnsi="Times New Roman"/>
          <w:sz w:val="18"/>
          <w:szCs w:val="18"/>
          <w:color w:val="auto"/>
        </w:rPr>
        <w:t>Either of the representatives, in its sole discretion, may release our common stock and other securities subject to the lock-up agreements described above in whole or in part at any time, subject to applicable notice requirements.</w:t>
      </w:r>
    </w:p>
    <w:p>
      <w:pPr>
        <w:spacing w:after="0" w:line="16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162" w:lineRule="exact"/>
        <w:rPr>
          <w:sz w:val="20"/>
          <w:szCs w:val="20"/>
          <w:color w:val="auto"/>
        </w:rPr>
      </w:pPr>
    </w:p>
    <w:p>
      <w:pPr>
        <w:jc w:val="both"/>
        <w:ind w:left="1260" w:right="739" w:firstLine="360"/>
        <w:spacing w:after="0" w:line="258" w:lineRule="auto"/>
        <w:rPr>
          <w:sz w:val="20"/>
          <w:szCs w:val="20"/>
          <w:color w:val="auto"/>
        </w:rPr>
      </w:pPr>
      <w:r>
        <w:rPr>
          <w:rFonts w:ascii="Times New Roman" w:cs="Times New Roman" w:eastAsia="Times New Roman" w:hAnsi="Times New Roman"/>
          <w:sz w:val="18"/>
          <w:szCs w:val="18"/>
          <w:color w:val="auto"/>
        </w:rPr>
        <w:t>We and the selling stockholder have agreed to indemnify the underwriters against certain liabilities, including liabilities under the Securities Act, and to contribute to payments that the underwriters may be required to make for these liabilities.</w:t>
      </w:r>
    </w:p>
    <w:p>
      <w:pPr>
        <w:spacing w:after="0" w:line="16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Stabilization, Short Positions and Penalty Bids</w:t>
      </w:r>
    </w:p>
    <w:p>
      <w:pPr>
        <w:spacing w:after="0" w:line="162"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The representatives may engage in stabilizing transactions, short sales and purchases to cover positions created by short sales, and penalty bids or purchases for the purpose of pegging, fixing or maintaining the price of the common stock, in accordance with Regulation M under the Exchange Act:</w:t>
      </w:r>
    </w:p>
    <w:p>
      <w:pPr>
        <w:spacing w:after="0" w:line="69" w:lineRule="exact"/>
        <w:rPr>
          <w:sz w:val="20"/>
          <w:szCs w:val="20"/>
          <w:color w:val="auto"/>
        </w:rPr>
      </w:pPr>
    </w:p>
    <w:p>
      <w:pPr>
        <w:ind w:left="1800" w:right="419" w:hanging="180"/>
        <w:spacing w:after="0" w:line="282" w:lineRule="auto"/>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Stabilizing transactions permit bids to purchase the underlying security so long as the stabilizing bids do not exceed a specified maximum.</w:t>
      </w:r>
    </w:p>
    <w:p>
      <w:pPr>
        <w:spacing w:after="0" w:line="53" w:lineRule="exact"/>
        <w:rPr>
          <w:rFonts w:ascii="Times New Roman" w:cs="Times New Roman" w:eastAsia="Times New Roman" w:hAnsi="Times New Roman"/>
          <w:sz w:val="18"/>
          <w:szCs w:val="18"/>
          <w:color w:val="auto"/>
        </w:rPr>
      </w:pPr>
    </w:p>
    <w:p>
      <w:pPr>
        <w:ind w:left="1800" w:right="479" w:hanging="180"/>
        <w:spacing w:after="0" w:line="252" w:lineRule="auto"/>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short position involves a sale by the underwriters of shares in excess of the number of shares the underwriters are obligated to purchase in this offering, which creates the syndicate short position. This short position may be either a covered short position or a naked short position. In a covered short position, the number of shares involved in the sales made by the underwriters in excess of the number of shares they are obligated to purchase is not greater than the number of shares that they may purchase by exercising their option to purchase additional shares, if any. In a naked short position, the number of shares involved is greater than the number of shares in their option to purchase additional shares, if any. The underwriters may close out any short position by either exercising their option to purchase additional shares, if any, in whole or in part, and/or purchasing shares in the open market. In determining the source of shares to close out the short position, the underwriters will consider, among other things, the price of shares available for purchase in the open market as compared to the price at which they may purchase shares through their option to purchase additional shares, if any. A naked short position is more likely to be created if the underwriters are concerned that there could be downward pressure on the price of the shares in the open market after pricing that could adversely affect investors who purchase in this offering.</w:t>
      </w:r>
    </w:p>
    <w:p>
      <w:pPr>
        <w:spacing w:after="0" w:line="74"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Syndicate covering transactions involve purchases of the common stock in the open market after the distribution has been completed in order to cover syndicate short positions.</w:t>
      </w:r>
    </w:p>
    <w:p>
      <w:pPr>
        <w:spacing w:after="0" w:line="53" w:lineRule="exact"/>
        <w:rPr>
          <w:rFonts w:ascii="Times New Roman" w:cs="Times New Roman" w:eastAsia="Times New Roman" w:hAnsi="Times New Roman"/>
          <w:sz w:val="18"/>
          <w:szCs w:val="18"/>
          <w:color w:val="auto"/>
        </w:rPr>
      </w:pPr>
    </w:p>
    <w:p>
      <w:pPr>
        <w:jc w:val="both"/>
        <w:ind w:left="1800" w:right="819" w:hanging="180"/>
        <w:spacing w:after="0" w:line="266" w:lineRule="auto"/>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Penalty bids permit the representatives to reclaim a selling concession from a syndicate member when the common stock originally sold by the syndicate member is purchased in a stabilizing or syndicate covering transaction to cover syndicate short positions.</w:t>
      </w:r>
    </w:p>
    <w:p>
      <w:pPr>
        <w:spacing w:after="0" w:line="108" w:lineRule="exact"/>
        <w:rPr>
          <w:sz w:val="20"/>
          <w:szCs w:val="20"/>
          <w:color w:val="auto"/>
        </w:rPr>
      </w:pPr>
    </w:p>
    <w:p>
      <w:pPr>
        <w:ind w:left="1260" w:right="539" w:firstLine="360"/>
        <w:spacing w:after="0" w:line="246" w:lineRule="auto"/>
        <w:rPr>
          <w:sz w:val="20"/>
          <w:szCs w:val="20"/>
          <w:color w:val="auto"/>
        </w:rPr>
      </w:pPr>
      <w:r>
        <w:rPr>
          <w:rFonts w:ascii="Times New Roman" w:cs="Times New Roman" w:eastAsia="Times New Roman" w:hAnsi="Times New Roman"/>
          <w:sz w:val="18"/>
          <w:szCs w:val="18"/>
          <w:color w:val="auto"/>
        </w:rPr>
        <w:t>These stabilizing transactions, syndicate covering transactions and penalty bids may have the effect of raising or maintaining the market price of our common stock or preventing or retarding a decline in the market price of the common stock. As a result, the price of the common stock may be higher than the price that might otherwise exist in the open market. These transactions may be effected on Nasdaq or otherwise and, if commenced, may be discontinued at any time.</w:t>
      </w:r>
    </w:p>
    <w:p>
      <w:pPr>
        <w:spacing w:after="0" w:line="114" w:lineRule="exact"/>
        <w:rPr>
          <w:sz w:val="20"/>
          <w:szCs w:val="20"/>
          <w:color w:val="auto"/>
        </w:rPr>
      </w:pPr>
    </w:p>
    <w:p>
      <w:pPr>
        <w:ind w:left="1260" w:right="599" w:firstLine="360"/>
        <w:spacing w:after="0" w:line="247" w:lineRule="auto"/>
        <w:rPr>
          <w:sz w:val="20"/>
          <w:szCs w:val="20"/>
          <w:color w:val="auto"/>
        </w:rPr>
      </w:pPr>
      <w:r>
        <w:rPr>
          <w:rFonts w:ascii="Times New Roman" w:cs="Times New Roman" w:eastAsia="Times New Roman" w:hAnsi="Times New Roman"/>
          <w:sz w:val="18"/>
          <w:szCs w:val="18"/>
          <w:color w:val="auto"/>
        </w:rPr>
        <w:t>Neither we nor any of the underwriters make any representation or prediction as to the direction or magnitude of any effect that the transactions described above may have on the price of the common stock. In addition, neither we nor any of the underwriters make any representation that the representatives will engage in these stabilizing transactions or that any transaction, once commenced, will not be discontinued without notice.</w:t>
      </w:r>
    </w:p>
    <w:p>
      <w:pPr>
        <w:spacing w:after="0" w:line="39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Passive Market Making</w:t>
      </w:r>
    </w:p>
    <w:p>
      <w:pPr>
        <w:spacing w:after="0" w:line="148"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In connection with the offering, underwriters and selling group members may engage in passive market making transactions in the common stock on The Nasdaq Global Select Market in accordance with Rule 103 of Regulation M under the Exchange Act during the period before the commencement of offers or sales of common stock and extending through the completion of distribution. A passive market maker must display</w:t>
      </w:r>
    </w:p>
    <w:p>
      <w:pPr>
        <w:sectPr>
          <w:pgSz w:w="11900" w:h="16838" w:orient="portrait"/>
          <w:cols w:equalWidth="0" w:num="1">
            <w:col w:w="9879"/>
          </w:cols>
          <w:pgMar w:left="580" w:top="97" w:right="1440" w:bottom="1440" w:gutter="0" w:footer="0" w:header="0"/>
        </w:sectPr>
      </w:pPr>
    </w:p>
    <w:p>
      <w:pPr>
        <w:spacing w:after="0" w:line="36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659"/>
        <w:spacing w:after="0" w:line="258" w:lineRule="auto"/>
        <w:rPr>
          <w:sz w:val="20"/>
          <w:szCs w:val="20"/>
          <w:color w:val="auto"/>
        </w:rPr>
      </w:pPr>
      <w:r>
        <w:rPr>
          <w:rFonts w:ascii="Times New Roman" w:cs="Times New Roman" w:eastAsia="Times New Roman" w:hAnsi="Times New Roman"/>
          <w:sz w:val="18"/>
          <w:szCs w:val="18"/>
          <w:color w:val="auto"/>
        </w:rPr>
        <w:t>its bids at a price not in excess of the highest independent bid of the security. However, if all independent bids are lowered below the passive market maker’s bid that bid must be lowered when specified purchase limits are exceeded.</w:t>
      </w:r>
    </w:p>
    <w:p>
      <w:pPr>
        <w:spacing w:after="0" w:line="16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Electronic Distribution</w:t>
      </w:r>
    </w:p>
    <w:p>
      <w:pPr>
        <w:spacing w:after="0" w:line="162"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A prospectus in electronic format may be made available on the Internet sites or through other online services maintained by one or more of the underwriters and/or selling group members participating in this offering, or by their affiliates. In those cases, prospective investors may view offering terms online and, depending upon the particular underwriter or selling group member, prospective investors may be allowed to place orders online. The underwriters may agree with us to allocate a specific number of shares for sale to online brokerage account holders. Any such allocation for online distributions will be made by the representatives on the same basis as other allocations.</w:t>
      </w:r>
    </w:p>
    <w:p>
      <w:pPr>
        <w:spacing w:after="0" w:line="114"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Other than the prospectus in electronic format, the information on any underwriter’s or selling group member’s website and any information contained in any other website maintained by an underwriter or selling group member is not part of the prospectus or the registration statement of which this prospectus forms a part, has not been approved and/or endorsed by us or any underwriter or selling group member in its capacity as underwriter or selling group member and should not be relied upon by investors.</w:t>
      </w:r>
    </w:p>
    <w:p>
      <w:pPr>
        <w:spacing w:after="0" w:line="19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Listing on the Nasdaq</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Our common stock is listed on Nasdaq under the symbol “SNCY”.</w:t>
      </w:r>
    </w:p>
    <w:p>
      <w:pPr>
        <w:spacing w:after="0" w:line="22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Stamp Taxes</w:t>
      </w:r>
    </w:p>
    <w:p>
      <w:pPr>
        <w:spacing w:after="0" w:line="162" w:lineRule="exact"/>
        <w:rPr>
          <w:sz w:val="20"/>
          <w:szCs w:val="20"/>
          <w:color w:val="auto"/>
        </w:rPr>
      </w:pPr>
    </w:p>
    <w:p>
      <w:pPr>
        <w:jc w:val="both"/>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If you purchase shares of common stock offered in this prospectus supplement, you may be required to pay stamp taxes and other charges under the laws and practices of the country of purchase, in addition to the offering price listed on the cover page of this prospectus supplement.</w:t>
      </w:r>
    </w:p>
    <w:p>
      <w:pPr>
        <w:spacing w:after="0" w:line="16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162"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The underwriters and certain of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and certain of their affiliates have, from time to time, performed, and may in the future perform, various commercial, investment banking and financial advisory services for the Company and its affiliates, for which they may in the future receive customary fees and expenses. In February 2021, the Company executed a five-year credit agreement with a group of lenders that provides for a $25.0 million revolving credit facility and a $90.0 million delayed draw term loan facility (collectively, the “Credit Facilities”). Barclays Bank PLC, the administrative agent, the collateral agent, a lender and a joint lead arranger under the Credit Facilities, is an affiliate of Barclays Capital Inc., an underwriter in this offering. In addition, affiliates of Morgan Stanley &amp; Co. LLC are lenders and joint lead arrangers under the Credit Facilities.</w:t>
      </w:r>
    </w:p>
    <w:p>
      <w:pPr>
        <w:spacing w:after="0" w:line="327"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In the ordinary course of their various business activities, the underwriters and certain of their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securities and/or instruments of the Company or its affiliates. The underwriters and certain of their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200" w:lineRule="exact"/>
        <w:rPr>
          <w:sz w:val="20"/>
          <w:szCs w:val="20"/>
          <w:color w:val="auto"/>
        </w:rPr>
      </w:pPr>
    </w:p>
    <w:p>
      <w:pPr>
        <w:spacing w:after="0" w:line="20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Conflict of Interest</w:t>
      </w:r>
    </w:p>
    <w:p>
      <w:pPr>
        <w:spacing w:after="0" w:line="162" w:lineRule="exact"/>
        <w:rPr>
          <w:sz w:val="20"/>
          <w:szCs w:val="20"/>
          <w:color w:val="auto"/>
        </w:rPr>
      </w:pPr>
    </w:p>
    <w:p>
      <w:pPr>
        <w:ind w:left="1260" w:right="479" w:firstLine="360"/>
        <w:spacing w:after="0" w:line="282" w:lineRule="auto"/>
        <w:rPr>
          <w:sz w:val="20"/>
          <w:szCs w:val="20"/>
          <w:color w:val="auto"/>
        </w:rPr>
      </w:pPr>
      <w:r>
        <w:rPr>
          <w:rFonts w:ascii="Times New Roman" w:cs="Times New Roman" w:eastAsia="Times New Roman" w:hAnsi="Times New Roman"/>
          <w:sz w:val="18"/>
          <w:szCs w:val="18"/>
          <w:color w:val="auto"/>
        </w:rPr>
        <w:t>AGS has a “conflict of interest” within the meaning of FINRA Rule 5121 in this offering because AGS is affiliated with the selling stockholder, who is in turn our affiliate, and because the net proceeds of</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this offering will be received by the selling stockholder. Accordingly, this offering will be conducted in</w:t>
      </w:r>
    </w:p>
    <w:p>
      <w:pPr>
        <w:spacing w:after="0" w:line="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accordance with the requirements of FINRA Rule 5121 regarding a FINRA member firm’s participation in a</w:t>
      </w:r>
    </w:p>
    <w:p>
      <w:pPr>
        <w:ind w:left="1260"/>
        <w:spacing w:after="0" w:line="234" w:lineRule="auto"/>
        <w:rPr>
          <w:sz w:val="20"/>
          <w:szCs w:val="20"/>
          <w:color w:val="auto"/>
        </w:rPr>
      </w:pPr>
      <w:r>
        <w:rPr>
          <w:rFonts w:ascii="Times New Roman" w:cs="Times New Roman" w:eastAsia="Times New Roman" w:hAnsi="Times New Roman"/>
          <w:sz w:val="18"/>
          <w:szCs w:val="18"/>
          <w:color w:val="auto"/>
        </w:rPr>
        <w:t>public offering of securities of an affiliate. Pursuant to that rule, the appointment of a “qualified</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independent underwriter” is not required in connection with this offering. In accordance with FINRA</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Rule 5121, neither AGS nor any other affiliated underwriter, agent or dealer of may sell the securities to any</w:t>
      </w:r>
    </w:p>
    <w:p>
      <w:pPr>
        <w:ind w:left="1260"/>
        <w:spacing w:after="0" w:line="234" w:lineRule="auto"/>
        <w:rPr>
          <w:sz w:val="20"/>
          <w:szCs w:val="20"/>
          <w:color w:val="auto"/>
        </w:rPr>
      </w:pPr>
      <w:r>
        <w:rPr>
          <w:rFonts w:ascii="Times New Roman" w:cs="Times New Roman" w:eastAsia="Times New Roman" w:hAnsi="Times New Roman"/>
          <w:sz w:val="18"/>
          <w:szCs w:val="18"/>
          <w:color w:val="auto"/>
        </w:rPr>
        <w:t>account over which it exercises discretionary authority without the specific written approval of the account</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holder.</w:t>
      </w:r>
    </w:p>
    <w:p>
      <w:pPr>
        <w:spacing w:after="0" w:line="20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2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48"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Other than in the United States, no action has been taken by us or the underwriters that would permit a public offering of the securities offered by this prospectus supplement in any jurisdiction where action for that purpose is required. The securities offered by this prospectus supplement may not be offered or sold, directly or indirectly, nor may this prospectus supplement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supplement comes are advised to inform themselves about and to observe any restrictions relating to the offering and the distribution of this prospectus supplement. This prospectus supplement does not constitute an offer to sell or a solicitation of an offer to buy any securities offered by this prospectus supplement in any jurisdiction in which such an offer or a solicitation is unlawful.</w:t>
      </w:r>
    </w:p>
    <w:p>
      <w:pPr>
        <w:spacing w:after="0" w:line="38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European Economic Area</w:t>
      </w:r>
    </w:p>
    <w:p>
      <w:pPr>
        <w:spacing w:after="0" w:line="162" w:lineRule="exact"/>
        <w:rPr>
          <w:sz w:val="20"/>
          <w:szCs w:val="20"/>
          <w:color w:val="auto"/>
        </w:rPr>
      </w:pPr>
    </w:p>
    <w:p>
      <w:pPr>
        <w:ind w:left="1260" w:right="539" w:firstLine="360"/>
        <w:spacing w:after="0" w:line="244"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(each, a “Member State”), no shares have been offered or will be offered pursuant to the offering to the public in that Member State prior to the publication of a prospectus in relation to the shares which has been approved by the competent authority in that Member State, all in accordance with the Prospectus Regulation, except that offers of shares may be made to the public in that Member State at any time under the following exemptions under the Prospectus Regulation:</w:t>
      </w:r>
    </w:p>
    <w:p>
      <w:pPr>
        <w:spacing w:after="0" w:line="284" w:lineRule="exact"/>
        <w:rPr>
          <w:sz w:val="20"/>
          <w:szCs w:val="20"/>
          <w:color w:val="auto"/>
        </w:rPr>
      </w:pPr>
    </w:p>
    <w:p>
      <w:pPr>
        <w:ind w:left="1800" w:hanging="180"/>
        <w:spacing w:after="0"/>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in the Prospectus Regulation;</w:t>
      </w:r>
    </w:p>
    <w:p>
      <w:pPr>
        <w:spacing w:after="0" w:line="117" w:lineRule="exact"/>
        <w:rPr>
          <w:rFonts w:ascii="Times New Roman" w:cs="Times New Roman" w:eastAsia="Times New Roman" w:hAnsi="Times New Roman"/>
          <w:sz w:val="18"/>
          <w:szCs w:val="18"/>
          <w:color w:val="auto"/>
        </w:rPr>
      </w:pPr>
    </w:p>
    <w:p>
      <w:pPr>
        <w:ind w:left="1800" w:right="479" w:hanging="180"/>
        <w:spacing w:after="0" w:line="275" w:lineRule="auto"/>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the Prospectus Regulation), subject to obtaining the prior consent of the underwriters for any such offer; or</w:t>
      </w:r>
    </w:p>
    <w:p>
      <w:pPr>
        <w:spacing w:after="0" w:line="281"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w:t>
      </w:r>
    </w:p>
    <w:p>
      <w:pPr>
        <w:spacing w:after="0" w:line="144" w:lineRule="exact"/>
        <w:rPr>
          <w:sz w:val="20"/>
          <w:szCs w:val="20"/>
          <w:color w:val="auto"/>
        </w:rPr>
      </w:pPr>
    </w:p>
    <w:p>
      <w:pPr>
        <w:ind w:left="1260" w:right="879"/>
        <w:spacing w:after="0" w:line="258" w:lineRule="auto"/>
        <w:rPr>
          <w:sz w:val="20"/>
          <w:szCs w:val="20"/>
          <w:color w:val="auto"/>
        </w:rPr>
      </w:pPr>
      <w:r>
        <w:rPr>
          <w:rFonts w:ascii="Times New Roman" w:cs="Times New Roman" w:eastAsia="Times New Roman" w:hAnsi="Times New Roman"/>
          <w:sz w:val="18"/>
          <w:szCs w:val="18"/>
          <w:color w:val="auto"/>
        </w:rPr>
        <w:t>provided that no such offer of shares shall require the Company or any of the underwriters to publish a prospectus pursuant to Article 3 of the Prospectus Regulation or supplement a prospectus pursuant to Article 23 of the Prospectus Regulation.</w:t>
      </w:r>
    </w:p>
    <w:p>
      <w:pPr>
        <w:spacing w:after="0" w:line="102"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any shares in any Member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17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United Kingdom</w:t>
      </w:r>
    </w:p>
    <w:p>
      <w:pPr>
        <w:spacing w:after="0" w:line="162"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In relation to the United Kingdom, no shares have been offered or will be offered pursuant to the offering to the public in the United Kingdom prior to the publication of a prospectus in relation to the shares which has been approved by the Financial Conduct Authority, except that it may make an offer to the public in the United Kingdom of any shares at any time under the following exemptions under the UK Prospectus Regulation:</w:t>
      </w:r>
    </w:p>
    <w:p>
      <w:pPr>
        <w:spacing w:after="0" w:line="282" w:lineRule="exact"/>
        <w:rPr>
          <w:sz w:val="20"/>
          <w:szCs w:val="20"/>
          <w:color w:val="auto"/>
        </w:rPr>
      </w:pPr>
    </w:p>
    <w:p>
      <w:pPr>
        <w:ind w:left="1800" w:right="859" w:hanging="180"/>
        <w:spacing w:after="0" w:line="282"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Article 2 of the UK Prospectus Regulation;</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599" w:hanging="180"/>
        <w:spacing w:after="0" w:line="266" w:lineRule="auto"/>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Article 2 of the UK Prospectus Regulation), subject to obtaining the prior consent of the representatives for any such offer; or</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Section 86 of the FSMA,</w:t>
      </w:r>
    </w:p>
    <w:p>
      <w:pPr>
        <w:spacing w:after="0" w:line="158" w:lineRule="exact"/>
        <w:rPr>
          <w:sz w:val="20"/>
          <w:szCs w:val="20"/>
          <w:color w:val="auto"/>
        </w:rPr>
      </w:pPr>
    </w:p>
    <w:p>
      <w:pPr>
        <w:ind w:left="1260" w:right="419"/>
        <w:spacing w:after="0" w:line="266" w:lineRule="auto"/>
        <w:rPr>
          <w:sz w:val="20"/>
          <w:szCs w:val="20"/>
          <w:color w:val="auto"/>
        </w:rPr>
      </w:pPr>
      <w:r>
        <w:rPr>
          <w:rFonts w:ascii="Times New Roman" w:cs="Times New Roman" w:eastAsia="Times New Roman" w:hAnsi="Times New Roman"/>
          <w:sz w:val="18"/>
          <w:szCs w:val="18"/>
          <w:color w:val="auto"/>
        </w:rPr>
        <w:t>provided that no such offer of the shares shall require the Company or any of the underwriters to publish a prospectus pursuant to Section 85 of the FSMA or supplement a prospectus pursuant to Article 23 of the UK Prospectus Regulation.</w:t>
      </w:r>
    </w:p>
    <w:p>
      <w:pPr>
        <w:spacing w:after="0" w:line="108"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the shares in the United Kingdom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w:t>
      </w:r>
    </w:p>
    <w:p>
      <w:pPr>
        <w:spacing w:after="0" w:line="102" w:lineRule="exact"/>
        <w:rPr>
          <w:sz w:val="20"/>
          <w:szCs w:val="20"/>
          <w:color w:val="auto"/>
        </w:rPr>
      </w:pPr>
    </w:p>
    <w:p>
      <w:pPr>
        <w:ind w:left="1260" w:right="539" w:firstLine="360"/>
        <w:spacing w:after="0" w:line="254" w:lineRule="auto"/>
        <w:rPr>
          <w:sz w:val="20"/>
          <w:szCs w:val="20"/>
          <w:color w:val="auto"/>
        </w:rPr>
      </w:pPr>
      <w:r>
        <w:rPr>
          <w:rFonts w:ascii="Times New Roman" w:cs="Times New Roman" w:eastAsia="Times New Roman" w:hAnsi="Times New Roman"/>
          <w:sz w:val="18"/>
          <w:szCs w:val="18"/>
          <w:color w:val="auto"/>
        </w:rPr>
        <w:t>In addition, in the United Kingdom, this document is being distributed only to, and is directed only at, and any offer subsequently made may only be directed at persons who are “qualified investors” (as​ defined in Article 2 of the UK Prospectus Regulation) (i) who have professional experience in matters relating to investments falling within Article 19(5) of the Financial Services and Markets Act 2000 (Financial Promotion) Order 2005, as amended, (the “Order”), and/or (ii) who are high net worth companies (or persons to whom it may otherwise be lawfully communicated) falling within Article 49(2)(a) to (d) of the Order (all such persons together being referred to as “relevant persons”) or otherwise in circumstances which have not resulted and will not result in an offer to the public of the shares in the United Kingdom within the meaning of the FSMA.</w:t>
      </w:r>
    </w:p>
    <w:p>
      <w:pPr>
        <w:spacing w:after="0" w:line="200" w:lineRule="exact"/>
        <w:rPr>
          <w:sz w:val="20"/>
          <w:szCs w:val="20"/>
          <w:color w:val="auto"/>
        </w:rPr>
      </w:pPr>
    </w:p>
    <w:p>
      <w:pPr>
        <w:spacing w:after="0" w:line="20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Canada</w:t>
      </w:r>
    </w:p>
    <w:p>
      <w:pPr>
        <w:spacing w:after="0" w:line="162"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spacing w:after="0" w:line="120" w:lineRule="exact"/>
        <w:rPr>
          <w:sz w:val="20"/>
          <w:szCs w:val="20"/>
          <w:color w:val="auto"/>
        </w:rPr>
      </w:pPr>
    </w:p>
    <w:p>
      <w:pPr>
        <w:ind w:left="1260" w:right="839" w:firstLine="360"/>
        <w:spacing w:after="0" w:line="256"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06" w:lineRule="exact"/>
        <w:rPr>
          <w:sz w:val="20"/>
          <w:szCs w:val="20"/>
          <w:color w:val="auto"/>
        </w:rPr>
      </w:pPr>
    </w:p>
    <w:p>
      <w:pPr>
        <w:ind w:left="1260" w:right="979" w:firstLine="360"/>
        <w:spacing w:after="0" w:line="266" w:lineRule="auto"/>
        <w:rPr>
          <w:sz w:val="20"/>
          <w:szCs w:val="20"/>
          <w:color w:val="auto"/>
        </w:rPr>
      </w:pPr>
      <w:r>
        <w:rPr>
          <w:rFonts w:ascii="Times New Roman" w:cs="Times New Roman" w:eastAsia="Times New Roman" w:hAnsi="Times New Roman"/>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7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Hong Kong</w:t>
      </w:r>
    </w:p>
    <w:p>
      <w:pPr>
        <w:spacing w:after="0" w:line="162" w:lineRule="exact"/>
        <w:rPr>
          <w:sz w:val="20"/>
          <w:szCs w:val="20"/>
          <w:color w:val="auto"/>
        </w:rPr>
      </w:pPr>
    </w:p>
    <w:p>
      <w:pPr>
        <w:ind w:left="1260" w:right="539" w:firstLine="360"/>
        <w:spacing w:after="0" w:line="253" w:lineRule="auto"/>
        <w:rPr>
          <w:sz w:val="20"/>
          <w:szCs w:val="20"/>
          <w:color w:val="auto"/>
        </w:rPr>
      </w:pPr>
      <w:r>
        <w:rPr>
          <w:rFonts w:ascii="Times New Roman" w:cs="Times New Roman" w:eastAsia="Times New Roman" w:hAnsi="Times New Roman"/>
          <w:sz w:val="18"/>
          <w:szCs w:val="18"/>
          <w:color w:val="auto"/>
        </w:rPr>
        <w:t>Shares of our common stock may not be offered or sold by means of any document other than (i) in circumstances which do not constitute an offer to the public within the meaning of the Companies Ordinance (Cap. 32, Laws of Hong Kong), (ii) to “professional investors” within the meaning of the Securities and Futures Ordinance (Cap.571, Laws of Hong Kong) and any rules made thereunder, or (iii) in other circumstances which do not result in the document being a “prospectus” within the meaning of the Companies Ordinance (Cap. 32, Laws of Hong Kong), and no advertisement, invitation, or document relating to shares of our common stock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shares of our C common stock which are or are intended to be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79"/>
        <w:spacing w:after="0" w:line="282" w:lineRule="auto"/>
        <w:rPr>
          <w:sz w:val="20"/>
          <w:szCs w:val="20"/>
          <w:color w:val="auto"/>
        </w:rPr>
      </w:pPr>
      <w:r>
        <w:rPr>
          <w:rFonts w:ascii="Times New Roman" w:cs="Times New Roman" w:eastAsia="Times New Roman" w:hAnsi="Times New Roman"/>
          <w:sz w:val="18"/>
          <w:szCs w:val="18"/>
          <w:color w:val="auto"/>
        </w:rPr>
        <w:t>disposed of only to persons outside Hong Kong or only to “professional investors” within the meaning of the Securities and Futures Ordinance (Cap. 571, Laws of Hong Kong) and any rules made thereunder.</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Singapore</w:t>
      </w:r>
    </w:p>
    <w:p>
      <w:pPr>
        <w:spacing w:after="0" w:line="121" w:lineRule="exact"/>
        <w:rPr>
          <w:sz w:val="20"/>
          <w:szCs w:val="20"/>
          <w:color w:val="auto"/>
        </w:rPr>
      </w:pPr>
    </w:p>
    <w:p>
      <w:pPr>
        <w:ind w:left="1260" w:right="419" w:firstLine="360"/>
        <w:spacing w:after="0" w:line="251" w:lineRule="auto"/>
        <w:rPr>
          <w:sz w:val="20"/>
          <w:szCs w:val="20"/>
          <w:color w:val="auto"/>
        </w:rPr>
      </w:pPr>
      <w:r>
        <w:rPr>
          <w:rFonts w:ascii="Times New Roman" w:cs="Times New Roman" w:eastAsia="Times New Roman" w:hAnsi="Times New Roman"/>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shares of our common stock may not be circulated or distributed, nor may the shares of our common stock be offered or sold, or be made the subject of an invitation for subscription or purchase, whether directly or indirectly, to persons in Singapore other than (i) to an institutional investor pursuant to Section 274 of the Securities and Futures Act, Chapter 289 of Singapore (the “SFA”), (ii) to a relevant person, or any person pursuant to Section 275(1A) of the SFA, and in accordance with the conditions specified in Section 275 of the SFA, or (iii) otherwise pursuant to, and in accordance with the conditions of, any other applicable provision of the SFA. Where shares of our common stock are subscribed or purchased under Section 275 by a relevant person which is: (a) a corporation (which is not an accredited investor)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is an accredited investor, securities or securities-based derivatives contracts (each as defined in Section 2(1) of the SFA) of that corporation or the beneficiaries’ rights and interest in that trust shall not be transferable within six months after that corporation or that trust has acquired shares of our common stock under Section 275 of the SFA except: (1) to an institutional investor or to a relevant person, or to any person pursuant to Section 275(1A), and in accordance with the conditions, specified in Section 275 of the SFA;</w:t>
      </w:r>
    </w:p>
    <w:p>
      <w:pPr>
        <w:spacing w:after="0" w:line="10" w:lineRule="exact"/>
        <w:rPr>
          <w:sz w:val="20"/>
          <w:szCs w:val="20"/>
          <w:color w:val="auto"/>
        </w:rPr>
      </w:pPr>
    </w:p>
    <w:p>
      <w:pPr>
        <w:ind w:left="1260" w:right="439"/>
        <w:spacing w:after="0" w:line="252" w:lineRule="auto"/>
        <w:tabs>
          <w:tab w:leader="none" w:pos="152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given for the transfer; or (3) where the transfer is by operation of law. Solely for purposes of the notification requirements under Section 309B(1)(c) of the SFA, we have determined, and hereby notify all relevant persons, that the shares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7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Japan</w:t>
      </w:r>
    </w:p>
    <w:p>
      <w:pPr>
        <w:spacing w:after="0" w:line="121"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No registration pursuant to Article 4, paragraph 1 of the Financial Instruments and Exchange Law of Japan (Law No. 25 of 1948, as amended) (the “FIEL”) has been made or will be made with respect to the solicitation of the application for the acquisition of the shares of common stock. Accordingly, the shares of common stock have not been, directly or indirectly, offered or sold and will not be, directly or indirectly, offered or sold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and otherwise in compliance with, the FIEL and the other applicable laws and regulations of Japan.</w:t>
      </w:r>
    </w:p>
    <w:p>
      <w:pPr>
        <w:spacing w:after="0" w:line="7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For Qualified Institutional Investors (“QII”)</w:t>
      </w:r>
    </w:p>
    <w:p>
      <w:pPr>
        <w:spacing w:after="0" w:line="121" w:lineRule="exact"/>
        <w:rPr>
          <w:sz w:val="20"/>
          <w:szCs w:val="20"/>
          <w:color w:val="auto"/>
        </w:rPr>
      </w:pPr>
    </w:p>
    <w:p>
      <w:pPr>
        <w:ind w:left="1260" w:right="419" w:firstLine="360"/>
        <w:spacing w:after="0" w:line="257" w:lineRule="auto"/>
        <w:rPr>
          <w:sz w:val="20"/>
          <w:szCs w:val="20"/>
          <w:color w:val="auto"/>
        </w:rPr>
      </w:pPr>
      <w:r>
        <w:rPr>
          <w:rFonts w:ascii="Times New Roman" w:cs="Times New Roman" w:eastAsia="Times New Roman" w:hAnsi="Times New Roman"/>
          <w:sz w:val="18"/>
          <w:szCs w:val="18"/>
          <w:color w:val="auto"/>
        </w:rPr>
        <w:t>Please note that the solicitation for newly-issued or secondary securities (each as described in Paragraph 2, Article 4 of the FIEL) in relation to the shares of common stock constitutes either a “QII only private placement” or a “QII only secondary distribution”(each as described in Paragraph 1, Article 23-13 of the FIEL). Disclosure regarding any such solicitation, as is otherwise prescribed in Paragraph 1, Article 4 of the FIEL, has not been made in relation to the shares of common stock. The shares of common stock may only be transferred to QIIs.</w:t>
      </w:r>
    </w:p>
    <w:p>
      <w:pPr>
        <w:spacing w:after="0" w:line="29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For Non-QII Investors</w:t>
      </w:r>
    </w:p>
    <w:p>
      <w:pPr>
        <w:spacing w:after="0" w:line="121"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color w:val="auto"/>
        </w:rPr>
        <w:t>Please note that the solicitation for newly-issued or secondary securities (each as described in Paragraph 2, Article 4 of the FIEL) in relation to the shares of common stock constitutes either a “small number private placement” or a “small number private secondary distribution” ​(each as is described in Paragraph 4, Article 23-13 of the FIEL). Disclosure regarding any such solicitation, as is otherwise prescribed in Paragraph 1, Article 4 of the FIEL, has not been made in relation to the shares of common stock. The shares of common stock may only be transferred en bloc without subdivision to a single investor.</w:t>
      </w:r>
    </w:p>
    <w:p>
      <w:pPr>
        <w:sectPr>
          <w:pgSz w:w="11900" w:h="16838" w:orient="portrait"/>
          <w:cols w:equalWidth="0" w:num="1">
            <w:col w:w="9879"/>
          </w:cols>
          <w:pgMar w:left="580" w:top="97" w:right="1440" w:bottom="1440" w:gutter="0" w:footer="0" w:header="0"/>
        </w:sectPr>
      </w:pPr>
    </w:p>
    <w:p>
      <w:pPr>
        <w:spacing w:after="0" w:line="37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62" w:lineRule="exact"/>
        <w:rPr>
          <w:sz w:val="20"/>
          <w:szCs w:val="20"/>
          <w:color w:val="auto"/>
        </w:rPr>
      </w:pPr>
    </w:p>
    <w:p>
      <w:pPr>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The validity of the shares offered by this prospectus supplement will be passed upon for us by Paul, Weiss, Rifkind, Wharton &amp; Garrison LLP, New York, New York. Davis Polk &amp; Wardwell LLP, New York, New York, acted as counsel for the underwriter.</w:t>
      </w:r>
    </w:p>
    <w:p>
      <w:pPr>
        <w:spacing w:after="0" w:line="172"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62"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Sun Country Airlines Holdings, Inc. as of December 31, 2022 and 2021, and for each of the years in the three-year period ended December 31, 2022, have been incorporated by reference herein and in the registration statement in reliance upon the report of KPMG LLP, independent registered public accounting firm, incorporated by reference herein, and upon the authority of said firm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9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2308860</wp:posOffset>
            </wp:positionH>
            <wp:positionV relativeFrom="paragraph">
              <wp:posOffset>448310</wp:posOffset>
            </wp:positionV>
            <wp:extent cx="2202815" cy="2743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8">
                      <a:extLst>
                        <a:ext uri="{28A0092B-C50C-407E-A947-70E740481C1C}"/>
                      </a:extLst>
                    </a:blip>
                    <a:srcRect/>
                    <a:stretch>
                      <a:fillRect/>
                    </a:stretch>
                  </pic:blipFill>
                  <pic:spPr bwMode="auto">
                    <a:xfrm>
                      <a:off x="0" y="0"/>
                      <a:ext cx="2202815"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32"/>
          <w:szCs w:val="32"/>
          <w:b w:val="1"/>
          <w:bCs w:val="1"/>
          <w:color w:val="auto"/>
        </w:rPr>
        <w:t>Sun Country Airlines Holdings, Inc.</w:t>
      </w:r>
    </w:p>
    <w:p>
      <w:pPr>
        <w:spacing w:after="0" w:line="12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34,352,603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234315</wp:posOffset>
            </wp:positionV>
            <wp:extent cx="123444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color w:val="auto"/>
        </w:rPr>
        <w:t>The selling stockholders named in this prospectus may sell, from time to time, up to 34,352,603 shares of our common stock, including 9,482,606 shares of our common stock issuable upon exercise of outstanding warrants. The selling stockholders may offer for sale the shares of common stock covered by this prospectus directly to purchasers or through underwriters, broker or dealers or agents, in public or private transactions, at fixed prices, prevailing market prices at the times of sale, prices related to the prevailing market prices, varying prices determined at the times of sale or negotiated prices. Information on the selling stockholders and the times and manners in which they may offer and sell shares of our common stock is described under the sections entitled “Selling Stockholders” and “Plan of Distribution” in this prospectus. Our registration of the shares of common stock covered by this prospectus does not mean the selling stockholders will offer or sell any of the shares.</w:t>
      </w:r>
    </w:p>
    <w:p>
      <w:pPr>
        <w:spacing w:after="0" w:line="127" w:lineRule="exact"/>
        <w:rPr>
          <w:sz w:val="20"/>
          <w:szCs w:val="20"/>
          <w:color w:val="auto"/>
        </w:rPr>
      </w:pPr>
    </w:p>
    <w:p>
      <w:pPr>
        <w:ind w:left="1260" w:right="599" w:firstLine="360"/>
        <w:spacing w:after="0" w:line="261" w:lineRule="auto"/>
        <w:rPr>
          <w:sz w:val="20"/>
          <w:szCs w:val="20"/>
          <w:color w:val="auto"/>
        </w:rPr>
      </w:pPr>
      <w:r>
        <w:rPr>
          <w:rFonts w:ascii="Times New Roman" w:cs="Times New Roman" w:eastAsia="Times New Roman" w:hAnsi="Times New Roman"/>
          <w:sz w:val="18"/>
          <w:szCs w:val="18"/>
          <w:color w:val="auto"/>
        </w:rPr>
        <w:t>We will not receive any of the proceeds from the sale of shares of our common stock by the selling stockholders. We have agreed to pay all expenses relating to registering the shares of common stock. The selling stockholders will pay any underwriting discounts and commissions, brokerage commissions and/or similar charges incurred for the sale of these shares of common stock.</w:t>
      </w:r>
    </w:p>
    <w:p>
      <w:pPr>
        <w:spacing w:after="0" w:line="99" w:lineRule="exact"/>
        <w:rPr>
          <w:sz w:val="20"/>
          <w:szCs w:val="20"/>
          <w:color w:val="auto"/>
        </w:rPr>
      </w:pPr>
    </w:p>
    <w:p>
      <w:pPr>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The common stock of Sun Country Airlines Holdings, Inc. is listed on the Nasdaq Global Select Market (“Nasdaq”) under the symbol “SNCY.”</w:t>
      </w:r>
    </w:p>
    <w:p>
      <w:pPr>
        <w:spacing w:after="0" w:line="94" w:lineRule="exact"/>
        <w:rPr>
          <w:sz w:val="20"/>
          <w:szCs w:val="20"/>
          <w:color w:val="auto"/>
        </w:rPr>
      </w:pPr>
    </w:p>
    <w:p>
      <w:pPr>
        <w:ind w:left="1260" w:right="539" w:firstLine="360"/>
        <w:spacing w:after="0" w:line="282"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and are eligible for reduced public company reporting requirements.</w:t>
      </w:r>
    </w:p>
    <w:p>
      <w:pPr>
        <w:spacing w:after="0" w:line="90" w:lineRule="exact"/>
        <w:rPr>
          <w:sz w:val="20"/>
          <w:szCs w:val="20"/>
          <w:color w:val="auto"/>
        </w:rPr>
      </w:pPr>
    </w:p>
    <w:p>
      <w:pPr>
        <w:ind w:left="1260" w:right="579" w:firstLine="360"/>
        <w:spacing w:after="0" w:line="282" w:lineRule="auto"/>
        <w:rPr>
          <w:sz w:val="20"/>
          <w:szCs w:val="20"/>
          <w:color w:val="auto"/>
        </w:rPr>
      </w:pPr>
      <w:r>
        <w:rPr>
          <w:rFonts w:ascii="Times New Roman" w:cs="Times New Roman" w:eastAsia="Times New Roman" w:hAnsi="Times New Roman"/>
          <w:sz w:val="17"/>
          <w:szCs w:val="17"/>
          <w:b w:val="1"/>
          <w:bCs w:val="1"/>
          <w:color w:val="auto"/>
        </w:rPr>
        <w:t>Investing in our common stock involves risks that are referenced under the heading “</w:t>
      </w:r>
      <w:r>
        <w:rPr>
          <w:rFonts w:ascii="Times New Roman" w:cs="Times New Roman" w:eastAsia="Times New Roman" w:hAnsi="Times New Roman"/>
          <w:sz w:val="17"/>
          <w:szCs w:val="17"/>
          <w:b w:val="1"/>
          <w:bCs w:val="1"/>
          <w:i w:val="1"/>
          <w:iCs w:val="1"/>
          <w:color w:val="auto"/>
        </w:rPr>
        <w:t>Risk Factors</w:t>
      </w:r>
      <w:r>
        <w:rPr>
          <w:rFonts w:ascii="Times New Roman" w:cs="Times New Roman" w:eastAsia="Times New Roman" w:hAnsi="Times New Roman"/>
          <w:sz w:val="17"/>
          <w:szCs w:val="17"/>
          <w:b w:val="1"/>
          <w:bCs w:val="1"/>
          <w:color w:val="auto"/>
        </w:rPr>
        <w:t xml:space="preserve">” on page </w:t>
      </w:r>
      <w:r>
        <w:rPr>
          <w:rFonts w:ascii="Times New Roman" w:cs="Times New Roman" w:eastAsia="Times New Roman" w:hAnsi="Times New Roman"/>
          <w:sz w:val="17"/>
          <w:szCs w:val="17"/>
          <w:b w:val="1"/>
          <w:bCs w:val="1"/>
          <w:u w:val="single" w:color="auto"/>
          <w:color w:val="0000EE"/>
        </w:rPr>
        <w:t>4</w:t>
      </w:r>
      <w:r>
        <w:rPr>
          <w:rFonts w:ascii="Times New Roman" w:cs="Times New Roman" w:eastAsia="Times New Roman" w:hAnsi="Times New Roman"/>
          <w:sz w:val="17"/>
          <w:szCs w:val="17"/>
          <w:b w:val="1"/>
          <w:bCs w:val="1"/>
          <w:color w:val="auto"/>
        </w:rPr>
        <w:t xml:space="preserve"> of this prospectus. You should carefully review the risks and uncertainties described under the heading “</w:t>
      </w:r>
      <w:r>
        <w:rPr>
          <w:rFonts w:ascii="Times New Roman" w:cs="Times New Roman" w:eastAsia="Times New Roman" w:hAnsi="Times New Roman"/>
          <w:sz w:val="17"/>
          <w:szCs w:val="17"/>
          <w:b w:val="1"/>
          <w:bCs w:val="1"/>
          <w:i w:val="1"/>
          <w:iCs w:val="1"/>
          <w:color w:val="auto"/>
        </w:rPr>
        <w:t>Risk Factors</w:t>
      </w:r>
      <w:r>
        <w:rPr>
          <w:rFonts w:ascii="Times New Roman" w:cs="Times New Roman" w:eastAsia="Times New Roman" w:hAnsi="Times New Roman"/>
          <w:sz w:val="17"/>
          <w:szCs w:val="17"/>
          <w:b w:val="1"/>
          <w:bCs w:val="1"/>
          <w:color w:val="auto"/>
        </w:rPr>
        <w:t>” contained in the applicable prospectus supplement and any related free writing prospectus and under similar headings in the documents that are incorporated by reference in this prospectus.</w:t>
      </w:r>
    </w:p>
    <w:p>
      <w:pPr>
        <w:spacing w:after="0" w:line="80" w:lineRule="exact"/>
        <w:rPr>
          <w:sz w:val="20"/>
          <w:szCs w:val="20"/>
          <w:color w:val="auto"/>
        </w:rPr>
      </w:pPr>
    </w:p>
    <w:p>
      <w:pPr>
        <w:ind w:left="1260" w:right="65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199390</wp:posOffset>
            </wp:positionV>
            <wp:extent cx="123444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The date of this prospectus is January 12,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255905</wp:posOffset>
            </wp:positionV>
            <wp:extent cx="68319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ind w:right="210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About</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-110490</wp:posOffset>
            </wp:positionV>
            <wp:extent cx="5212080" cy="1200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2">
                      <a:extLst>
                        <a:ext uri="{28A0092B-C50C-407E-A947-70E740481C1C}"/>
                      </a:extLst>
                    </a:blip>
                    <a:srcRect/>
                    <a:stretch>
                      <a:fillRect/>
                    </a:stretch>
                  </pic:blipFill>
                  <pic:spPr bwMode="auto">
                    <a:xfrm>
                      <a:off x="0" y="0"/>
                      <a:ext cx="5212080" cy="120015"/>
                    </a:xfrm>
                    <a:prstGeom prst="rect">
                      <a:avLst/>
                    </a:prstGeom>
                    <a:noFill/>
                  </pic:spPr>
                </pic:pic>
              </a:graphicData>
            </a:graphic>
          </wp:anchor>
        </w:drawing>
      </w:r>
    </w:p>
    <w:p>
      <w:pPr>
        <w:spacing w:after="0" w:line="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Incorporation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-10795</wp:posOffset>
            </wp:positionV>
            <wp:extent cx="5212080" cy="1968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3">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Where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You Can Find More Information</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Cautionary</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Note Regarding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4">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Company</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Overview</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Risk</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5">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Use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Proceeds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Selling</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74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6">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Capital Stock</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Plan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74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7">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Legal</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Matters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Experts</w:t>
      </w:r>
      <w:r>
        <w:rPr>
          <w:rFonts w:ascii="Times New Roman" w:cs="Times New Roman" w:eastAsia="Times New Roman" w:hAnsi="Times New Roman"/>
          <w:sz w:val="18"/>
          <w:szCs w:val="18"/>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ii</w:t>
      </w:r>
      <w:r>
        <w:rPr>
          <w:rFonts w:ascii="Times New Roman" w:cs="Times New Roman" w:eastAsia="Times New Roman" w:hAnsi="Times New Roman"/>
          <w:sz w:val="18"/>
          <w:szCs w:val="18"/>
          <w:color w:val="auto"/>
        </w:rPr>
        <w:t>​</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iii</w:t>
      </w:r>
      <w:r>
        <w:rPr>
          <w:rFonts w:ascii="Times New Roman" w:cs="Times New Roman" w:eastAsia="Times New Roman" w:hAnsi="Times New Roman"/>
          <w:sz w:val="18"/>
          <w:szCs w:val="18"/>
          <w:color w:val="auto"/>
        </w:rPr>
        <w: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v</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3</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4</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5</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6</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7</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16</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19</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20</w:t>
      </w:r>
      <w:r>
        <w:rPr>
          <w:rFonts w:ascii="Times New Roman" w:cs="Times New Roman" w:eastAsia="Times New Roman" w:hAnsi="Times New Roman"/>
          <w:sz w:val="18"/>
          <w:szCs w:val="18"/>
          <w:color w:val="auto"/>
        </w:rPr>
        <w:t>​</w:t>
      </w:r>
    </w:p>
    <w:p>
      <w:pPr>
        <w:sectPr>
          <w:pgSz w:w="11900" w:h="16838" w:orient="portrait"/>
          <w:cols w:equalWidth="0" w:num="2">
            <w:col w:w="8400" w:space="720"/>
            <w:col w:w="759"/>
          </w:cols>
          <w:pgMar w:left="580" w:top="97" w:right="1440" w:bottom="1440" w:gutter="0" w:footer="0" w:header="0"/>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62" w:lineRule="exact"/>
        <w:rPr>
          <w:sz w:val="20"/>
          <w:szCs w:val="20"/>
          <w:color w:val="auto"/>
        </w:rPr>
      </w:pPr>
    </w:p>
    <w:p>
      <w:pPr>
        <w:ind w:left="1260" w:right="459" w:firstLine="360"/>
        <w:spacing w:after="0" w:line="259" w:lineRule="auto"/>
        <w:rPr>
          <w:sz w:val="20"/>
          <w:szCs w:val="20"/>
          <w:color w:val="auto"/>
        </w:rPr>
      </w:pPr>
      <w:r>
        <w:rPr>
          <w:rFonts w:ascii="Times New Roman" w:cs="Times New Roman" w:eastAsia="Times New Roman" w:hAnsi="Times New Roman"/>
          <w:sz w:val="18"/>
          <w:szCs w:val="18"/>
          <w:color w:val="auto"/>
        </w:rPr>
        <w:t>To understand the terms of the securities offered by this prospectus, you should carefully read this prospectus and any applicable prospectus supplement. You should also read the documents referred to under the heading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for information regarding us and the business conducted by us.    Certain capitalized terms used in this prospectus are defined elsewhere in this prospectus.</w:t>
      </w:r>
    </w:p>
    <w:p>
      <w:pPr>
        <w:spacing w:after="0" w:line="335"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S-3 that Sun Country Airlines Holdings, Inc., a Delaware corporation, which is also referred to as “Sun Country,” “Sun Country Airlines,” “the Company,” “we,” “us,” and “our,” has filed with the U.S. Securities and Exchange Commission, or the SEC, using a “shelf” registration process. Under this process, the selling stockholders named herein may offer and sell, from time to time in one or more offerings, up to an aggregate of 34,352,603 shares of our common stock, including 9,482,606 shares of our common stock issuable upon exercise of outstanding warrants.</w:t>
      </w:r>
    </w:p>
    <w:p>
      <w:pPr>
        <w:spacing w:after="0" w:line="106" w:lineRule="exact"/>
        <w:rPr>
          <w:sz w:val="20"/>
          <w:szCs w:val="20"/>
          <w:color w:val="auto"/>
        </w:rPr>
      </w:pPr>
    </w:p>
    <w:p>
      <w:pPr>
        <w:ind w:left="1260" w:right="519" w:firstLine="360"/>
        <w:spacing w:after="0" w:line="256" w:lineRule="auto"/>
        <w:rPr>
          <w:sz w:val="20"/>
          <w:szCs w:val="20"/>
          <w:color w:val="auto"/>
        </w:rPr>
      </w:pPr>
      <w:r>
        <w:rPr>
          <w:rFonts w:ascii="Times New Roman" w:cs="Times New Roman" w:eastAsia="Times New Roman" w:hAnsi="Times New Roman"/>
          <w:sz w:val="18"/>
          <w:szCs w:val="18"/>
          <w:color w:val="auto"/>
        </w:rPr>
        <w:t>This prospectus provides you with a general description of the common stock that the selling stockholders may offer. Each time the selling stockholders offer and sell shares of common stock, such selling stockholders may provide you with a prospectus supplement that will describe the specific amounts, prices and terms of the common stock being offered. The prospectus supplement may also add, update or change information contained or incorporated by reference in this prospectus. If there is any inconsistency between the information in this prospectus and any prospectus supplement, you should rely on the information in the prospectus supplement.</w:t>
      </w:r>
    </w:p>
    <w:p>
      <w:pPr>
        <w:spacing w:after="0" w:line="336" w:lineRule="exact"/>
        <w:rPr>
          <w:sz w:val="20"/>
          <w:szCs w:val="20"/>
          <w:color w:val="auto"/>
        </w:rPr>
      </w:pPr>
    </w:p>
    <w:p>
      <w:pPr>
        <w:ind w:left="1260" w:right="659" w:firstLine="360"/>
        <w:spacing w:after="0" w:line="282" w:lineRule="auto"/>
        <w:rPr>
          <w:sz w:val="20"/>
          <w:szCs w:val="20"/>
          <w:color w:val="auto"/>
        </w:rPr>
      </w:pPr>
      <w:r>
        <w:rPr>
          <w:rFonts w:ascii="Times New Roman" w:cs="Times New Roman" w:eastAsia="Times New Roman" w:hAnsi="Times New Roman"/>
          <w:sz w:val="18"/>
          <w:szCs w:val="18"/>
          <w:color w:val="auto"/>
        </w:rPr>
        <w:t>The prospectus supplement may also contain information about any material U.S. federal income tax considerations relating to the securities covered by the prospectus supplement.</w:t>
      </w:r>
    </w:p>
    <w:p>
      <w:pPr>
        <w:spacing w:after="0" w:line="94"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The selling stockholders may sell our common stock to underwriters who will sell the common stock to the public on terms fixed at the time of sale or at variable prices. In addition, the common stock may be sold by the selling stockholders directly or through dealers or agents designated from time to time, which agents may be affiliates of ours. If the selling stockholders, directly or through agents, solicit offers to purchase the common stock, the selling stockholders and their agents reserve the sole right to accept and to reject, in whole or in part, any offer.</w:t>
      </w:r>
    </w:p>
    <w:p>
      <w:pPr>
        <w:spacing w:after="0" w:line="106"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The prospectus supplement will also contain, with respect to the securities being sold, the names of any underwriters, dealers or agents, together with the terms of the offering, the compensation of any underwriters, dealers or agents and the net proceeds to the selling stockholders.</w:t>
      </w:r>
    </w:p>
    <w:p>
      <w:pPr>
        <w:spacing w:after="0" w:line="108" w:lineRule="exact"/>
        <w:rPr>
          <w:sz w:val="20"/>
          <w:szCs w:val="20"/>
          <w:color w:val="auto"/>
        </w:rPr>
      </w:pPr>
    </w:p>
    <w:p>
      <w:pPr>
        <w:ind w:left="1260" w:right="519" w:firstLine="360"/>
        <w:spacing w:after="0" w:line="275" w:lineRule="auto"/>
        <w:rPr>
          <w:sz w:val="20"/>
          <w:szCs w:val="20"/>
          <w:color w:val="auto"/>
        </w:rPr>
      </w:pPr>
      <w:r>
        <w:rPr>
          <w:rFonts w:ascii="Times New Roman" w:cs="Times New Roman" w:eastAsia="Times New Roman" w:hAnsi="Times New Roman"/>
          <w:sz w:val="18"/>
          <w:szCs w:val="18"/>
          <w:color w:val="auto"/>
        </w:rPr>
        <w:t>Any underwriters, dealers or agents participating in the offering may be deemed “underwriters” within the meaning of the Securities Act of 1933, as amended, which we refer to in this prospectus as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94" w:lineRule="exact"/>
        <w:rPr>
          <w:sz w:val="20"/>
          <w:szCs w:val="20"/>
          <w:color w:val="auto"/>
        </w:rPr>
      </w:pPr>
    </w:p>
    <w:p>
      <w:pPr>
        <w:ind w:left="1260" w:right="539" w:firstLine="360"/>
        <w:spacing w:after="0" w:line="246" w:lineRule="auto"/>
        <w:rPr>
          <w:sz w:val="20"/>
          <w:szCs w:val="20"/>
          <w:color w:val="auto"/>
        </w:rPr>
      </w:pPr>
      <w:r>
        <w:rPr>
          <w:rFonts w:ascii="Times New Roman" w:cs="Times New Roman" w:eastAsia="Times New Roman" w:hAnsi="Times New Roman"/>
          <w:sz w:val="18"/>
          <w:szCs w:val="18"/>
          <w:color w:val="auto"/>
        </w:rPr>
        <w:t>In this prospectus, we “incorporate by reference” certain information that we file with the SEC, which means that we can disclose important information to you by referring you to that information. The information we incorporate by reference is an important part of this prospectus, and later information that we file with the SEC will automatically update and supersede this information. The following documents have been filed by us with the SEC and are incorporated by reference into this prospectus:</w:t>
      </w:r>
    </w:p>
    <w:p>
      <w:pPr>
        <w:spacing w:after="0" w:line="73" w:lineRule="exact"/>
        <w:rPr>
          <w:sz w:val="20"/>
          <w:szCs w:val="20"/>
          <w:color w:val="auto"/>
        </w:rPr>
      </w:pPr>
    </w:p>
    <w:p>
      <w:pPr>
        <w:ind w:left="1800" w:right="419" w:hanging="180"/>
        <w:spacing w:after="0" w:line="266" w:lineRule="auto"/>
        <w:tabs>
          <w:tab w:leader="none" w:pos="1800" w:val="left"/>
        </w:tabs>
        <w:numPr>
          <w:ilvl w:val="0"/>
          <w:numId w:val="22"/>
        </w:numPr>
        <w:rPr>
          <w:rFonts w:ascii="Times New Roman" w:cs="Times New Roman" w:eastAsia="Times New Roman" w:hAnsi="Times New Roman"/>
          <w:sz w:val="18"/>
          <w:szCs w:val="18"/>
          <w:u w:val="single" w:color="auto"/>
          <w:color w:val="0000EE"/>
        </w:rPr>
      </w:pPr>
      <w:hyperlink r:id="rId100">
        <w:r>
          <w:rPr>
            <w:rFonts w:ascii="Times New Roman" w:cs="Times New Roman" w:eastAsia="Times New Roman" w:hAnsi="Times New Roman"/>
            <w:sz w:val="18"/>
            <w:szCs w:val="18"/>
            <w:u w:val="single" w:color="auto"/>
            <w:color w:val="0000EE"/>
          </w:rPr>
          <w:t>our Annual Report on Form 10-K for the fiscal year ended December 31, 2021, filed with the SEC on</w:t>
        </w:r>
      </w:hyperlink>
      <w:r>
        <w:rPr>
          <w:rFonts w:ascii="Times New Roman" w:cs="Times New Roman" w:eastAsia="Times New Roman" w:hAnsi="Times New Roman"/>
          <w:sz w:val="18"/>
          <w:szCs w:val="18"/>
          <w:u w:val="single" w:color="auto"/>
          <w:color w:val="0000EE"/>
        </w:rPr>
        <w:t xml:space="preserve"> </w:t>
      </w:r>
      <w:hyperlink r:id="rId101">
        <w:r>
          <w:rPr>
            <w:rFonts w:ascii="Times New Roman" w:cs="Times New Roman" w:eastAsia="Times New Roman" w:hAnsi="Times New Roman"/>
            <w:sz w:val="18"/>
            <w:szCs w:val="18"/>
            <w:u w:val="single" w:color="auto"/>
            <w:color w:val="0000EE"/>
          </w:rPr>
          <w:t>February 18, 2022, and Amendment No. 1 thereto, filed with the SEC on February 22, 2022 (the</w:t>
        </w:r>
      </w:hyperlink>
      <w:r>
        <w:rPr>
          <w:rFonts w:ascii="Times New Roman" w:cs="Times New Roman" w:eastAsia="Times New Roman" w:hAnsi="Times New Roman"/>
          <w:sz w:val="18"/>
          <w:szCs w:val="18"/>
          <w:u w:val="single" w:color="auto"/>
          <w:color w:val="0000EE"/>
        </w:rPr>
        <w:t xml:space="preserve"> </w:t>
      </w:r>
      <w:hyperlink r:id="rId101">
        <w:r>
          <w:rPr>
            <w:rFonts w:ascii="Times New Roman" w:cs="Times New Roman" w:eastAsia="Times New Roman" w:hAnsi="Times New Roman"/>
            <w:sz w:val="18"/>
            <w:szCs w:val="18"/>
            <w:u w:val="single" w:color="auto"/>
            <w:color w:val="0000EE"/>
          </w:rPr>
          <w:t>“2021 Annual Report”);</w:t>
        </w:r>
      </w:hyperlink>
    </w:p>
    <w:p>
      <w:pPr>
        <w:spacing w:after="0" w:line="54" w:lineRule="exact"/>
        <w:rPr>
          <w:rFonts w:ascii="Times New Roman" w:cs="Times New Roman" w:eastAsia="Times New Roman" w:hAnsi="Times New Roman"/>
          <w:sz w:val="18"/>
          <w:szCs w:val="18"/>
          <w:u w:val="single" w:color="auto"/>
          <w:color w:val="0000EE"/>
        </w:rPr>
      </w:pPr>
    </w:p>
    <w:p>
      <w:pPr>
        <w:ind w:left="1800" w:right="579" w:hanging="180"/>
        <w:spacing w:after="0" w:line="282" w:lineRule="auto"/>
        <w:tabs>
          <w:tab w:leader="none" w:pos="1800" w:val="left"/>
        </w:tabs>
        <w:numPr>
          <w:ilvl w:val="0"/>
          <w:numId w:val="22"/>
        </w:numPr>
        <w:rPr>
          <w:rFonts w:ascii="Times New Roman" w:cs="Times New Roman" w:eastAsia="Times New Roman" w:hAnsi="Times New Roman"/>
          <w:sz w:val="18"/>
          <w:szCs w:val="18"/>
          <w:u w:val="single" w:color="auto"/>
          <w:color w:val="0000EE"/>
        </w:rPr>
      </w:pPr>
      <w:hyperlink r:id="rId102">
        <w:r>
          <w:rPr>
            <w:rFonts w:ascii="Times New Roman" w:cs="Times New Roman" w:eastAsia="Times New Roman" w:hAnsi="Times New Roman"/>
            <w:sz w:val="18"/>
            <w:szCs w:val="18"/>
            <w:u w:val="single" w:color="auto"/>
            <w:color w:val="0000EE"/>
          </w:rPr>
          <w:t>portions of our Definitive Proxy Statement on Schedule 14A, filed with the SEC on April 29, 2022,</w:t>
        </w:r>
      </w:hyperlink>
      <w:r>
        <w:rPr>
          <w:rFonts w:ascii="Times New Roman" w:cs="Times New Roman" w:eastAsia="Times New Roman" w:hAnsi="Times New Roman"/>
          <w:sz w:val="18"/>
          <w:szCs w:val="18"/>
          <w:u w:val="single" w:color="auto"/>
          <w:color w:val="0000EE"/>
        </w:rPr>
        <w:t xml:space="preserve"> </w:t>
      </w:r>
      <w:hyperlink r:id="rId102">
        <w:r>
          <w:rPr>
            <w:rFonts w:ascii="Times New Roman" w:cs="Times New Roman" w:eastAsia="Times New Roman" w:hAnsi="Times New Roman"/>
            <w:sz w:val="18"/>
            <w:szCs w:val="18"/>
            <w:u w:val="single" w:color="auto"/>
            <w:color w:val="0000EE"/>
          </w:rPr>
          <w:t>that are incorporated by reference into Part III of the 2021 Annual Report;</w:t>
        </w:r>
      </w:hyperlink>
    </w:p>
    <w:p>
      <w:pPr>
        <w:spacing w:after="0" w:line="53" w:lineRule="exact"/>
        <w:rPr>
          <w:rFonts w:ascii="Times New Roman" w:cs="Times New Roman" w:eastAsia="Times New Roman" w:hAnsi="Times New Roman"/>
          <w:sz w:val="18"/>
          <w:szCs w:val="18"/>
          <w:u w:val="single" w:color="auto"/>
          <w:color w:val="0000EE"/>
        </w:rPr>
      </w:pPr>
    </w:p>
    <w:p>
      <w:pPr>
        <w:ind w:left="1800" w:right="779" w:hanging="180"/>
        <w:spacing w:after="0" w:line="282" w:lineRule="auto"/>
        <w:tabs>
          <w:tab w:leader="none" w:pos="1800" w:val="left"/>
        </w:tabs>
        <w:numPr>
          <w:ilvl w:val="0"/>
          <w:numId w:val="22"/>
        </w:numPr>
        <w:rPr>
          <w:rFonts w:ascii="Times New Roman" w:cs="Times New Roman" w:eastAsia="Times New Roman" w:hAnsi="Times New Roman"/>
          <w:sz w:val="18"/>
          <w:szCs w:val="18"/>
          <w:u w:val="single" w:color="auto"/>
          <w:color w:val="0000EE"/>
        </w:rPr>
      </w:pPr>
      <w:hyperlink r:id="rId103">
        <w:r>
          <w:rPr>
            <w:rFonts w:ascii="Times New Roman" w:cs="Times New Roman" w:eastAsia="Times New Roman" w:hAnsi="Times New Roman"/>
            <w:sz w:val="18"/>
            <w:szCs w:val="18"/>
            <w:u w:val="single" w:color="auto"/>
            <w:color w:val="0000EE"/>
          </w:rPr>
          <w:t>our Quarterly Report on Form 10-Q for the quarter ended March 31, 2022, filed with the SEC on</w:t>
        </w:r>
      </w:hyperlink>
      <w:r>
        <w:rPr>
          <w:rFonts w:ascii="Times New Roman" w:cs="Times New Roman" w:eastAsia="Times New Roman" w:hAnsi="Times New Roman"/>
          <w:sz w:val="18"/>
          <w:szCs w:val="18"/>
          <w:u w:val="single" w:color="auto"/>
          <w:color w:val="0000EE"/>
        </w:rPr>
        <w:t xml:space="preserve"> </w:t>
      </w:r>
      <w:hyperlink r:id="rId103">
        <w:r>
          <w:rPr>
            <w:rFonts w:ascii="Times New Roman" w:cs="Times New Roman" w:eastAsia="Times New Roman" w:hAnsi="Times New Roman"/>
            <w:sz w:val="18"/>
            <w:szCs w:val="18"/>
            <w:u w:val="single" w:color="auto"/>
            <w:color w:val="0000EE"/>
          </w:rPr>
          <w:t>May 6, 2022;</w:t>
        </w:r>
      </w:hyperlink>
    </w:p>
    <w:p>
      <w:pPr>
        <w:spacing w:after="0" w:line="53" w:lineRule="exact"/>
        <w:rPr>
          <w:rFonts w:ascii="Times New Roman" w:cs="Times New Roman" w:eastAsia="Times New Roman" w:hAnsi="Times New Roman"/>
          <w:sz w:val="18"/>
          <w:szCs w:val="18"/>
          <w:u w:val="single" w:color="auto"/>
          <w:color w:val="0000EE"/>
        </w:rPr>
      </w:pPr>
    </w:p>
    <w:p>
      <w:pPr>
        <w:ind w:left="1800" w:right="919" w:hanging="180"/>
        <w:spacing w:after="0" w:line="282" w:lineRule="auto"/>
        <w:tabs>
          <w:tab w:leader="none" w:pos="1800" w:val="left"/>
        </w:tabs>
        <w:numPr>
          <w:ilvl w:val="0"/>
          <w:numId w:val="22"/>
        </w:numPr>
        <w:rPr>
          <w:rFonts w:ascii="Times New Roman" w:cs="Times New Roman" w:eastAsia="Times New Roman" w:hAnsi="Times New Roman"/>
          <w:sz w:val="18"/>
          <w:szCs w:val="18"/>
          <w:u w:val="single" w:color="auto"/>
          <w:color w:val="0000EE"/>
        </w:rPr>
      </w:pPr>
      <w:hyperlink r:id="rId104">
        <w:r>
          <w:rPr>
            <w:rFonts w:ascii="Times New Roman" w:cs="Times New Roman" w:eastAsia="Times New Roman" w:hAnsi="Times New Roman"/>
            <w:sz w:val="18"/>
            <w:szCs w:val="18"/>
            <w:u w:val="single" w:color="auto"/>
            <w:color w:val="0000EE"/>
          </w:rPr>
          <w:t>our Quarterly Report on Form 10-Q for the quarter ended June 30, 2022, filed with the SEC on</w:t>
        </w:r>
      </w:hyperlink>
      <w:r>
        <w:rPr>
          <w:rFonts w:ascii="Times New Roman" w:cs="Times New Roman" w:eastAsia="Times New Roman" w:hAnsi="Times New Roman"/>
          <w:sz w:val="18"/>
          <w:szCs w:val="18"/>
          <w:u w:val="single" w:color="auto"/>
          <w:color w:val="0000EE"/>
        </w:rPr>
        <w:t xml:space="preserve"> </w:t>
      </w:r>
      <w:hyperlink r:id="rId104">
        <w:r>
          <w:rPr>
            <w:rFonts w:ascii="Times New Roman" w:cs="Times New Roman" w:eastAsia="Times New Roman" w:hAnsi="Times New Roman"/>
            <w:sz w:val="18"/>
            <w:szCs w:val="18"/>
            <w:u w:val="single" w:color="auto"/>
            <w:color w:val="0000EE"/>
          </w:rPr>
          <w:t>August 10, 2022;</w:t>
        </w:r>
      </w:hyperlink>
    </w:p>
    <w:p>
      <w:pPr>
        <w:spacing w:after="0" w:line="40" w:lineRule="exact"/>
        <w:rPr>
          <w:rFonts w:ascii="Times New Roman" w:cs="Times New Roman" w:eastAsia="Times New Roman" w:hAnsi="Times New Roman"/>
          <w:sz w:val="18"/>
          <w:szCs w:val="18"/>
          <w:u w:val="single" w:color="auto"/>
          <w:color w:val="0000EE"/>
        </w:rPr>
      </w:pPr>
    </w:p>
    <w:p>
      <w:pPr>
        <w:ind w:left="1800" w:right="459" w:hanging="180"/>
        <w:spacing w:after="0" w:line="282" w:lineRule="auto"/>
        <w:tabs>
          <w:tab w:leader="none" w:pos="1800" w:val="left"/>
        </w:tabs>
        <w:numPr>
          <w:ilvl w:val="0"/>
          <w:numId w:val="22"/>
        </w:numPr>
        <w:rPr>
          <w:rFonts w:ascii="Times New Roman" w:cs="Times New Roman" w:eastAsia="Times New Roman" w:hAnsi="Times New Roman"/>
          <w:sz w:val="18"/>
          <w:szCs w:val="18"/>
          <w:u w:val="single" w:color="auto"/>
          <w:color w:val="0000EE"/>
        </w:rPr>
      </w:pPr>
      <w:hyperlink r:id="rId105">
        <w:r>
          <w:rPr>
            <w:rFonts w:ascii="Times New Roman" w:cs="Times New Roman" w:eastAsia="Times New Roman" w:hAnsi="Times New Roman"/>
            <w:sz w:val="18"/>
            <w:szCs w:val="18"/>
            <w:u w:val="single" w:color="auto"/>
            <w:color w:val="0000EE"/>
          </w:rPr>
          <w:t>our Quarterly Report on Form 10-Q for the quarter ended September 30, 2022, filed with the SEC on</w:t>
        </w:r>
      </w:hyperlink>
      <w:r>
        <w:rPr>
          <w:rFonts w:ascii="Times New Roman" w:cs="Times New Roman" w:eastAsia="Times New Roman" w:hAnsi="Times New Roman"/>
          <w:sz w:val="18"/>
          <w:szCs w:val="18"/>
          <w:u w:val="single" w:color="auto"/>
          <w:color w:val="0000EE"/>
        </w:rPr>
        <w:t xml:space="preserve"> </w:t>
      </w:r>
      <w:hyperlink r:id="rId105">
        <w:r>
          <w:rPr>
            <w:rFonts w:ascii="Times New Roman" w:cs="Times New Roman" w:eastAsia="Times New Roman" w:hAnsi="Times New Roman"/>
            <w:sz w:val="18"/>
            <w:szCs w:val="18"/>
            <w:u w:val="single" w:color="auto"/>
            <w:color w:val="0000EE"/>
          </w:rPr>
          <w:t>November 2, 2022;</w:t>
        </w:r>
      </w:hyperlink>
    </w:p>
    <w:p>
      <w:pPr>
        <w:spacing w:after="0" w:line="53" w:lineRule="exact"/>
        <w:rPr>
          <w:rFonts w:ascii="Times New Roman" w:cs="Times New Roman" w:eastAsia="Times New Roman" w:hAnsi="Times New Roman"/>
          <w:sz w:val="18"/>
          <w:szCs w:val="18"/>
          <w:u w:val="single" w:color="auto"/>
          <w:color w:val="0000EE"/>
        </w:rPr>
      </w:pPr>
    </w:p>
    <w:p>
      <w:pPr>
        <w:ind w:left="1800" w:right="499" w:hanging="180"/>
        <w:spacing w:after="0" w:line="258" w:lineRule="auto"/>
        <w:tabs>
          <w:tab w:leader="none" w:pos="1800" w:val="left"/>
        </w:tabs>
        <w:numPr>
          <w:ilvl w:val="0"/>
          <w:numId w:val="22"/>
        </w:numPr>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auto"/>
          </w:rPr>
          <w:t xml:space="preserve">our Current Reports on Form 8-K, filed with the SEC on </w:t>
        </w:r>
        <w:r>
          <w:rPr>
            <w:rFonts w:ascii="Times New Roman" w:cs="Times New Roman" w:eastAsia="Times New Roman" w:hAnsi="Times New Roman"/>
            <w:sz w:val="18"/>
            <w:szCs w:val="18"/>
            <w:u w:val="single" w:color="auto"/>
            <w:color w:val="0000EE"/>
          </w:rPr>
          <w:t>February 7, 2022 (second report)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April 5,</w:t>
        </w:r>
      </w:hyperlink>
      <w:r>
        <w:rPr>
          <w:rFonts w:ascii="Times New Roman" w:cs="Times New Roman" w:eastAsia="Times New Roman" w:hAnsi="Times New Roman"/>
          <w:sz w:val="18"/>
          <w:szCs w:val="18"/>
          <w:color w:val="auto"/>
        </w:rPr>
        <w:t xml:space="preserve"> </w:t>
      </w:r>
      <w:hyperlink r:id="rId106">
        <w:r>
          <w:rPr>
            <w:rFonts w:ascii="Times New Roman" w:cs="Times New Roman" w:eastAsia="Times New Roman" w:hAnsi="Times New Roman"/>
            <w:sz w:val="18"/>
            <w:szCs w:val="18"/>
            <w:u w:val="single" w:color="auto"/>
            <w:color w:val="0000EE"/>
          </w:rPr>
          <w:t>2022</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107">
        <w:r>
          <w:rPr>
            <w:rFonts w:ascii="Times New Roman" w:cs="Times New Roman" w:eastAsia="Times New Roman" w:hAnsi="Times New Roman"/>
            <w:sz w:val="18"/>
            <w:szCs w:val="18"/>
            <w:u w:val="single" w:color="auto"/>
            <w:color w:val="0000EE"/>
          </w:rPr>
          <w:t xml:space="preserve">April 29, 2022 </w:t>
        </w:r>
      </w:hyperlink>
      <w:hyperlink r:id="rId106">
        <w:r>
          <w:rPr>
            <w:rFonts w:ascii="Times New Roman" w:cs="Times New Roman" w:eastAsia="Times New Roman" w:hAnsi="Times New Roman"/>
            <w:sz w:val="18"/>
            <w:szCs w:val="18"/>
            <w:color w:val="000000"/>
          </w:rPr>
          <w:t>(as amended by our Current Report on Form 8-K/A filed with the SEC on</w:t>
        </w:r>
      </w:hyperlink>
      <w:r>
        <w:rPr>
          <w:rFonts w:ascii="Times New Roman" w:cs="Times New Roman" w:eastAsia="Times New Roman" w:hAnsi="Times New Roman"/>
          <w:sz w:val="18"/>
          <w:szCs w:val="18"/>
          <w:color w:val="0000EE"/>
        </w:rPr>
        <w:t xml:space="preserve"> </w:t>
      </w:r>
      <w:hyperlink r:id="rId108">
        <w:r>
          <w:rPr>
            <w:rFonts w:ascii="Times New Roman" w:cs="Times New Roman" w:eastAsia="Times New Roman" w:hAnsi="Times New Roman"/>
            <w:sz w:val="18"/>
            <w:szCs w:val="18"/>
            <w:u w:val="single" w:color="auto"/>
            <w:color w:val="0000EE"/>
          </w:rPr>
          <w:t>May 6, 2022</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109">
        <w:r>
          <w:rPr>
            <w:rFonts w:ascii="Times New Roman" w:cs="Times New Roman" w:eastAsia="Times New Roman" w:hAnsi="Times New Roman"/>
            <w:sz w:val="18"/>
            <w:szCs w:val="18"/>
            <w:u w:val="single" w:color="auto"/>
            <w:color w:val="0000EE"/>
          </w:rPr>
          <w:t>June 10, 2022</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110">
        <w:r>
          <w:rPr>
            <w:rFonts w:ascii="Times New Roman" w:cs="Times New Roman" w:eastAsia="Times New Roman" w:hAnsi="Times New Roman"/>
            <w:sz w:val="18"/>
            <w:szCs w:val="18"/>
            <w:u w:val="single" w:color="auto"/>
            <w:color w:val="0000EE"/>
          </w:rPr>
          <w:t>June 17, 2022</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111">
        <w:r>
          <w:rPr>
            <w:rFonts w:ascii="Times New Roman" w:cs="Times New Roman" w:eastAsia="Times New Roman" w:hAnsi="Times New Roman"/>
            <w:sz w:val="18"/>
            <w:szCs w:val="18"/>
            <w:u w:val="single" w:color="auto"/>
            <w:color w:val="0000EE"/>
          </w:rPr>
          <w:t xml:space="preserve">October 14, 2022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112">
        <w:r>
          <w:rPr>
            <w:rFonts w:ascii="Times New Roman" w:cs="Times New Roman" w:eastAsia="Times New Roman" w:hAnsi="Times New Roman"/>
            <w:sz w:val="18"/>
            <w:szCs w:val="18"/>
            <w:u w:val="single" w:color="auto"/>
            <w:color w:val="0000EE"/>
          </w:rPr>
          <w:t xml:space="preserve">November 1, 2022 </w:t>
        </w:r>
      </w:hyperlink>
      <w:hyperlink r:id="rId113">
        <w:r>
          <w:rPr>
            <w:rFonts w:ascii="Times New Roman" w:cs="Times New Roman" w:eastAsia="Times New Roman" w:hAnsi="Times New Roman"/>
            <w:sz w:val="18"/>
            <w:szCs w:val="18"/>
            <w:u w:val="single" w:color="auto"/>
            <w:color w:val="0000EE"/>
          </w:rPr>
          <w:t>(both reports)</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(in each case, other than information furnished pursuant to Item 2.02 or Item 7.01 of any such Current Report on Form 8-K); and</w:t>
      </w:r>
    </w:p>
    <w:p>
      <w:pPr>
        <w:spacing w:after="0" w:line="61" w:lineRule="exact"/>
        <w:rPr>
          <w:rFonts w:ascii="Times New Roman" w:cs="Times New Roman" w:eastAsia="Times New Roman" w:hAnsi="Times New Roman"/>
          <w:sz w:val="18"/>
          <w:szCs w:val="18"/>
          <w:color w:val="0000EE"/>
        </w:rPr>
      </w:pPr>
    </w:p>
    <w:p>
      <w:pPr>
        <w:ind w:left="1800" w:right="459" w:hanging="180"/>
        <w:spacing w:after="0" w:line="263" w:lineRule="auto"/>
        <w:tabs>
          <w:tab w:leader="none" w:pos="1800" w:val="left"/>
        </w:tabs>
        <w:numPr>
          <w:ilvl w:val="0"/>
          <w:numId w:val="22"/>
        </w:numPr>
        <w:rPr>
          <w:rFonts w:ascii="Times New Roman" w:cs="Times New Roman" w:eastAsia="Times New Roman" w:hAnsi="Times New Roman"/>
          <w:sz w:val="18"/>
          <w:szCs w:val="18"/>
          <w:u w:val="single" w:color="auto"/>
          <w:color w:val="0000EE"/>
        </w:rPr>
      </w:pPr>
      <w:hyperlink r:id="rId114">
        <w:r>
          <w:rPr>
            <w:rFonts w:ascii="Times New Roman" w:cs="Times New Roman" w:eastAsia="Times New Roman" w:hAnsi="Times New Roman"/>
            <w:sz w:val="18"/>
            <w:szCs w:val="18"/>
            <w:u w:val="single" w:color="auto"/>
            <w:color w:val="0000EE"/>
          </w:rPr>
          <w:t>the description of our common stock set forth in our registration statement filed on Form 8-A</w:t>
        </w:r>
      </w:hyperlink>
      <w:r>
        <w:rPr>
          <w:rFonts w:ascii="Times New Roman" w:cs="Times New Roman" w:eastAsia="Times New Roman" w:hAnsi="Times New Roman"/>
          <w:sz w:val="18"/>
          <w:szCs w:val="18"/>
          <w:u w:val="single" w:color="auto"/>
          <w:color w:val="0000EE"/>
        </w:rPr>
        <w:t xml:space="preserve"> </w:t>
      </w:r>
      <w:hyperlink r:id="rId114">
        <w:r>
          <w:rPr>
            <w:rFonts w:ascii="Times New Roman" w:cs="Times New Roman" w:eastAsia="Times New Roman" w:hAnsi="Times New Roman"/>
            <w:sz w:val="18"/>
            <w:szCs w:val="18"/>
            <w:u w:val="single" w:color="auto"/>
            <w:color w:val="0000EE"/>
          </w:rPr>
          <w:t>pursuant to Section 12 of the Securities Exchange Act of 1934, as amended (the “Exchange Act”),</w:t>
        </w:r>
      </w:hyperlink>
      <w:r>
        <w:rPr>
          <w:rFonts w:ascii="Times New Roman" w:cs="Times New Roman" w:eastAsia="Times New Roman" w:hAnsi="Times New Roman"/>
          <w:sz w:val="18"/>
          <w:szCs w:val="18"/>
          <w:u w:val="single" w:color="auto"/>
          <w:color w:val="0000EE"/>
        </w:rPr>
        <w:t xml:space="preserve"> </w:t>
      </w:r>
      <w:hyperlink r:id="rId114">
        <w:r>
          <w:rPr>
            <w:rFonts w:ascii="Times New Roman" w:cs="Times New Roman" w:eastAsia="Times New Roman" w:hAnsi="Times New Roman"/>
            <w:sz w:val="18"/>
            <w:szCs w:val="18"/>
            <w:u w:val="single" w:color="auto"/>
            <w:color w:val="0000EE"/>
          </w:rPr>
          <w:t>with the SEC on March 15, 2021, and any amendment or report filed for the purpose of updating that</w:t>
        </w:r>
      </w:hyperlink>
      <w:r>
        <w:rPr>
          <w:rFonts w:ascii="Times New Roman" w:cs="Times New Roman" w:eastAsia="Times New Roman" w:hAnsi="Times New Roman"/>
          <w:sz w:val="18"/>
          <w:szCs w:val="18"/>
          <w:u w:val="single" w:color="auto"/>
          <w:color w:val="0000EE"/>
        </w:rPr>
        <w:t xml:space="preserve"> </w:t>
      </w:r>
      <w:hyperlink r:id="rId114">
        <w:r>
          <w:rPr>
            <w:rFonts w:ascii="Times New Roman" w:cs="Times New Roman" w:eastAsia="Times New Roman" w:hAnsi="Times New Roman"/>
            <w:sz w:val="18"/>
            <w:szCs w:val="18"/>
            <w:u w:val="single" w:color="auto"/>
            <w:color w:val="0000EE"/>
          </w:rPr>
          <w:t>description.</w:t>
        </w:r>
      </w:hyperlink>
    </w:p>
    <w:p>
      <w:pPr>
        <w:spacing w:after="0" w:line="332" w:lineRule="exact"/>
        <w:rPr>
          <w:rFonts w:ascii="Times New Roman" w:cs="Times New Roman" w:eastAsia="Times New Roman" w:hAnsi="Times New Roman"/>
          <w:sz w:val="18"/>
          <w:szCs w:val="18"/>
          <w:u w:val="single" w:color="auto"/>
          <w:color w:val="0000EE"/>
        </w:rPr>
      </w:pPr>
    </w:p>
    <w:p>
      <w:pPr>
        <w:ind w:left="1260" w:right="759" w:firstLine="360"/>
        <w:spacing w:after="0" w:line="246" w:lineRule="auto"/>
        <w:rPr>
          <w:sz w:val="20"/>
          <w:szCs w:val="20"/>
          <w:color w:val="auto"/>
        </w:rPr>
      </w:pPr>
      <w:r>
        <w:rPr>
          <w:rFonts w:ascii="Times New Roman" w:cs="Times New Roman" w:eastAsia="Times New Roman" w:hAnsi="Times New Roman"/>
          <w:sz w:val="18"/>
          <w:szCs w:val="18"/>
          <w:color w:val="auto"/>
        </w:rPr>
        <w:t>All documents and reports that we file with the SEC (other than any portion of such filings that are furnished under applicable SEC rules rather than filed) under Sections 13(a), 13(c), 14 or 15(d) of the Exchange Act from the date of this prospectus until the completion of the offering under this prospectus shall be deemed to be incorporated in this prospectus by reference. The information contained on or accessible through our website at https://www.suncountry.com is not incorporated into this prospectus.</w:t>
      </w:r>
    </w:p>
    <w:p>
      <w:pPr>
        <w:spacing w:after="0" w:line="114" w:lineRule="exact"/>
        <w:rPr>
          <w:rFonts w:ascii="Times New Roman" w:cs="Times New Roman" w:eastAsia="Times New Roman" w:hAnsi="Times New Roman"/>
          <w:sz w:val="18"/>
          <w:szCs w:val="18"/>
          <w:u w:val="single" w:color="auto"/>
          <w:color w:val="0000EE"/>
        </w:rPr>
      </w:pPr>
    </w:p>
    <w:p>
      <w:pPr>
        <w:ind w:left="1260" w:right="459" w:firstLine="360"/>
        <w:spacing w:after="0" w:line="251" w:lineRule="auto"/>
        <w:rPr>
          <w:sz w:val="20"/>
          <w:szCs w:val="20"/>
          <w:color w:val="auto"/>
        </w:rPr>
      </w:pPr>
      <w:r>
        <w:rPr>
          <w:rFonts w:ascii="Times New Roman" w:cs="Times New Roman" w:eastAsia="Times New Roman" w:hAnsi="Times New Roman"/>
          <w:sz w:val="18"/>
          <w:szCs w:val="18"/>
          <w:color w:val="auto"/>
        </w:rPr>
        <w:t>You may request a copy of these filings, other than an exhibit to these filings unless we have specifically included or incorporated that exhibit by reference into the filing, from the SEC as described under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or, at no cost, by writing or telephoning the Company at the following address:</w:t>
      </w:r>
    </w:p>
    <w:p>
      <w:pPr>
        <w:spacing w:after="0" w:line="323" w:lineRule="exact"/>
        <w:rPr>
          <w:rFonts w:ascii="Times New Roman" w:cs="Times New Roman" w:eastAsia="Times New Roman" w:hAnsi="Times New Roman"/>
          <w:sz w:val="18"/>
          <w:szCs w:val="18"/>
          <w:u w:val="single" w:color="auto"/>
          <w:color w:val="0000EE"/>
        </w:rPr>
      </w:pPr>
    </w:p>
    <w:p>
      <w:pPr>
        <w:ind w:left="3980"/>
        <w:spacing w:after="0"/>
        <w:rPr>
          <w:sz w:val="20"/>
          <w:szCs w:val="20"/>
          <w:color w:val="auto"/>
        </w:rPr>
      </w:pPr>
      <w:r>
        <w:rPr>
          <w:rFonts w:ascii="Times New Roman" w:cs="Times New Roman" w:eastAsia="Times New Roman" w:hAnsi="Times New Roman"/>
          <w:sz w:val="18"/>
          <w:szCs w:val="18"/>
          <w:color w:val="auto"/>
        </w:rPr>
        <w:t>Sun Country Airlines Holdings, Inc.</w:t>
      </w:r>
    </w:p>
    <w:p>
      <w:pPr>
        <w:spacing w:after="0" w:line="25" w:lineRule="exact"/>
        <w:rPr>
          <w:rFonts w:ascii="Times New Roman" w:cs="Times New Roman" w:eastAsia="Times New Roman" w:hAnsi="Times New Roman"/>
          <w:sz w:val="18"/>
          <w:szCs w:val="18"/>
          <w:u w:val="single" w:color="auto"/>
          <w:color w:val="0000EE"/>
        </w:rPr>
      </w:pPr>
    </w:p>
    <w:p>
      <w:pPr>
        <w:ind w:left="4680"/>
        <w:spacing w:after="0"/>
        <w:rPr>
          <w:sz w:val="20"/>
          <w:szCs w:val="20"/>
          <w:color w:val="auto"/>
        </w:rPr>
      </w:pPr>
      <w:r>
        <w:rPr>
          <w:rFonts w:ascii="Times New Roman" w:cs="Times New Roman" w:eastAsia="Times New Roman" w:hAnsi="Times New Roman"/>
          <w:sz w:val="18"/>
          <w:szCs w:val="18"/>
          <w:color w:val="auto"/>
        </w:rPr>
        <w:t>2005 Cargo Road</w:t>
      </w:r>
    </w:p>
    <w:p>
      <w:pPr>
        <w:jc w:val="center"/>
        <w:ind w:right="-800"/>
        <w:spacing w:after="0" w:line="234" w:lineRule="auto"/>
        <w:rPr>
          <w:sz w:val="20"/>
          <w:szCs w:val="20"/>
          <w:color w:val="auto"/>
        </w:rPr>
      </w:pPr>
      <w:r>
        <w:rPr>
          <w:rFonts w:ascii="Times New Roman" w:cs="Times New Roman" w:eastAsia="Times New Roman" w:hAnsi="Times New Roman"/>
          <w:sz w:val="18"/>
          <w:szCs w:val="18"/>
          <w:color w:val="auto"/>
        </w:rPr>
        <w:t>Minneapolis, MN 55450</w:t>
      </w:r>
    </w:p>
    <w:p>
      <w:pPr>
        <w:spacing w:after="0" w:line="1" w:lineRule="exact"/>
        <w:rPr>
          <w:rFonts w:ascii="Times New Roman" w:cs="Times New Roman" w:eastAsia="Times New Roman" w:hAnsi="Times New Roman"/>
          <w:sz w:val="18"/>
          <w:szCs w:val="18"/>
          <w:u w:val="single" w:color="auto"/>
          <w:color w:val="0000EE"/>
        </w:rPr>
      </w:pPr>
    </w:p>
    <w:p>
      <w:pPr>
        <w:jc w:val="center"/>
        <w:ind w:right="-800"/>
        <w:spacing w:after="0"/>
        <w:rPr>
          <w:sz w:val="20"/>
          <w:szCs w:val="20"/>
          <w:color w:val="auto"/>
        </w:rPr>
      </w:pPr>
      <w:r>
        <w:rPr>
          <w:rFonts w:ascii="Times New Roman" w:cs="Times New Roman" w:eastAsia="Times New Roman" w:hAnsi="Times New Roman"/>
          <w:sz w:val="18"/>
          <w:szCs w:val="18"/>
          <w:color w:val="auto"/>
        </w:rPr>
        <w:t>(651) 681-3900</w:t>
      </w:r>
    </w:p>
    <w:p>
      <w:pPr>
        <w:spacing w:after="0" w:line="7" w:lineRule="exact"/>
        <w:rPr>
          <w:rFonts w:ascii="Times New Roman" w:cs="Times New Roman" w:eastAsia="Times New Roman" w:hAnsi="Times New Roman"/>
          <w:sz w:val="18"/>
          <w:szCs w:val="18"/>
          <w:u w:val="single" w:color="auto"/>
          <w:color w:val="0000EE"/>
        </w:rPr>
      </w:pPr>
    </w:p>
    <w:p>
      <w:pPr>
        <w:jc w:val="center"/>
        <w:ind w:right="-840"/>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126" w:lineRule="exact"/>
        <w:rPr>
          <w:rFonts w:ascii="Times New Roman" w:cs="Times New Roman" w:eastAsia="Times New Roman" w:hAnsi="Times New Roman"/>
          <w:sz w:val="18"/>
          <w:szCs w:val="18"/>
          <w:u w:val="single" w:color="auto"/>
          <w:color w:val="0000EE"/>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You should rely only on the information contained or incorporated by reference in this prospectus, any prospectus supplement, any free writing prospectus that we authorize and any pricing supplement. We have not authorized any person, including any salesman or broker, to provide information other than that provided in this prospectus, any applicable prospectus supplement, any applicable free writing prospectus that we authorize or any applicable pricing supplement. We have not authorized anyone to provide you with different information. We do not take responsibility for, and can provide no assurance as to the reliability of, any information that others may give you. We are not making an offer of the securities in any jurisdiction where the offer is not permitted. You should not assume that the information in this prospectus, any applicable prospectus supplement, any applicable free writing prospectus that we authorize, any applicable pricing supplement or any documents incorporated by reference is accurate as of any date other than the date of the applicable document.</w:t>
      </w:r>
    </w:p>
    <w:p>
      <w:pPr>
        <w:sectPr>
          <w:pgSz w:w="11900" w:h="16838" w:orient="portrait"/>
          <w:cols w:equalWidth="0" w:num="1">
            <w:col w:w="9879"/>
          </w:cols>
          <w:pgMar w:left="580" w:top="97" w:right="1440" w:bottom="1440" w:gutter="0" w:footer="0" w:header="0"/>
        </w:sectPr>
      </w:pPr>
    </w:p>
    <w:p>
      <w:pPr>
        <w:spacing w:after="0" w:line="200" w:lineRule="exact"/>
        <w:rPr>
          <w:rFonts w:ascii="Times New Roman" w:cs="Times New Roman" w:eastAsia="Times New Roman" w:hAnsi="Times New Roman"/>
          <w:sz w:val="18"/>
          <w:szCs w:val="18"/>
          <w:u w:val="single" w:color="auto"/>
          <w:color w:val="0000EE"/>
        </w:rPr>
      </w:pPr>
    </w:p>
    <w:p>
      <w:pPr>
        <w:spacing w:after="0" w:line="386" w:lineRule="exact"/>
        <w:rPr>
          <w:rFonts w:ascii="Times New Roman" w:cs="Times New Roman" w:eastAsia="Times New Roman" w:hAnsi="Times New Roman"/>
          <w:sz w:val="18"/>
          <w:szCs w:val="18"/>
          <w:u w:val="single" w:color="auto"/>
          <w:color w:val="0000EE"/>
        </w:rPr>
      </w:pPr>
    </w:p>
    <w:p>
      <w:pPr>
        <w:ind w:left="5260"/>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79" w:firstLine="360"/>
        <w:spacing w:after="0" w:line="256" w:lineRule="auto"/>
        <w:rPr>
          <w:sz w:val="20"/>
          <w:szCs w:val="20"/>
          <w:color w:val="auto"/>
        </w:rPr>
      </w:pPr>
      <w:r>
        <w:rPr>
          <w:rFonts w:ascii="Times New Roman" w:cs="Times New Roman" w:eastAsia="Times New Roman" w:hAnsi="Times New Roman"/>
          <w:sz w:val="18"/>
          <w:szCs w:val="18"/>
          <w:color w:val="auto"/>
        </w:rPr>
        <w:t>Any statement contained in a document incorporated or deemed to be incorporated by reference into this prospectus will be deemed to be modified or superseded for purposes of this prospectus to the extent that a statement contained in this prospectus, any prospectus supplement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62" w:lineRule="exact"/>
        <w:rPr>
          <w:sz w:val="20"/>
          <w:szCs w:val="20"/>
          <w:color w:val="auto"/>
        </w:rPr>
      </w:pPr>
    </w:p>
    <w:p>
      <w:pPr>
        <w:ind w:left="1260" w:right="499" w:firstLine="360"/>
        <w:spacing w:after="0" w:line="256"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You can read and obtain such filings from the SEC’s website at https://www.sec.gov. We also make available free of charge on our website at https://www.suncountry.com all materials that we file electronically with the SEC. Our website and the information contained therein or connected thereto shall not be deemed to be incorporated into this prospectus or the registration statement of which this prospectus forms a part, and you should not rely on any such information in making your decision whether to purchase our securities.</w:t>
      </w:r>
    </w:p>
    <w:p>
      <w:pPr>
        <w:spacing w:after="0" w:line="336"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As permitted by SEC rules, this prospectus does not contain all of the information we have included in the registration statement and the accompanying exhibits and schedules we file with the SEC. You may refer to the registration statement, exhibits and schedules for more information about us and the securities. The registration statement, exhibits and schedules are available through the SEC’s website.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62" w:lineRule="exact"/>
        <w:rPr>
          <w:sz w:val="20"/>
          <w:szCs w:val="20"/>
          <w:color w:val="auto"/>
        </w:rPr>
      </w:pPr>
    </w:p>
    <w:p>
      <w:pPr>
        <w:ind w:left="1260" w:right="479" w:firstLine="360"/>
        <w:spacing w:after="0" w:line="242" w:lineRule="auto"/>
        <w:rPr>
          <w:sz w:val="20"/>
          <w:szCs w:val="20"/>
          <w:color w:val="auto"/>
        </w:rPr>
      </w:pPr>
      <w:r>
        <w:rPr>
          <w:rFonts w:ascii="Times New Roman" w:cs="Times New Roman" w:eastAsia="Times New Roman" w:hAnsi="Times New Roman"/>
          <w:sz w:val="18"/>
          <w:szCs w:val="18"/>
          <w:color w:val="auto"/>
        </w:rPr>
        <w:t>Certain information included in this prospectus or in other materials we have filed or will file with the SEC (as well as information included in oral statements or other written statements made or to be made by us) includes “forward-looking statements” within the meaning of the U.S. Private Securities Litigation Reform Act of 1995, which involve risks and uncertainties. These forward-looking statements are generally identified by the use of forward-looking terminology, including the terms “anticipate,” “believe,” “continue,” “could,” “estimate,” “expect,” “intend,” “likely,” “may,” “plan,” “possible,” “potential,” “predict,” “project,” “should,” “target,” “will,” “would” and, in each case, their negative or other various or comparable terminology. All statements other than statements of historical facts, including statements regarding our strategy, future operations, future financial position, future revenue, projected costs, prospects, plans, objectives of management, and expected market growth are forward-looking statements. The forward-looking statements include, among other things, statements relating to:</w:t>
      </w:r>
    </w:p>
    <w:p>
      <w:pPr>
        <w:spacing w:after="0" w:line="80" w:lineRule="exact"/>
        <w:rPr>
          <w:sz w:val="20"/>
          <w:szCs w:val="20"/>
          <w:color w:val="auto"/>
        </w:rPr>
      </w:pPr>
    </w:p>
    <w:p>
      <w:pPr>
        <w:ind w:left="1800" w:hanging="180"/>
        <w:spacing w:after="0"/>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strategy, outlook and growth prospects;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operational and financial targets and dividend policy;</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trends and trends in the industry and markets;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competitive environment in which we operate.</w:t>
      </w:r>
    </w:p>
    <w:p>
      <w:pPr>
        <w:spacing w:after="0" w:line="158"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Important factors that could cause our results to vary from expectations include, but are not limited to:</w:t>
      </w:r>
    </w:p>
    <w:p>
      <w:pPr>
        <w:spacing w:after="0" w:line="69" w:lineRule="exact"/>
        <w:rPr>
          <w:sz w:val="20"/>
          <w:szCs w:val="20"/>
          <w:color w:val="auto"/>
        </w:rPr>
      </w:pPr>
    </w:p>
    <w:p>
      <w:pPr>
        <w:ind w:left="1800" w:right="899" w:hanging="180"/>
        <w:spacing w:after="0" w:line="282" w:lineRule="auto"/>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COVID-19 pandemic and its effects including variants, travel restrictions, social distancing measures, vaccination requirements, and decreased demand for air travel;</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worldwide economic conditions;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fuel cost;</w:t>
      </w:r>
    </w:p>
    <w:p>
      <w:pPr>
        <w:spacing w:after="0" w:line="103" w:lineRule="exact"/>
        <w:rPr>
          <w:rFonts w:ascii="Times New Roman" w:cs="Times New Roman" w:eastAsia="Times New Roman" w:hAnsi="Times New Roman"/>
          <w:sz w:val="18"/>
          <w:szCs w:val="18"/>
          <w:color w:val="auto"/>
        </w:rPr>
      </w:pPr>
    </w:p>
    <w:p>
      <w:pPr>
        <w:ind w:left="1800" w:right="1139" w:hanging="180"/>
        <w:spacing w:after="0" w:line="282" w:lineRule="auto"/>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threatened or actual terrorist attacks, global instability and potential U.S. military actions or activities;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competitive environment in our industry;</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beyond our control, including air traffic congestion, weather, security measures, travel-related taxes and outbreak of disease;</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presence in international markets;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costs;</w:t>
      </w:r>
    </w:p>
    <w:p>
      <w:pPr>
        <w:spacing w:after="0" w:line="117" w:lineRule="exact"/>
        <w:rPr>
          <w:rFonts w:ascii="Times New Roman" w:cs="Times New Roman" w:eastAsia="Times New Roman" w:hAnsi="Times New Roman"/>
          <w:sz w:val="18"/>
          <w:szCs w:val="18"/>
          <w:color w:val="auto"/>
        </w:rPr>
      </w:pPr>
    </w:p>
    <w:p>
      <w:pPr>
        <w:ind w:left="1800" w:right="1019" w:hanging="180"/>
        <w:spacing w:after="0" w:line="282" w:lineRule="auto"/>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restrictions on, or increased taxes applicable to charges for, ancillary products and services;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air travel substitutes;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our business strategy successfully;</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keep costs low;</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the Minneapolis-St. Paul market;</w:t>
      </w:r>
    </w:p>
    <w:p>
      <w:pPr>
        <w:spacing w:after="0" w:line="117" w:lineRule="exact"/>
        <w:rPr>
          <w:rFonts w:ascii="Times New Roman" w:cs="Times New Roman" w:eastAsia="Times New Roman" w:hAnsi="Times New Roman"/>
          <w:sz w:val="18"/>
          <w:szCs w:val="18"/>
          <w:color w:val="auto"/>
        </w:rPr>
      </w:pPr>
    </w:p>
    <w:p>
      <w:pPr>
        <w:ind w:left="1800" w:right="979" w:hanging="180"/>
        <w:spacing w:after="0" w:line="282" w:lineRule="auto"/>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and business being adversely affected in the event of an emergency, accident or similar public incident involving our aircraft or personnel;</w:t>
      </w:r>
    </w:p>
    <w:p>
      <w:pPr>
        <w:spacing w:after="0" w:line="40"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third-party providers and other commercial partners to perform functions integral to our operations;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disruptions;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grow or maintain our unit revenues or maintain our ancillary revenues;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labor costs, union disputes, employee strikes and other labor-related disruptions;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hanging="180"/>
        <w:spacing w:after="0"/>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regulation;</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maintain an optimal daily aircraft utilization rate;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qualified personnel;</w:t>
      </w:r>
    </w:p>
    <w:p>
      <w:pPr>
        <w:spacing w:after="0" w:line="117"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expand or operate reliably and efficiently out of airports where we maintain a large presence;</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and noise laws and regulations;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publicity regarding our customer service;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liquidity and dependence on cash balances and operating cash flows;</w:t>
      </w:r>
    </w:p>
    <w:p>
      <w:pPr>
        <w:spacing w:after="0" w:line="117" w:lineRule="exact"/>
        <w:rPr>
          <w:rFonts w:ascii="Times New Roman" w:cs="Times New Roman" w:eastAsia="Times New Roman" w:hAnsi="Times New Roman"/>
          <w:sz w:val="18"/>
          <w:szCs w:val="18"/>
          <w:color w:val="auto"/>
        </w:rPr>
      </w:pPr>
    </w:p>
    <w:p>
      <w:pPr>
        <w:ind w:left="1800" w:right="699" w:hanging="180"/>
        <w:spacing w:after="0" w:line="282" w:lineRule="auto"/>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liquidity in the event one or more of our credit card processors were to impose holdback restrictions;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financing or access capital markets;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aircraft-related fixed obligations that could impair our liquidity;</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maintenance obligations;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sole-source supplier for our aircraft and engine parts;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key personnel; and</w:t>
      </w:r>
    </w:p>
    <w:p>
      <w:pPr>
        <w:spacing w:after="0" w:line="117" w:lineRule="exact"/>
        <w:rPr>
          <w:rFonts w:ascii="Times New Roman" w:cs="Times New Roman" w:eastAsia="Times New Roman" w:hAnsi="Times New Roman"/>
          <w:sz w:val="18"/>
          <w:szCs w:val="18"/>
          <w:color w:val="auto"/>
        </w:rPr>
      </w:pPr>
    </w:p>
    <w:p>
      <w:pPr>
        <w:ind w:left="1800" w:right="1039" w:hanging="180"/>
        <w:spacing w:after="0" w:line="282" w:lineRule="auto"/>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uncertainties and factors included or incorporated by reference in this prospectus, including those set forth or referenced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We caution you that the foregoing list of important factors may not contain all of the material factors that are important to you. For additional information about factors that could cause actual results to differ materially from those described in the forward-looking statements, please see the documents that we have filed with the SEC, including our most recent annual report on Form 10-K, quarterly reports on Form 10-Q, current reports on Form 8-K and proxy statements.</w:t>
      </w:r>
    </w:p>
    <w:p>
      <w:pPr>
        <w:spacing w:after="0" w:line="116" w:lineRule="exact"/>
        <w:rPr>
          <w:sz w:val="20"/>
          <w:szCs w:val="20"/>
          <w:color w:val="auto"/>
        </w:rPr>
      </w:pPr>
    </w:p>
    <w:p>
      <w:pPr>
        <w:ind w:left="1260" w:right="539" w:firstLine="360"/>
        <w:spacing w:after="0" w:line="253" w:lineRule="auto"/>
        <w:rPr>
          <w:sz w:val="20"/>
          <w:szCs w:val="20"/>
          <w:color w:val="auto"/>
        </w:rPr>
      </w:pPr>
      <w:r>
        <w:rPr>
          <w:rFonts w:ascii="Times New Roman" w:cs="Times New Roman" w:eastAsia="Times New Roman" w:hAnsi="Times New Roman"/>
          <w:sz w:val="18"/>
          <w:szCs w:val="18"/>
          <w:color w:val="auto"/>
        </w:rPr>
        <w:t>These forward-looking statements reflect our views with respect to future events as of the date of this prospectus or the documents incorporated by reference herein, as applicable, and are based on assumptions and subject to risks and uncertainties. Given these uncertainties, you should not place undue reliance on these forward-looking statements. These forward-looking statements represent our estimates and assumptions only as of the date of this prospectus and, except as required by law, we undertake no obligation to update or review publicly any forward-looking statements, whether as a result of new information, future events or otherwise after the date of this prospectus. We anticipate that subsequent events and developments will cause our views to change. You should read this prospectus and the documents incorporated by reference herein completely and with the understanding that our actual future results may be materially different from what we expect. Our forward-looking statements do not reflect the potential impact of any future acquisitions, merger, dispositions, joint ventures, or investments we may undertake. We qualify all of our forward-looking statements by these cautionary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2" w:name="page43"/>
    <w:bookmarkEnd w:id="4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62" w:lineRule="exact"/>
        <w:rPr>
          <w:sz w:val="20"/>
          <w:szCs w:val="20"/>
          <w:color w:val="auto"/>
        </w:rPr>
      </w:pPr>
    </w:p>
    <w:p>
      <w:pPr>
        <w:ind w:left="1260" w:right="459" w:firstLine="360"/>
        <w:spacing w:after="0" w:line="252" w:lineRule="auto"/>
        <w:rPr>
          <w:sz w:val="20"/>
          <w:szCs w:val="20"/>
          <w:color w:val="auto"/>
        </w:rPr>
      </w:pPr>
      <w:r>
        <w:rPr>
          <w:rFonts w:ascii="Times New Roman" w:cs="Times New Roman" w:eastAsia="Times New Roman" w:hAnsi="Times New Roman"/>
          <w:sz w:val="18"/>
          <w:szCs w:val="18"/>
          <w:color w:val="auto"/>
        </w:rPr>
        <w:t>Sun Country Airlines is a new breed of hybrid low-cost air carrier that dynamically deploys shared resources across our synergistic scheduled service, charter, and cargo businesses. By doing so, we believe we are able to generate high growth, high margins and strong cash flows with greater resilience than other passenger airlines. We focus on serving leisure and visiting friends and relatives passengers and charter customers and providing crew, maintenance and insurance services to Amazon, with flights throughout the United States and to destinations in Canada, Mexico, Central America and the Caribbean. Based in Minnesota, we operate an agile network that includes our scheduled service business and our synergistic charter and cargo businesses. We share resources, such as flight crews, across our scheduled service, charter and cargo business lines with the objective of generating higher returns and margins and mitigating the seasonality of our route network. We optimize capacity allocation by market, time of year, day of week and line of business by shifting flying to markets during periods of peak demand and away from markets during periods of low demand with far greater frequency than nearly all other large U.S. passenger airlines. We believe our flexible business model generates higher returns and margins while also providing greater resiliency to economic and industry downturns than a traditional scheduled service carrier.</w:t>
      </w:r>
    </w:p>
    <w:p>
      <w:pPr>
        <w:spacing w:after="0" w:line="130" w:lineRule="exact"/>
        <w:rPr>
          <w:sz w:val="20"/>
          <w:szCs w:val="20"/>
          <w:color w:val="auto"/>
        </w:rPr>
      </w:pPr>
    </w:p>
    <w:p>
      <w:pPr>
        <w:ind w:left="1260" w:right="719" w:firstLine="360"/>
        <w:spacing w:after="0" w:line="261" w:lineRule="auto"/>
        <w:rPr>
          <w:sz w:val="20"/>
          <w:szCs w:val="20"/>
          <w:color w:val="auto"/>
        </w:rPr>
      </w:pPr>
      <w:r>
        <w:rPr>
          <w:rFonts w:ascii="Times New Roman" w:cs="Times New Roman" w:eastAsia="Times New Roman" w:hAnsi="Times New Roman"/>
          <w:sz w:val="18"/>
          <w:szCs w:val="18"/>
          <w:color w:val="auto"/>
        </w:rPr>
        <w:t>For a description of our business, financial condition, results of operations and other important information regarding us, see our filings with the SEC incorporated by reference in this prospectus. For instructions on how to find copies of the filings incorporated by reference in this prospectus, see “</w:t>
      </w:r>
      <w:r>
        <w:rPr>
          <w:rFonts w:ascii="Times New Roman" w:cs="Times New Roman" w:eastAsia="Times New Roman" w:hAnsi="Times New Roman"/>
          <w:sz w:val="18"/>
          <w:szCs w:val="18"/>
          <w:i w:val="1"/>
          <w:iCs w:val="1"/>
          <w:color w:val="auto"/>
        </w:rPr>
        <w:t>Where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You Can Find More Information</w:t>
      </w:r>
      <w:r>
        <w:rPr>
          <w:rFonts w:ascii="Times New Roman" w:cs="Times New Roman" w:eastAsia="Times New Roman" w:hAnsi="Times New Roman"/>
          <w:sz w:val="18"/>
          <w:szCs w:val="18"/>
          <w:color w:val="auto"/>
        </w:rPr>
        <w:t>.”</w:t>
      </w:r>
    </w:p>
    <w:p>
      <w:pPr>
        <w:spacing w:after="0" w:line="99" w:lineRule="exact"/>
        <w:rPr>
          <w:sz w:val="20"/>
          <w:szCs w:val="20"/>
          <w:color w:val="auto"/>
        </w:rPr>
      </w:pPr>
    </w:p>
    <w:p>
      <w:pPr>
        <w:ind w:left="1260" w:right="679" w:firstLine="360"/>
        <w:spacing w:after="0" w:line="255" w:lineRule="auto"/>
        <w:rPr>
          <w:sz w:val="20"/>
          <w:szCs w:val="20"/>
          <w:color w:val="auto"/>
        </w:rPr>
      </w:pPr>
      <w:r>
        <w:rPr>
          <w:rFonts w:ascii="Times New Roman" w:cs="Times New Roman" w:eastAsia="Times New Roman" w:hAnsi="Times New Roman"/>
          <w:sz w:val="18"/>
          <w:szCs w:val="18"/>
          <w:color w:val="auto"/>
        </w:rPr>
        <w:t>We were organized under the laws of the State of Delaware as a limited liability company on December 8, 2017 and converted to a corporation under the laws of the state of Delaware on January 31, 2020. Our principal executive offices are located at 2005 Cargo Road, Minneapolis, MN 55450. Our telephone number is (651) 681-3900. Our website is located at https://www.suncountry.com. Our website and the information contained on, or that can be accessed through, our website will not be deemed to be incorporated by reference in, and are not considered part of, this prospectus. You should not rely on our website or any such information in making your decision whether to purchase our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3" w:name="page44"/>
    <w:bookmarkEnd w:id="4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62"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Investing in our common stock involves a high degree of risk. You should carefully consider the specific risks discussed or incorporated by reference in the applicable prospectus supplement, together with all the other information contained in any applicable prospectus supplement or incorporated by reference in this prospectus and the applicable prospectus supplement. You should also consider the risks, uncertainties and assumptions discussed under the caption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included in the 2021 Annual Report and our Quarterly Reports on Form 10-Q, which are incorporated by reference in this prospectus, and which may be amended, supplemented or superseded from time to time in any prospectus supplement and by other reports we file with the SEC in the future. Please see the section of this prospectus under the heading “</w:t>
      </w:r>
      <w:r>
        <w:rPr>
          <w:rFonts w:ascii="Times New Roman" w:cs="Times New Roman" w:eastAsia="Times New Roman" w:hAnsi="Times New Roman"/>
          <w:sz w:val="18"/>
          <w:szCs w:val="18"/>
          <w:i w:val="1"/>
          <w:iCs w:val="1"/>
          <w:color w:val="auto"/>
        </w:rPr>
        <w:t>Incorporation by Reference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4" w:name="page45"/>
    <w:bookmarkEnd w:id="4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62" w:lineRule="exact"/>
        <w:rPr>
          <w:sz w:val="20"/>
          <w:szCs w:val="20"/>
          <w:color w:val="auto"/>
        </w:rPr>
      </w:pPr>
    </w:p>
    <w:p>
      <w:pPr>
        <w:jc w:val="both"/>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The selling stockholders will receive all of the proceeds from the sale of the common stock offered by this prospectus. We will not receive any proceeds from sales of shares of our common stock by the selling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5" w:name="page46"/>
    <w:bookmarkEnd w:id="4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SELLING STOCKHOLDERS</w:t>
      </w:r>
    </w:p>
    <w:p>
      <w:pPr>
        <w:spacing w:after="0" w:line="162" w:lineRule="exact"/>
        <w:rPr>
          <w:sz w:val="20"/>
          <w:szCs w:val="20"/>
          <w:color w:val="auto"/>
        </w:rPr>
      </w:pPr>
    </w:p>
    <w:p>
      <w:pPr>
        <w:ind w:left="1260" w:right="53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beneficial ownership of our common stock as of December 27, 2022 by the selling stockholders.</w:t>
      </w:r>
    </w:p>
    <w:p>
      <w:pPr>
        <w:spacing w:after="0" w:line="94"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The percentage of common stock beneficially owned by the selling stockholders is based on 58,166,674 shares of common stock outstanding as of September 30, 2022. Beneficial ownership is determined in accordance with the rules of the SEC. These rules generally attribute beneficial ownership of securities to persons who possess sole or shared voting power or investment power with respect to such securities. Except as otherwise indicated, all persons listed below have sole voting and investment power with respect to the shares beneficially owned by them, subject to applicable community property laws.</w:t>
      </w:r>
    </w:p>
    <w:p>
      <w:pPr>
        <w:spacing w:after="0" w:line="106" w:lineRule="exact"/>
        <w:rPr>
          <w:sz w:val="20"/>
          <w:szCs w:val="20"/>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color w:val="auto"/>
        </w:rPr>
        <w:t>The following table also provides the maximum number of shares of our common stock that may be offered by the selling stockholders pursuant to this prospectus and the number of shares of our common stock that will be beneficially owned by the selling stockholders after such an offering, assuming the sale of all of the offered shares. The selling stockholders reserve the right to accept or reject, in whole or in part, any proposed sale of shares. The selling stockholders may also offer and sell less than the number of shares indicated or no shares. The selling stockholders are not making any representation that any shares covered by this prospectus will or will not be offered for sale. Information about each selling stockholder may change over time.</w:t>
      </w:r>
    </w:p>
    <w:p>
      <w:pPr>
        <w:spacing w:after="0" w:line="371"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Shares of Common</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Shares of Common</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Stock Beneficially</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w w:val="97"/>
              </w:rPr>
              <w:t>Shares of</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Stock Beneficially</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Owned Before this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Common Stock</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Owned After this</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Pr>
          <w:p>
            <w:pPr>
              <w:spacing w:after="0"/>
              <w:rPr>
                <w:sz w:val="18"/>
                <w:szCs w:val="18"/>
                <w:color w:val="auto"/>
              </w:rPr>
            </w:pPr>
          </w:p>
        </w:tc>
        <w:tc>
          <w:tcPr>
            <w:tcW w:w="960" w:type="dxa"/>
            <w:vAlign w:val="bottom"/>
            <w:gridSpan w:val="2"/>
          </w:tcPr>
          <w:p>
            <w:pPr>
              <w:jc w:val="center"/>
              <w:ind w:left="305"/>
              <w:spacing w:after="0"/>
              <w:rPr>
                <w:sz w:val="20"/>
                <w:szCs w:val="20"/>
                <w:color w:val="auto"/>
              </w:rPr>
            </w:pPr>
            <w:r>
              <w:rPr>
                <w:rFonts w:ascii="Times New Roman" w:cs="Times New Roman" w:eastAsia="Times New Roman" w:hAnsi="Times New Roman"/>
                <w:sz w:val="14"/>
                <w:szCs w:val="14"/>
                <w:b w:val="1"/>
                <w:bCs w:val="1"/>
                <w:color w:val="auto"/>
                <w:w w:val="97"/>
              </w:rPr>
              <w:t>Offering</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gridSpan w:val="4"/>
          </w:tcPr>
          <w:p>
            <w:pPr>
              <w:jc w:val="center"/>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Offered Hereby </w:t>
            </w:r>
            <w:r>
              <w:rPr>
                <w:rFonts w:ascii="Times New Roman" w:cs="Times New Roman" w:eastAsia="Times New Roman" w:hAnsi="Times New Roman"/>
                <w:sz w:val="24"/>
                <w:szCs w:val="24"/>
                <w:b w:val="1"/>
                <w:bCs w:val="1"/>
                <w:color w:val="auto"/>
                <w:vertAlign w:val="subscript"/>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spacing w:after="0"/>
              <w:rPr>
                <w:sz w:val="18"/>
                <w:szCs w:val="18"/>
                <w:color w:val="auto"/>
              </w:rPr>
            </w:pPr>
          </w:p>
        </w:tc>
        <w:tc>
          <w:tcPr>
            <w:tcW w:w="5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340" w:type="dxa"/>
            <w:vAlign w:val="bottom"/>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20" w:type="dxa"/>
            <w:vAlign w:val="bottom"/>
            <w:gridSpan w:val="4"/>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right w:val="single" w:sz="8" w:color="auto"/>
            </w:tcBorders>
            <w:gridSpan w:val="5"/>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Pr>
          <w:p>
            <w:pPr>
              <w:spacing w:after="0"/>
              <w:rPr>
                <w:sz w:val="20"/>
                <w:szCs w:val="20"/>
                <w:color w:val="auto"/>
              </w:rPr>
            </w:pPr>
          </w:p>
        </w:tc>
        <w:tc>
          <w:tcPr>
            <w:tcW w:w="1540" w:type="dxa"/>
            <w:vAlign w:val="bottom"/>
            <w:gridSpan w:val="5"/>
          </w:tcPr>
          <w:p>
            <w:pPr>
              <w:jc w:val="right"/>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Number   </w:t>
            </w: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 xml:space="preserve"> Percent </w:t>
            </w:r>
            <w:r>
              <w:rPr>
                <w:rFonts w:ascii="Times New Roman" w:cs="Times New Roman" w:eastAsia="Times New Roman" w:hAnsi="Times New Roman"/>
                <w:sz w:val="27"/>
                <w:szCs w:val="27"/>
                <w:b w:val="1"/>
                <w:bCs w:val="1"/>
                <w:color w:val="auto"/>
                <w:vertAlign w:val="subscript"/>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20"/>
                <w:szCs w:val="20"/>
                <w:color w:val="auto"/>
              </w:rPr>
            </w:pPr>
          </w:p>
        </w:tc>
        <w:tc>
          <w:tcPr>
            <w:tcW w:w="82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360" w:type="dxa"/>
            <w:vAlign w:val="bottom"/>
            <w:gridSpan w:val="7"/>
          </w:tcPr>
          <w:p>
            <w:pPr>
              <w:jc w:val="center"/>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Number </w:t>
            </w: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 xml:space="preserve"> Percent</w:t>
            </w:r>
            <w:r>
              <w:rPr>
                <w:rFonts w:ascii="Times New Roman" w:cs="Times New Roman" w:eastAsia="Times New Roman" w:hAnsi="Times New Roman"/>
                <w:sz w:val="27"/>
                <w:szCs w:val="27"/>
                <w:b w:val="1"/>
                <w:bCs w:val="1"/>
                <w:color w:val="auto"/>
                <w:vertAlign w:val="subscript"/>
              </w:rPr>
              <w:t>​</w:t>
            </w:r>
          </w:p>
        </w:tc>
        <w:tc>
          <w:tcPr>
            <w:tcW w:w="0" w:type="dxa"/>
            <w:vAlign w:val="bottom"/>
          </w:tcPr>
          <w:p>
            <w:pPr>
              <w:spacing w:after="0"/>
              <w:rPr>
                <w:sz w:val="1"/>
                <w:szCs w:val="1"/>
                <w:color w:val="auto"/>
              </w:rPr>
            </w:pPr>
          </w:p>
        </w:tc>
      </w:tr>
      <w:tr>
        <w:trPr>
          <w:trHeight w:val="20"/>
        </w:trPr>
        <w:tc>
          <w:tcPr>
            <w:tcW w:w="3720" w:type="dxa"/>
            <w:vAlign w:val="bottom"/>
            <w:vMerge w:val="restart"/>
            <w:shd w:val="clear" w:color="auto" w:fill="CCEEFF"/>
          </w:tcPr>
          <w:p>
            <w:pPr>
              <w:spacing w:after="0" w:line="243" w:lineRule="exact"/>
              <w:rPr>
                <w:sz w:val="20"/>
                <w:szCs w:val="20"/>
                <w:color w:val="auto"/>
              </w:rPr>
            </w:pPr>
            <w:r>
              <w:rPr>
                <w:rFonts w:ascii="Times New Roman" w:cs="Times New Roman" w:eastAsia="Times New Roman" w:hAnsi="Times New Roman"/>
                <w:sz w:val="18"/>
                <w:szCs w:val="18"/>
                <w:color w:val="auto"/>
              </w:rPr>
              <w:t>SCA Horus Holdings, LLC</w:t>
            </w:r>
            <w:r>
              <w:rPr>
                <w:rFonts w:ascii="Times New Roman" w:cs="Times New Roman" w:eastAsia="Times New Roman" w:hAnsi="Times New Roman"/>
                <w:sz w:val="23"/>
                <w:szCs w:val="23"/>
                <w:color w:val="auto"/>
                <w:vertAlign w:val="superscript"/>
              </w:rPr>
              <w:t>(1)</w:t>
            </w:r>
          </w:p>
        </w:tc>
        <w:tc>
          <w:tcPr>
            <w:tcW w:w="3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720" w:type="dxa"/>
            <w:vAlign w:val="bottom"/>
            <w:vMerge w:val="continue"/>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24,869,997</w:t>
            </w:r>
          </w:p>
        </w:tc>
        <w:tc>
          <w:tcPr>
            <w:tcW w:w="2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42.8%</w:t>
            </w:r>
          </w:p>
        </w:tc>
        <w:tc>
          <w:tcPr>
            <w:tcW w:w="100" w:type="dxa"/>
            <w:vAlign w:val="bottom"/>
            <w:shd w:val="clear" w:color="auto" w:fill="CCEEFF"/>
          </w:tcPr>
          <w:p>
            <w:pPr>
              <w:spacing w:after="0"/>
              <w:rPr>
                <w:sz w:val="19"/>
                <w:szCs w:val="19"/>
                <w:color w:val="auto"/>
              </w:rPr>
            </w:pPr>
          </w:p>
        </w:tc>
        <w:tc>
          <w:tcPr>
            <w:tcW w:w="960" w:type="dxa"/>
            <w:vAlign w:val="bottom"/>
            <w:tcBorders>
              <w:right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24,869,997</w:t>
            </w:r>
          </w:p>
        </w:tc>
        <w:tc>
          <w:tcPr>
            <w:tcW w:w="2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3"/>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4"/>
              </w:rPr>
              <w:t>—%</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54"/>
        </w:trPr>
        <w:tc>
          <w:tcPr>
            <w:tcW w:w="3720" w:type="dxa"/>
            <w:vAlign w:val="bottom"/>
            <w:shd w:val="clear" w:color="auto" w:fill="CCEEFF"/>
          </w:tcPr>
          <w:p>
            <w:pPr>
              <w:spacing w:after="0"/>
              <w:rPr>
                <w:sz w:val="4"/>
                <w:szCs w:val="4"/>
                <w:color w:val="auto"/>
              </w:rPr>
            </w:pPr>
          </w:p>
        </w:tc>
        <w:tc>
          <w:tcPr>
            <w:tcW w:w="460" w:type="dxa"/>
            <w:vAlign w:val="bottom"/>
            <w:gridSpan w:val="2"/>
            <w:shd w:val="clear" w:color="auto" w:fill="CCEEFF"/>
          </w:tcPr>
          <w:p>
            <w:pPr>
              <w:ind w:left="220"/>
              <w:spacing w:after="0" w:line="54" w:lineRule="exact"/>
              <w:rPr>
                <w:sz w:val="20"/>
                <w:szCs w:val="20"/>
                <w:color w:val="auto"/>
              </w:rPr>
            </w:pPr>
            <w:r>
              <w:rPr>
                <w:rFonts w:ascii="Times New Roman" w:cs="Times New Roman" w:eastAsia="Times New Roman" w:hAnsi="Times New Roman"/>
                <w:sz w:val="6"/>
                <w:szCs w:val="6"/>
                <w:color w:val="auto"/>
              </w:rPr>
              <w:t>​ ​​</w:t>
            </w:r>
          </w:p>
        </w:tc>
        <w:tc>
          <w:tcPr>
            <w:tcW w:w="740" w:type="dxa"/>
            <w:vAlign w:val="bottom"/>
            <w:shd w:val="clear" w:color="auto" w:fill="CCEEFF"/>
          </w:tcPr>
          <w:p>
            <w:pPr>
              <w:spacing w:after="0"/>
              <w:rPr>
                <w:sz w:val="4"/>
                <w:szCs w:val="4"/>
                <w:color w:val="auto"/>
              </w:rPr>
            </w:pPr>
          </w:p>
        </w:tc>
        <w:tc>
          <w:tcPr>
            <w:tcW w:w="220" w:type="dxa"/>
            <w:vAlign w:val="bottom"/>
            <w:vMerge w:val="continue"/>
            <w:shd w:val="clear" w:color="auto" w:fill="CCEEFF"/>
          </w:tcPr>
          <w:p>
            <w:pPr>
              <w:spacing w:after="0"/>
              <w:rPr>
                <w:sz w:val="4"/>
                <w:szCs w:val="4"/>
                <w:color w:val="auto"/>
              </w:rPr>
            </w:pPr>
          </w:p>
        </w:tc>
        <w:tc>
          <w:tcPr>
            <w:tcW w:w="360" w:type="dxa"/>
            <w:vAlign w:val="bottom"/>
            <w:shd w:val="clear" w:color="auto" w:fill="CCEEFF"/>
          </w:tcPr>
          <w:p>
            <w:pPr>
              <w:ind w:left="80"/>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320" w:type="dxa"/>
            <w:vAlign w:val="bottom"/>
            <w:gridSpan w:val="3"/>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 ​</w:t>
            </w:r>
          </w:p>
        </w:tc>
        <w:tc>
          <w:tcPr>
            <w:tcW w:w="140" w:type="dxa"/>
            <w:vAlign w:val="bottom"/>
            <w:shd w:val="clear" w:color="auto" w:fill="CCEEFF"/>
          </w:tcPr>
          <w:p>
            <w:pPr>
              <w:ind w:left="60"/>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820" w:type="dxa"/>
            <w:vAlign w:val="bottom"/>
            <w:tcBorders>
              <w:right w:val="single" w:sz="8" w:color="CCEEFF"/>
            </w:tcBorders>
            <w:shd w:val="clear" w:color="auto" w:fill="CCEEFF"/>
          </w:tcPr>
          <w:p>
            <w:pPr>
              <w:spacing w:after="0"/>
              <w:rPr>
                <w:sz w:val="4"/>
                <w:szCs w:val="4"/>
                <w:color w:val="auto"/>
              </w:rPr>
            </w:pPr>
          </w:p>
        </w:tc>
        <w:tc>
          <w:tcPr>
            <w:tcW w:w="220" w:type="dxa"/>
            <w:vAlign w:val="bottom"/>
            <w:gridSpan w:val="2"/>
            <w:vMerge w:val="continue"/>
            <w:shd w:val="clear" w:color="auto" w:fill="CCEEFF"/>
          </w:tcPr>
          <w:p>
            <w:pPr>
              <w:spacing w:after="0"/>
              <w:rPr>
                <w:sz w:val="4"/>
                <w:szCs w:val="4"/>
                <w:color w:val="auto"/>
              </w:rPr>
            </w:pPr>
          </w:p>
        </w:tc>
        <w:tc>
          <w:tcPr>
            <w:tcW w:w="340" w:type="dxa"/>
            <w:vAlign w:val="bottom"/>
            <w:shd w:val="clear" w:color="auto" w:fill="CCEEFF"/>
          </w:tcPr>
          <w:p>
            <w:pPr>
              <w:ind w:left="160"/>
              <w:spacing w:after="0" w:line="54" w:lineRule="exact"/>
              <w:rPr>
                <w:sz w:val="20"/>
                <w:szCs w:val="20"/>
                <w:color w:val="auto"/>
              </w:rPr>
            </w:pPr>
            <w:r>
              <w:rPr>
                <w:rFonts w:ascii="Times New Roman" w:cs="Times New Roman" w:eastAsia="Times New Roman" w:hAnsi="Times New Roman"/>
                <w:sz w:val="6"/>
                <w:szCs w:val="6"/>
                <w:color w:val="auto"/>
              </w:rPr>
              <w:t>​</w:t>
            </w:r>
          </w:p>
        </w:tc>
        <w:tc>
          <w:tcPr>
            <w:tcW w:w="520" w:type="dxa"/>
            <w:vAlign w:val="bottom"/>
            <w:gridSpan w:val="3"/>
            <w:vMerge w:val="continue"/>
            <w:shd w:val="clear" w:color="auto" w:fill="CCEEFF"/>
          </w:tcPr>
          <w:p>
            <w:pPr>
              <w:spacing w:after="0"/>
              <w:rPr>
                <w:sz w:val="4"/>
                <w:szCs w:val="4"/>
                <w:color w:val="auto"/>
              </w:rPr>
            </w:pPr>
          </w:p>
        </w:tc>
        <w:tc>
          <w:tcPr>
            <w:tcW w:w="340" w:type="dxa"/>
            <w:vAlign w:val="bottom"/>
            <w:tcBorders>
              <w:right w:val="single" w:sz="8" w:color="CCEEFF"/>
            </w:tcBorders>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372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Amazon.com NV Investment Holdings LLC</w:t>
            </w:r>
            <w:r>
              <w:rPr>
                <w:rFonts w:ascii="Times New Roman" w:cs="Times New Roman" w:eastAsia="Times New Roman" w:hAnsi="Times New Roman"/>
                <w:sz w:val="23"/>
                <w:szCs w:val="23"/>
                <w:color w:val="auto"/>
                <w:vertAlign w:val="superscript"/>
              </w:rPr>
              <w:t>(2)</w:t>
            </w:r>
          </w:p>
        </w:tc>
        <w:tc>
          <w:tcPr>
            <w:tcW w:w="4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9,482,606</w:t>
            </w:r>
          </w:p>
        </w:tc>
        <w:tc>
          <w:tcPr>
            <w:tcW w:w="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19"/>
                <w:szCs w:val="19"/>
                <w:color w:val="auto"/>
              </w:rPr>
            </w:pPr>
          </w:p>
        </w:tc>
        <w:tc>
          <w:tcPr>
            <w:tcW w:w="140" w:type="dxa"/>
            <w:vAlign w:val="bottom"/>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9,482,606</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5"/>
        </w:trPr>
        <w:tc>
          <w:tcPr>
            <w:tcW w:w="3720" w:type="dxa"/>
            <w:vAlign w:val="bottom"/>
          </w:tcPr>
          <w:p>
            <w:pPr>
              <w:spacing w:after="0"/>
              <w:rPr>
                <w:sz w:val="20"/>
                <w:szCs w:val="20"/>
                <w:color w:val="auto"/>
              </w:rPr>
            </w:pPr>
          </w:p>
        </w:tc>
        <w:tc>
          <w:tcPr>
            <w:tcW w:w="460" w:type="dxa"/>
            <w:vAlign w:val="bottom"/>
            <w:gridSpan w:val="2"/>
            <w:vMerge w:val="continue"/>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vMerge w:val="continue"/>
          </w:tcPr>
          <w:p>
            <w:pPr>
              <w:spacing w:after="0"/>
              <w:rPr>
                <w:sz w:val="20"/>
                <w:szCs w:val="20"/>
                <w:color w:val="auto"/>
              </w:rPr>
            </w:pPr>
          </w:p>
        </w:tc>
        <w:tc>
          <w:tcPr>
            <w:tcW w:w="3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vMerge w:val="continue"/>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gridSpan w:val="2"/>
            <w:vMerge w:val="continue"/>
          </w:tcPr>
          <w:p>
            <w:pPr>
              <w:spacing w:after="0"/>
              <w:rPr>
                <w:sz w:val="20"/>
                <w:szCs w:val="20"/>
                <w:color w:val="auto"/>
              </w:rPr>
            </w:pPr>
          </w:p>
        </w:tc>
        <w:tc>
          <w:tcPr>
            <w:tcW w:w="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3"/>
            <w:vMerge w:val="continue"/>
          </w:tcPr>
          <w:p>
            <w:pPr>
              <w:spacing w:after="0"/>
              <w:rPr>
                <w:sz w:val="20"/>
                <w:szCs w:val="20"/>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5566410</wp:posOffset>
            </wp:positionH>
            <wp:positionV relativeFrom="paragraph">
              <wp:posOffset>-483235</wp:posOffset>
            </wp:positionV>
            <wp:extent cx="13716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5103495</wp:posOffset>
            </wp:positionH>
            <wp:positionV relativeFrom="paragraph">
              <wp:posOffset>-483235</wp:posOffset>
            </wp:positionV>
            <wp:extent cx="13716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-483235</wp:posOffset>
            </wp:positionV>
            <wp:extent cx="369443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5">
                      <a:extLst>
                        <a:ext uri="{28A0092B-C50C-407E-A947-70E740481C1C}"/>
                      </a:extLst>
                    </a:blip>
                    <a:srcRect/>
                    <a:stretch>
                      <a:fillRect/>
                    </a:stretch>
                  </pic:blipFill>
                  <pic:spPr bwMode="auto">
                    <a:xfrm>
                      <a:off x="0" y="0"/>
                      <a:ext cx="369443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30480</wp:posOffset>
            </wp:positionV>
            <wp:extent cx="123444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6">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58" w:lineRule="exact"/>
        <w:rPr>
          <w:sz w:val="20"/>
          <w:szCs w:val="20"/>
          <w:color w:val="auto"/>
        </w:rPr>
      </w:pPr>
    </w:p>
    <w:p>
      <w:pPr>
        <w:ind w:left="1620" w:right="479" w:hanging="360"/>
        <w:spacing w:after="0" w:line="259" w:lineRule="auto"/>
        <w:tabs>
          <w:tab w:leader="none" w:pos="16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 Horus Holdings, LLC is managed by a board of directors consisting of Patrick Kearney and Antoine Munfakh. Messrs. Kearney and Munfakh each disclaim any beneficial ownership of the shares of common stock held by SCA Horus Holdings, LLC except to the extent of their pecuniary interest therein. The address for SCA Horus Holdings, LLC is 9 West 57th Street, 43rd Floor, New York, New York 10019.</w:t>
      </w:r>
    </w:p>
    <w:p>
      <w:pPr>
        <w:spacing w:after="0" w:line="267" w:lineRule="exact"/>
        <w:rPr>
          <w:rFonts w:ascii="Times New Roman" w:cs="Times New Roman" w:eastAsia="Times New Roman" w:hAnsi="Times New Roman"/>
          <w:sz w:val="18"/>
          <w:szCs w:val="18"/>
          <w:color w:val="auto"/>
        </w:rPr>
      </w:pPr>
    </w:p>
    <w:p>
      <w:pPr>
        <w:ind w:left="1620" w:right="819" w:hanging="360"/>
        <w:spacing w:after="0" w:line="266" w:lineRule="auto"/>
        <w:tabs>
          <w:tab w:leader="none" w:pos="16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9,482,606 shares of common stock issuable upon exercise of warrants. The address for Amazon.com NV Investment Holdings LLC is c/o Amazon.com, Inc., P.O. Box 81226, Seattle, WA 98108.</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Material Relationships with Selling Stockholders</w:t>
      </w:r>
    </w:p>
    <w:p>
      <w:pPr>
        <w:spacing w:after="0" w:line="148"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SCA Horus Holdings, LLC (the “Apollo Stockholder”) is an affiliate of certain investment funds managed by affiliates of Apollo Global Management, Inc. (together with its subsidiaries, “Apollo”). Additionally, the Apollo Stockholder is a party to the Income Tax Receivable Agreement, the Stockholders Agreement and the Registration Rights Agreement, each of which provides Apollo with certain governance and other rights. For more information on each of these agreements, please refer to the descriptions of these agreements found in our filings, which are incorporated herein by reference.</w:t>
      </w:r>
    </w:p>
    <w:p>
      <w:pPr>
        <w:spacing w:after="0" w:line="12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On December 13, 2019, we signed the Air Transportation Services Agreement (as amended,</w:t>
      </w:r>
    </w:p>
    <w:p>
      <w:pPr>
        <w:spacing w:after="0" w:line="27" w:lineRule="exact"/>
        <w:rPr>
          <w:sz w:val="20"/>
          <w:szCs w:val="20"/>
          <w:color w:val="auto"/>
        </w:rPr>
      </w:pPr>
    </w:p>
    <w:p>
      <w:pPr>
        <w:jc w:val="both"/>
        <w:ind w:left="1260" w:right="539"/>
        <w:spacing w:after="0" w:line="250" w:lineRule="auto"/>
        <w:rPr>
          <w:sz w:val="20"/>
          <w:szCs w:val="20"/>
          <w:color w:val="auto"/>
        </w:rPr>
      </w:pPr>
      <w:r>
        <w:rPr>
          <w:rFonts w:ascii="Times New Roman" w:cs="Times New Roman" w:eastAsia="Times New Roman" w:hAnsi="Times New Roman"/>
          <w:sz w:val="18"/>
          <w:szCs w:val="18"/>
          <w:color w:val="auto"/>
        </w:rPr>
        <w:t>the “ATSA”) with Amazon.com Services, LLC (together with its affiliates, “Amazon”) to provide air cargo services. In connection with the ATSA, we issued warrants (the “2019 Warrants”) to purchase an aggregate of 9,482,606 shares of common stock at an exercise price of approximately $15.17 per share to Amazon.</w:t>
      </w:r>
    </w:p>
    <w:p>
      <w:pPr>
        <w:spacing w:after="0" w:line="1" w:lineRule="exact"/>
        <w:rPr>
          <w:sz w:val="20"/>
          <w:szCs w:val="20"/>
          <w:color w:val="auto"/>
        </w:rPr>
      </w:pPr>
    </w:p>
    <w:p>
      <w:pPr>
        <w:ind w:left="1260" w:right="479"/>
        <w:spacing w:after="0" w:line="255" w:lineRule="auto"/>
        <w:rPr>
          <w:sz w:val="20"/>
          <w:szCs w:val="20"/>
          <w:color w:val="auto"/>
        </w:rPr>
      </w:pPr>
      <w:r>
        <w:rPr>
          <w:rFonts w:ascii="Times New Roman" w:cs="Times New Roman" w:eastAsia="Times New Roman" w:hAnsi="Times New Roman"/>
          <w:sz w:val="18"/>
          <w:szCs w:val="18"/>
          <w:color w:val="auto"/>
        </w:rPr>
        <w:t>Additionally, Amazon is a party to the Stockholders Agreement and the Registration Rights Agreement. For more information on these agreements, please refer to the descriptions of these agreements found in our filings, which are incorporated by herein by reference.</w:t>
      </w:r>
    </w:p>
    <w:p>
      <w:pPr>
        <w:spacing w:after="0" w:line="200" w:lineRule="exact"/>
        <w:rPr>
          <w:sz w:val="20"/>
          <w:szCs w:val="20"/>
          <w:color w:val="auto"/>
        </w:rPr>
      </w:pPr>
    </w:p>
    <w:p>
      <w:pPr>
        <w:spacing w:after="0" w:line="21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6" w:name="page47"/>
    <w:bookmarkEnd w:id="4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160" w:lineRule="exact"/>
        <w:rPr>
          <w:sz w:val="20"/>
          <w:szCs w:val="20"/>
          <w:color w:val="auto"/>
        </w:rPr>
      </w:pPr>
    </w:p>
    <w:p>
      <w:pPr>
        <w:ind w:left="1260" w:right="579" w:firstLine="360"/>
        <w:spacing w:after="0" w:line="251" w:lineRule="auto"/>
        <w:rPr>
          <w:sz w:val="20"/>
          <w:szCs w:val="20"/>
          <w:color w:val="auto"/>
        </w:rPr>
      </w:pPr>
      <w:r>
        <w:rPr>
          <w:rFonts w:ascii="Times New Roman" w:cs="Times New Roman" w:eastAsia="Times New Roman" w:hAnsi="Times New Roman"/>
          <w:sz w:val="18"/>
          <w:szCs w:val="18"/>
          <w:i w:val="1"/>
          <w:iCs w:val="1"/>
          <w:color w:val="auto"/>
        </w:rPr>
        <w:t>The following is a description of the material terms of our amended and restated certificate of incorporation and amended and restated bylaws and of specific provisions of Delaware law. The following description is intended as a summary only and is qualified in its entirety by reference to our certificate of incorporation, our bylaws and the Delaware General Corporation Law (the “DGCL”).</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62" w:lineRule="exact"/>
        <w:rPr>
          <w:sz w:val="20"/>
          <w:szCs w:val="20"/>
          <w:color w:val="auto"/>
        </w:rPr>
      </w:pPr>
    </w:p>
    <w:p>
      <w:pPr>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Our capital stock consists of 1,000,000,000 authorized shares, of which 995,000,000 shares, par value $0.01 per share, are designated as “common stock” and 5,000,000 shares, par value $0.01 per share, are designated as “preferred stock.” As of September 30, 2022, there were 58,166,674 shares of common stock outstanding and no shares of preferred stock outstanding.</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60" w:lineRule="exact"/>
        <w:rPr>
          <w:sz w:val="20"/>
          <w:szCs w:val="20"/>
          <w:color w:val="auto"/>
        </w:rPr>
      </w:pPr>
    </w:p>
    <w:p>
      <w:pPr>
        <w:ind w:left="1260" w:right="879" w:firstLine="360"/>
        <w:spacing w:after="0" w:line="268" w:lineRule="auto"/>
        <w:rPr>
          <w:sz w:val="20"/>
          <w:szCs w:val="20"/>
          <w:color w:val="auto"/>
        </w:rPr>
      </w:pPr>
      <w:r>
        <w:rPr>
          <w:rFonts w:ascii="Times New Roman" w:cs="Times New Roman" w:eastAsia="Times New Roman" w:hAnsi="Times New Roman"/>
          <w:sz w:val="18"/>
          <w:szCs w:val="18"/>
          <w:i w:val="1"/>
          <w:iCs w:val="1"/>
          <w:color w:val="auto"/>
        </w:rPr>
        <w:t>Voting Rights</w:t>
      </w:r>
      <w:r>
        <w:rPr>
          <w:rFonts w:ascii="Times New Roman" w:cs="Times New Roman" w:eastAsia="Times New Roman" w:hAnsi="Times New Roman"/>
          <w:sz w:val="18"/>
          <w:szCs w:val="18"/>
          <w:color w:val="auto"/>
        </w:rPr>
        <w:t>.    The holders of our common stock are entitled to one vote per share on all matters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submitted for action by the stockholders generally.</w:t>
      </w:r>
    </w:p>
    <w:p>
      <w:pPr>
        <w:spacing w:after="0" w:line="91" w:lineRule="exact"/>
        <w:rPr>
          <w:sz w:val="20"/>
          <w:szCs w:val="20"/>
          <w:color w:val="auto"/>
        </w:rPr>
      </w:pPr>
    </w:p>
    <w:p>
      <w:pPr>
        <w:jc w:val="both"/>
        <w:ind w:left="1260" w:right="499" w:firstLine="360"/>
        <w:spacing w:after="0" w:line="259" w:lineRule="auto"/>
        <w:rPr>
          <w:sz w:val="20"/>
          <w:szCs w:val="20"/>
          <w:color w:val="auto"/>
        </w:rPr>
      </w:pPr>
      <w:r>
        <w:rPr>
          <w:rFonts w:ascii="Times New Roman" w:cs="Times New Roman" w:eastAsia="Times New Roman" w:hAnsi="Times New Roman"/>
          <w:sz w:val="18"/>
          <w:szCs w:val="18"/>
          <w:i w:val="1"/>
          <w:iCs w:val="1"/>
          <w:color w:val="auto"/>
        </w:rPr>
        <w:t>Dividend Rights</w:t>
      </w:r>
      <w:r>
        <w:rPr>
          <w:rFonts w:ascii="Times New Roman" w:cs="Times New Roman" w:eastAsia="Times New Roman" w:hAnsi="Times New Roman"/>
          <w:sz w:val="18"/>
          <w:szCs w:val="18"/>
          <w:color w:val="auto"/>
        </w:rPr>
        <w:t>.    Subject to any preferential rights of any then outstanding preferred stock, all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our common stock are entitled to share equally in any dividends our board of directors may declare from legally available sources.</w:t>
      </w:r>
    </w:p>
    <w:p>
      <w:pPr>
        <w:spacing w:after="0" w:line="99"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i w:val="1"/>
          <w:iCs w:val="1"/>
          <w:color w:val="auto"/>
        </w:rPr>
        <w:t>Liquidation Rights</w:t>
      </w:r>
      <w:r>
        <w:rPr>
          <w:rFonts w:ascii="Times New Roman" w:cs="Times New Roman" w:eastAsia="Times New Roman" w:hAnsi="Times New Roman"/>
          <w:sz w:val="18"/>
          <w:szCs w:val="18"/>
          <w:color w:val="auto"/>
        </w:rPr>
        <w:t>.    Upon our liquidation, dissolution or winding up, whether voluntary or</w:t>
      </w:r>
    </w:p>
    <w:p>
      <w:pPr>
        <w:spacing w:after="0" w:line="18" w:lineRule="exact"/>
        <w:rPr>
          <w:sz w:val="20"/>
          <w:szCs w:val="20"/>
          <w:color w:val="auto"/>
        </w:rPr>
      </w:pPr>
    </w:p>
    <w:p>
      <w:pPr>
        <w:jc w:val="both"/>
        <w:ind w:left="1260" w:right="919"/>
        <w:spacing w:after="0" w:line="246" w:lineRule="auto"/>
        <w:rPr>
          <w:sz w:val="20"/>
          <w:szCs w:val="20"/>
          <w:color w:val="auto"/>
        </w:rPr>
      </w:pPr>
      <w:r>
        <w:rPr>
          <w:rFonts w:ascii="Times New Roman" w:cs="Times New Roman" w:eastAsia="Times New Roman" w:hAnsi="Times New Roman"/>
          <w:sz w:val="18"/>
          <w:szCs w:val="18"/>
          <w:color w:val="auto"/>
        </w:rPr>
        <w:t>involuntary, after payment in full of the amounts required to be paid to holders of any the outstanding preferred stock, all shares of our common stock are entitled to share equally in the assets available for distribution to stockholders after payment of all of our prior obligations.</w:t>
      </w:r>
    </w:p>
    <w:p>
      <w:pPr>
        <w:spacing w:after="0" w:line="111"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i w:val="1"/>
          <w:iCs w:val="1"/>
          <w:color w:val="auto"/>
        </w:rPr>
        <w:t>Other Matters</w:t>
      </w:r>
      <w:r>
        <w:rPr>
          <w:rFonts w:ascii="Times New Roman" w:cs="Times New Roman" w:eastAsia="Times New Roman" w:hAnsi="Times New Roman"/>
          <w:sz w:val="18"/>
          <w:szCs w:val="18"/>
          <w:color w:val="auto"/>
        </w:rPr>
        <w:t>.    Holders of our common stock have no preemptive or conversion rights, and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is not subject to further calls or assessments by us. There are no redemption or sinking fund provisions applicable to our common stock. The rights, powers, preferences and privileges of holders of our common stock will be subject to those of the holders of any shares of our preferred stock that we may designate and issue in the future.</w:t>
      </w:r>
    </w:p>
    <w:p>
      <w:pPr>
        <w:spacing w:after="0" w:line="1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62"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Pursuant to our certificate of incorporation, shares of preferred stock are issuable from time to time, in one or more series, with the designations, voting rights (full, limited or no voting rights), powers, preferences, participating, optional or other special rights (if any), and any qualifications, limitations or restrictions thereof, of each series as our board of directors from time to time may adopt by resolution (and without further stockholder approval). Each series of preferred stock will consist of an authorized number of shares as will be stated and expressed in the certificate of designations providing for the creation of the series.</w:t>
      </w:r>
    </w:p>
    <w:p>
      <w:pPr>
        <w:spacing w:after="0" w:line="3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62" w:lineRule="exact"/>
        <w:rPr>
          <w:sz w:val="20"/>
          <w:szCs w:val="20"/>
          <w:color w:val="auto"/>
        </w:rPr>
      </w:pPr>
    </w:p>
    <w:p>
      <w:pPr>
        <w:ind w:left="1260" w:right="519" w:firstLine="360"/>
        <w:spacing w:after="0" w:line="242" w:lineRule="auto"/>
        <w:rPr>
          <w:sz w:val="20"/>
          <w:szCs w:val="20"/>
          <w:color w:val="auto"/>
        </w:rPr>
      </w:pPr>
      <w:r>
        <w:rPr>
          <w:rFonts w:ascii="Times New Roman" w:cs="Times New Roman" w:eastAsia="Times New Roman" w:hAnsi="Times New Roman"/>
          <w:sz w:val="18"/>
          <w:szCs w:val="18"/>
          <w:color w:val="auto"/>
        </w:rPr>
        <w:t>In connection with the ATSA, we issued the 2019 Warrants to purchase an aggregate of 9,482,606 shares of our common stock at an exercise price of approximately $15.17 per share to Amazon. 632,183 of the 2019 Warrants vested upon issuance of the warrants and incremental tranches vest upon certain milestones of aggregate global payments by Amazon to the Company or its affiliates pursuant to the ATSA up to a total of $1.1 billion of aggregate payments. As of September 30, 2022, approximately 23.3% of the 2019 Warrants were vested. Any unvested 2019 Warrants will become vested upon a change of control (as defined in the 2019 Warrant) or certain transfers of 30% or more of the voting power in the Company to a new person or group (other than any equity offering by the Company or the Apollo Stockholder pursuant to an effective registration statement so long as no person or group (within the meaning of the Exchange Act) acquires more than 50% of the voting power of the Company in such offering). Vested 2019 Warrants may be exercised for cash or on a cashless basis until the eighth anniversary of the issue date.</w:t>
      </w:r>
    </w:p>
    <w:p>
      <w:pPr>
        <w:spacing w:after="0" w:line="121" w:lineRule="exact"/>
        <w:rPr>
          <w:sz w:val="20"/>
          <w:szCs w:val="20"/>
          <w:color w:val="auto"/>
        </w:rPr>
      </w:pPr>
    </w:p>
    <w:p>
      <w:pPr>
        <w:ind w:left="1260" w:right="539" w:firstLine="360"/>
        <w:spacing w:after="0" w:line="282" w:lineRule="auto"/>
        <w:rPr>
          <w:sz w:val="20"/>
          <w:szCs w:val="20"/>
          <w:color w:val="auto"/>
        </w:rPr>
      </w:pPr>
      <w:r>
        <w:rPr>
          <w:rFonts w:ascii="Times New Roman" w:cs="Times New Roman" w:eastAsia="Times New Roman" w:hAnsi="Times New Roman"/>
          <w:sz w:val="18"/>
          <w:szCs w:val="18"/>
          <w:color w:val="auto"/>
        </w:rPr>
        <w:t>In the event we or our equityholders propose to initiate a process to explore, enter into negotiations or accept any offer with respect to a change of control of the Company, we are required to provide Amazon at</w:t>
      </w:r>
    </w:p>
    <w:p>
      <w:pPr>
        <w:sectPr>
          <w:pgSz w:w="11900" w:h="16838" w:orient="portrait"/>
          <w:cols w:equalWidth="0" w:num="1">
            <w:col w:w="9879"/>
          </w:cols>
          <w:pgMar w:left="580" w:top="97" w:right="1440" w:bottom="1440" w:gutter="0" w:footer="0" w:header="0"/>
        </w:sectPr>
      </w:pPr>
    </w:p>
    <w:p>
      <w:pPr>
        <w:spacing w:after="0" w:line="32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7" w:name="page48"/>
    <w:bookmarkEnd w:id="4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58" w:lineRule="auto"/>
        <w:rPr>
          <w:sz w:val="20"/>
          <w:szCs w:val="20"/>
          <w:color w:val="auto"/>
        </w:rPr>
      </w:pPr>
      <w:r>
        <w:rPr>
          <w:rFonts w:ascii="Times New Roman" w:cs="Times New Roman" w:eastAsia="Times New Roman" w:hAnsi="Times New Roman"/>
          <w:sz w:val="18"/>
          <w:szCs w:val="18"/>
          <w:color w:val="auto"/>
        </w:rPr>
        <w:t>least 30 days’ written notice prior to entering into any definitive agreement or binding letter of intent. In addition, Amazon will have the right to enter into non-exclusive, good faith negotiations with us and our equityholders with respect to such proposed change of control and we will not be permitted to enter into any definitive or binding agreement before the expiration of the 30-day period, which period may be extended under certain circumstances.</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Composition of Board of Directors; Election and Removal</w:t>
      </w:r>
    </w:p>
    <w:p>
      <w:pPr>
        <w:spacing w:after="0" w:line="162" w:lineRule="exact"/>
        <w:rPr>
          <w:sz w:val="20"/>
          <w:szCs w:val="20"/>
          <w:color w:val="auto"/>
        </w:rPr>
      </w:pPr>
    </w:p>
    <w:p>
      <w:pPr>
        <w:ind w:left="1260" w:right="499" w:firstLine="360"/>
        <w:spacing w:after="0" w:line="255" w:lineRule="auto"/>
        <w:rPr>
          <w:sz w:val="20"/>
          <w:szCs w:val="20"/>
          <w:color w:val="auto"/>
        </w:rPr>
      </w:pPr>
      <w:r>
        <w:rPr>
          <w:rFonts w:ascii="Times New Roman" w:cs="Times New Roman" w:eastAsia="Times New Roman" w:hAnsi="Times New Roman"/>
          <w:sz w:val="18"/>
          <w:szCs w:val="18"/>
          <w:color w:val="auto"/>
        </w:rPr>
        <w:t xml:space="preserve">In accordance with our certificate of incorporation and our bylaws, the number of directors comprising our board of directors is determined from time to time exclusively by our board of directors; provided that the number of directors shall not be less than three and shall not exceed 15. Our certificate of incorporation provides for a board of directors divided into three classes (each as nearly as equal as possible and with directors in each class serving staggered three-year terms), currently consisting of two directors in Class I, three directors in Class II and three directors in Class III. See “— </w:t>
      </w:r>
      <w:r>
        <w:rPr>
          <w:rFonts w:ascii="Times New Roman" w:cs="Times New Roman" w:eastAsia="Times New Roman" w:hAnsi="Times New Roman"/>
          <w:sz w:val="18"/>
          <w:szCs w:val="18"/>
          <w:i w:val="1"/>
          <w:iCs w:val="1"/>
          <w:color w:val="auto"/>
        </w:rPr>
        <w:t>Certain Corporate Anti-takeover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Provisions — Classified Board of Directors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color w:val="auto"/>
        </w:rPr>
        <w:t>Under our Stockholders’ Agreement (as amended or modified from time to time, the “Stockholders Agreement”) with the Apollo Stockholder and certain other stockholders party thereto, the Apollo Stockholder has the right, but not the obligation, at any time until Apollo and its affiliates, including the Apollo Stockholder, no longer beneficially own at least 5% of our issued and outstanding common stock, to nominate a number of directors comprising a percentage of our board of directors in accordance with their beneficial ownership of our outstanding common stock (rounded up to the nearest whole number), except that if Apollo and its affiliates, including the Apollo Stockholder, beneficially own more than 50% of the voting power of our outstanding common stock, the Apollo Stockholder will have the right to nominate a majority of the directors. We refer to the directors nominated by the Apollo Stockholder based on such percentage ownership as the “Apollo Directors”.</w:t>
      </w:r>
    </w:p>
    <w:p>
      <w:pPr>
        <w:spacing w:after="0" w:line="113"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For so long as Amazon holds the 2019 Warrants or any shares of common stock issued upon exercise of the 2019 Warrants and the ATSA remains in effect, Amazon will have the right to nominate a member or an observer to our board of directors. We refer to the director nominated by Amazon, if any, as the “Amazon Director.” As of the date of this prospectus, Amazon has not exercised its right to nominate a member or an observer to our board of directors.</w:t>
      </w:r>
    </w:p>
    <w:p>
      <w:pPr>
        <w:spacing w:after="0" w:line="116"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Each director is to hold office for a three year term and until the annual meeting of stockholders for the election of the class of directors to which such director has been elected and until his or her successor is duly elected and qualified or until his or her earlier death, resignation or removal. Any vacancy on our board of directors (other than in respect of an Apollo Director or an Amazon Director) will be filled only by the affirmative vote of a majority of the remaining directors, even if less than a quorum. Any vacancy on our board of directors in respect of an Apollo Director will be filled only by individuals designated by the Apollo Stockholder, for so long as Apollo and its affiliates, including the Apollo Stockholder, beneficially own at least 5% of our issued and outstanding common stock, and any vacancy in respect of an Amazon Director shall only be filled by Amazon.</w:t>
      </w:r>
    </w:p>
    <w:p>
      <w:pPr>
        <w:spacing w:after="0" w:line="121" w:lineRule="exact"/>
        <w:rPr>
          <w:sz w:val="20"/>
          <w:szCs w:val="20"/>
          <w:color w:val="auto"/>
        </w:rPr>
      </w:pPr>
    </w:p>
    <w:p>
      <w:pPr>
        <w:ind w:left="1260" w:right="519" w:firstLine="360"/>
        <w:spacing w:after="0" w:line="256" w:lineRule="auto"/>
        <w:rPr>
          <w:sz w:val="20"/>
          <w:szCs w:val="20"/>
          <w:color w:val="auto"/>
        </w:rPr>
      </w:pPr>
      <w:r>
        <w:rPr>
          <w:rFonts w:ascii="Times New Roman" w:cs="Times New Roman" w:eastAsia="Times New Roman" w:hAnsi="Times New Roman"/>
          <w:sz w:val="18"/>
          <w:szCs w:val="18"/>
          <w:color w:val="auto"/>
        </w:rPr>
        <w:t>At any meeting of our board of directors, except as otherwise required by law, a majority of the total number of directors then in office will constitute a quorum for all purposes, except that if Apollo and its affiliates, including the Apollo Stockholder, beneficially own at least 5% of our issued and outstanding common stock and there is at least one member of our board of directors who is an Apollo Director, then at least one director that is an Apollo Director must be present for there to be a quorum unless each Apollo Director waives his or her right to be included in the quorum at such meeting.</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Certain Corporate Anti-takeover Provisions</w:t>
      </w:r>
    </w:p>
    <w:p>
      <w:pPr>
        <w:spacing w:after="0" w:line="148"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Certain provisions in our certificate of incorporation, bylaws and Stockholders Agreement summarized below may be deemed to have an anti-takeover effect and may delay, deter or prevent a tender offer or takeover attempt that a stockholder might consider to be in its best interests, including attempts that might result in a premium being paid over the market price for the shares held by stockholders.</w:t>
      </w:r>
    </w:p>
    <w:p>
      <w:pPr>
        <w:spacing w:after="0" w:line="36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8" w:name="page49"/>
    <w:bookmarkEnd w:id="4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Preferred Stock</w:t>
      </w:r>
    </w:p>
    <w:p>
      <w:pPr>
        <w:spacing w:after="0" w:line="160" w:lineRule="exact"/>
        <w:rPr>
          <w:sz w:val="20"/>
          <w:szCs w:val="20"/>
          <w:color w:val="auto"/>
        </w:rPr>
      </w:pPr>
    </w:p>
    <w:p>
      <w:pPr>
        <w:ind w:left="1260" w:right="519" w:firstLine="360"/>
        <w:spacing w:after="0" w:line="246" w:lineRule="auto"/>
        <w:rPr>
          <w:sz w:val="20"/>
          <w:szCs w:val="20"/>
          <w:color w:val="auto"/>
        </w:rPr>
      </w:pPr>
      <w:r>
        <w:rPr>
          <w:rFonts w:ascii="Times New Roman" w:cs="Times New Roman" w:eastAsia="Times New Roman" w:hAnsi="Times New Roman"/>
          <w:sz w:val="18"/>
          <w:szCs w:val="18"/>
          <w:color w:val="auto"/>
        </w:rPr>
        <w:t>Our certificate of incorporation contains provisions that permit our board of directors to issue, without any further vote or action by stockholders, shares of preferred stock in one or more series and, with respect to each such series, to fix the number of shares constituting the series and the designation of the series, the voting rights (if any) of the shares of the series, the powers, preference, participating, optional or other special rights, if any, and any qualifications, limitations or restrictions, of the shares of such series.</w:t>
      </w:r>
    </w:p>
    <w:p>
      <w:pPr>
        <w:spacing w:after="0" w:line="19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Classified Board of Directors</w:t>
      </w:r>
    </w:p>
    <w:p>
      <w:pPr>
        <w:spacing w:after="0" w:line="146"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 xml:space="preserve">Our certificate of incorporation provides that our board of directors will be divided into three classes of directors, with the classes to be as nearly equal in number as possible, and with the directors in each class serving staggered three-year terms. As a result, approximately one-third of our board of directors will be elected each year. The classification of directors will have the effect of making it more difficult for stockholders to change the composition of our board of directors. Our certificate of incorporation provides that, subject to any rights of holders of preferred stock to elect additional directors under specified circumstances, the number of directors will be fixed from time to time exclusively pursuant to a resolution adopted by our board of directors, as described above in “— </w:t>
      </w:r>
      <w:r>
        <w:rPr>
          <w:rFonts w:ascii="Times New Roman" w:cs="Times New Roman" w:eastAsia="Times New Roman" w:hAnsi="Times New Roman"/>
          <w:sz w:val="18"/>
          <w:szCs w:val="18"/>
          <w:i w:val="1"/>
          <w:iCs w:val="1"/>
          <w:color w:val="auto"/>
        </w:rPr>
        <w:t>Composition of Board of Directors; Election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Removal</w:t>
      </w:r>
      <w:r>
        <w:rPr>
          <w:rFonts w:ascii="Times New Roman" w:cs="Times New Roman" w:eastAsia="Times New Roman" w:hAnsi="Times New Roman"/>
          <w:sz w:val="18"/>
          <w:szCs w:val="18"/>
          <w:color w:val="auto"/>
        </w:rPr>
        <w:t>.”</w:t>
      </w:r>
    </w:p>
    <w:p>
      <w:pPr>
        <w:spacing w:after="0" w:line="39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Removal of Directors; Vacancies</w:t>
      </w:r>
    </w:p>
    <w:p>
      <w:pPr>
        <w:spacing w:after="0" w:line="160"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 xml:space="preserve">Under the DGCL, unless otherwise provided in our certificate of incorporation, directors serving on a classified board may be removed by the stockholders only for cause. Our certificate of incorporation provides that directors may only be removed for cause upon the affirmative vote of holders of at least 66 2/3% in voting power of all outstanding shares of stock entitled to vote thereon, voting together as a single class; provided, however, that Amazon must consent to the removal of any Amazon Director. Any vacancy on our board of directors in respect of an Apollo Director shall only be filled by the Apollo Stockholder and any vacancy on our board of directors in respect of an Amazon Director shall only be filled by Amazon. Any other vacancy on our board of directors will be filled only by the affirmative vote of a majority of the remaining directors, even if less than a quorum, as described above in “— </w:t>
      </w:r>
      <w:r>
        <w:rPr>
          <w:rFonts w:ascii="Times New Roman" w:cs="Times New Roman" w:eastAsia="Times New Roman" w:hAnsi="Times New Roman"/>
          <w:sz w:val="18"/>
          <w:szCs w:val="18"/>
          <w:i w:val="1"/>
          <w:iCs w:val="1"/>
          <w:color w:val="auto"/>
        </w:rPr>
        <w:t>Composition of Board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Directors; Election and Removal</w:t>
      </w:r>
      <w:r>
        <w:rPr>
          <w:rFonts w:ascii="Times New Roman" w:cs="Times New Roman" w:eastAsia="Times New Roman" w:hAnsi="Times New Roman"/>
          <w:sz w:val="18"/>
          <w:szCs w:val="18"/>
          <w:color w:val="auto"/>
        </w:rPr>
        <w:t>.”</w:t>
      </w:r>
    </w:p>
    <w:p>
      <w:pPr>
        <w:spacing w:after="0" w:line="39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No Cumulative Voting</w:t>
      </w:r>
    </w:p>
    <w:p>
      <w:pPr>
        <w:spacing w:after="0" w:line="160" w:lineRule="exact"/>
        <w:rPr>
          <w:sz w:val="20"/>
          <w:szCs w:val="20"/>
          <w:color w:val="auto"/>
        </w:rPr>
      </w:pPr>
    </w:p>
    <w:p>
      <w:pPr>
        <w:ind w:left="1260" w:right="759" w:firstLine="360"/>
        <w:spacing w:after="0" w:line="266" w:lineRule="auto"/>
        <w:rPr>
          <w:sz w:val="20"/>
          <w:szCs w:val="20"/>
          <w:color w:val="auto"/>
        </w:rPr>
      </w:pPr>
      <w:r>
        <w:rPr>
          <w:rFonts w:ascii="Times New Roman" w:cs="Times New Roman" w:eastAsia="Times New Roman" w:hAnsi="Times New Roman"/>
          <w:sz w:val="18"/>
          <w:szCs w:val="18"/>
          <w:color w:val="auto"/>
        </w:rPr>
        <w:t>Under our certificate of incorporation, stockholders do not have the right to cumulative votes in the election of directors.</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Special Meetings of Stockholders</w:t>
      </w:r>
    </w:p>
    <w:p>
      <w:pPr>
        <w:spacing w:after="0" w:line="160" w:lineRule="exact"/>
        <w:rPr>
          <w:sz w:val="20"/>
          <w:szCs w:val="20"/>
          <w:color w:val="auto"/>
        </w:rPr>
      </w:pPr>
    </w:p>
    <w:p>
      <w:pPr>
        <w:ind w:left="1260" w:right="599" w:firstLine="360"/>
        <w:spacing w:after="0" w:line="261" w:lineRule="auto"/>
        <w:rPr>
          <w:sz w:val="20"/>
          <w:szCs w:val="20"/>
          <w:color w:val="auto"/>
        </w:rPr>
      </w:pPr>
      <w:r>
        <w:rPr>
          <w:rFonts w:ascii="Times New Roman" w:cs="Times New Roman" w:eastAsia="Times New Roman" w:hAnsi="Times New Roman"/>
          <w:sz w:val="18"/>
          <w:szCs w:val="18"/>
          <w:color w:val="auto"/>
        </w:rPr>
        <w:t>Our certificate of incorporation provides that special meetings of the stockholders may be called only by the chairman of the board of directors or by the secretary at the direction of a majority of the directors then in office. The business transacted at any special meeting will be limited to the proposal or proposals included in the notice of the meeting.</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Stockholder Action by Written Consent</w:t>
      </w:r>
    </w:p>
    <w:p>
      <w:pPr>
        <w:spacing w:after="0" w:line="160" w:lineRule="exact"/>
        <w:rPr>
          <w:sz w:val="20"/>
          <w:szCs w:val="20"/>
          <w:color w:val="auto"/>
        </w:rPr>
      </w:pPr>
    </w:p>
    <w:p>
      <w:pPr>
        <w:jc w:val="both"/>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Subject to the rights of the holders of one or more series of our preferred stock then outstanding, any action required or permitted to be taken by stockholders must be effected at a duly called annual or special meeting of our stockholders.</w:t>
      </w:r>
    </w:p>
    <w:p>
      <w:pPr>
        <w:spacing w:after="0" w:line="17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Advance Notice Requirements for Stockholder Proposals and Director Nominations</w:t>
      </w:r>
    </w:p>
    <w:p>
      <w:pPr>
        <w:spacing w:after="0" w:line="146"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Our bylaws provide that stockholders who are seeking to bring business before an annual meeting of stockholders and stockholders who are seeking to nominate candidates for election as directors at an annual meeting of stockholders, other than any nomination for an Amazon Director or an Apollo Director, must provide timely notice thereof in writing. To be timely, a stockholder’s notice generally must be delivered to and received at our principal executive offices not less than 90 days nor more than 120 days prior to the first</w:t>
      </w:r>
    </w:p>
    <w:p>
      <w:pPr>
        <w:sectPr>
          <w:pgSz w:w="11900" w:h="16838" w:orient="portrait"/>
          <w:cols w:equalWidth="0" w:num="1">
            <w:col w:w="9879"/>
          </w:cols>
          <w:pgMar w:left="580" w:top="97" w:right="1440" w:bottom="1440" w:gutter="0" w:footer="0" w:header="0"/>
        </w:sectPr>
      </w:pPr>
    </w:p>
    <w:p>
      <w:pPr>
        <w:spacing w:after="0" w:line="37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9" w:name="page50"/>
    <w:bookmarkEnd w:id="4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spacing w:after="0" w:line="243" w:lineRule="auto"/>
        <w:rPr>
          <w:sz w:val="20"/>
          <w:szCs w:val="20"/>
          <w:color w:val="auto"/>
        </w:rPr>
      </w:pPr>
      <w:r>
        <w:rPr>
          <w:rFonts w:ascii="Times New Roman" w:cs="Times New Roman" w:eastAsia="Times New Roman" w:hAnsi="Times New Roman"/>
          <w:sz w:val="18"/>
          <w:szCs w:val="18"/>
          <w:color w:val="auto"/>
        </w:rPr>
        <w:t>anniversary of the preceding year’s annual meeting of stockholders; provided, that in the event that the date of such meeting is advanced by more than 30 days prior to, or delayed by more than 60 days after, the anniversary of the preceding year’s annual meeting of our stockholders, a stockholder’s notice to be timely must be so delivered not earlier than the close of business on the 120th day prior to such meeting and not later than the close of business on the 90th day prior to such meeting or, if the first public announcement of the date of such meeting is less than 100 days prior to the date of such annual meeting, the 10th day following the day on which public announcement of the date of such meeting is first made. Our bylaws specify certain requirements as to the form and content of a stockholder’s notice. These provisions may preclude stockholders from bringing matters before an annual meeting of stockholders or from making nominations for directors at an annual meeting of stockholders.</w:t>
      </w:r>
    </w:p>
    <w:p>
      <w:pPr>
        <w:spacing w:after="0" w:line="118"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All of the foregoing provisions of our certificate of incorporation and bylaws could discourage potential acquisition proposals and could delay or prevent a change in control. These provisions are intended to enhance the likelihood of continuity and stability in the composition of the board of directors and in the policies formulated by the board of directors and to discourage certain types of transactions that may involve an actual or threatened change in control. These same provisions may delay, deter or prevent a tender offer or takeover attempt that a stockholder might consider to be in its best interest. In addition, such provisions could have the effect of discouraging others from making tender offers for our shares and, as a consequence, they also may inhibit fluctuations in the market price of our common stock that could result from actual or rumored takeover attempts. Such provisions also may have the effect of preventing changes in our management.</w:t>
      </w:r>
    </w:p>
    <w:p>
      <w:pPr>
        <w:spacing w:after="0" w:line="200" w:lineRule="exact"/>
        <w:rPr>
          <w:sz w:val="20"/>
          <w:szCs w:val="20"/>
          <w:color w:val="auto"/>
        </w:rPr>
      </w:pPr>
    </w:p>
    <w:p>
      <w:pPr>
        <w:spacing w:after="0" w:line="20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Delaware Takeover Statute</w:t>
      </w:r>
    </w:p>
    <w:p>
      <w:pPr>
        <w:spacing w:after="0" w:line="146" w:lineRule="exact"/>
        <w:rPr>
          <w:sz w:val="20"/>
          <w:szCs w:val="20"/>
          <w:color w:val="auto"/>
        </w:rPr>
      </w:pPr>
    </w:p>
    <w:p>
      <w:pPr>
        <w:jc w:val="both"/>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Our certificate of incorporation provides that we are not governed by Section 203 of the DGCL which, in the absence of such provisions, would have imposed additional requirements regarding mergers and other business combinations.</w:t>
      </w:r>
    </w:p>
    <w:p>
      <w:pPr>
        <w:spacing w:after="0" w:line="102"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color w:val="auto"/>
        </w:rPr>
        <w:t>However, our certificate of incorporation includes a provision that restricts us from engaging in any business combination with an interested stockholder for three years following the date that person becomes an interested stockholder. Such restrictions shall not apply to any business combination between Apollo and any affiliate thereof, including certain investment funds managed by affiliates of Apollo and the Apollo Stockholder, or their direct and indirect transferees, on the one hand, and us, on the other. In addition, such restrictions will not apply if:</w:t>
      </w:r>
    </w:p>
    <w:p>
      <w:pPr>
        <w:spacing w:after="0" w:line="87" w:lineRule="exact"/>
        <w:rPr>
          <w:sz w:val="20"/>
          <w:szCs w:val="20"/>
          <w:color w:val="auto"/>
        </w:rPr>
      </w:pPr>
    </w:p>
    <w:p>
      <w:pPr>
        <w:ind w:left="1800" w:right="459" w:hanging="180"/>
        <w:spacing w:after="0" w:line="259" w:lineRule="auto"/>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stockholder becomes an interested stockholder inadvertently and (i) as soon as practicable divests itself of ownership of sufficient shares so that it ceases to be an interested stockholder and (ii) within the three-year period immediately prior to the business combination between the Company and such stockholder, would not have been an interested stockholder but for the inadvertent acquisition of ownership; or</w:t>
      </w:r>
    </w:p>
    <w:p>
      <w:pPr>
        <w:spacing w:after="0" w:line="294" w:lineRule="exact"/>
        <w:rPr>
          <w:rFonts w:ascii="Times New Roman" w:cs="Times New Roman" w:eastAsia="Times New Roman" w:hAnsi="Times New Roman"/>
          <w:sz w:val="18"/>
          <w:szCs w:val="18"/>
          <w:color w:val="auto"/>
        </w:rPr>
      </w:pPr>
    </w:p>
    <w:p>
      <w:pPr>
        <w:ind w:left="1800" w:right="479" w:hanging="180"/>
        <w:spacing w:after="0" w:line="254" w:lineRule="auto"/>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combination is proposed prior to the consummation or abandonment of, and subsequent to the earlier of the public announcement or the notice required under the certificate of incorporation of, a proposed transaction that (i) constitutes one of the transactions described in the proviso of this sentence, (ii) is with or by a person who either was not an interested stockholder during the previous three years or who became an interested stockholder with the approval of our board of directors and</w:t>
      </w:r>
    </w:p>
    <w:p>
      <w:pPr>
        <w:spacing w:after="0" w:line="3" w:lineRule="exact"/>
        <w:rPr>
          <w:rFonts w:ascii="Times New Roman" w:cs="Times New Roman" w:eastAsia="Times New Roman" w:hAnsi="Times New Roman"/>
          <w:sz w:val="18"/>
          <w:szCs w:val="18"/>
          <w:color w:val="auto"/>
        </w:rPr>
      </w:pPr>
    </w:p>
    <w:p>
      <w:pPr>
        <w:ind w:left="1800" w:right="439"/>
        <w:spacing w:after="0" w:line="251" w:lineRule="auto"/>
        <w:tabs>
          <w:tab w:leader="none" w:pos="2136"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approved or not opposed by a majority of the directors then in office (but not less than one) who were directors prior to any person becoming an interested stockholder during the previous three years or were recommended for election or elected to succeed such directors by a majority of such directors; provided that the proposed transactions are limited to (x) a merger or consolidation of the Company (except for a merger in respect of which, pursuant to Section 251(f) of the DGCL, no vote of the stockholders of the Company is required), (y) a sale, lease, exchange, mortgage, whether as part of a dissolution or otherwise, of assets of the Company or of any direct or indirect majority-owned subsidiary of the Company (other than to any wholly owned subsidiary or to the Company) having an aggregate market value equal to 50% or more of either that aggregate market value of all the assets of the Company determined on a consolidated basis or the aggregate market value of all the outstanding stock of the Company or (z) a proposed tender or exchange offer for 50% or more of the outstanding voting stock of the Company; provided further that the</w:t>
      </w:r>
    </w:p>
    <w:p>
      <w:pPr>
        <w:sectPr>
          <w:pgSz w:w="11900" w:h="16838" w:orient="portrait"/>
          <w:cols w:equalWidth="0" w:num="1">
            <w:col w:w="9879"/>
          </w:cols>
          <w:pgMar w:left="580" w:top="97" w:right="1440" w:bottom="1440" w:gutter="0" w:footer="0" w:header="0"/>
        </w:sectPr>
      </w:pPr>
    </w:p>
    <w:p>
      <w:pPr>
        <w:spacing w:after="0" w:line="36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0" w:name="page51"/>
    <w:bookmarkEnd w:id="5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19"/>
        <w:spacing w:after="0" w:line="258" w:lineRule="auto"/>
        <w:rPr>
          <w:sz w:val="20"/>
          <w:szCs w:val="20"/>
          <w:color w:val="auto"/>
        </w:rPr>
      </w:pPr>
      <w:r>
        <w:rPr>
          <w:rFonts w:ascii="Times New Roman" w:cs="Times New Roman" w:eastAsia="Times New Roman" w:hAnsi="Times New Roman"/>
          <w:sz w:val="18"/>
          <w:szCs w:val="18"/>
          <w:color w:val="auto"/>
        </w:rPr>
        <w:t>Company will give not less than 20 days’ notice to all interested stockholders prior to the consummation of any of the transactions described in clause (x) or (y) above. Additionally, we would be able to enter into a business combination with an interested stockholder if:</w:t>
      </w:r>
    </w:p>
    <w:p>
      <w:pPr>
        <w:spacing w:after="0" w:line="61" w:lineRule="exact"/>
        <w:rPr>
          <w:sz w:val="20"/>
          <w:szCs w:val="20"/>
          <w:color w:val="auto"/>
        </w:rPr>
      </w:pPr>
    </w:p>
    <w:p>
      <w:pPr>
        <w:ind w:left="2160" w:right="699" w:hanging="180"/>
        <w:spacing w:after="0" w:line="266" w:lineRule="auto"/>
        <w:tabs>
          <w:tab w:leader="none" w:pos="21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that person became an interested stockholder, our board of directors approved the transaction in which the interested stockholder became an interested stockholder or approved the business combination;</w:t>
      </w:r>
    </w:p>
    <w:p>
      <w:pPr>
        <w:spacing w:after="0" w:line="67" w:lineRule="exact"/>
        <w:rPr>
          <w:rFonts w:ascii="Times New Roman" w:cs="Times New Roman" w:eastAsia="Times New Roman" w:hAnsi="Times New Roman"/>
          <w:sz w:val="18"/>
          <w:szCs w:val="18"/>
          <w:color w:val="auto"/>
        </w:rPr>
      </w:pPr>
    </w:p>
    <w:p>
      <w:pPr>
        <w:ind w:left="2160" w:right="619" w:hanging="180"/>
        <w:spacing w:after="0" w:line="255" w:lineRule="auto"/>
        <w:tabs>
          <w:tab w:leader="none" w:pos="21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that resulted in the interested stockholder becoming an interested stockholder, the interested stockholder owned at least 85% of our voting stock outstanding at the time the transaction commenced, excluding for purposes of determining the voting stock outstanding (but not the outstanding voting stock owned by the interested stockholder) stock held by directors who are also officers of our Company and by employee stock plans that do not provide employees with the right to determine confidentially whether shares held under the plan will be tendered in a tender or exchange offer; or</w:t>
      </w:r>
    </w:p>
    <w:p>
      <w:pPr>
        <w:spacing w:after="0" w:line="80" w:lineRule="exact"/>
        <w:rPr>
          <w:rFonts w:ascii="Times New Roman" w:cs="Times New Roman" w:eastAsia="Times New Roman" w:hAnsi="Times New Roman"/>
          <w:sz w:val="18"/>
          <w:szCs w:val="18"/>
          <w:color w:val="auto"/>
        </w:rPr>
      </w:pPr>
    </w:p>
    <w:p>
      <w:pPr>
        <w:ind w:left="2160" w:right="479" w:hanging="180"/>
        <w:spacing w:after="0" w:line="261" w:lineRule="auto"/>
        <w:tabs>
          <w:tab w:leader="none" w:pos="21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transaction in which that person became an interested stockholder, the business combination is approved by our board of directors and authorized at a meeting of stockholders by the affirmative vote of the holders of at least 66 2/3% of the voting power of our outstanding voting stock not owned by the interested stockholder.</w:t>
      </w:r>
    </w:p>
    <w:p>
      <w:pPr>
        <w:spacing w:after="0" w:line="112"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In general, a “business combination” is defined to include mergers, asset sales and other transactions resulting in financial benefit to a stockholder and an “interested stockholder” is any person who, together with affiliates and associates, is the owner of 15% or more of our outstanding voting stock or is our affiliate or associate and was the owner of 15% or more of our outstanding voting stock at any time within the three-year period immediately before the date of determination. Under our certificate of incorporation, an “interested stockholder” generally does not include Apollo and any affiliate thereof or their direct and indirect transferees.</w:t>
      </w:r>
    </w:p>
    <w:p>
      <w:pPr>
        <w:spacing w:after="0" w:line="312" w:lineRule="exact"/>
        <w:rPr>
          <w:sz w:val="20"/>
          <w:szCs w:val="20"/>
          <w:color w:val="auto"/>
        </w:rPr>
      </w:pPr>
    </w:p>
    <w:p>
      <w:pPr>
        <w:ind w:left="1260" w:right="619" w:firstLine="360"/>
        <w:spacing w:after="0" w:line="250" w:lineRule="auto"/>
        <w:rPr>
          <w:sz w:val="20"/>
          <w:szCs w:val="20"/>
          <w:color w:val="auto"/>
        </w:rPr>
      </w:pPr>
      <w:r>
        <w:rPr>
          <w:rFonts w:ascii="Times New Roman" w:cs="Times New Roman" w:eastAsia="Times New Roman" w:hAnsi="Times New Roman"/>
          <w:sz w:val="18"/>
          <w:szCs w:val="18"/>
          <w:color w:val="auto"/>
        </w:rPr>
        <w:t>This provision of our certificate of incorporation could prohibit or delay mergers or other takeover or change in control attempts and, accordingly, may discourage attempts to acquire us even though such a transaction may offer our stockholders the opportunity to sell their stock at a price above the prevailing market price.</w:t>
      </w:r>
    </w:p>
    <w:p>
      <w:pPr>
        <w:spacing w:after="0" w:line="1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Amendment of Our Certificate of Incorporation</w:t>
      </w:r>
    </w:p>
    <w:p>
      <w:pPr>
        <w:spacing w:after="0" w:line="146" w:lineRule="exact"/>
        <w:rPr>
          <w:sz w:val="20"/>
          <w:szCs w:val="20"/>
          <w:color w:val="auto"/>
        </w:rPr>
      </w:pPr>
    </w:p>
    <w:p>
      <w:pPr>
        <w:ind w:left="1260" w:right="479" w:firstLine="360"/>
        <w:spacing w:after="0" w:line="282" w:lineRule="auto"/>
        <w:rPr>
          <w:sz w:val="20"/>
          <w:szCs w:val="20"/>
          <w:color w:val="auto"/>
        </w:rPr>
      </w:pPr>
      <w:r>
        <w:rPr>
          <w:rFonts w:ascii="Times New Roman" w:cs="Times New Roman" w:eastAsia="Times New Roman" w:hAnsi="Times New Roman"/>
          <w:sz w:val="18"/>
          <w:szCs w:val="18"/>
          <w:color w:val="auto"/>
        </w:rPr>
        <w:t>Under Delaware law, our certificate of incorporation may be amended only with the affirmative vote of holders of at least a majority of the outstanding stock entitled to vote thereon.</w:t>
      </w:r>
    </w:p>
    <w:p>
      <w:pPr>
        <w:spacing w:after="0" w:line="81" w:lineRule="exact"/>
        <w:rPr>
          <w:sz w:val="20"/>
          <w:szCs w:val="20"/>
          <w:color w:val="auto"/>
        </w:rPr>
      </w:pPr>
    </w:p>
    <w:p>
      <w:pPr>
        <w:ind w:left="1260" w:right="639" w:firstLine="360"/>
        <w:spacing w:after="0" w:line="258" w:lineRule="auto"/>
        <w:rPr>
          <w:sz w:val="20"/>
          <w:szCs w:val="20"/>
          <w:color w:val="auto"/>
        </w:rPr>
      </w:pPr>
      <w:r>
        <w:rPr>
          <w:rFonts w:ascii="Times New Roman" w:cs="Times New Roman" w:eastAsia="Times New Roman" w:hAnsi="Times New Roman"/>
          <w:sz w:val="18"/>
          <w:szCs w:val="18"/>
          <w:color w:val="auto"/>
        </w:rPr>
        <w:t>Notwithstanding the foregoing, our certificate of incorporation provides that, in addition to any vote required by applicable law, our certificate of incorporation or bylaws, the affirmative vote of holders of at least 66 2/3% of the voting power of our outstanding shares of our capital stock entitled to vote thereon, voting together as a single class, is required to alter, amend or repeal the following provisions of our certificate of incorporation:</w:t>
      </w:r>
    </w:p>
    <w:p>
      <w:pPr>
        <w:spacing w:after="0" w:line="75" w:lineRule="exact"/>
        <w:rPr>
          <w:sz w:val="20"/>
          <w:szCs w:val="20"/>
          <w:color w:val="auto"/>
        </w:rPr>
      </w:pPr>
    </w:p>
    <w:p>
      <w:pPr>
        <w:ind w:left="1800" w:right="599" w:hanging="180"/>
        <w:spacing w:after="0" w:line="266"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authorizing the board of directors to designate one or more series of preferred stock and, by resolution, to provide the rights, powers and preferences, and the qualifications, limitations and restrictions thereof, of any series of preferred stock;</w:t>
      </w:r>
    </w:p>
    <w:p>
      <w:pPr>
        <w:spacing w:after="0" w:line="67" w:lineRule="exact"/>
        <w:rPr>
          <w:rFonts w:ascii="Times New Roman" w:cs="Times New Roman" w:eastAsia="Times New Roman" w:hAnsi="Times New Roman"/>
          <w:sz w:val="18"/>
          <w:szCs w:val="18"/>
          <w:color w:val="auto"/>
        </w:rPr>
      </w:pPr>
    </w:p>
    <w:p>
      <w:pPr>
        <w:ind w:left="1800" w:right="439" w:hanging="180"/>
        <w:spacing w:after="0" w:line="259"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providing for a classified board of directors and the number of the directors, establishing the term of office of directors, setting forth the quorum of any meeting of the board of directors, relating to the removal of directors, specifying the manner in which vacancies on the board of directors and newly created directorships may be filled and relating to any voting rights of preferred stock;</w:t>
      </w:r>
    </w:p>
    <w:p>
      <w:pPr>
        <w:spacing w:after="0" w:line="29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authorizing our board of directors to make, alter, amend or repeal our bylaws;</w:t>
      </w:r>
    </w:p>
    <w:p>
      <w:pPr>
        <w:spacing w:after="0" w:line="117"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the calling of special meetings and stockholder action by written consent in lieu of a meeting;</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eliminating monetary damages for breaches of fiduciary duty by a director;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1" w:name="page52"/>
    <w:bookmarkEnd w:id="5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hanging="180"/>
        <w:spacing w:after="0"/>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providing for indemnification and advance of expenses of our directors and officers;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competition and corporate opportunities;</w:t>
      </w:r>
    </w:p>
    <w:p>
      <w:pPr>
        <w:spacing w:after="0" w:line="117" w:lineRule="exact"/>
        <w:rPr>
          <w:rFonts w:ascii="Times New Roman" w:cs="Times New Roman" w:eastAsia="Times New Roman" w:hAnsi="Times New Roman"/>
          <w:sz w:val="18"/>
          <w:szCs w:val="18"/>
          <w:color w:val="auto"/>
        </w:rPr>
      </w:pPr>
    </w:p>
    <w:p>
      <w:pPr>
        <w:ind w:left="1800" w:right="499" w:hanging="180"/>
        <w:spacing w:after="0" w:line="261"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specifying that, unless we consent in writing to the selection of an alternative forum, the Chancery Court of the State of Delaware will be the sole and exclusive forum for intra-corporate disputes and the federal district courts of the United States will be the exclusive forum for causes of actions arising under the Securities Act;</w:t>
      </w:r>
    </w:p>
    <w:p>
      <w:pPr>
        <w:spacing w:after="0" w:line="71"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entering into business combinations with interested stockholders;</w:t>
      </w:r>
    </w:p>
    <w:p>
      <w:pPr>
        <w:spacing w:after="0" w:line="117" w:lineRule="exact"/>
        <w:rPr>
          <w:rFonts w:ascii="Times New Roman" w:cs="Times New Roman" w:eastAsia="Times New Roman" w:hAnsi="Times New Roman"/>
          <w:sz w:val="18"/>
          <w:szCs w:val="18"/>
          <w:color w:val="auto"/>
        </w:rPr>
      </w:pPr>
    </w:p>
    <w:p>
      <w:pPr>
        <w:ind w:left="1800" w:right="599" w:hanging="180"/>
        <w:spacing w:after="0" w:line="266"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requiring that amendments to specified provisions of our certificate of incorporation require the affirmative vote of 66 2/3% in voting power of our outstanding stock, voting as a single class; and</w:t>
      </w:r>
    </w:p>
    <w:p>
      <w:pPr>
        <w:spacing w:after="0" w:line="67" w:lineRule="exact"/>
        <w:rPr>
          <w:rFonts w:ascii="Times New Roman" w:cs="Times New Roman" w:eastAsia="Times New Roman" w:hAnsi="Times New Roman"/>
          <w:sz w:val="18"/>
          <w:szCs w:val="18"/>
          <w:color w:val="auto"/>
        </w:rPr>
      </w:pPr>
    </w:p>
    <w:p>
      <w:pPr>
        <w:ind w:left="1800" w:right="679" w:hanging="180"/>
        <w:spacing w:after="0" w:line="282"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requiring that amendments by the stockholders to our bylaws require the affirmative vote of 66 2/3% in voting power of our outstanding stock, voting as a single class.</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Amendment of Our Bylaws</w:t>
      </w:r>
    </w:p>
    <w:p>
      <w:pPr>
        <w:spacing w:after="0" w:line="146" w:lineRule="exact"/>
        <w:rPr>
          <w:sz w:val="20"/>
          <w:szCs w:val="20"/>
          <w:color w:val="auto"/>
        </w:rPr>
      </w:pPr>
    </w:p>
    <w:p>
      <w:pPr>
        <w:ind w:left="1260" w:right="519" w:firstLine="360"/>
        <w:spacing w:after="0" w:line="247" w:lineRule="auto"/>
        <w:rPr>
          <w:sz w:val="20"/>
          <w:szCs w:val="20"/>
          <w:color w:val="auto"/>
        </w:rPr>
      </w:pPr>
      <w:r>
        <w:rPr>
          <w:rFonts w:ascii="Times New Roman" w:cs="Times New Roman" w:eastAsia="Times New Roman" w:hAnsi="Times New Roman"/>
          <w:sz w:val="18"/>
          <w:szCs w:val="18"/>
          <w:color w:val="auto"/>
        </w:rPr>
        <w:t>Our bylaws provide that they can be amended by the vote of the holders of shares constituting a majority of the voting power or by the vote of a majority of the board of directors. However, our certificate of incorporation provides that, in addition to any vote required under our certificate of incorporation, the affirmative vote of the holders of at least 66 2/3% of the voting power of the outstanding shares of stock entitled to vote thereon, voting as a single class, is required for the stockholders to alter, amend or repeal any provision of our bylaws or to adopt any provision inconsistent therewith.</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Certain Matters that Require Consent of our Stockholders</w:t>
      </w:r>
    </w:p>
    <w:p>
      <w:pPr>
        <w:spacing w:after="0" w:line="160" w:lineRule="exact"/>
        <w:rPr>
          <w:sz w:val="20"/>
          <w:szCs w:val="20"/>
          <w:color w:val="auto"/>
        </w:rPr>
      </w:pPr>
    </w:p>
    <w:p>
      <w:pPr>
        <w:ind w:left="1260" w:right="559" w:firstLine="360"/>
        <w:spacing w:after="0" w:line="250" w:lineRule="auto"/>
        <w:rPr>
          <w:sz w:val="20"/>
          <w:szCs w:val="20"/>
          <w:color w:val="auto"/>
        </w:rPr>
      </w:pPr>
      <w:r>
        <w:rPr>
          <w:rFonts w:ascii="Times New Roman" w:cs="Times New Roman" w:eastAsia="Times New Roman" w:hAnsi="Times New Roman"/>
          <w:sz w:val="18"/>
          <w:szCs w:val="18"/>
          <w:color w:val="auto"/>
        </w:rPr>
        <w:t>The Stockholders Agreement provides that until Apollo and its affiliates, including the Apollo Stockholder, no longer beneficially own at least 25% of our issued and outstanding common stock, we will not take certain significant actions specified therein without the prior consent of the Apollo Stockholder, including, but not limited to:</w:t>
      </w:r>
    </w:p>
    <w:p>
      <w:pPr>
        <w:spacing w:after="0" w:line="69" w:lineRule="exact"/>
        <w:rPr>
          <w:sz w:val="20"/>
          <w:szCs w:val="20"/>
          <w:color w:val="auto"/>
        </w:rPr>
      </w:pPr>
    </w:p>
    <w:p>
      <w:pPr>
        <w:ind w:left="1800" w:right="479" w:hanging="180"/>
        <w:spacing w:after="0" w:line="266"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acquisition of equity interests or assets of any other entity, or any business, properties, assets or entities, other than acquisitions of aircraft or engines in the ordinary course of business and other ordinary course acquisitions with vendors, customers and suppliers;</w:t>
      </w:r>
    </w:p>
    <w:p>
      <w:pPr>
        <w:spacing w:after="0" w:line="67" w:lineRule="exact"/>
        <w:rPr>
          <w:rFonts w:ascii="Times New Roman" w:cs="Times New Roman" w:eastAsia="Times New Roman" w:hAnsi="Times New Roman"/>
          <w:sz w:val="18"/>
          <w:szCs w:val="18"/>
          <w:color w:val="auto"/>
        </w:rPr>
      </w:pPr>
    </w:p>
    <w:p>
      <w:pPr>
        <w:ind w:left="1800" w:right="979" w:hanging="180"/>
        <w:spacing w:after="0" w:line="282"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disposition of any of our or our subsidiaries’ assets or equity interests, other than dispositions of aircraft or engines in the ordinary course of business; or</w:t>
      </w:r>
    </w:p>
    <w:p>
      <w:pPr>
        <w:spacing w:after="0" w:line="53" w:lineRule="exact"/>
        <w:rPr>
          <w:rFonts w:ascii="Times New Roman" w:cs="Times New Roman" w:eastAsia="Times New Roman" w:hAnsi="Times New Roman"/>
          <w:sz w:val="18"/>
          <w:szCs w:val="18"/>
          <w:color w:val="auto"/>
        </w:rPr>
      </w:pPr>
    </w:p>
    <w:p>
      <w:pPr>
        <w:ind w:left="1800" w:right="499" w:hanging="180"/>
        <w:spacing w:after="0" w:line="258"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merging or consolidating with or into any other entity, or transferring (by lease, assignment, sale or otherwise) all or substantially all of the Company’s and our subsidiaries’ assets, taken as a whole, to another entity, or enter into or agree to undertake any other transaction that would constitute a “change of control” as defined in the Stockholders Agreement (other than, in each case, transactions among the Company and our wholly-owned subsidiaries).</w:t>
      </w:r>
    </w:p>
    <w:p>
      <w:pPr>
        <w:spacing w:after="0" w:line="102" w:lineRule="exact"/>
        <w:rPr>
          <w:sz w:val="20"/>
          <w:szCs w:val="20"/>
          <w:color w:val="auto"/>
        </w:rPr>
      </w:pPr>
    </w:p>
    <w:p>
      <w:pPr>
        <w:ind w:left="1260" w:right="559" w:firstLine="360"/>
        <w:spacing w:after="0" w:line="256" w:lineRule="auto"/>
        <w:rPr>
          <w:sz w:val="20"/>
          <w:szCs w:val="20"/>
          <w:color w:val="auto"/>
        </w:rPr>
      </w:pPr>
      <w:r>
        <w:rPr>
          <w:rFonts w:ascii="Times New Roman" w:cs="Times New Roman" w:eastAsia="Times New Roman" w:hAnsi="Times New Roman"/>
          <w:sz w:val="18"/>
          <w:szCs w:val="18"/>
          <w:color w:val="auto"/>
        </w:rPr>
        <w:t>The provisions of the DGCL, our certificate of incorporation, our bylaws and our Stockholders Agreement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our management. It is possible that these provisions could make it more difficult to accomplish transactions that stockholders may otherwise deem to be in their best interests.</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Corporate Opportunity</w:t>
      </w:r>
    </w:p>
    <w:p>
      <w:pPr>
        <w:spacing w:after="0" w:line="162" w:lineRule="exact"/>
        <w:rPr>
          <w:sz w:val="20"/>
          <w:szCs w:val="20"/>
          <w:color w:val="auto"/>
        </w:rPr>
      </w:pPr>
    </w:p>
    <w:p>
      <w:pPr>
        <w:ind w:left="1260" w:right="639" w:firstLine="360"/>
        <w:spacing w:after="0" w:line="257" w:lineRule="auto"/>
        <w:rPr>
          <w:sz w:val="20"/>
          <w:szCs w:val="20"/>
          <w:color w:val="auto"/>
        </w:rPr>
      </w:pPr>
      <w:r>
        <w:rPr>
          <w:rFonts w:ascii="Times New Roman" w:cs="Times New Roman" w:eastAsia="Times New Roman" w:hAnsi="Times New Roman"/>
          <w:sz w:val="18"/>
          <w:szCs w:val="18"/>
          <w:color w:val="auto"/>
        </w:rPr>
        <w:t>Under Delaware law, officers and directors generally have an obligation to present to the corporation they serve business opportunities which the corporation is financially able to undertake and which falls within the corporation’s business line and are of practical advantage to the corporation, or in which the corporation has an actual or expectant interest. A corollary of this general rule is that when a business opportunity comes to an officer or director that is not one in which the corporation has an actual or expectant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2" w:name="page53"/>
    <w:bookmarkEnd w:id="5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99"/>
        <w:spacing w:after="0" w:line="245" w:lineRule="auto"/>
        <w:rPr>
          <w:sz w:val="20"/>
          <w:szCs w:val="20"/>
          <w:color w:val="auto"/>
        </w:rPr>
      </w:pPr>
      <w:r>
        <w:rPr>
          <w:rFonts w:ascii="Times New Roman" w:cs="Times New Roman" w:eastAsia="Times New Roman" w:hAnsi="Times New Roman"/>
          <w:sz w:val="18"/>
          <w:szCs w:val="18"/>
          <w:color w:val="auto"/>
        </w:rPr>
        <w:t>interest, the officer is generally not obligated to present it to the corporation. Certain of our officers and directors may serve as officers, directors or fiduciaries of other entities and, therefore, may have legal obligations relating to presenting available business opportunities to us and to other entities. Potential conflicts of interest may arise when our officers and directors learn of business opportunities (e.g., the opportunity to acquire an asset or portfolio of assets, to make a specific investment, to effect a sale transaction, etc.) that would be of material advantage to us and to one or more other entities of which they serve as officers, directors or other fiduciaries.</w:t>
      </w:r>
    </w:p>
    <w:p>
      <w:pPr>
        <w:spacing w:after="0" w:line="114"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Section 122(17) of the DGCL permits a corporation to renounce, in advance, in its certificate of incorporation or by action of its board of directors, any interest or expectancy of a corporation in certain classes or categories of business opportunities. Where business opportunities are so renounced, certain of our officers and directors will not be obligated to present any such business opportunities to us. Our certificate of incorporation provides that, to the fullest extent permitted by law, no officer or director of ours who is also an officer, director, principal, partner, member, manager, employee, agent or other representative of Apollo, Amazon or their respective affiliates will be liable to us or our stockholders for breach of any fiduciary duty by reason of the fact that any such individual directs a corporate opportunity to Apollo, Amazon or their respective affiliates and representatives, as applicable, instead of us, or does not communicate information regarding a corporate opportunity to us that the officer, director, employee, managing director or other affiliate has directed to Apollo or Amazon, as applicable.</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Limited Ownership and Voting by Foreign Owners</w:t>
      </w:r>
    </w:p>
    <w:p>
      <w:pPr>
        <w:spacing w:after="0" w:line="162"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To comply with restrictions imposed by federal law on foreign ownership and control of U.S. airlines, our certificate of incorporation and bylaws restrict ownership and control of shares of our common stock by non-U.S. citizens. The restrictions imposed by federal law and DOT policy require that we be owned and controlled by U.S. citizens, that no more than 25% of our voting stock be owned or controlled, directly or indirectly, by persons or entities who are not U.S. citizens, as defined in 49 U.S.C. § 40102(a)(15), that no more than 49% of our stock be owned or controlled, directly or indirectly, by persons or entities who are not U.S. citizens and are from countries that have entered into “open skies” air transport agreements with the United States, that our president and at least two-thirds of the members of our board of directors and other managing officers be U.S. citizens and that we be under the actual control of U.S. citizens. Our certificate of incorporation and bylaws provide that the failure of non-U.S. citizens to register their shares on a separate stock record, which we refer to as the “foreign stock record,” would result in a loss of their voting rights in the event and to the extent that the aggregate foreign ownership of the outstanding common stock exceeds the foreign ownership restrictions imposed by federal law. Our bylaws further provide that no shares of our common stock will be registered on the foreign stock record if the amount so registered would exceed the foreign ownership restrictions imposed by federal law. If it is determined that the amount registered in the foreign stock record exceeds the foreign ownership restrictions imposed by federal law, shares will be removed from the foreign stock record, resulting in the loss of voting rights, in reverse chronological order based on the date of registration therein, until the number of shares registered therein does not exceed the foreign ownership restrictions imposed by federal law. We are currently in compliance with these ownership restrictions.</w:t>
      </w:r>
    </w:p>
    <w:p>
      <w:pPr>
        <w:spacing w:after="0" w:line="330"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For purposes of the restrictions on foreign ownership and control of U.S. airlines, under federal law and DOT policy, “citizen of the United States” means (A) an individual who is a citizen of the United States;</w:t>
      </w:r>
    </w:p>
    <w:p>
      <w:pPr>
        <w:spacing w:after="0" w:line="1" w:lineRule="exact"/>
        <w:rPr>
          <w:sz w:val="20"/>
          <w:szCs w:val="20"/>
          <w:color w:val="auto"/>
        </w:rPr>
      </w:pPr>
    </w:p>
    <w:p>
      <w:pPr>
        <w:ind w:left="1260" w:right="439"/>
        <w:spacing w:after="0" w:line="242" w:lineRule="auto"/>
        <w:tabs>
          <w:tab w:leader="none" w:pos="155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partnership each of whose partners is an individual who is a citizen of the United States; or (C) a corporation or association organized under the laws of the United States or a State, the District of Columbia, or a territory or possession of the United States, of which the president and at least two-thirds of the board of directors and other managing officers are citizens of the United States, which is under the actual control of citizens of the United States, and in which at least 75% of the voting interest is owned and controlled by persons that are citizens of the United States.</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Exclusive Forum Selection</w:t>
      </w:r>
    </w:p>
    <w:p>
      <w:pPr>
        <w:spacing w:after="0" w:line="162" w:lineRule="exact"/>
        <w:rPr>
          <w:sz w:val="20"/>
          <w:szCs w:val="20"/>
          <w:color w:val="auto"/>
        </w:rPr>
      </w:pPr>
    </w:p>
    <w:p>
      <w:pPr>
        <w:ind w:left="1260" w:right="619" w:firstLine="360"/>
        <w:spacing w:after="0" w:line="266" w:lineRule="auto"/>
        <w:rPr>
          <w:sz w:val="20"/>
          <w:szCs w:val="20"/>
          <w:color w:val="auto"/>
        </w:rPr>
      </w:pPr>
      <w:r>
        <w:rPr>
          <w:rFonts w:ascii="Times New Roman" w:cs="Times New Roman" w:eastAsia="Times New Roman" w:hAnsi="Times New Roman"/>
          <w:sz w:val="18"/>
          <w:szCs w:val="18"/>
          <w:color w:val="auto"/>
        </w:rPr>
        <w:t>Unless we consent in writing to the selection of an alternative forum, the Chancery Court of the State of Delaware will, to the fullest extent permitted by law, be the sole and exclusive forum for:</w:t>
      </w:r>
    </w:p>
    <w:p>
      <w:pPr>
        <w:spacing w:after="0" w:line="68" w:lineRule="exact"/>
        <w:rPr>
          <w:sz w:val="20"/>
          <w:szCs w:val="20"/>
          <w:color w:val="auto"/>
        </w:rPr>
      </w:pPr>
    </w:p>
    <w:p>
      <w:pPr>
        <w:ind w:left="5240" w:right="3659" w:hanging="3620"/>
        <w:spacing w:after="0" w:line="736" w:lineRule="auto"/>
        <w:tabs>
          <w:tab w:leader="none" w:pos="179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our behalf;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-34925</wp:posOffset>
            </wp:positionV>
            <wp:extent cx="68319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3" w:name="page54"/>
    <w:bookmarkEnd w:id="5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839" w:hanging="180"/>
        <w:spacing w:after="0" w:line="282"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of breach of a fiduciary duty owed by any of our directors, officers, employees or agents to us or our stockholders;</w:t>
      </w:r>
    </w:p>
    <w:p>
      <w:pPr>
        <w:spacing w:after="0" w:line="67" w:lineRule="exact"/>
        <w:rPr>
          <w:rFonts w:ascii="Times New Roman" w:cs="Times New Roman" w:eastAsia="Times New Roman" w:hAnsi="Times New Roman"/>
          <w:sz w:val="18"/>
          <w:szCs w:val="18"/>
          <w:color w:val="auto"/>
        </w:rPr>
      </w:pPr>
    </w:p>
    <w:p>
      <w:pPr>
        <w:ind w:left="1800" w:right="679" w:hanging="180"/>
        <w:spacing w:after="0" w:line="282"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arising pursuant to any provision of the DGCL or of our certificate of incorporation or our bylaws; or</w:t>
      </w:r>
    </w:p>
    <w:p>
      <w:pPr>
        <w:spacing w:after="0" w:line="53" w:lineRule="exact"/>
        <w:rPr>
          <w:rFonts w:ascii="Times New Roman" w:cs="Times New Roman" w:eastAsia="Times New Roman" w:hAnsi="Times New Roman"/>
          <w:sz w:val="18"/>
          <w:szCs w:val="18"/>
          <w:color w:val="auto"/>
        </w:rPr>
      </w:pPr>
    </w:p>
    <w:p>
      <w:pPr>
        <w:ind w:left="1800" w:right="719" w:hanging="180"/>
        <w:spacing w:after="0" w:line="282"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or any of our directors or officers governed by the internal affairs doctrine,</w:t>
      </w:r>
    </w:p>
    <w:p>
      <w:pPr>
        <w:spacing w:after="0" w:line="94" w:lineRule="exact"/>
        <w:rPr>
          <w:sz w:val="20"/>
          <w:szCs w:val="20"/>
          <w:color w:val="auto"/>
        </w:rPr>
      </w:pPr>
    </w:p>
    <w:p>
      <w:pPr>
        <w:ind w:left="1260" w:right="859" w:firstLine="360"/>
        <w:spacing w:after="0" w:line="282" w:lineRule="auto"/>
        <w:rPr>
          <w:sz w:val="20"/>
          <w:szCs w:val="20"/>
          <w:color w:val="auto"/>
        </w:rPr>
      </w:pPr>
      <w:r>
        <w:rPr>
          <w:rFonts w:ascii="Times New Roman" w:cs="Times New Roman" w:eastAsia="Times New Roman" w:hAnsi="Times New Roman"/>
          <w:sz w:val="18"/>
          <w:szCs w:val="18"/>
          <w:color w:val="auto"/>
        </w:rPr>
        <w:t>in each such case subject to the Delaware Court of Chancery having personal jurisdiction over the indispensable parties named as defendants.</w:t>
      </w:r>
    </w:p>
    <w:p>
      <w:pPr>
        <w:spacing w:after="0" w:line="81"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Notwithstanding the foregoing, the provisions of the foregoing paragraph will not apply to suits brought to enforce any liability or duty created by the Securities Act, the Exchange Act or any other claim for which the federal district courts of the United States have exclusive jurisdiction. For instance, the provision would not apply to actions arising under federal securities laws, including suits brought to enforce any liability or duty created by the Securities Act, Exchange Act or the rules and regulations thereunder. Our certificate of incorporation further provides that the federal district courts of the United States shall, to the fullest extent permitted by law, be the sole and exclusive forum for the resolution of any action, suit or proceeding asserting a cause of action arising under the Securities Act. Any person or entity purchasing or otherwise acquiring any interest in any shares of our capital stock will be deemed to have notice of and, to the fullest extent permitted by law, to have consented to the foregoing forum selection provisions. However, the enforceability of similar forum provisions in other companies’ certificates of incorporation has been challenged in legal proceedings, and it is possible that a court could find these types of provisions to be unenforceable.</w:t>
      </w:r>
    </w:p>
    <w:p>
      <w:pPr>
        <w:spacing w:after="0" w:line="338"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We recognize that the forum selection clause in our certificate of incorporation may impose additional litigation costs on stockholders in pursuing any such claims, particularly if the stockholders do not reside in or near the State of Delaware. Additionally, the forum selection clause in our certificate of incorporation may limit our stockholders’ ability to bring a claim in a forum that they find favorable for disputes with us or our directors, officers or employees, which may discourage such lawsuits against us and our directors, officers and employees even though an action, if successful, might benefit our stockholders. Alternatively, if a court were to find the choice of forum provision contained in our certificate of incorporation to be inapplicable or unenforceable in an action, we may incur additional costs associated with resolving such action in other jurisdictions. The Court of Chancery of the State of Delaware and the federal district courts of the United States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Limitation of Liability and Indemnification</w:t>
      </w:r>
    </w:p>
    <w:p>
      <w:pPr>
        <w:spacing w:after="0" w:line="162" w:lineRule="exact"/>
        <w:rPr>
          <w:sz w:val="20"/>
          <w:szCs w:val="20"/>
          <w:color w:val="auto"/>
        </w:rPr>
      </w:pPr>
    </w:p>
    <w:p>
      <w:pPr>
        <w:jc w:val="both"/>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limits the liability of our directors to the maximum extent permitted by the DGCL. The DGCL provides that directors will not be personally liable for monetary damages for breach of their fiduciary duties as directors, except liability:</w:t>
      </w:r>
    </w:p>
    <w:p>
      <w:pPr>
        <w:spacing w:after="0" w:line="68" w:lineRule="exact"/>
        <w:rPr>
          <w:sz w:val="20"/>
          <w:szCs w:val="20"/>
          <w:color w:val="auto"/>
        </w:rPr>
      </w:pPr>
    </w:p>
    <w:p>
      <w:pPr>
        <w:ind w:left="1800" w:hanging="180"/>
        <w:spacing w:after="0"/>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breach of their duty of loyalty to the corporation or its stockholders;</w:t>
      </w:r>
    </w:p>
    <w:p>
      <w:pPr>
        <w:spacing w:after="0" w:line="117" w:lineRule="exact"/>
        <w:rPr>
          <w:rFonts w:ascii="Times New Roman" w:cs="Times New Roman" w:eastAsia="Times New Roman" w:hAnsi="Times New Roman"/>
          <w:sz w:val="18"/>
          <w:szCs w:val="18"/>
          <w:color w:val="auto"/>
        </w:rPr>
      </w:pPr>
    </w:p>
    <w:p>
      <w:pPr>
        <w:ind w:left="1800" w:right="1079" w:hanging="180"/>
        <w:spacing w:after="0" w:line="282"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acts or omissions not in good faith or which involve intentional misconduct or a knowing violation of laws;</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Section 174 of the DGCL (governing distributions to stockholders); or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transaction from which the director derived an improper personal benefit.</w:t>
      </w:r>
    </w:p>
    <w:p>
      <w:pPr>
        <w:spacing w:after="0" w:line="158" w:lineRule="exact"/>
        <w:rPr>
          <w:sz w:val="20"/>
          <w:szCs w:val="20"/>
          <w:color w:val="auto"/>
        </w:rPr>
      </w:pPr>
    </w:p>
    <w:p>
      <w:pPr>
        <w:ind w:left="1260" w:right="419" w:firstLine="360"/>
        <w:spacing w:after="0" w:line="259" w:lineRule="auto"/>
        <w:rPr>
          <w:sz w:val="20"/>
          <w:szCs w:val="20"/>
          <w:color w:val="auto"/>
        </w:rPr>
      </w:pPr>
      <w:r>
        <w:rPr>
          <w:rFonts w:ascii="Times New Roman" w:cs="Times New Roman" w:eastAsia="Times New Roman" w:hAnsi="Times New Roman"/>
          <w:sz w:val="18"/>
          <w:szCs w:val="18"/>
          <w:color w:val="auto"/>
        </w:rPr>
        <w:t>However, if the DGCL is amended to authorize corporate action further eliminating or limiting the personal liability of directors, then the liability of our directors will be eliminated or limited to the fullest extent permitted by the DGCL, as so amended. The modification or repeal of this provision of our certificate of incorporation will not adversely affect any right or protection of a director existing at the time of such modification or repeal.</w:t>
      </w:r>
    </w:p>
    <w:p>
      <w:pPr>
        <w:spacing w:after="0" w:line="200" w:lineRule="exact"/>
        <w:rPr>
          <w:sz w:val="20"/>
          <w:szCs w:val="20"/>
          <w:color w:val="auto"/>
        </w:rPr>
      </w:pPr>
    </w:p>
    <w:p>
      <w:pPr>
        <w:spacing w:after="0" w:line="37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4" w:name="page55"/>
    <w:bookmarkEnd w:id="5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Our certificate of incorporation provides that we will, to the fullest extent from time to time permitted by law, indemnify our directors and officers against all liabilities and expenses in any suit or proceeding, arising out of their status as an officer or director or their activities in these capacities. We will also indemnify any person who, at our request, is or was serving as a director, officer or employee of another corporation, partnership, joint venture, trust or other enterprise. We may, by action of our board of directors, provide indemnification to our employees and agents within the same scope and effect as the foregoing indemnification of directors and officers.</w:t>
      </w:r>
    </w:p>
    <w:p>
      <w:pPr>
        <w:spacing w:after="0" w:line="121" w:lineRule="exact"/>
        <w:rPr>
          <w:sz w:val="20"/>
          <w:szCs w:val="20"/>
          <w:color w:val="auto"/>
        </w:rPr>
      </w:pPr>
    </w:p>
    <w:p>
      <w:pPr>
        <w:ind w:left="1260" w:right="699" w:firstLine="360"/>
        <w:spacing w:after="0" w:line="266" w:lineRule="auto"/>
        <w:rPr>
          <w:sz w:val="20"/>
          <w:szCs w:val="20"/>
          <w:color w:val="auto"/>
        </w:rPr>
      </w:pPr>
      <w:r>
        <w:rPr>
          <w:rFonts w:ascii="Times New Roman" w:cs="Times New Roman" w:eastAsia="Times New Roman" w:hAnsi="Times New Roman"/>
          <w:sz w:val="18"/>
          <w:szCs w:val="18"/>
          <w:color w:val="auto"/>
        </w:rPr>
        <w:t>The right to be indemnified will include the right of an officer or a director to be paid expenses in advance of the final disposition of any proceeding, provided that, if required by law, we receive an undertaking to repay such amount if it will be determined that he or she is not entitled to be indemnified.</w:t>
      </w:r>
    </w:p>
    <w:p>
      <w:pPr>
        <w:spacing w:after="0" w:line="108" w:lineRule="exact"/>
        <w:rPr>
          <w:sz w:val="20"/>
          <w:szCs w:val="20"/>
          <w:color w:val="auto"/>
        </w:rPr>
      </w:pPr>
    </w:p>
    <w:p>
      <w:pPr>
        <w:ind w:left="1260" w:right="679" w:firstLine="360"/>
        <w:spacing w:after="0" w:line="255" w:lineRule="auto"/>
        <w:rPr>
          <w:sz w:val="20"/>
          <w:szCs w:val="20"/>
          <w:color w:val="auto"/>
        </w:rPr>
      </w:pPr>
      <w:r>
        <w:rPr>
          <w:rFonts w:ascii="Times New Roman" w:cs="Times New Roman" w:eastAsia="Times New Roman" w:hAnsi="Times New Roman"/>
          <w:sz w:val="18"/>
          <w:szCs w:val="18"/>
          <w:color w:val="auto"/>
        </w:rPr>
        <w:t>Our board of directors may take such action as it deems necessary to carry out these indemnification provisions, including adopting procedures for determining and enforcing indemnification rights and purchasing insurance policies. Our board of directors may also adopt bylaws, resolutions or contracts implementing indemnification arrangements as may be permitted by law. Neither the amendment nor the repeal of these indemnification provisions, nor any provision of our certificate of incorporation that is inconsistent with these indemnification provisions, will eliminate or reduce any rights to indemnification relating to their status or any activities prior to such amendment, repeal or adoption.</w:t>
      </w:r>
    </w:p>
    <w:p>
      <w:pPr>
        <w:spacing w:after="0" w:line="108" w:lineRule="exact"/>
        <w:rPr>
          <w:sz w:val="20"/>
          <w:szCs w:val="20"/>
          <w:color w:val="auto"/>
        </w:rPr>
      </w:pPr>
    </w:p>
    <w:p>
      <w:pPr>
        <w:ind w:left="1260" w:right="899" w:firstLine="360"/>
        <w:spacing w:after="0" w:line="282" w:lineRule="auto"/>
        <w:rPr>
          <w:sz w:val="20"/>
          <w:szCs w:val="20"/>
          <w:color w:val="auto"/>
        </w:rPr>
      </w:pPr>
      <w:r>
        <w:rPr>
          <w:rFonts w:ascii="Times New Roman" w:cs="Times New Roman" w:eastAsia="Times New Roman" w:hAnsi="Times New Roman"/>
          <w:sz w:val="18"/>
          <w:szCs w:val="18"/>
          <w:color w:val="auto"/>
        </w:rPr>
        <w:t>We believe these provisions will assist in attracting and retaining qualified individuals to serve as directors.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Our common stock is listed on the Nasdaq Global Select Market under the symbol “SNCY.”</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Broadridge Corporate Issuer Solutions.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5" w:name="page56"/>
    <w:bookmarkEnd w:id="5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62" w:lineRule="exact"/>
        <w:rPr>
          <w:sz w:val="20"/>
          <w:szCs w:val="20"/>
          <w:color w:val="auto"/>
        </w:rPr>
      </w:pPr>
    </w:p>
    <w:p>
      <w:pPr>
        <w:ind w:left="1260" w:right="879" w:firstLine="360"/>
        <w:spacing w:after="0" w:line="266" w:lineRule="auto"/>
        <w:rPr>
          <w:sz w:val="20"/>
          <w:szCs w:val="20"/>
          <w:color w:val="auto"/>
        </w:rPr>
      </w:pPr>
      <w:r>
        <w:rPr>
          <w:rFonts w:ascii="Times New Roman" w:cs="Times New Roman" w:eastAsia="Times New Roman" w:hAnsi="Times New Roman"/>
          <w:sz w:val="18"/>
          <w:szCs w:val="18"/>
          <w:color w:val="auto"/>
        </w:rPr>
        <w:t>Any selling stockholder may offer and sell shares of our common stock, in any one or more of the following ways:</w:t>
      </w:r>
    </w:p>
    <w:p>
      <w:pPr>
        <w:spacing w:after="0" w:line="54" w:lineRule="exact"/>
        <w:rPr>
          <w:sz w:val="20"/>
          <w:szCs w:val="20"/>
          <w:color w:val="auto"/>
        </w:rPr>
      </w:pPr>
    </w:p>
    <w:p>
      <w:pPr>
        <w:ind w:left="1800" w:hanging="180"/>
        <w:spacing w:after="0"/>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underwriters, brokers or dealers;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one or more other purchasers;</w:t>
      </w:r>
    </w:p>
    <w:p>
      <w:pPr>
        <w:spacing w:after="0" w:line="117" w:lineRule="exact"/>
        <w:rPr>
          <w:rFonts w:ascii="Times New Roman" w:cs="Times New Roman" w:eastAsia="Times New Roman" w:hAnsi="Times New Roman"/>
          <w:sz w:val="18"/>
          <w:szCs w:val="18"/>
          <w:color w:val="auto"/>
        </w:rPr>
      </w:pPr>
    </w:p>
    <w:p>
      <w:pPr>
        <w:jc w:val="both"/>
        <w:ind w:left="1800" w:right="459" w:hanging="180"/>
        <w:spacing w:after="0" w:line="266" w:lineRule="auto"/>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block trade in which the broker or dealer engaged to handle the block trade will attempt to sell the securities as agent, but may position and resell a portion of the block as principal to facilitate the transaction;</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 on a best-efforts basis; or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through a combination of any of the above methods of sale.</w:t>
      </w:r>
    </w:p>
    <w:p>
      <w:pPr>
        <w:spacing w:after="0" w:line="158" w:lineRule="exact"/>
        <w:rPr>
          <w:sz w:val="20"/>
          <w:szCs w:val="20"/>
          <w:color w:val="auto"/>
        </w:rPr>
      </w:pPr>
    </w:p>
    <w:p>
      <w:pPr>
        <w:ind w:left="1260" w:right="559" w:firstLine="360"/>
        <w:spacing w:after="0" w:line="258" w:lineRule="auto"/>
        <w:rPr>
          <w:sz w:val="20"/>
          <w:szCs w:val="20"/>
          <w:color w:val="auto"/>
        </w:rPr>
      </w:pPr>
      <w:r>
        <w:rPr>
          <w:rFonts w:ascii="Times New Roman" w:cs="Times New Roman" w:eastAsia="Times New Roman" w:hAnsi="Times New Roman"/>
          <w:sz w:val="18"/>
          <w:szCs w:val="18"/>
          <w:color w:val="auto"/>
        </w:rPr>
        <w:t>In addition, any selling stockholder may enter into option, share lending or other types of transactions that require such selling stockholder to deliver the shares of common stock to an underwriter, broker or dealer, who will then resell or transfer the shares of common stock under this prospectus. Any selling stockholder may also enter into hedging transactions with respect to the securities of such selling stockholder. For example, any selling stockholder may:</w:t>
      </w:r>
    </w:p>
    <w:p>
      <w:pPr>
        <w:spacing w:after="0" w:line="75" w:lineRule="exact"/>
        <w:rPr>
          <w:sz w:val="20"/>
          <w:szCs w:val="20"/>
          <w:color w:val="auto"/>
        </w:rPr>
      </w:pPr>
    </w:p>
    <w:p>
      <w:pPr>
        <w:ind w:left="1800" w:right="539" w:hanging="180"/>
        <w:spacing w:after="0" w:line="282" w:lineRule="auto"/>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involving short sales of the shares of common stock by underwriters, brokers or dealers;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shares of common stock short and deliver the shares to close out short positions;</w:t>
      </w:r>
    </w:p>
    <w:p>
      <w:pPr>
        <w:spacing w:after="0" w:line="117" w:lineRule="exact"/>
        <w:rPr>
          <w:rFonts w:ascii="Times New Roman" w:cs="Times New Roman" w:eastAsia="Times New Roman" w:hAnsi="Times New Roman"/>
          <w:sz w:val="18"/>
          <w:szCs w:val="18"/>
          <w:color w:val="auto"/>
        </w:rPr>
      </w:pPr>
    </w:p>
    <w:p>
      <w:pPr>
        <w:ind w:left="1800" w:right="499" w:hanging="180"/>
        <w:spacing w:after="0" w:line="266" w:lineRule="auto"/>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option or other types of transactions that require such selling stockholder to deliver shares of common stock to an underwriter or broker-dealer, who will then resell or transfer the shares of common stock under this prospectus; or</w:t>
      </w:r>
    </w:p>
    <w:p>
      <w:pPr>
        <w:spacing w:after="0" w:line="67" w:lineRule="exact"/>
        <w:rPr>
          <w:rFonts w:ascii="Times New Roman" w:cs="Times New Roman" w:eastAsia="Times New Roman" w:hAnsi="Times New Roman"/>
          <w:sz w:val="18"/>
          <w:szCs w:val="18"/>
          <w:color w:val="auto"/>
        </w:rPr>
      </w:pPr>
    </w:p>
    <w:p>
      <w:pPr>
        <w:ind w:left="1800" w:right="839" w:hanging="180"/>
        <w:spacing w:after="0" w:line="282" w:lineRule="auto"/>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 or pledge the shares of common stock to an underwriter, broker or dealer, who may sell the loaned shares or, in the event of default, sell the pledged shares.</w:t>
      </w:r>
    </w:p>
    <w:p>
      <w:pPr>
        <w:spacing w:after="0" w:line="81" w:lineRule="exact"/>
        <w:rPr>
          <w:sz w:val="20"/>
          <w:szCs w:val="20"/>
          <w:color w:val="auto"/>
        </w:rPr>
      </w:pPr>
    </w:p>
    <w:p>
      <w:pPr>
        <w:ind w:left="1260" w:right="719" w:firstLine="360"/>
        <w:spacing w:after="0" w:line="282" w:lineRule="auto"/>
        <w:rPr>
          <w:sz w:val="20"/>
          <w:szCs w:val="20"/>
          <w:color w:val="auto"/>
        </w:rPr>
      </w:pPr>
      <w:r>
        <w:rPr>
          <w:rFonts w:ascii="Times New Roman" w:cs="Times New Roman" w:eastAsia="Times New Roman" w:hAnsi="Times New Roman"/>
          <w:sz w:val="18"/>
          <w:szCs w:val="18"/>
          <w:color w:val="auto"/>
        </w:rPr>
        <w:t>Any selling stockholder will act independently of us in making decisions with respect to the timing, manner and size of each sale of shares of common stock covered by this prospectus.</w:t>
      </w:r>
    </w:p>
    <w:p>
      <w:pPr>
        <w:spacing w:after="0" w:line="94" w:lineRule="exact"/>
        <w:rPr>
          <w:sz w:val="20"/>
          <w:szCs w:val="20"/>
          <w:color w:val="auto"/>
        </w:rPr>
      </w:pPr>
    </w:p>
    <w:p>
      <w:pPr>
        <w:ind w:left="1260" w:right="459" w:firstLine="360"/>
        <w:spacing w:after="0" w:line="252" w:lineRule="auto"/>
        <w:rPr>
          <w:sz w:val="20"/>
          <w:szCs w:val="20"/>
          <w:color w:val="auto"/>
        </w:rPr>
      </w:pPr>
      <w:r>
        <w:rPr>
          <w:rFonts w:ascii="Times New Roman" w:cs="Times New Roman" w:eastAsia="Times New Roman" w:hAnsi="Times New Roman"/>
          <w:sz w:val="18"/>
          <w:szCs w:val="18"/>
          <w:color w:val="auto"/>
        </w:rPr>
        <w:t>Any selling stockholder may enter into derivative transactions with third parties, or sell securities not covered by this prospectus to third parties in privately negotiated transactions, including sales deemed to be an at-the-market offering as defined in Rule 415 promulgated under the Securities Act, which includes sales made directly on or through Nasdaq, the existing trading market for our shares of common stock, or sales made to or through a market maker other than on an exchange. In connection with those derivatives, the third parties may sell securities covered by this prospectus, including in short sale transactions. If so, the third party may use securities pledged by such selling stockholder, or borrowed from such selling stockholder or others to settle those sales or to close out any related open borrowings of stock, and may use securities received from such selling stockholder in settlement of those derivatives to close out any related open borrowings of stock. The third party in such sale transactions will be an underwriter and, if not identified in this prospectus, will be identified in the applicable prospectus supplement (or a post-effective amendment). In addition, any selling stockholder may otherwise loan or pledge securities to a financial institution or other third party that in turn may sell the securities short using this prospectus. Such financial institution or other third party may transfer its economic short position to investors in the securities of such selling stockholder, or in connection with a concurrent offering of other securities.</w:t>
      </w:r>
    </w:p>
    <w:p>
      <w:pPr>
        <w:spacing w:after="0" w:line="128" w:lineRule="exact"/>
        <w:rPr>
          <w:sz w:val="20"/>
          <w:szCs w:val="20"/>
          <w:color w:val="auto"/>
        </w:rPr>
      </w:pPr>
    </w:p>
    <w:p>
      <w:pPr>
        <w:ind w:left="1260" w:right="519" w:firstLine="360"/>
        <w:spacing w:after="0" w:line="282" w:lineRule="auto"/>
        <w:rPr>
          <w:sz w:val="20"/>
          <w:szCs w:val="20"/>
          <w:color w:val="auto"/>
        </w:rPr>
      </w:pPr>
      <w:r>
        <w:rPr>
          <w:rFonts w:ascii="Times New Roman" w:cs="Times New Roman" w:eastAsia="Times New Roman" w:hAnsi="Times New Roman"/>
          <w:sz w:val="18"/>
          <w:szCs w:val="18"/>
          <w:color w:val="auto"/>
        </w:rPr>
        <w:t>Shares of common stock may also be exchanged for satisfaction of any selling stockholder’s obligations or other liabilities to its creditors. Such transactions may or may not involve brokers or dealers.</w:t>
      </w:r>
    </w:p>
    <w:p>
      <w:pPr>
        <w:spacing w:after="0" w:line="81" w:lineRule="exact"/>
        <w:rPr>
          <w:sz w:val="20"/>
          <w:szCs w:val="20"/>
          <w:color w:val="auto"/>
        </w:rPr>
      </w:pPr>
    </w:p>
    <w:p>
      <w:pPr>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In addition, a selling stockholder that is an entity may elect to make a pro rata in-kind distribution of securities to its members, partners or stockholders or purchase or redeem interests held in such entity by its members, partners or stockholders in exchange for securities, in each case pursuant to the registration statement of which this prospectus is a part by delivering a prospectus with a plan of distribution. Such members, partners or stockholders (unless our affiliate) would thereby receive freely tradeable securities</w:t>
      </w:r>
    </w:p>
    <w:p>
      <w:pPr>
        <w:sectPr>
          <w:pgSz w:w="11900" w:h="16838" w:orient="portrait"/>
          <w:cols w:equalWidth="0" w:num="1">
            <w:col w:w="9879"/>
          </w:cols>
          <w:pgMar w:left="580" w:top="97" w:right="1440" w:bottom="1440" w:gutter="0" w:footer="0" w:header="0"/>
        </w:sectPr>
      </w:pPr>
    </w:p>
    <w:p>
      <w:pPr>
        <w:spacing w:after="0" w:line="37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6" w:name="page57"/>
    <w:bookmarkEnd w:id="5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859"/>
        <w:spacing w:after="0" w:line="258" w:lineRule="auto"/>
        <w:rPr>
          <w:sz w:val="20"/>
          <w:szCs w:val="20"/>
          <w:color w:val="auto"/>
        </w:rPr>
      </w:pPr>
      <w:r>
        <w:rPr>
          <w:rFonts w:ascii="Times New Roman" w:cs="Times New Roman" w:eastAsia="Times New Roman" w:hAnsi="Times New Roman"/>
          <w:sz w:val="18"/>
          <w:szCs w:val="18"/>
          <w:color w:val="auto"/>
        </w:rPr>
        <w:t>pursuant to the distribution. To the extent a distributee is an affiliate of ours (or to the extent otherwise required by law), we may file a prospectus supplement in order to permit the distributees to use the prospectus to resell the securities acquired in the distribution.</w:t>
      </w:r>
    </w:p>
    <w:p>
      <w:pPr>
        <w:spacing w:after="0" w:line="102" w:lineRule="exact"/>
        <w:rPr>
          <w:sz w:val="20"/>
          <w:szCs w:val="20"/>
          <w:color w:val="auto"/>
        </w:rPr>
      </w:pPr>
    </w:p>
    <w:p>
      <w:pPr>
        <w:ind w:left="1260" w:right="779" w:firstLine="360"/>
        <w:spacing w:after="0" w:line="266" w:lineRule="auto"/>
        <w:rPr>
          <w:sz w:val="20"/>
          <w:szCs w:val="20"/>
          <w:color w:val="auto"/>
        </w:rPr>
      </w:pPr>
      <w:r>
        <w:rPr>
          <w:rFonts w:ascii="Times New Roman" w:cs="Times New Roman" w:eastAsia="Times New Roman" w:hAnsi="Times New Roman"/>
          <w:sz w:val="18"/>
          <w:szCs w:val="18"/>
          <w:color w:val="auto"/>
        </w:rPr>
        <w:t>If underwriters or dealers are used in the sale, the securities will be acquired by the underwriters or dealers for their own account.</w:t>
      </w:r>
    </w:p>
    <w:p>
      <w:pPr>
        <w:spacing w:after="0" w:line="9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securities may be sold from time to time by any selling stockholder in one or more transactions:</w:t>
      </w:r>
    </w:p>
    <w:p>
      <w:pPr>
        <w:spacing w:after="0" w:line="117" w:lineRule="exact"/>
        <w:rPr>
          <w:sz w:val="20"/>
          <w:szCs w:val="20"/>
          <w:color w:val="auto"/>
        </w:rPr>
      </w:pPr>
    </w:p>
    <w:p>
      <w:pPr>
        <w:ind w:left="1800" w:hanging="180"/>
        <w:spacing w:after="0"/>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price or prices, which may be changed;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such prevailing market prices;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varying prices determined at the time of sale; or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Such sales may be effected:</w:t>
      </w:r>
    </w:p>
    <w:p>
      <w:pPr>
        <w:spacing w:after="0" w:line="117" w:lineRule="exact"/>
        <w:rPr>
          <w:sz w:val="20"/>
          <w:szCs w:val="20"/>
          <w:color w:val="auto"/>
        </w:rPr>
      </w:pPr>
    </w:p>
    <w:p>
      <w:pPr>
        <w:ind w:left="1800" w:right="539" w:hanging="180"/>
        <w:spacing w:after="0" w:line="282" w:lineRule="auto"/>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transactions on any national securities exchange or quotation service on which the securities may be listed or quoted at the time of sale;</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transactions in the over-the-counter market;</w:t>
      </w:r>
    </w:p>
    <w:p>
      <w:pPr>
        <w:spacing w:after="0" w:line="103" w:lineRule="exact"/>
        <w:rPr>
          <w:rFonts w:ascii="Times New Roman" w:cs="Times New Roman" w:eastAsia="Times New Roman" w:hAnsi="Times New Roman"/>
          <w:sz w:val="18"/>
          <w:szCs w:val="18"/>
          <w:color w:val="auto"/>
        </w:rPr>
      </w:pPr>
    </w:p>
    <w:p>
      <w:pPr>
        <w:ind w:left="1800" w:right="459" w:hanging="180"/>
        <w:spacing w:after="0" w:line="266" w:lineRule="auto"/>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block transactions in which the broker or dealer so engaged will attempt to sell the securities as agent but may position and resell a portion of the block as principal to facilitate the transaction, or in crosses, in which the same broker acts as an agent on both sides of the trade;</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of options; or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other types of transactions.</w:t>
      </w:r>
    </w:p>
    <w:p>
      <w:pPr>
        <w:spacing w:after="0" w:line="158"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The securities may be offered to the public either through underwriting syndicates represented by one or more managing underwriters or directly by one or more of such firms. The obligations of underwriters or dealers to purchase the securities offered will be subject to certain conditions precedent and the underwriters or dealers will be obligated to purchase all the offered securities if any are purchased. Any public offering price and any discount or concession allowed or reallowed or paid by underwriters or dealers to other dealers may be changed from time to time.</w:t>
      </w:r>
    </w:p>
    <w:p>
      <w:pPr>
        <w:spacing w:after="0" w:line="114"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The selling stockholders might not sell any securities under this prospectus. In addition, any of the</w:t>
      </w:r>
    </w:p>
    <w:p>
      <w:pPr>
        <w:spacing w:after="0" w:line="27" w:lineRule="exact"/>
        <w:rPr>
          <w:sz w:val="20"/>
          <w:szCs w:val="20"/>
          <w:color w:val="auto"/>
        </w:rPr>
      </w:pPr>
    </w:p>
    <w:p>
      <w:pPr>
        <w:ind w:left="1260" w:right="459"/>
        <w:spacing w:after="0" w:line="245" w:lineRule="auto"/>
        <w:rPr>
          <w:sz w:val="20"/>
          <w:szCs w:val="20"/>
          <w:color w:val="auto"/>
        </w:rPr>
      </w:pPr>
      <w:r>
        <w:rPr>
          <w:rFonts w:ascii="Times New Roman" w:cs="Times New Roman" w:eastAsia="Times New Roman" w:hAnsi="Times New Roman"/>
          <w:sz w:val="18"/>
          <w:szCs w:val="18"/>
          <w:color w:val="auto"/>
        </w:rPr>
        <w:t>securities covered by this prospectus that qualify for sale pursuant to Rule 144 under the Securities Act may be sold under Rule 144 rather than pursuant to this prospectus.</w:t>
      </w:r>
    </w:p>
    <w:p>
      <w:pPr>
        <w:spacing w:after="0" w:line="113"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The securities may be sold directly by any selling stockholder or through agents designated by such selling stockholder from time to time. Any such agent will be acting on a best efforts basis for the period of its appointment.</w:t>
      </w:r>
    </w:p>
    <w:p>
      <w:pPr>
        <w:spacing w:after="0" w:line="102" w:lineRule="exact"/>
        <w:rPr>
          <w:sz w:val="20"/>
          <w:szCs w:val="20"/>
          <w:color w:val="auto"/>
        </w:rPr>
      </w:pPr>
    </w:p>
    <w:p>
      <w:pPr>
        <w:jc w:val="both"/>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Offers to purchase the securities offered by this prospectus may be solicited, and sales of the securities may be made, by any selling stockholder directly to institutional investors or others, who may be deemed to be underwriters within the meaning of the Securities Act with respect to any resale of the securities.</w:t>
      </w:r>
    </w:p>
    <w:p>
      <w:pPr>
        <w:spacing w:after="0" w:line="109"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Underwriters, dealers or agents will be authorized to solicit offers by certain institutional investors to purchase securities from any selling stockholder pursuant to contracts providing for payment and delivery at a future date. Institutional investors with which these contracts may be made include, among others:</w:t>
      </w:r>
    </w:p>
    <w:p>
      <w:pPr>
        <w:spacing w:after="0" w:line="61" w:lineRule="exact"/>
        <w:rPr>
          <w:sz w:val="20"/>
          <w:szCs w:val="20"/>
          <w:color w:val="auto"/>
        </w:rPr>
      </w:pPr>
    </w:p>
    <w:p>
      <w:pPr>
        <w:ind w:left="1800" w:hanging="180"/>
        <w:spacing w:after="0"/>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and savings banks;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funds;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companies;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educational and charitable institutions.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7" w:name="page58"/>
    <w:bookmarkEnd w:id="5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In all cases, these purchasers must be approved by the applicable selling stockholder. The obligations of any purchaser under any of these contracts will not be subject to any conditions except that (a) the purchase of the securities must not at the time of delivery be prohibited under the laws of any jurisdiction to which that purchaser is subject, and (b) if the securities are also being sold to underwriters, any selling stockholder must have sold to these underwriters the securities not subject to delayed delivery. Underwriters and other agents will not have any responsibility in respect of the validity or performance of these contracts.</w:t>
      </w:r>
    </w:p>
    <w:p>
      <w:pPr>
        <w:spacing w:after="0" w:line="120"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Some of the underwriters, dealers or agents used by any selling stockholder in any offering of securities under this prospectus may be customers of, engage in transactions with, and perform services for such selling stockholder or affiliates of such selling stockholder in the ordinary course of business. Underwriters, dealers, agents and other persons may be entitled under agreements that may be entered into with any selling stockholder to indemnification against and contribution toward certain civil liabilities, including liabilities under the Securities Act, and to be reimbursed by such selling stockholder for certain expenses.</w:t>
      </w:r>
    </w:p>
    <w:p>
      <w:pPr>
        <w:spacing w:after="0" w:line="120" w:lineRule="exact"/>
        <w:rPr>
          <w:sz w:val="20"/>
          <w:szCs w:val="20"/>
          <w:color w:val="auto"/>
        </w:rPr>
      </w:pPr>
    </w:p>
    <w:p>
      <w:pPr>
        <w:ind w:left="1260" w:right="519" w:firstLine="360"/>
        <w:spacing w:after="0" w:line="282" w:lineRule="auto"/>
        <w:rPr>
          <w:sz w:val="20"/>
          <w:szCs w:val="20"/>
          <w:color w:val="auto"/>
        </w:rPr>
      </w:pPr>
      <w:r>
        <w:rPr>
          <w:rFonts w:ascii="Times New Roman" w:cs="Times New Roman" w:eastAsia="Times New Roman" w:hAnsi="Times New Roman"/>
          <w:sz w:val="18"/>
          <w:szCs w:val="18"/>
          <w:color w:val="auto"/>
        </w:rPr>
        <w:t>Any selling stockholder may be deemed to be an “underwriter” within the meaning of Section 2(a)(11) of the Securities Act.</w:t>
      </w:r>
    </w:p>
    <w:p>
      <w:pPr>
        <w:spacing w:after="0" w:line="81" w:lineRule="exact"/>
        <w:rPr>
          <w:sz w:val="20"/>
          <w:szCs w:val="20"/>
          <w:color w:val="auto"/>
        </w:rPr>
      </w:pPr>
    </w:p>
    <w:p>
      <w:pPr>
        <w:ind w:left="1260" w:right="959" w:firstLine="360"/>
        <w:spacing w:after="0" w:line="282" w:lineRule="auto"/>
        <w:rPr>
          <w:sz w:val="20"/>
          <w:szCs w:val="20"/>
          <w:color w:val="auto"/>
        </w:rPr>
      </w:pPr>
      <w:r>
        <w:rPr>
          <w:rFonts w:ascii="Times New Roman" w:cs="Times New Roman" w:eastAsia="Times New Roman" w:hAnsi="Times New Roman"/>
          <w:sz w:val="18"/>
          <w:szCs w:val="18"/>
          <w:color w:val="auto"/>
        </w:rPr>
        <w:t>Any securities initially sold outside the United States may be resold in the United States through underwriters, dealers or otherwise.</w:t>
      </w:r>
    </w:p>
    <w:p>
      <w:pPr>
        <w:spacing w:after="0" w:line="94"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Any underwriters to which offered securities are sold by any selling stockholder for public offering and sale may make a market in such securities, but those underwriters will not be obligated to do so and may discontinue any market making at any time.</w:t>
      </w:r>
    </w:p>
    <w:p>
      <w:pPr>
        <w:spacing w:after="0" w:line="108" w:lineRule="exact"/>
        <w:rPr>
          <w:sz w:val="20"/>
          <w:szCs w:val="20"/>
          <w:color w:val="auto"/>
        </w:rPr>
      </w:pPr>
    </w:p>
    <w:p>
      <w:pPr>
        <w:ind w:left="1260" w:right="799" w:firstLine="360"/>
        <w:spacing w:after="0" w:line="282" w:lineRule="auto"/>
        <w:rPr>
          <w:sz w:val="20"/>
          <w:szCs w:val="20"/>
          <w:color w:val="auto"/>
        </w:rPr>
      </w:pPr>
      <w:r>
        <w:rPr>
          <w:rFonts w:ascii="Times New Roman" w:cs="Times New Roman" w:eastAsia="Times New Roman" w:hAnsi="Times New Roman"/>
          <w:sz w:val="18"/>
          <w:szCs w:val="18"/>
          <w:color w:val="auto"/>
        </w:rPr>
        <w:t>The anticipated date of delivery of the securities offered by this prospectus will be described in the applicable prospectus supplement relating to the offering.</w:t>
      </w:r>
    </w:p>
    <w:p>
      <w:pPr>
        <w:spacing w:after="0" w:line="81"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color w:val="auto"/>
        </w:rPr>
        <w:t>If underwriters or dealers are used in the sale of securities, until the distribution of the securities is completed, rules of the SEC may limit the ability of any underwriters to bid for and purchase our securities. As an exception to these rules, representatives of any underwriters are permitted to engage in transactions that stabilize the price of our securities. These transactions may consist of bids or purchases for the purpose of pegging, fixing or maintaining the price of such securities. If the underwriters create a short position in our securities in connection with an offering (that is, if they sell more securities than are set forth on the cover page of this prospectus) the representatives of the underwriters may reduce that short position by purchasing such securities in the open market. We make no representation or prediction as to the direction or magnitude of any effect that the transactions described above may have on the price of our securities. In addition, we make no representation that the representatives of any underwriters will engage in these transactions or that these transactions, once commenced, will not be discontinued without notice.</w:t>
      </w:r>
    </w:p>
    <w:p>
      <w:pPr>
        <w:spacing w:after="0" w:line="124" w:lineRule="exact"/>
        <w:rPr>
          <w:sz w:val="20"/>
          <w:szCs w:val="20"/>
          <w:color w:val="auto"/>
        </w:rPr>
      </w:pPr>
    </w:p>
    <w:p>
      <w:pPr>
        <w:ind w:left="1260" w:right="679" w:firstLine="360"/>
        <w:spacing w:after="0" w:line="261" w:lineRule="auto"/>
        <w:rPr>
          <w:sz w:val="20"/>
          <w:szCs w:val="20"/>
          <w:color w:val="auto"/>
        </w:rPr>
      </w:pPr>
      <w:r>
        <w:rPr>
          <w:rFonts w:ascii="Times New Roman" w:cs="Times New Roman" w:eastAsia="Times New Roman" w:hAnsi="Times New Roman"/>
          <w:sz w:val="18"/>
          <w:szCs w:val="18"/>
          <w:color w:val="auto"/>
        </w:rPr>
        <w:t>Pursuant to a requirement by the Financial Industry Regulatory Authority (“FINRA”), the maximum commission or discount to be received by any FINRA member or independent broker-dealer may not be greater than 8% of the proceeds received by any selling stockholder for the sale of any securities being offered by this prospectus.</w:t>
      </w:r>
    </w:p>
    <w:p>
      <w:pPr>
        <w:spacing w:after="0" w:line="112"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To comply with the securities laws of some states, if applicable, the securities may be sold in these jurisdictions only through registered or licensed brokers or dealers. In addition, in some states the securities may not be sold unless they have been registered or qualified for sale or an exemption from registration or qualification requirements is available and is complied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8" w:name="page59"/>
    <w:bookmarkEnd w:id="5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62" w:lineRule="exact"/>
        <w:rPr>
          <w:sz w:val="20"/>
          <w:szCs w:val="20"/>
          <w:color w:val="auto"/>
        </w:rPr>
      </w:pPr>
    </w:p>
    <w:p>
      <w:pPr>
        <w:ind w:left="1260" w:right="899" w:firstLine="360"/>
        <w:spacing w:after="0" w:line="282" w:lineRule="auto"/>
        <w:rPr>
          <w:sz w:val="20"/>
          <w:szCs w:val="20"/>
          <w:color w:val="auto"/>
        </w:rPr>
      </w:pPr>
      <w:r>
        <w:rPr>
          <w:rFonts w:ascii="Times New Roman" w:cs="Times New Roman" w:eastAsia="Times New Roman" w:hAnsi="Times New Roman"/>
          <w:sz w:val="18"/>
          <w:szCs w:val="18"/>
          <w:color w:val="auto"/>
        </w:rPr>
        <w:t>Certain legal matters in connection with the offered securities will be passed upon for us by Paul, Weiss, Rifkind, Wharton &amp; Garrison LLP, New York,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9" w:name="page60"/>
    <w:bookmarkEnd w:id="5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62"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Sun Country Airlines Holdings, Inc. as of December 31, 2021 and 2020, and for each of the years in the three-year period ended December 31, 2021, have been incorporated by reference herein and in the registration statement in reliance upon the report of KPMG LLP, independent registered public accounting firm, incorporated by reference herein, and upon the authority of said firm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0" w:name="page61"/>
    <w:bookmarkEnd w:id="6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84" w:lineRule="exact"/>
        <w:rPr>
          <w:sz w:val="20"/>
          <w:szCs w:val="20"/>
          <w:color w:val="auto"/>
        </w:rPr>
      </w:pPr>
    </w:p>
    <w:p>
      <w:pPr>
        <w:ind w:left="1260"/>
        <w:spacing w:after="0"/>
        <w:rPr>
          <w:sz w:val="20"/>
          <w:szCs w:val="20"/>
          <w:color w:val="auto"/>
        </w:rPr>
      </w:pPr>
      <w:r>
        <w:rPr>
          <w:rFonts w:ascii="Arial" w:cs="Arial" w:eastAsia="Arial" w:hAnsi="Arial"/>
          <w:sz w:val="4"/>
          <w:szCs w:val="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-5715</wp:posOffset>
            </wp:positionV>
            <wp:extent cx="521208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2">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45085</wp:posOffset>
            </wp:positionV>
            <wp:extent cx="52120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3">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5"/>
          <w:szCs w:val="25"/>
          <w:b w:val="1"/>
          <w:bCs w:val="1"/>
          <w:color w:val="auto"/>
        </w:rPr>
        <w:t>4,000,000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2308860</wp:posOffset>
            </wp:positionH>
            <wp:positionV relativeFrom="paragraph">
              <wp:posOffset>435610</wp:posOffset>
            </wp:positionV>
            <wp:extent cx="2202815" cy="2743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4">
                      <a:extLst>
                        <a:ext uri="{28A0092B-C50C-407E-A947-70E740481C1C}"/>
                      </a:extLst>
                    </a:blip>
                    <a:srcRect/>
                    <a:stretch>
                      <a:fillRect/>
                    </a:stretch>
                  </pic:blipFill>
                  <pic:spPr bwMode="auto">
                    <a:xfrm>
                      <a:off x="0" y="0"/>
                      <a:ext cx="2202815"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27"/>
          <w:szCs w:val="27"/>
          <w:b w:val="1"/>
          <w:bCs w:val="1"/>
          <w:color w:val="auto"/>
        </w:rPr>
        <w:t>Sun Country Airlines Holdings, Inc.</w:t>
      </w:r>
    </w:p>
    <w:p>
      <w:pPr>
        <w:spacing w:after="0" w:line="360"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1430020</wp:posOffset>
            </wp:positionV>
            <wp:extent cx="123444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5">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184785</wp:posOffset>
            </wp:positionV>
            <wp:extent cx="123444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6">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December 11,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440055</wp:posOffset>
            </wp:positionV>
            <wp:extent cx="52120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7">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260"/>
        <w:spacing w:after="0"/>
        <w:rPr>
          <w:sz w:val="20"/>
          <w:szCs w:val="20"/>
          <w:color w:val="auto"/>
        </w:rPr>
      </w:pPr>
      <w:r>
        <w:rPr>
          <w:rFonts w:ascii="Arial" w:cs="Arial" w:eastAsia="Arial" w:hAnsi="Arial"/>
          <w:sz w:val="4"/>
          <w:szCs w:val="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2540</wp:posOffset>
            </wp:positionV>
            <wp:extent cx="521208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8">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255270</wp:posOffset>
            </wp:positionV>
            <wp:extent cx="68319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1" w:name="page62"/>
    <w:bookmarkEnd w:id="61"/>
    <w:p>
      <w:pPr>
        <w:ind w:left="10360"/>
        <w:spacing w:after="0"/>
        <w:rPr>
          <w:sz w:val="20"/>
          <w:szCs w:val="20"/>
          <w:color w:val="auto"/>
        </w:rPr>
      </w:pPr>
      <w:r>
        <w:rPr>
          <w:rFonts w:ascii="Times New Roman" w:cs="Times New Roman" w:eastAsia="Times New Roman" w:hAnsi="Times New Roman"/>
          <w:sz w:val="17"/>
          <w:szCs w:val="17"/>
          <w:b w:val="1"/>
          <w:bCs w:val="1"/>
          <w:color w:val="auto"/>
        </w:rPr>
        <w:t>Exhibit 107</w:t>
      </w:r>
    </w:p>
    <w:p>
      <w:pPr>
        <w:spacing w:after="0" w:line="24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prospectus to which this Exhibit 107 is attached is a final prospectus for the related offering. The maximum aggregate amount of securities to which the prospectus relates is 4,600,000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
      <w:numFmt w:val="bullet"/>
      <w:start w:val="1"/>
    </w:lvl>
  </w:abstractNum>
  <w:abstractNum w:abstractNumId="4">
    <w:nsid w:val="2443A858"/>
    <w:multiLevelType w:val="hybridMultilevel"/>
    <w:lvl w:ilvl="0">
      <w:lvlJc w:val="left"/>
      <w:lvlText w:val="(%1)"/>
      <w:numFmt w:val="decimal"/>
      <w:start w:val="1"/>
    </w:lvl>
    <w:lvl w:ilvl="1">
      <w:lvlJc w:val="left"/>
      <w:lvlText w:val="•"/>
      <w:numFmt w:val="bullet"/>
      <w:start w:val="1"/>
    </w:lvl>
  </w:abstractNum>
  <w:abstractNum w:abstractNumId="5">
    <w:nsid w:val="2D1D5AE9"/>
    <w:multiLevelType w:val="hybridMultilevel"/>
    <w:lvl w:ilvl="0">
      <w:lvlJc w:val="left"/>
      <w:lvlText w:val="•"/>
      <w:numFmt w:val="bullet"/>
      <w:start w:val="1"/>
    </w:lvl>
  </w:abstractNum>
  <w:abstractNum w:abstractNumId="6">
    <w:nsid w:val="6763845E"/>
    <w:multiLevelType w:val="hybridMultilevel"/>
    <w:lvl w:ilvl="0">
      <w:lvlJc w:val="left"/>
      <w:lvlText w:val="§"/>
      <w:numFmt w:val="bullet"/>
      <w:start w:val="1"/>
    </w:lvl>
  </w:abstractNum>
  <w:abstractNum w:abstractNumId="7">
    <w:nsid w:val="75A2A8D4"/>
    <w:multiLevelType w:val="hybridMultilevel"/>
    <w:lvl w:ilvl="0">
      <w:lvlJc w:val="left"/>
      <w:lvlText w:val="•"/>
      <w:numFmt w:val="bullet"/>
      <w:start w:val="1"/>
    </w:lvl>
  </w:abstractNum>
  <w:abstractNum w:abstractNumId="8">
    <w:nsid w:val="8EDBDAB"/>
    <w:multiLevelType w:val="hybridMultilevel"/>
    <w:lvl w:ilvl="0">
      <w:lvlJc w:val="left"/>
      <w:lvlText w:val="(%1)"/>
      <w:numFmt w:val="lowerRoman"/>
      <w:start w:val="3"/>
    </w:lvl>
  </w:abstractNum>
  <w:abstractNum w:abstractNumId="9">
    <w:nsid w:val="79838CB2"/>
    <w:multiLevelType w:val="hybridMultilevel"/>
    <w:lvl w:ilvl="0">
      <w:lvlJc w:val="left"/>
      <w:lvlText w:val="(%1)"/>
      <w:numFmt w:val="decimal"/>
      <w:start w:val="1"/>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
      <w:numFmt w:val="bullet"/>
      <w:start w:val="1"/>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1)"/>
      <w:numFmt w:val="lowerRoman"/>
      <w:start w:val="1"/>
    </w:lvl>
  </w:abstractNum>
  <w:abstractNum w:abstractNumId="14">
    <w:nsid w:val="71F32454"/>
    <w:multiLevelType w:val="hybridMultilevel"/>
    <w:lvl w:ilvl="0">
      <w:lvlJc w:val="left"/>
      <w:lvlText w:val="(%1)"/>
      <w:numFmt w:val="lowerRoman"/>
      <w:start w:val="3"/>
    </w:lvl>
  </w:abstractNum>
  <w:abstractNum w:abstractNumId="15">
    <w:nsid w:val="2CA88611"/>
    <w:multiLevelType w:val="hybridMultilevel"/>
    <w:lvl w:ilvl="0">
      <w:lvlJc w:val="left"/>
      <w:lvlText w:val="(%1)"/>
      <w:numFmt w:val="lowerRoman"/>
      <w:start w:val="8"/>
    </w:lvl>
  </w:abstractNum>
  <w:abstractNum w:abstractNumId="16">
    <w:nsid w:val="836C40E"/>
    <w:multiLevelType w:val="hybridMultilevel"/>
    <w:lvl w:ilvl="0">
      <w:lvlJc w:val="left"/>
      <w:lvlText w:val="•"/>
      <w:numFmt w:val="bullet"/>
      <w:start w:val="1"/>
    </w:lvl>
  </w:abstractNum>
  <w:abstractNum w:abstractNumId="17">
    <w:nsid w:val="2901D82"/>
    <w:multiLevelType w:val="hybridMultilevel"/>
    <w:lvl w:ilvl="0">
      <w:lvlJc w:val="left"/>
      <w:lvlText w:val="•"/>
      <w:numFmt w:val="bullet"/>
      <w:start w:val="1"/>
    </w:lvl>
  </w:abstractNum>
  <w:abstractNum w:abstractNumId="18">
    <w:nsid w:val="3A95F874"/>
    <w:multiLevelType w:val="hybridMultilevel"/>
    <w:lvl w:ilvl="0">
      <w:lvlJc w:val="left"/>
      <w:lvlText w:val="•"/>
      <w:numFmt w:val="bullet"/>
      <w:start w:val="1"/>
    </w:lvl>
  </w:abstractNum>
  <w:abstractNum w:abstractNumId="19">
    <w:nsid w:val="8138641"/>
    <w:multiLevelType w:val="hybridMultilevel"/>
    <w:lvl w:ilvl="0">
      <w:lvlJc w:val="left"/>
      <w:lvlText w:val="•"/>
      <w:numFmt w:val="bullet"/>
      <w:start w:val="1"/>
    </w:lvl>
  </w:abstractNum>
  <w:abstractNum w:abstractNumId="20">
    <w:nsid w:val="1E7FF521"/>
    <w:multiLevelType w:val="hybridMultilevel"/>
    <w:lvl w:ilvl="0">
      <w:lvlJc w:val="left"/>
      <w:lvlText w:val="(%1)"/>
      <w:numFmt w:val="decimal"/>
      <w:start w:val="2"/>
    </w:lvl>
  </w:abstractNum>
  <w:abstractNum w:abstractNumId="21">
    <w:nsid w:val="7C3DBD3D"/>
    <w:multiLevelType w:val="hybridMultilevel"/>
    <w:lvl w:ilvl="0">
      <w:lvlJc w:val="left"/>
      <w:lvlText w:val="•"/>
      <w:numFmt w:val="bullet"/>
      <w:start w:val="1"/>
    </w:lvl>
  </w:abstractNum>
  <w:abstractNum w:abstractNumId="22">
    <w:nsid w:val="737B8DDC"/>
    <w:multiLevelType w:val="hybridMultilevel"/>
    <w:lvl w:ilvl="0">
      <w:lvlJc w:val="left"/>
      <w:lvlText w:val="•"/>
      <w:numFmt w:val="bullet"/>
      <w:start w:val="1"/>
    </w:lvl>
  </w:abstractNum>
  <w:abstractNum w:abstractNumId="23">
    <w:nsid w:val="6CEAF087"/>
    <w:multiLevelType w:val="hybridMultilevel"/>
    <w:lvl w:ilvl="0">
      <w:lvlJc w:val="left"/>
      <w:lvlText w:val="•"/>
      <w:numFmt w:val="bullet"/>
      <w:start w:val="1"/>
    </w:lvl>
  </w:abstractNum>
  <w:abstractNum w:abstractNumId="24">
    <w:nsid w:val="22221A70"/>
    <w:multiLevelType w:val="hybridMultilevel"/>
    <w:lvl w:ilvl="0">
      <w:lvlJc w:val="left"/>
      <w:lvlText w:val="•"/>
      <w:numFmt w:val="bullet"/>
      <w:start w:val="1"/>
    </w:lvl>
  </w:abstractNum>
  <w:abstractNum w:abstractNumId="25">
    <w:nsid w:val="4516DDE9"/>
    <w:multiLevelType w:val="hybridMultilevel"/>
    <w:lvl w:ilvl="0">
      <w:lvlJc w:val="left"/>
      <w:lvlText w:val="(%1)"/>
      <w:numFmt w:val="decimal"/>
      <w:start w:val="1"/>
    </w:lvl>
  </w:abstractNum>
  <w:abstractNum w:abstractNumId="26">
    <w:nsid w:val="3006C83E"/>
    <w:multiLevelType w:val="hybridMultilevel"/>
    <w:lvl w:ilvl="0">
      <w:lvlJc w:val="left"/>
      <w:lvlText w:val="•"/>
      <w:numFmt w:val="bullet"/>
      <w:start w:val="1"/>
    </w:lvl>
    <w:lvl w:ilvl="1">
      <w:lvlJc w:val="left"/>
      <w:lvlText w:val="(%2)"/>
      <w:numFmt w:val="lowerRoman"/>
      <w:start w:val="3"/>
    </w:lvl>
  </w:abstractNum>
  <w:abstractNum w:abstractNumId="27">
    <w:nsid w:val="614FD4A1"/>
    <w:multiLevelType w:val="hybridMultilevel"/>
    <w:lvl w:ilvl="0">
      <w:lvlJc w:val="left"/>
      <w:lvlText w:val="•"/>
      <w:numFmt w:val="bullet"/>
      <w:start w:val="1"/>
    </w:lvl>
  </w:abstractNum>
  <w:abstractNum w:abstractNumId="28">
    <w:nsid w:val="419AC241"/>
    <w:multiLevelType w:val="hybridMultilevel"/>
    <w:lvl w:ilvl="0">
      <w:lvlJc w:val="left"/>
      <w:lvlText w:val="•"/>
      <w:numFmt w:val="bullet"/>
      <w:start w:val="1"/>
    </w:lvl>
  </w:abstractNum>
  <w:abstractNum w:abstractNumId="29">
    <w:nsid w:val="5577F8E1"/>
    <w:multiLevelType w:val="hybridMultilevel"/>
    <w:lvl w:ilvl="0">
      <w:lvlJc w:val="left"/>
      <w:lvlText w:val="•"/>
      <w:numFmt w:val="bullet"/>
      <w:start w:val="1"/>
    </w:lvl>
  </w:abstractNum>
  <w:abstractNum w:abstractNumId="30">
    <w:nsid w:val="440BADFC"/>
    <w:multiLevelType w:val="hybridMultilevel"/>
    <w:lvl w:ilvl="0">
      <w:lvlJc w:val="left"/>
      <w:lvlText w:val="•"/>
      <w:numFmt w:val="bullet"/>
      <w:start w:val="1"/>
    </w:lvl>
  </w:abstractNum>
  <w:abstractNum w:abstractNumId="31">
    <w:nsid w:val="5072367"/>
    <w:multiLevelType w:val="hybridMultilevel"/>
    <w:lvl w:ilvl="0">
      <w:lvlJc w:val="left"/>
      <w:lvlText w:val="(%1)"/>
      <w:numFmt w:val="upperLetter"/>
      <w:start w:val="2"/>
    </w:lvl>
  </w:abstractNum>
  <w:abstractNum w:abstractNumId="32">
    <w:nsid w:val="3804823E"/>
    <w:multiLevelType w:val="hybridMultilevel"/>
    <w:lvl w:ilvl="0">
      <w:lvlJc w:val="left"/>
      <w:lvlText w:val="•"/>
      <w:numFmt w:val="bullet"/>
      <w:start w:val="1"/>
    </w:lvl>
  </w:abstractNum>
  <w:abstractNum w:abstractNumId="33">
    <w:nsid w:val="77465F01"/>
    <w:multiLevelType w:val="hybridMultilevel"/>
    <w:lvl w:ilvl="0">
      <w:lvlJc w:val="left"/>
      <w:lvlText w:val="•"/>
      <w:numFmt w:val="bullet"/>
      <w:start w:val="1"/>
    </w:lvl>
  </w:abstractNum>
  <w:abstractNum w:abstractNumId="34">
    <w:nsid w:val="7724C67E"/>
    <w:multiLevelType w:val="hybridMultilevel"/>
    <w:lvl w:ilvl="0">
      <w:lvlJc w:val="left"/>
      <w:lvlText w:val="•"/>
      <w:numFmt w:val="bullet"/>
      <w:start w:val="1"/>
    </w:lvl>
  </w:abstractNum>
  <w:abstractNum w:abstractNumId="35">
    <w:nsid w:val="5C482A97"/>
    <w:multiLevelType w:val="hybridMultilevel"/>
    <w:lvl w:ilvl="0">
      <w:lvlJc w:val="left"/>
      <w:lvlText w:val="•"/>
      <w:numFmt w:val="bullet"/>
      <w:start w:val="1"/>
    </w:lvl>
  </w:abstractNum>
  <w:abstractNum w:abstractNumId="36">
    <w:nsid w:val="2463B9EA"/>
    <w:multiLevelType w:val="hybridMultilevel"/>
    <w:lvl w:ilvl="0">
      <w:lvlJc w:val="left"/>
      <w:lvlText w:val="•"/>
      <w:numFmt w:val="bullet"/>
      <w:start w:val="1"/>
    </w:lvl>
  </w:abstractNum>
  <w:abstractNum w:abstractNumId="37">
    <w:nsid w:val="5E884ADC"/>
    <w:multiLevelType w:val="hybridMultilevel"/>
    <w:lvl w:ilvl="0">
      <w:lvlJc w:val="left"/>
      <w:lvlText w:val="•"/>
      <w:numFmt w:val="bullet"/>
      <w:start w:val="1"/>
    </w:lvl>
  </w:abstractNum>
  <w:abstractNum w:abstractNumId="38">
    <w:nsid w:val="51EAD36B"/>
    <w:multiLevelType w:val="hybridMultilevel"/>
    <w:lvl w:ilvl="0">
      <w:lvlJc w:val="left"/>
      <w:lvlText w:val="•"/>
      <w:numFmt w:val="bullet"/>
      <w:start w:val="1"/>
    </w:lvl>
  </w:abstractNum>
  <w:abstractNum w:abstractNumId="39">
    <w:nsid w:val="2D51779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30" Type="http://schemas.openxmlformats.org/officeDocument/2006/relationships/image" Target="media/image20.png"/><Relationship Id="rId43" Type="http://schemas.openxmlformats.org/officeDocument/2006/relationships/image" Target="media/image21.png"/><Relationship Id="rId44" Type="http://schemas.openxmlformats.org/officeDocument/2006/relationships/image" Target="media/image22.png"/><Relationship Id="rId45" Type="http://schemas.openxmlformats.org/officeDocument/2006/relationships/image" Target="media/image23.png"/><Relationship Id="rId46" Type="http://schemas.openxmlformats.org/officeDocument/2006/relationships/image" Target="media/image24.png"/><Relationship Id="rId47" Type="http://schemas.openxmlformats.org/officeDocument/2006/relationships/image" Target="media/image25.png"/><Relationship Id="rId48" Type="http://schemas.openxmlformats.org/officeDocument/2006/relationships/image" Target="media/image26.png"/><Relationship Id="rId49" Type="http://schemas.openxmlformats.org/officeDocument/2006/relationships/image" Target="media/image27.png"/><Relationship Id="rId50" Type="http://schemas.openxmlformats.org/officeDocument/2006/relationships/image" Target="media/image28.png"/><Relationship Id="rId51" Type="http://schemas.openxmlformats.org/officeDocument/2006/relationships/image" Target="media/image29.png"/><Relationship Id="rId52" Type="http://schemas.openxmlformats.org/officeDocument/2006/relationships/image" Target="media/image30.png"/><Relationship Id="rId53" Type="http://schemas.openxmlformats.org/officeDocument/2006/relationships/image" Target="media/image31.png"/><Relationship Id="rId54" Type="http://schemas.openxmlformats.org/officeDocument/2006/relationships/image" Target="media/image32.png"/><Relationship Id="rId55" Type="http://schemas.openxmlformats.org/officeDocument/2006/relationships/image" Target="media/image33.png"/><Relationship Id="rId56" Type="http://schemas.openxmlformats.org/officeDocument/2006/relationships/image" Target="media/image34.png"/><Relationship Id="rId57" Type="http://schemas.openxmlformats.org/officeDocument/2006/relationships/image" Target="media/image35.png"/><Relationship Id="rId58" Type="http://schemas.openxmlformats.org/officeDocument/2006/relationships/image" Target="media/image36.png"/><Relationship Id="rId59" Type="http://schemas.openxmlformats.org/officeDocument/2006/relationships/image" Target="media/image37.png"/><Relationship Id="rId60" Type="http://schemas.openxmlformats.org/officeDocument/2006/relationships/image" Target="media/image38.png"/><Relationship Id="rId61" Type="http://schemas.openxmlformats.org/officeDocument/2006/relationships/image" Target="media/image39.png"/><Relationship Id="rId62" Type="http://schemas.openxmlformats.org/officeDocument/2006/relationships/image" Target="media/image40.png"/><Relationship Id="rId63" Type="http://schemas.openxmlformats.org/officeDocument/2006/relationships/image" Target="media/image41.png"/><Relationship Id="rId64" Type="http://schemas.openxmlformats.org/officeDocument/2006/relationships/image" Target="media/image42.png"/><Relationship Id="rId65" Type="http://schemas.openxmlformats.org/officeDocument/2006/relationships/image" Target="media/image43.png"/><Relationship Id="rId66" Type="http://schemas.openxmlformats.org/officeDocument/2006/relationships/image" Target="media/image44.png"/><Relationship Id="rId67" Type="http://schemas.openxmlformats.org/officeDocument/2006/relationships/image" Target="media/image45.png"/><Relationship Id="rId68" Type="http://schemas.openxmlformats.org/officeDocument/2006/relationships/image" Target="media/image46.png"/><Relationship Id="rId69" Type="http://schemas.openxmlformats.org/officeDocument/2006/relationships/image" Target="media/image47.png"/><Relationship Id="rId70" Type="http://schemas.openxmlformats.org/officeDocument/2006/relationships/image" Target="media/image48.png"/><Relationship Id="rId71" Type="http://schemas.openxmlformats.org/officeDocument/2006/relationships/image" Target="media/image49.png"/><Relationship Id="rId72" Type="http://schemas.openxmlformats.org/officeDocument/2006/relationships/image" Target="media/image50.png"/><Relationship Id="rId73" Type="http://schemas.openxmlformats.org/officeDocument/2006/relationships/image" Target="media/image51.png"/><Relationship Id="rId74" Type="http://schemas.openxmlformats.org/officeDocument/2006/relationships/image" Target="media/image52.png"/><Relationship Id="rId75" Type="http://schemas.openxmlformats.org/officeDocument/2006/relationships/image" Target="media/image53.png"/><Relationship Id="rId76" Type="http://schemas.openxmlformats.org/officeDocument/2006/relationships/image" Target="media/image54.png"/><Relationship Id="rId77" Type="http://schemas.openxmlformats.org/officeDocument/2006/relationships/image" Target="media/image55.png"/><Relationship Id="rId78" Type="http://schemas.openxmlformats.org/officeDocument/2006/relationships/image" Target="media/image56.png"/><Relationship Id="rId79" Type="http://schemas.openxmlformats.org/officeDocument/2006/relationships/image" Target="media/image57.png"/><Relationship Id="rId80" Type="http://schemas.openxmlformats.org/officeDocument/2006/relationships/image" Target="media/image58.png"/><Relationship Id="rId81" Type="http://schemas.openxmlformats.org/officeDocument/2006/relationships/image" Target="media/image59.png"/><Relationship Id="rId82" Type="http://schemas.openxmlformats.org/officeDocument/2006/relationships/image" Target="media/image60.png"/><Relationship Id="rId83" Type="http://schemas.openxmlformats.org/officeDocument/2006/relationships/image" Target="media/image61.png"/><Relationship Id="rId84" Type="http://schemas.openxmlformats.org/officeDocument/2006/relationships/image" Target="media/image62.png"/><Relationship Id="rId85" Type="http://schemas.openxmlformats.org/officeDocument/2006/relationships/image" Target="media/image63.png"/><Relationship Id="rId86" Type="http://schemas.openxmlformats.org/officeDocument/2006/relationships/image" Target="media/image64.png"/><Relationship Id="rId87" Type="http://schemas.openxmlformats.org/officeDocument/2006/relationships/image" Target="media/image65.png"/><Relationship Id="rId88" Type="http://schemas.openxmlformats.org/officeDocument/2006/relationships/image" Target="media/image66.jpeg"/><Relationship Id="rId89" Type="http://schemas.openxmlformats.org/officeDocument/2006/relationships/image" Target="media/image67.png"/><Relationship Id="rId90" Type="http://schemas.openxmlformats.org/officeDocument/2006/relationships/image" Target="media/image68.png"/><Relationship Id="rId91" Type="http://schemas.openxmlformats.org/officeDocument/2006/relationships/image" Target="media/image69.png"/><Relationship Id="rId92" Type="http://schemas.openxmlformats.org/officeDocument/2006/relationships/image" Target="media/image70.png"/><Relationship Id="rId93" Type="http://schemas.openxmlformats.org/officeDocument/2006/relationships/image" Target="media/image71.png"/><Relationship Id="rId94" Type="http://schemas.openxmlformats.org/officeDocument/2006/relationships/image" Target="media/image72.png"/><Relationship Id="rId95" Type="http://schemas.openxmlformats.org/officeDocument/2006/relationships/image" Target="media/image73.png"/><Relationship Id="rId96" Type="http://schemas.openxmlformats.org/officeDocument/2006/relationships/image" Target="media/image74.png"/><Relationship Id="rId97" Type="http://schemas.openxmlformats.org/officeDocument/2006/relationships/image" Target="media/image75.png"/><Relationship Id="rId98" Type="http://schemas.openxmlformats.org/officeDocument/2006/relationships/image" Target="media/image76.png"/><Relationship Id="rId99" Type="http://schemas.openxmlformats.org/officeDocument/2006/relationships/image" Target="media/image77.png"/><Relationship Id="rId115" Type="http://schemas.openxmlformats.org/officeDocument/2006/relationships/image" Target="media/image78.png"/><Relationship Id="rId116" Type="http://schemas.openxmlformats.org/officeDocument/2006/relationships/image" Target="media/image79.png"/><Relationship Id="rId117" Type="http://schemas.openxmlformats.org/officeDocument/2006/relationships/image" Target="media/image80.png"/><Relationship Id="rId118" Type="http://schemas.openxmlformats.org/officeDocument/2006/relationships/image" Target="media/image81.png"/><Relationship Id="rId119" Type="http://schemas.openxmlformats.org/officeDocument/2006/relationships/image" Target="media/image82.png"/><Relationship Id="rId120" Type="http://schemas.openxmlformats.org/officeDocument/2006/relationships/image" Target="media/image83.png"/><Relationship Id="rId121" Type="http://schemas.openxmlformats.org/officeDocument/2006/relationships/image" Target="media/image84.png"/><Relationship Id="rId122" Type="http://schemas.openxmlformats.org/officeDocument/2006/relationships/image" Target="media/image85.png"/><Relationship Id="rId123" Type="http://schemas.openxmlformats.org/officeDocument/2006/relationships/image" Target="media/image86.png"/><Relationship Id="rId124" Type="http://schemas.openxmlformats.org/officeDocument/2006/relationships/image" Target="media/image87.png"/><Relationship Id="rId125" Type="http://schemas.openxmlformats.org/officeDocument/2006/relationships/image" Target="media/image88.png"/><Relationship Id="rId126" Type="http://schemas.openxmlformats.org/officeDocument/2006/relationships/image" Target="media/image89.png"/><Relationship Id="rId127" Type="http://schemas.openxmlformats.org/officeDocument/2006/relationships/image" Target="media/image90.png"/><Relationship Id="rId128" Type="http://schemas.openxmlformats.org/officeDocument/2006/relationships/image" Target="media/image91.png"/><Relationship Id="rId129" Type="http://schemas.openxmlformats.org/officeDocument/2006/relationships/image" Target="media/image92.png"/><Relationship Id="rId130" Type="http://schemas.openxmlformats.org/officeDocument/2006/relationships/image" Target="media/image93.png"/><Relationship Id="rId131" Type="http://schemas.openxmlformats.org/officeDocument/2006/relationships/image" Target="media/image94.png"/><Relationship Id="rId132" Type="http://schemas.openxmlformats.org/officeDocument/2006/relationships/image" Target="media/image95.png"/><Relationship Id="rId133" Type="http://schemas.openxmlformats.org/officeDocument/2006/relationships/image" Target="media/image96.png"/><Relationship Id="rId134" Type="http://schemas.openxmlformats.org/officeDocument/2006/relationships/image" Target="media/image97.png"/><Relationship Id="rId135" Type="http://schemas.openxmlformats.org/officeDocument/2006/relationships/image" Target="media/image98.png"/><Relationship Id="rId136" Type="http://schemas.openxmlformats.org/officeDocument/2006/relationships/image" Target="media/image99.png"/><Relationship Id="rId137" Type="http://schemas.openxmlformats.org/officeDocument/2006/relationships/image" Target="media/image100.png"/><Relationship Id="rId138" Type="http://schemas.openxmlformats.org/officeDocument/2006/relationships/image" Target="media/image101.png"/><Relationship Id="rId139" Type="http://schemas.openxmlformats.org/officeDocument/2006/relationships/image" Target="media/image102.png"/><Relationship Id="rId140" Type="http://schemas.openxmlformats.org/officeDocument/2006/relationships/image" Target="media/image103.png"/><Relationship Id="rId141" Type="http://schemas.openxmlformats.org/officeDocument/2006/relationships/image" Target="media/image104.png"/><Relationship Id="rId142" Type="http://schemas.openxmlformats.org/officeDocument/2006/relationships/image" Target="media/image105.png"/><Relationship Id="rId143" Type="http://schemas.openxmlformats.org/officeDocument/2006/relationships/image" Target="media/image106.png"/><Relationship Id="rId144" Type="http://schemas.openxmlformats.org/officeDocument/2006/relationships/image" Target="media/image107.jpeg"/><Relationship Id="rId145" Type="http://schemas.openxmlformats.org/officeDocument/2006/relationships/image" Target="media/image108.png"/><Relationship Id="rId146" Type="http://schemas.openxmlformats.org/officeDocument/2006/relationships/image" Target="media/image109.png"/><Relationship Id="rId147" Type="http://schemas.openxmlformats.org/officeDocument/2006/relationships/image" Target="media/image110.png"/><Relationship Id="rId148" Type="http://schemas.openxmlformats.org/officeDocument/2006/relationships/image" Target="media/image111.png"/><Relationship Id="rId149" Type="http://schemas.openxmlformats.org/officeDocument/2006/relationships/image" Target="media/image112.png"/><Relationship Id="rId150" Type="http://schemas.openxmlformats.org/officeDocument/2006/relationships/image" Target="media/image113.png"/><Relationship Id="rId27" Type="http://schemas.openxmlformats.org/officeDocument/2006/relationships/hyperlink" Target="https://www.sec.gov/ix?doc=/Archives/edgar/data/1743907/000174390723000009/sncy-20221231.htm" TargetMode="External"/><Relationship Id="rId28" Type="http://schemas.openxmlformats.org/officeDocument/2006/relationships/hyperlink" Target="https://www.sec.gov/Archives/edgar/data/1743907/000114036123021588/ny20006532x1_def14a.htm" TargetMode="External"/><Relationship Id="rId29" Type="http://schemas.openxmlformats.org/officeDocument/2006/relationships/hyperlink" Target="https://www.sec.gov/ix?doc=/Archives/edgar/data/1743907/000174390723000013/sncy-20230331.htm" TargetMode="External"/><Relationship Id="rId31" Type="http://schemas.openxmlformats.org/officeDocument/2006/relationships/hyperlink" Target="https://www.sec.gov/ix?doc=/Archives/edgar/data/1743907/000174390723000018/sncy-20230630.htm" TargetMode="External"/><Relationship Id="rId32" Type="http://schemas.openxmlformats.org/officeDocument/2006/relationships/hyperlink" Target="https://www.sec.gov/ix?doc=/Archives/edgar/data/1743907/000174390723000023/sncy-20230930.htm" TargetMode="External"/><Relationship Id="rId33" Type="http://schemas.openxmlformats.org/officeDocument/2006/relationships/hyperlink" Target="https://www.sec.gov/ix?doc=/Archives/edgar/data/1743907/000095014223000188/eh230323322_8k.htm" TargetMode="External"/><Relationship Id="rId34" Type="http://schemas.openxmlformats.org/officeDocument/2006/relationships/hyperlink" Target="https://www.sec.gov/ix?doc=/Archives/edgar/data/1743907/000174390723000005/sncy-20230206.htm" TargetMode="External"/><Relationship Id="rId35" Type="http://schemas.openxmlformats.org/officeDocument/2006/relationships/hyperlink" Target="https://www.sec.gov/ix?doc=/Archives/edgar/data/1743907/000095014223000480/eh230330932_8k.htm" TargetMode="External"/><Relationship Id="rId36" Type="http://schemas.openxmlformats.org/officeDocument/2006/relationships/hyperlink" Target="https://www.sec.gov/ix?doc=/Archives/edgar/data/1743907/000095014223000635/eh230336864_8k.htm" TargetMode="External"/><Relationship Id="rId37" Type="http://schemas.openxmlformats.org/officeDocument/2006/relationships/hyperlink" Target="https://www.sec.gov/ix?doc=/Archives/edgar/data/1743907/000114036123013997/brhc10050332_8k.htm" TargetMode="External"/><Relationship Id="rId38" Type="http://schemas.openxmlformats.org/officeDocument/2006/relationships/hyperlink" Target="https://www.sec.gov/ix?doc=/Archives/edgar/data/1743907/000119312523143537/d485508d8k.htm" TargetMode="External"/><Relationship Id="rId39" Type="http://schemas.openxmlformats.org/officeDocument/2006/relationships/hyperlink" Target="https://www.sec.gov/ix?doc=/Archives/edgar/data/1743907/000095014223001689/eh230369960_8k.htm" TargetMode="External"/><Relationship Id="rId40" Type="http://schemas.openxmlformats.org/officeDocument/2006/relationships/hyperlink" Target="https://www.sec.gov/ix?doc=/Archives/edgar/data/1743907/000174390723000015/sncy-20230803.htm" TargetMode="External"/><Relationship Id="rId41" Type="http://schemas.openxmlformats.org/officeDocument/2006/relationships/hyperlink" Target="https://www.sec.gov/ix?doc=/Archives/edgar/data/1743907/000174390723000022/sncy-20231107.htm" TargetMode="External"/><Relationship Id="rId42" Type="http://schemas.openxmlformats.org/officeDocument/2006/relationships/hyperlink" Target="https://www.sec.gov/Archives/edgar/data/1743907/000119312521080721/d150407d8a12b.htm" TargetMode="External"/><Relationship Id="rId100" Type="http://schemas.openxmlformats.org/officeDocument/2006/relationships/hyperlink" Target="http://www.sec.gov/ix?doc=/Archives/edgar/data/1743907/000155837022001409/sncy-20211231x10k.htm" TargetMode="External"/><Relationship Id="rId101" Type="http://schemas.openxmlformats.org/officeDocument/2006/relationships/hyperlink" Target="http://www.sec.gov/ix?doc=/Archives/edgar/data/1743907/000155837022001517/sncy-20211231x10ka.htm" TargetMode="External"/><Relationship Id="rId102" Type="http://schemas.openxmlformats.org/officeDocument/2006/relationships/hyperlink" Target="http://www.sec.gov/Archives/edgar/data/1743907/000114036122017008/ny20002474x1_def14a.htm" TargetMode="External"/><Relationship Id="rId103" Type="http://schemas.openxmlformats.org/officeDocument/2006/relationships/hyperlink" Target="http://www.sec.gov/ix?doc=/Archives/edgar/data/1743907/000174390722000004/sncy-20220331.htm" TargetMode="External"/><Relationship Id="rId104" Type="http://schemas.openxmlformats.org/officeDocument/2006/relationships/hyperlink" Target="http://www.sec.gov/ix?doc=/Archives/edgar/data/1743907/000174390722000010/sncy-20220630.htm" TargetMode="External"/><Relationship Id="rId105" Type="http://schemas.openxmlformats.org/officeDocument/2006/relationships/hyperlink" Target="http://www.sec.gov/ix?doc=/Archives/edgar/data/1743907/000174390722000018/sncy-20220930.htm" TargetMode="External"/><Relationship Id="rId106" Type="http://schemas.openxmlformats.org/officeDocument/2006/relationships/hyperlink" Target="http://www.sec.gov/ix?doc=/Archives/edgar/data/1743907/000119312522095256/d331629d8k.htm" TargetMode="External"/><Relationship Id="rId107" Type="http://schemas.openxmlformats.org/officeDocument/2006/relationships/hyperlink" Target="http://www.sec.gov/ix?doc=/Archives/edgar/data/1743907/000095014222001526/eh220248099_8k.htm" TargetMode="External"/><Relationship Id="rId108" Type="http://schemas.openxmlformats.org/officeDocument/2006/relationships/hyperlink" Target="http://www.sec.gov/ix?doc=/Archives/edgar/data/1743907/000095014222001576/eh220250292_8ka1.htm" TargetMode="External"/><Relationship Id="rId109" Type="http://schemas.openxmlformats.org/officeDocument/2006/relationships/hyperlink" Target="http://www.sec.gov/ix?doc=/Archives/edgar/data/1743907/000095014222001872/eh220260912_8k.htm" TargetMode="External"/><Relationship Id="rId110" Type="http://schemas.openxmlformats.org/officeDocument/2006/relationships/hyperlink" Target="http://www.sec.gov/ix?doc=/Archives/edgar/data/1743907/000095014222001966/eh220263307_8k.htm" TargetMode="External"/><Relationship Id="rId111" Type="http://schemas.openxmlformats.org/officeDocument/2006/relationships/hyperlink" Target="http://www.sec.gov/ix?doc=/Archives/edgar/data/1743907/000095014222002892/eh220294245_8k.htm" TargetMode="External"/><Relationship Id="rId112" Type="http://schemas.openxmlformats.org/officeDocument/2006/relationships/hyperlink" Target="http://www.sec.gov/ix?doc=/Archives/edgar/data/1743907/000174390722000016/sncy-20221031.htm" TargetMode="External"/><Relationship Id="rId113" Type="http://schemas.openxmlformats.org/officeDocument/2006/relationships/hyperlink" Target="http://www.sec.gov/ix?doc=/Archives/edgar/data/1743907/000095014222003027/eh220300824_8k.htm" TargetMode="External"/><Relationship Id="rId114" Type="http://schemas.openxmlformats.org/officeDocument/2006/relationships/hyperlink" Target="http://www.sec.gov/Archives/edgar/data/1743907/000119312521080721/d150407d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2023-12-13T15:11:22Z</dcterms:created>
  <dcterms:modified xsi:type="dcterms:W3CDTF">2023-12-13T15:11:22Z</dcterms:modified>
</cp:coreProperties>
</file>