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Sun Country Airlines Holdings,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55450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68"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Wei Lu</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Shannon Buskirk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Office of Energy &amp; Transportation</w:t>
      </w:r>
    </w:p>
    <w:p>
      <w:pPr>
        <w:spacing w:after="0" w:line="200" w:lineRule="exact"/>
        <w:rPr>
          <w:sz w:val="24"/>
          <w:szCs w:val="24"/>
          <w:color w:val="auto"/>
        </w:rPr>
      </w:pPr>
    </w:p>
    <w:p>
      <w:pPr>
        <w:sectPr>
          <w:pgSz w:w="11900" w:h="16838" w:orient="portrait"/>
          <w:cols w:equalWidth="0" w:num="2">
            <w:col w:w="740" w:space="240"/>
            <w:col w:w="10260"/>
          </w:cols>
          <w:pgMar w:left="320" w:top="468" w:right="3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10-K for the Fiscal Year Ended December 31,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10-K/A for the Fiscal Year Ended December 31, 2021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8-K filed May 5,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001-40217</w:t>
      </w:r>
    </w:p>
    <w:p>
      <w:pPr>
        <w:spacing w:after="0" w:line="200" w:lineRule="exact"/>
        <w:rPr>
          <w:sz w:val="24"/>
          <w:szCs w:val="24"/>
          <w:color w:val="auto"/>
        </w:rPr>
      </w:pPr>
    </w:p>
    <w:p>
      <w:pPr>
        <w:sectPr>
          <w:pgSz w:w="11900" w:h="16838" w:orient="portrait"/>
          <w:cols w:equalWidth="0" w:num="2">
            <w:col w:w="260" w:space="720"/>
            <w:col w:w="10260"/>
          </w:cols>
          <w:pgMar w:left="320" w:top="468"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Lu and Ms. Buskirk:</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responds to comments received in a letter from the Staff (the “Staff”) of the Securities and Exchange Commission (the “Commission”), dated May 19, 2022 (the “Comment Letter”), to Sun Country Airlines Holdings, Inc. (the “Company”) related to the Form 10-K and 10-K/A for the fiscal year ended December 31, 2021 and Form 8-K filed May 5, 2022.</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your convenience, we have set forth below the Staff’s comments followed by the Company’s responses thereto.</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10-K/A for Fiscal Year Ended December 31, 2021</w:t>
      </w:r>
    </w:p>
    <w:p>
      <w:pPr>
        <w:spacing w:after="0" w:line="225" w:lineRule="exact"/>
        <w:rPr>
          <w:sz w:val="24"/>
          <w:szCs w:val="24"/>
          <w:color w:val="auto"/>
        </w:rPr>
      </w:pPr>
    </w:p>
    <w:p>
      <w:pPr>
        <w:ind w:right="44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Critical Accounting Policies and Estimates, page 4</w:t>
      </w:r>
    </w:p>
    <w:p>
      <w:pPr>
        <w:spacing w:after="0" w:line="155" w:lineRule="exact"/>
        <w:rPr>
          <w:sz w:val="24"/>
          <w:szCs w:val="24"/>
          <w:color w:val="auto"/>
        </w:rPr>
      </w:pPr>
    </w:p>
    <w:p>
      <w:pPr>
        <w:jc w:val="both"/>
        <w:ind w:left="340" w:hanging="332"/>
        <w:spacing w:after="0" w:line="259" w:lineRule="auto"/>
        <w:tabs>
          <w:tab w:leader="none" w:pos="34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disclosures of your critical accounting policies and estimates appear to be a repetition of certain of your significant accounting policies. Please revise your disclosures to address the material implications of the uncertainties that are associated with the methods, assumptions and estimates underlying your critical accounting estimates. Your expanded disclosure should address the risk related to using different assumptions and analyze their sensitivity to change based on outcomes that are deemed reasonably likely to occur. For additional guidance, refer to Item 303(b)(3) of Regulation S-K and the related Instruction 3 to paragraph (b) of Item 303.</w:t>
      </w:r>
    </w:p>
    <w:p>
      <w:pPr>
        <w:spacing w:after="0" w:line="183"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will revise future filings in response to the Staff's comment. Utilizing the disclosure from the most recent annual report on Form 10-K, the following reflects our proposed updated disclosures to be included in future filings. The Company notes there have been no changes to the selection and application of its critical accounting policies and estimates. The Company will continue to evaluate any reasonably likely changes that could impact its critical accounting estimates and provide updated disclosure in future filings as necessary. All numbers below are presented in thousands consistent with the disclosure approach used in the Company's most recent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the Notes to Consolidated Financial Statements. Some of those significant accounting policies require us to make difficult, subjective, or complex judgments, or estimates. An accounting estimate is considered to be critical if it meets both of the following criteria:</w:t>
      </w:r>
    </w:p>
    <w:p>
      <w:pPr>
        <w:spacing w:after="0" w:line="176" w:lineRule="exact"/>
        <w:rPr>
          <w:sz w:val="20"/>
          <w:szCs w:val="20"/>
          <w:color w:val="auto"/>
        </w:rPr>
      </w:pPr>
    </w:p>
    <w:p>
      <w:pPr>
        <w:ind w:left="1320" w:hanging="66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 requires assumptions about matters that are highly uncertain at the time the accounting estimate is made, and</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13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the following critical accounting policies:</w:t>
      </w:r>
    </w:p>
    <w:p>
      <w:pPr>
        <w:spacing w:after="0" w:line="225"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Program Accounting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Analysis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TRA Liability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Scheduled passenger service, charter service, and most ancillary revenues are recognized when the passenger flight occurs. Revenues exclude amounts collected on behalf of other parties, including transportation taxes.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Revenue for change fees is deferred and recognized when the passenger travel is provided.</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Travel credits may generally be redeemed toward future travel for up to 12 months after the date of the original booking. As of December 31, 2021, the Company’s air traffic liability included $10,924 related to travel credits for future travel. The Company records an estimate for travel credits that will expire unused, otherwise known as breakage, in Passenger Revenue upon issuance of the travel credit. During 2021, the Company recorded $8,048 of estimated travel credit breakage. A portion of travel credits will expire unused, at which time any remaining revenue is recognized.</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estimated breakage rate is primarily based on historical experience of travel credit activity and other factors that may not be indicative of future trends, such as the COVID-19 pandemic, program changes or modifications that could affect the ultimate usage patterns of tickets and travel credits.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continuously monitors its breakage rate assumptions and may adjust its estimated breakage rate in the future. Changes in the Company’s estimated breakage rate impact revenue recognition prospectively.</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a 10% change in the Company’s estimated travel credit breakage rate would have resulted in a change to Passenger Revenue of approximately $3,200.</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There are no critical accounting estimates associated with Charter or Cargo revenue recognition that would materially impact the amount of revenue recognized in any specific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Loyalty Program Accounting</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balance of the Loyalty Program Liabilities fluctuates based on seasonal patterns, which impact the volume of loyalty points awarded through travel or issued to co-branded credit card and other partners (deferral of revenue) and loyalty points redeemed (recognition of revenue). The Company records an estimate for loyalty points breakage in Passenger Revenue upon issuance of the loyalty points. Loyalty points held by co-branded credit card members do not expire. All other loyalty points expire if unused after three years.</w:t>
      </w:r>
    </w:p>
    <w:p>
      <w:pPr>
        <w:spacing w:after="0" w:line="1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Points Earned Through Travel Purchases</w:t>
      </w:r>
      <w:r>
        <w:rPr>
          <w:rFonts w:ascii="Times New Roman" w:cs="Times New Roman" w:eastAsia="Times New Roman" w:hAnsi="Times New Roman"/>
          <w:sz w:val="18"/>
          <w:szCs w:val="18"/>
          <w:color w:val="auto"/>
        </w:rPr>
        <w:t>. Passenger sales that earn Sun Country Rewards provide customers with travel services and loyalty points,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each considered distinct performance obligations. The Company values each performance obligation on a standalone basis.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w:t>
      </w:r>
    </w:p>
    <w:p>
      <w:pPr>
        <w:spacing w:after="0" w:line="18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Points Earned through the Co-Branded Credit Card Program</w:t>
      </w:r>
      <w:r>
        <w:rPr>
          <w:rFonts w:ascii="Times New Roman" w:cs="Times New Roman" w:eastAsia="Times New Roman" w:hAnsi="Times New Roman"/>
          <w:sz w:val="18"/>
          <w:szCs w:val="18"/>
          <w:color w:val="auto"/>
        </w:rPr>
        <w:t>. Under the Company's co-branded credit card program, funds received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co-branded credit card and delivery of loyalty points are accounted for as a multiple-deliverable arrangement. The Company determined the arrangement has two distinct performance obligations: loyalty points to be awarded; and use of our brand and access to our customer lists, and certain other advertising and marketing elements (collectively, the marketing performance obligation). Funds received from the co-branded credit card program are allocated to the two performance obligations based on relative standalone selling price. The assumptions used to allocate the funds received are not considered critical to the application of the accounting model for the Company's loyalty program. Consideration allocated to loyalty points is deferred, net of estimated breakage, and recognized as Passenger Revenue when both the loyalty points have been redeemed and the passenger travel occurs. Consideration allocated to the marketing performance obligation is recognized as revenue as the spend occurs and is recorded in Other Revenue.</w:t>
      </w:r>
    </w:p>
    <w:p>
      <w:pPr>
        <w:spacing w:after="0" w:line="19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estimates breakage for loyalty points that are not likely to be redeemed. Loyalty points are combined in one homogenous pool, that includes both air and non-air travel awards, and are not separately identifiable. The estimated breakage rate is primarily based on historical experience of loyalty point redemption activity and other factors that may not be indicative of future trends, such as the COVID-19 pandemic, program changes or modifications that could affect the ultimate usage pattern of loyalty points. The Company continuously monitors its breakage rate assumptions and may adjust its estimated breakage rate for loyalty points in the future. Changes in the Company’s estimated breakage rate assumptions impact revenue recognition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2021, the Company recognized $852 of loyalty points breakage within Passenger Revenue. A 10% change in the Company’s loyalty point estimated breakage rate would have resulted in a change to Passenger Revenue of approximately $170.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 Impairment Analysis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Company’s long-lived assets, such as Property &amp; Equipment and finite-lived Intangible Assets, are reviewed for impairment whenever events or changes in circumstances indicate that the carrying amount of an asset may not be recoverable. The Company’s assets include aircraft and associated engines, operating and finance lease assets, the Company’s customer relationship finite-lived intangible assets, and other long-lived assets. The Company reviews the current economic and operating environment to determine whether events or circumstances indicate that these assets may be impaired. Such indicators include, but are not limited to (1) significant, permanent decrease in the market price of the Company’s long-lived assets, (2) significant decrease in the projected cash flows generated from the use of its long-lived assets, (3) changes in the estimated useful life or productive capacity of the asset, (4) changes in the regulatory environment in which the Company operates, and (5) a decision to permanently remove flight equipment or other long-lived assets from operations. If such factors are identified and the Company determines that the carrying amount of the long-lived asset (or asset group) is not recoverable on an undiscounted cash flow basis, an impairment is recognized to the extent that the asset (or asset group’s) carrying amount exceeds its fair value. Fair value is determined using various valuation techniques, including discounted cash flow models, quoted market values and third-party independent appraisals, as considered necessary.</w:t>
      </w:r>
    </w:p>
    <w:p>
      <w:pPr>
        <w:spacing w:after="0" w:line="1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When the Company assesses its long-lived assets for impairment, it utilizes certain assumptions, including, but not limited to: (1) estimated fair value of the assets and (2) estimated future undiscounted cash flows expected to be generated by those assets. Cash flow estimates are determined based on additional assumptions, including asset utilization, average fares, projected fuel costs and other operating costs, along with the estimated service life of the asset. Certain of these assumptions are highly volatile and could change significantly from period to period due to various macroeconomic and industry-specific events.</w:t>
      </w:r>
    </w:p>
    <w:p>
      <w:pPr>
        <w:spacing w:after="0" w:line="18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To determine whether impairment exists, the Company groups its assets based on the lowest level of identifiable cash flows, which is its operating segments. This is due to the Company operating a Passenger Service fleet comprised exclusively of one type of aircraft, the Boeing 737-NG. None of the Company's long-lived assets are owned by, or associated with, the Cargo operating segment.</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fiscal year 2020, the Company identified a triggering event within the Passenger Segment due to the significant negative impacts of the COVID-19 pandemic on the demand for air travel and assessed its long-lived assets for impairment. The assessment completed during 2020 indicated that no impairment was necessary, as the fair value of the asset group exceeded the carrying value. The Company has not recorded an impairment on its long-lived assets for any of the periods presented in these Consolidated Financial Statements, nor did it identify any triggering events during fiscal year 2021 or 2019.</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Valuation of the TRA Liability</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connection with its IPO, the Company entered into a TRA with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Amounts payable under the TRA are contingent upon, among other things, (i) generation of future taxable income over the term of the TRA, (ii) the Company’s participation in future government programs, (iii) stock option activity during periods prior to the commencement of payments under the TRA and (iv) future changes in tax laws. These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could result in an increase or decrease in the related liability which would be recognized in the Company’s earnings in the period of such change.</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If the Company does not generate sufficient taxable income in the aggregate over the term of the TRA to utilize the tax benefits, then it would not be required to make the related TRA payments. Estimating future taxable income is inherently uncertain and requires judgment. In projecting future taxable income, the Company considers its historical results and incorporates certain assumptions, including revenue growth, operating margin, stock option exercises and tax depreciation expense. The TRA liability estimates related to the generation of future taxable income and stock option activity during the periods prior to the commencement of payments only applies through fiscal year 2022, due to the expiration of the CARES Act dividend and capital distribution restrictions in 2022. After 2022, the variability of the total liability could only be impacted by future tax law changes, the finalization of the Company’s 2022 income tax returns, potential new government programs, or the actual paydown of the liability; all of which are difficult to predict and estimate.</w:t>
      </w:r>
    </w:p>
    <w:p>
      <w:pPr>
        <w:spacing w:after="0" w:line="1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 change of 10% in 2022 forecasted taxable income would have resulted in a change to the TRA liability of approximately $1,000. 2021 stock option exercises did not significantly impact the TRA liability. Adjustments to the TRA are recorded in the current period in Other, net within Non-Operating Income (Expense) on the Company’s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8-K filed May 5,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 page 1</w:t>
      </w:r>
    </w:p>
    <w:p>
      <w:pPr>
        <w:spacing w:after="0" w:line="203" w:lineRule="exact"/>
        <w:rPr>
          <w:sz w:val="20"/>
          <w:szCs w:val="20"/>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in the opening remarks that several non-GAAP financial measures were referenced by your Chief Executive Officer, without any discussions of corresponding GAAP financial measures. Revise to provide discussions of financial measures on a GAAP basis with equal or greater prominence to the non-GAAP financial measures. Refer to Item 10(e)(1)(i)(A) of Regulation S-K and Question 102.10 of the Compliance and Disclosure Interpretations on Non-GAAP Financial Measures.</w:t>
      </w:r>
    </w:p>
    <w:p>
      <w:pPr>
        <w:spacing w:after="0" w:line="18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will ensure that future filings provide disclosures with equal or greater prominence for the most directly comparable GAAP financial measure whenever any non-GAAP financial measure is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Guidance for Second Quarter 2022, page 3</w:t>
      </w:r>
    </w:p>
    <w:p>
      <w:pPr>
        <w:spacing w:after="0" w:line="225" w:lineRule="exact"/>
        <w:rPr>
          <w:sz w:val="20"/>
          <w:szCs w:val="20"/>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guidance for the second quarter of 2022 includes Adjusted Operating Margins of 5%-9%. Please revise to include a quantitative reconciliation of your forward looking non-GAAP guidance measures to the most directly comparable GAAP measures, or include a statement that such reconciliation is not practicable without unreasonable effort. Refer to Item 10(e)(1)(i)(B) of Regulation S-K and Question 102.10 of the Compliance and Disclosure Interpretations on Non-GAAP Financial Measures.</w:t>
      </w:r>
    </w:p>
    <w:p>
      <w:pPr>
        <w:spacing w:after="0" w:line="180"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will revise future filings to remove the non-GAAP presentation of Adjusted Operating Income Margin, and change its forward-looking guidance to provide the most directly comparable GAAP measure, Operating Income Margin. Using the earnings release for the three months ended March 31, 2022 for reference purposes, the following reflects the Company’s proposed updated guidance disclosures to be included in future earnings releases that include forward-looking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Guidance for Second Quarter 2022</w:t>
            </w:r>
          </w:p>
        </w:tc>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5220" w:type="dxa"/>
            <w:vAlign w:val="bottom"/>
          </w:tcPr>
          <w:p>
            <w:pPr>
              <w:spacing w:after="0"/>
              <w:rPr>
                <w:sz w:val="24"/>
                <w:szCs w:val="24"/>
                <w:color w:val="auto"/>
              </w:rPr>
            </w:pPr>
          </w:p>
        </w:tc>
        <w:tc>
          <w:tcPr>
            <w:tcW w:w="36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0A0A0A"/>
              </w:rPr>
              <w:t>Q2 2022</w:t>
            </w:r>
          </w:p>
        </w:tc>
        <w:tc>
          <w:tcPr>
            <w:tcW w:w="2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0A0A0A"/>
              </w:rPr>
              <w:t>H/(L) vs Q2 2019</w:t>
            </w:r>
          </w:p>
        </w:tc>
      </w:tr>
      <w:tr>
        <w:trPr>
          <w:trHeight w:val="216"/>
        </w:trPr>
        <w:tc>
          <w:tcPr>
            <w:tcW w:w="52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0A0A0A"/>
              </w:rPr>
              <w:t>Total revenue - millions</w:t>
            </w:r>
          </w:p>
        </w:tc>
        <w:tc>
          <w:tcPr>
            <w:tcW w:w="3680" w:type="dxa"/>
            <w:vAlign w:val="bottom"/>
            <w:shd w:val="clear" w:color="auto" w:fill="C6F4F9"/>
          </w:tcPr>
          <w:p>
            <w:pPr>
              <w:jc w:val="center"/>
              <w:ind w:left="1550"/>
              <w:spacing w:after="0"/>
              <w:rPr>
                <w:sz w:val="20"/>
                <w:szCs w:val="20"/>
                <w:color w:val="auto"/>
              </w:rPr>
            </w:pPr>
            <w:r>
              <w:rPr>
                <w:rFonts w:ascii="Times New Roman" w:cs="Times New Roman" w:eastAsia="Times New Roman" w:hAnsi="Times New Roman"/>
                <w:sz w:val="18"/>
                <w:szCs w:val="18"/>
                <w:color w:val="0A0A0A"/>
              </w:rPr>
              <w:t>$210 to $220</w:t>
            </w:r>
          </w:p>
        </w:tc>
        <w:tc>
          <w:tcPr>
            <w:tcW w:w="2340" w:type="dxa"/>
            <w:vAlign w:val="bottom"/>
            <w:shd w:val="clear" w:color="auto" w:fill="C6F4F9"/>
          </w:tcPr>
          <w:p>
            <w:pPr>
              <w:jc w:val="center"/>
              <w:ind w:left="10"/>
              <w:spacing w:after="0"/>
              <w:rPr>
                <w:sz w:val="20"/>
                <w:szCs w:val="20"/>
                <w:color w:val="auto"/>
              </w:rPr>
            </w:pPr>
            <w:r>
              <w:rPr>
                <w:rFonts w:ascii="Times New Roman" w:cs="Times New Roman" w:eastAsia="Times New Roman" w:hAnsi="Times New Roman"/>
                <w:sz w:val="18"/>
                <w:szCs w:val="18"/>
                <w:color w:val="0A0A0A"/>
                <w:w w:val="98"/>
              </w:rPr>
              <w:t>24% to 30%</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0A0A0A"/>
              </w:rPr>
              <w:t>Economic fuel cost per gallon</w:t>
            </w:r>
          </w:p>
        </w:tc>
        <w:tc>
          <w:tcPr>
            <w:tcW w:w="36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0A0A0A"/>
                <w:w w:val="98"/>
              </w:rPr>
              <w:t>$3.50</w:t>
            </w:r>
          </w:p>
        </w:tc>
        <w:tc>
          <w:tcPr>
            <w:tcW w:w="2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0A0A0A"/>
                <w:w w:val="96"/>
              </w:rPr>
              <w:t>53%</w:t>
            </w:r>
          </w:p>
        </w:tc>
      </w:tr>
      <w:tr>
        <w:trPr>
          <w:trHeight w:val="216"/>
        </w:trPr>
        <w:tc>
          <w:tcPr>
            <w:tcW w:w="52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0A0A0A"/>
              </w:rPr>
              <w:t>Operating income margin - percentage</w:t>
            </w:r>
          </w:p>
        </w:tc>
        <w:tc>
          <w:tcPr>
            <w:tcW w:w="3680" w:type="dxa"/>
            <w:vAlign w:val="bottom"/>
            <w:shd w:val="clear" w:color="auto" w:fill="C6F4F9"/>
          </w:tcPr>
          <w:p>
            <w:pPr>
              <w:jc w:val="center"/>
              <w:ind w:left="1550"/>
              <w:spacing w:after="0"/>
              <w:rPr>
                <w:sz w:val="20"/>
                <w:szCs w:val="20"/>
                <w:color w:val="auto"/>
              </w:rPr>
            </w:pPr>
            <w:r>
              <w:rPr>
                <w:rFonts w:ascii="Times New Roman" w:cs="Times New Roman" w:eastAsia="Times New Roman" w:hAnsi="Times New Roman"/>
                <w:sz w:val="18"/>
                <w:szCs w:val="18"/>
                <w:color w:val="0A0A0A"/>
              </w:rPr>
              <w:t>5% - 9%</w:t>
            </w:r>
          </w:p>
        </w:tc>
        <w:tc>
          <w:tcPr>
            <w:tcW w:w="2340" w:type="dxa"/>
            <w:vAlign w:val="bottom"/>
            <w:shd w:val="clear" w:color="auto" w:fill="C6F4F9"/>
          </w:tcPr>
          <w:p>
            <w:pPr>
              <w:jc w:val="center"/>
              <w:ind w:left="10"/>
              <w:spacing w:after="0"/>
              <w:rPr>
                <w:sz w:val="20"/>
                <w:szCs w:val="20"/>
                <w:color w:val="auto"/>
              </w:rPr>
            </w:pPr>
            <w:r>
              <w:rPr>
                <w:rFonts w:ascii="Times New Roman" w:cs="Times New Roman" w:eastAsia="Times New Roman" w:hAnsi="Times New Roman"/>
                <w:sz w:val="18"/>
                <w:szCs w:val="18"/>
                <w:color w:val="0A0A0A"/>
                <w:w w:val="98"/>
              </w:rPr>
              <w:t>(1)pp to 3pp</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0A0A0A"/>
              </w:rPr>
              <w:t>Effective tax rate</w:t>
            </w:r>
          </w:p>
        </w:tc>
        <w:tc>
          <w:tcPr>
            <w:tcW w:w="36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0A0A0A"/>
                <w:w w:val="96"/>
              </w:rPr>
              <w:t>23%</w:t>
            </w:r>
          </w:p>
        </w:tc>
        <w:tc>
          <w:tcPr>
            <w:tcW w:w="2340" w:type="dxa"/>
            <w:vAlign w:val="bottom"/>
          </w:tcPr>
          <w:p>
            <w:pPr>
              <w:spacing w:after="0"/>
              <w:rPr>
                <w:sz w:val="18"/>
                <w:szCs w:val="18"/>
                <w:color w:val="auto"/>
              </w:rPr>
            </w:pPr>
          </w:p>
        </w:tc>
      </w:tr>
      <w:tr>
        <w:trPr>
          <w:trHeight w:val="216"/>
        </w:trPr>
        <w:tc>
          <w:tcPr>
            <w:tcW w:w="52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0A0A0A"/>
              </w:rPr>
              <w:t>Total system block hours - thousands</w:t>
            </w:r>
          </w:p>
        </w:tc>
        <w:tc>
          <w:tcPr>
            <w:tcW w:w="3680" w:type="dxa"/>
            <w:vAlign w:val="bottom"/>
            <w:shd w:val="clear" w:color="auto" w:fill="C6F4F9"/>
          </w:tcPr>
          <w:p>
            <w:pPr>
              <w:jc w:val="center"/>
              <w:ind w:left="1530"/>
              <w:spacing w:after="0"/>
              <w:rPr>
                <w:sz w:val="20"/>
                <w:szCs w:val="20"/>
                <w:color w:val="auto"/>
              </w:rPr>
            </w:pPr>
            <w:r>
              <w:rPr>
                <w:rFonts w:ascii="Times New Roman" w:cs="Times New Roman" w:eastAsia="Times New Roman" w:hAnsi="Times New Roman"/>
                <w:sz w:val="18"/>
                <w:szCs w:val="18"/>
                <w:color w:val="0A0A0A"/>
                <w:w w:val="99"/>
              </w:rPr>
              <w:t>30.5 to 31.5</w:t>
            </w:r>
          </w:p>
        </w:tc>
        <w:tc>
          <w:tcPr>
            <w:tcW w:w="2340" w:type="dxa"/>
            <w:vAlign w:val="bottom"/>
            <w:shd w:val="clear" w:color="auto" w:fill="C6F4F9"/>
          </w:tcPr>
          <w:p>
            <w:pPr>
              <w:jc w:val="center"/>
              <w:ind w:left="10"/>
              <w:spacing w:after="0"/>
              <w:rPr>
                <w:sz w:val="20"/>
                <w:szCs w:val="20"/>
                <w:color w:val="auto"/>
              </w:rPr>
            </w:pPr>
            <w:r>
              <w:rPr>
                <w:rFonts w:ascii="Times New Roman" w:cs="Times New Roman" w:eastAsia="Times New Roman" w:hAnsi="Times New Roman"/>
                <w:sz w:val="18"/>
                <w:szCs w:val="18"/>
                <w:color w:val="0A0A0A"/>
                <w:w w:val="98"/>
              </w:rPr>
              <w:t>22% to 26%</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Adjusted EBITDAR to GAAP Net Income, page 12</w:t>
      </w:r>
    </w:p>
    <w:p>
      <w:pPr>
        <w:spacing w:after="0" w:line="225" w:lineRule="exact"/>
        <w:rPr>
          <w:sz w:val="20"/>
          <w:szCs w:val="20"/>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state on page 10 that Adjusted EBITDAR and Adjusted EBITDAR Margin are commonly used valuation measures. However, you present and discuss these measures on a comparative basis (current period to prior period), as if they are performance measures. Please revise your disclosure to present Adjusted EBITDAR and Adjusted EBITDAR Margin for the most recent valuation period only with no comparison to prior periods.</w:t>
      </w:r>
    </w:p>
    <w:p>
      <w:pPr>
        <w:spacing w:after="0" w:line="174"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will revise future filings to remove any reference of Adjusted EBITDAR or Adjusted EBITDAR Margin being commonly used valuation measures. However, the Company believes presenting comparative Adjusted EBITDAR and Adjusted EBITDAR Margin are useful, as they are well recognized performance measurements in the airline industry that are frequently used by our management, as well as by investors, securities analysts and other interested parties in comparing the operating performance of companies in our industry. Adjusted EBITDAR and Adjusted EBITDAR Margin are useful measurements because the calculations isolate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w:t>
      </w:r>
    </w:p>
    <w:p>
      <w:pPr>
        <w:spacing w:after="0" w:line="191" w:lineRule="exact"/>
        <w:rPr>
          <w:rFonts w:ascii="Times New Roman" w:cs="Times New Roman" w:eastAsia="Times New Roman" w:hAnsi="Times New Roman"/>
          <w:sz w:val="18"/>
          <w:szCs w:val="18"/>
          <w:b w:val="1"/>
          <w:bCs w:val="1"/>
          <w:i w:val="1"/>
          <w:iCs w:val="1"/>
          <w:color w:val="auto"/>
        </w:rPr>
      </w:pPr>
    </w:p>
    <w:p>
      <w:pPr>
        <w:jc w:val="both"/>
        <w:ind w:lef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Using the earnings release for the three months ended March 31, 2022 for reference purposes, the following reflects the Company’s proposed updated disclosures to be included in future earnings releases that include non-GAAP performance measures Adjusted EBITDAR or Adjusted EBITDAR Margin:</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Adjusted Operating Income, Adjusted Operating Income Margin, Adjusted Income Before Income Tax, Adjusted Pre-tax Margin, Adjusted Net Income, Adjusted Net Income per share, Adjusted EBITDAR and Adjusted EBITDAR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and facilitate comparisons among current, past and future periods.</w:t>
      </w:r>
    </w:p>
    <w:p>
      <w:pPr>
        <w:spacing w:after="0" w:line="187"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believe that while items excluded from Adjusted EBITDAR and Adjusted EBITDAR Margin may be recurring in nature and should not be disregarded in evaluation of our earnings performance, Adjusted EBITDAR and Adjusted EBITDAR Margin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and Adjusted EBITDAR Margin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presented non-GAAP measures have limitations as analytic tools, such as: these measures do not reflect the impact of certain cash charges resulting from matters we consider not to be indicative of our ongoing operations and other companies in our industry may calculate these measures differently than we do, limiting each measure’s usefulness as a comparative measure. Because of these limitations, these non-GAAP measures should not be considered in isolation or as a substitute for performance measures calculated in accordance with GAAP. Accordingly, you are cautioned not to place undue reliance on this information. We encourage investors to review our financial statements and other filings with the Securities and Exchange Commission in their entirety and not to rely on any single financial measure.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Adjusted Net Income (Loss) and Adjusted Earnings per Share to GAAP Net Income, page 12</w:t>
      </w:r>
    </w:p>
    <w:p>
      <w:pPr>
        <w:spacing w:after="0" w:line="225" w:lineRule="exact"/>
        <w:rPr>
          <w:sz w:val="20"/>
          <w:szCs w:val="20"/>
          <w:color w:val="auto"/>
        </w:rPr>
      </w:pPr>
    </w:p>
    <w:p>
      <w:pPr>
        <w:ind w:left="340" w:hanging="332"/>
        <w:spacing w:after="0" w:line="286" w:lineRule="auto"/>
        <w:tabs>
          <w:tab w:leader="none" w:pos="3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Revise to present a reconciliation of Adjusted net income (loss) per share - diluted on a per share basis. Refer to Item 10(e)(1)(i)(B) of Regulation S-K and Question 102.5 of the Compliance and Disclosure Interpretations of Non-GAAP Financial Measures.</w:t>
      </w:r>
    </w:p>
    <w:p>
      <w:pPr>
        <w:spacing w:after="0" w:line="158"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 and will revise future filings to present a reconciliation of Adjusted Net Income (Loss) per share – diluted on a per share basis. Using the most recent fiscal quarter’s data, the following reflects the Company’s proposed updated disclosure to be included in future filings where Adjusted Net Income (Loss) per share – diluted is presented. Dollars and share data below are presented in millions, except per share data.</w:t>
      </w:r>
    </w:p>
    <w:p>
      <w:pPr>
        <w:spacing w:after="0" w:line="179" w:lineRule="exact"/>
        <w:rPr>
          <w:rFonts w:ascii="Times New Roman" w:cs="Times New Roman" w:eastAsia="Times New Roman" w:hAnsi="Times New Roman"/>
          <w:sz w:val="18"/>
          <w:szCs w:val="18"/>
          <w:b w:val="1"/>
          <w:bCs w:val="1"/>
          <w:i w:val="1"/>
          <w:iCs w:val="1"/>
          <w:color w:val="auto"/>
        </w:rPr>
      </w:pPr>
    </w:p>
    <w:p>
      <w:pPr>
        <w:ind w:left="340"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presents the reconciliation of Adjusted Net Income (Loss) to net income and Adjusted Net Income (Loss) per share — diluted to net income per share — diluted.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8"/>
        </w:trPr>
        <w:tc>
          <w:tcPr>
            <w:tcW w:w="5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80" w:type="dxa"/>
            <w:vAlign w:val="bottom"/>
            <w:tcBorders>
              <w:bottom w:val="single" w:sz="8" w:color="auto"/>
            </w:tcBorders>
          </w:tcPr>
          <w:p>
            <w:pPr>
              <w:spacing w:after="0"/>
              <w:rPr>
                <w:sz w:val="20"/>
                <w:szCs w:val="20"/>
                <w:color w:val="auto"/>
              </w:rPr>
            </w:pPr>
          </w:p>
        </w:tc>
      </w:tr>
      <w:tr>
        <w:trPr>
          <w:trHeight w:val="187"/>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 Share -</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51"/>
              <w:spacing w:after="0" w:line="188" w:lineRule="exact"/>
              <w:rPr>
                <w:sz w:val="20"/>
                <w:szCs w:val="20"/>
                <w:color w:val="auto"/>
              </w:rPr>
            </w:pPr>
            <w:r>
              <w:rPr>
                <w:rFonts w:ascii="Times New Roman" w:cs="Times New Roman" w:eastAsia="Times New Roman" w:hAnsi="Times New Roman"/>
                <w:sz w:val="18"/>
                <w:szCs w:val="18"/>
                <w:b w:val="1"/>
                <w:bCs w:val="1"/>
                <w:color w:val="auto"/>
              </w:rPr>
              <w:t>Per Share -</w:t>
            </w:r>
          </w:p>
        </w:tc>
      </w:tr>
      <w:tr>
        <w:trPr>
          <w:trHeight w:val="238"/>
        </w:trPr>
        <w:tc>
          <w:tcPr>
            <w:tcW w:w="5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diluted</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09"/>
        </w:trPr>
        <w:tc>
          <w:tcPr>
            <w:tcW w:w="52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6F4F9"/>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shd w:val="clear" w:color="auto" w:fill="C6F4F9"/>
          </w:tcPr>
          <w:p>
            <w:pPr>
              <w:spacing w:after="0"/>
              <w:rPr>
                <w:sz w:val="18"/>
                <w:szCs w:val="18"/>
                <w:color w:val="auto"/>
              </w:rPr>
            </w:pPr>
          </w:p>
        </w:tc>
        <w:tc>
          <w:tcPr>
            <w:tcW w:w="240" w:type="dxa"/>
            <w:vAlign w:val="bottom"/>
            <w:shd w:val="clear" w:color="auto" w:fill="C6F4F9"/>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6F4F9"/>
          </w:tcPr>
          <w:p>
            <w:pPr>
              <w:jc w:val="right"/>
              <w:ind w:right="111"/>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6F4F9"/>
          </w:tcPr>
          <w:p>
            <w:pPr>
              <w:jc w:val="right"/>
              <w:ind w:right="11"/>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5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Special items, net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4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52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shd w:val="clear" w:color="auto" w:fill="C6F4F9"/>
          </w:tcPr>
          <w:p>
            <w:pPr>
              <w:spacing w:after="0"/>
              <w:rPr>
                <w:sz w:val="18"/>
                <w:szCs w:val="18"/>
                <w:color w:val="auto"/>
              </w:rPr>
            </w:pPr>
          </w:p>
        </w:tc>
        <w:tc>
          <w:tcPr>
            <w:tcW w:w="102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80" w:type="dxa"/>
            <w:vAlign w:val="bottom"/>
            <w:shd w:val="clear" w:color="auto" w:fill="C6F4F9"/>
          </w:tcPr>
          <w:p>
            <w:pPr>
              <w:spacing w:after="0"/>
              <w:rPr>
                <w:sz w:val="18"/>
                <w:szCs w:val="18"/>
                <w:color w:val="auto"/>
              </w:rPr>
            </w:pPr>
          </w:p>
        </w:tc>
        <w:tc>
          <w:tcPr>
            <w:tcW w:w="120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180" w:type="dxa"/>
            <w:vAlign w:val="bottom"/>
            <w:shd w:val="clear" w:color="auto" w:fill="C6F4F9"/>
          </w:tcPr>
          <w:p>
            <w:pPr>
              <w:jc w:val="right"/>
              <w:ind w:right="111"/>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6F4F9"/>
          </w:tcPr>
          <w:p>
            <w:pPr>
              <w:spacing w:after="0"/>
              <w:rPr>
                <w:sz w:val="18"/>
                <w:szCs w:val="18"/>
                <w:color w:val="auto"/>
              </w:rPr>
            </w:pPr>
          </w:p>
        </w:tc>
        <w:tc>
          <w:tcPr>
            <w:tcW w:w="1180" w:type="dxa"/>
            <w:vAlign w:val="bottom"/>
            <w:shd w:val="clear" w:color="auto" w:fill="C6F4F9"/>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Early pay-off of US Treasury loan</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r>
      <w:tr>
        <w:trPr>
          <w:trHeight w:val="256"/>
        </w:trPr>
        <w:tc>
          <w:tcPr>
            <w:tcW w:w="5200" w:type="dxa"/>
            <w:vAlign w:val="bottom"/>
            <w:shd w:val="clear" w:color="auto" w:fill="C6F4F9"/>
          </w:tcPr>
          <w:p>
            <w:pPr>
              <w:spacing w:after="0" w:line="256" w:lineRule="exact"/>
              <w:rPr>
                <w:sz w:val="20"/>
                <w:szCs w:val="20"/>
                <w:color w:val="auto"/>
              </w:rPr>
            </w:pPr>
            <w:r>
              <w:rPr>
                <w:rFonts w:ascii="Times New Roman" w:cs="Times New Roman" w:eastAsia="Times New Roman" w:hAnsi="Times New Roman"/>
                <w:sz w:val="18"/>
                <w:szCs w:val="18"/>
                <w:color w:val="auto"/>
              </w:rPr>
              <w:t>Tax receivable agreement expense</w:t>
            </w:r>
            <w:r>
              <w:rPr>
                <w:rFonts w:ascii="Times New Roman" w:cs="Times New Roman" w:eastAsia="Times New Roman" w:hAnsi="Times New Roman"/>
                <w:sz w:val="29"/>
                <w:szCs w:val="29"/>
                <w:color w:val="auto"/>
                <w:vertAlign w:val="superscript"/>
              </w:rPr>
              <w:t>(2)</w:t>
            </w:r>
          </w:p>
        </w:tc>
        <w:tc>
          <w:tcPr>
            <w:tcW w:w="240" w:type="dxa"/>
            <w:vAlign w:val="bottom"/>
            <w:shd w:val="clear" w:color="auto" w:fill="C6F4F9"/>
          </w:tcPr>
          <w:p>
            <w:pPr>
              <w:spacing w:after="0"/>
              <w:rPr>
                <w:sz w:val="22"/>
                <w:szCs w:val="22"/>
                <w:color w:val="auto"/>
              </w:rPr>
            </w:pPr>
          </w:p>
        </w:tc>
        <w:tc>
          <w:tcPr>
            <w:tcW w:w="1020" w:type="dxa"/>
            <w:vAlign w:val="bottom"/>
            <w:shd w:val="clear" w:color="auto" w:fill="C6F4F9"/>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6F4F9"/>
          </w:tcPr>
          <w:p>
            <w:pPr>
              <w:spacing w:after="0"/>
              <w:rPr>
                <w:sz w:val="22"/>
                <w:szCs w:val="22"/>
                <w:color w:val="auto"/>
              </w:rPr>
            </w:pPr>
          </w:p>
        </w:tc>
        <w:tc>
          <w:tcPr>
            <w:tcW w:w="1420" w:type="dxa"/>
            <w:vAlign w:val="bottom"/>
            <w:gridSpan w:val="2"/>
            <w:shd w:val="clear" w:color="auto" w:fill="C6F4F9"/>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6F4F9"/>
          </w:tcPr>
          <w:p>
            <w:pPr>
              <w:spacing w:after="0"/>
              <w:rPr>
                <w:sz w:val="22"/>
                <w:szCs w:val="22"/>
                <w:color w:val="auto"/>
              </w:rPr>
            </w:pPr>
          </w:p>
        </w:tc>
        <w:tc>
          <w:tcPr>
            <w:tcW w:w="1180" w:type="dxa"/>
            <w:vAlign w:val="bottom"/>
            <w:shd w:val="clear" w:color="auto" w:fill="C6F4F9"/>
          </w:tcPr>
          <w:p>
            <w:pPr>
              <w:jc w:val="right"/>
              <w:ind w:right="111"/>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6F4F9"/>
          </w:tcPr>
          <w:p>
            <w:pPr>
              <w:spacing w:after="0"/>
              <w:rPr>
                <w:sz w:val="22"/>
                <w:szCs w:val="22"/>
                <w:color w:val="auto"/>
              </w:rPr>
            </w:pPr>
          </w:p>
        </w:tc>
        <w:tc>
          <w:tcPr>
            <w:tcW w:w="1180" w:type="dxa"/>
            <w:vAlign w:val="bottom"/>
            <w:shd w:val="clear" w:color="auto" w:fill="C6F4F9"/>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5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Tax receivable agreement adjustment</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Loss on refinancing credit facility</w:t>
            </w:r>
          </w:p>
        </w:tc>
        <w:tc>
          <w:tcPr>
            <w:tcW w:w="240" w:type="dxa"/>
            <w:vAlign w:val="bottom"/>
            <w:shd w:val="clear" w:color="auto" w:fill="C6F4F9"/>
          </w:tcPr>
          <w:p>
            <w:pPr>
              <w:spacing w:after="0"/>
              <w:rPr>
                <w:sz w:val="18"/>
                <w:szCs w:val="18"/>
                <w:color w:val="auto"/>
              </w:rPr>
            </w:pPr>
          </w:p>
        </w:tc>
        <w:tc>
          <w:tcPr>
            <w:tcW w:w="102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shd w:val="clear" w:color="auto" w:fill="C6F4F9"/>
          </w:tcPr>
          <w:p>
            <w:pPr>
              <w:spacing w:after="0"/>
              <w:rPr>
                <w:sz w:val="18"/>
                <w:szCs w:val="18"/>
                <w:color w:val="auto"/>
              </w:rPr>
            </w:pPr>
          </w:p>
        </w:tc>
        <w:tc>
          <w:tcPr>
            <w:tcW w:w="120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180" w:type="dxa"/>
            <w:vAlign w:val="bottom"/>
            <w:shd w:val="clear" w:color="auto" w:fill="C6F4F9"/>
          </w:tcPr>
          <w:p>
            <w:pPr>
              <w:jc w:val="right"/>
              <w:ind w:right="111"/>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6F4F9"/>
          </w:tcPr>
          <w:p>
            <w:pPr>
              <w:spacing w:after="0"/>
              <w:rPr>
                <w:sz w:val="18"/>
                <w:szCs w:val="18"/>
                <w:color w:val="auto"/>
              </w:rPr>
            </w:pPr>
          </w:p>
        </w:tc>
        <w:tc>
          <w:tcPr>
            <w:tcW w:w="1180" w:type="dxa"/>
            <w:vAlign w:val="bottom"/>
            <w:shd w:val="clear" w:color="auto" w:fill="C6F4F9"/>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5200" w:type="dxa"/>
            <w:vAlign w:val="bottom"/>
            <w:tcBorders>
              <w:bottom w:val="single" w:sz="8" w:color="C6F4F9"/>
            </w:tcBorders>
          </w:tcPr>
          <w:p>
            <w:pPr>
              <w:spacing w:after="0" w:line="270" w:lineRule="exact"/>
              <w:rPr>
                <w:sz w:val="20"/>
                <w:szCs w:val="20"/>
                <w:color w:val="auto"/>
              </w:rPr>
            </w:pPr>
            <w:r>
              <w:rPr>
                <w:rFonts w:ascii="Times New Roman" w:cs="Times New Roman" w:eastAsia="Times New Roman" w:hAnsi="Times New Roman"/>
                <w:sz w:val="18"/>
                <w:szCs w:val="18"/>
                <w:color w:val="auto"/>
              </w:rPr>
              <w:t>Income tax (benefit) expense effect of adjusting items, net</w:t>
            </w:r>
            <w:r>
              <w:rPr>
                <w:rFonts w:ascii="Times New Roman" w:cs="Times New Roman" w:eastAsia="Times New Roman" w:hAnsi="Times New Roman"/>
                <w:sz w:val="29"/>
                <w:szCs w:val="29"/>
                <w:color w:val="auto"/>
                <w:vertAlign w:val="superscript"/>
              </w:rPr>
              <w:t>(4)</w:t>
            </w:r>
          </w:p>
        </w:tc>
        <w:tc>
          <w:tcPr>
            <w:tcW w:w="2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6F4F9"/>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r>
      <w:tr>
        <w:trPr>
          <w:trHeight w:val="250"/>
        </w:trPr>
        <w:tc>
          <w:tcPr>
            <w:tcW w:w="5200" w:type="dxa"/>
            <w:vAlign w:val="bottom"/>
            <w:tcBorders>
              <w:bottom w:val="single" w:sz="8" w:color="C6F4F9"/>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240" w:type="dxa"/>
            <w:vAlign w:val="bottom"/>
            <w:tcBorders>
              <w:bottom w:val="single" w:sz="8" w:color="auto"/>
            </w:tcBorders>
            <w:shd w:val="clear" w:color="auto" w:fill="C6F4F9"/>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tcBorders>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6F4F9"/>
            </w:tcBorders>
            <w:shd w:val="clear" w:color="auto" w:fill="C6F4F9"/>
          </w:tcPr>
          <w:p>
            <w:pPr>
              <w:spacing w:after="0"/>
              <w:rPr>
                <w:sz w:val="21"/>
                <w:szCs w:val="21"/>
                <w:color w:val="auto"/>
              </w:rPr>
            </w:pPr>
          </w:p>
        </w:tc>
        <w:tc>
          <w:tcPr>
            <w:tcW w:w="240" w:type="dxa"/>
            <w:vAlign w:val="bottom"/>
            <w:tcBorders>
              <w:bottom w:val="single" w:sz="8" w:color="auto"/>
            </w:tcBorders>
            <w:shd w:val="clear" w:color="auto" w:fill="C6F4F9"/>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6F4F9"/>
          </w:tcPr>
          <w:p>
            <w:pPr>
              <w:jc w:val="right"/>
              <w:ind w:right="51"/>
              <w:spacing w:after="0" w:line="250" w:lineRule="exact"/>
              <w:rPr>
                <w:sz w:val="20"/>
                <w:szCs w:val="20"/>
                <w:color w:val="auto"/>
              </w:rPr>
            </w:pPr>
            <w:r>
              <w:rPr>
                <w:rFonts w:ascii="Times New Roman" w:cs="Times New Roman" w:eastAsia="Times New Roman" w:hAnsi="Times New Roman"/>
                <w:sz w:val="15"/>
                <w:szCs w:val="15"/>
                <w:color w:val="auto"/>
              </w:rPr>
              <w:t>(4.9</w:t>
            </w:r>
            <w:r>
              <w:rPr>
                <w:rFonts w:ascii="Times New Roman" w:cs="Times New Roman" w:eastAsia="Times New Roman" w:hAnsi="Times New Roman"/>
                <w:sz w:val="28"/>
                <w:szCs w:val="28"/>
                <w:color w:val="auto"/>
                <w:vertAlign w:val="superscript"/>
              </w:rPr>
              <w:t>)</w:t>
            </w:r>
          </w:p>
        </w:tc>
        <w:tc>
          <w:tcPr>
            <w:tcW w:w="280" w:type="dxa"/>
            <w:vAlign w:val="bottom"/>
            <w:tcBorders>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6F4F9"/>
          </w:tcPr>
          <w:p>
            <w:pPr>
              <w:jc w:val="right"/>
              <w:spacing w:after="0" w:line="250" w:lineRule="exact"/>
              <w:rPr>
                <w:sz w:val="20"/>
                <w:szCs w:val="20"/>
                <w:color w:val="auto"/>
              </w:rPr>
            </w:pPr>
            <w:r>
              <w:rPr>
                <w:rFonts w:ascii="Times New Roman" w:cs="Times New Roman" w:eastAsia="Times New Roman" w:hAnsi="Times New Roman"/>
                <w:sz w:val="15"/>
                <w:szCs w:val="15"/>
                <w:color w:val="auto"/>
              </w:rPr>
              <w:t>(0.09</w:t>
            </w:r>
            <w:r>
              <w:rPr>
                <w:rFonts w:ascii="Times New Roman" w:cs="Times New Roman" w:eastAsia="Times New Roman" w:hAnsi="Times New Roman"/>
                <w:sz w:val="28"/>
                <w:szCs w:val="28"/>
                <w:color w:val="auto"/>
                <w:vertAlign w:val="superscript"/>
              </w:rPr>
              <w:t>)</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2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Diluted share count</w:t>
            </w:r>
          </w:p>
        </w:tc>
        <w:tc>
          <w:tcPr>
            <w:tcW w:w="240" w:type="dxa"/>
            <w:vAlign w:val="bottom"/>
            <w:shd w:val="clear" w:color="auto" w:fill="C6F4F9"/>
          </w:tcPr>
          <w:p>
            <w:pPr>
              <w:spacing w:after="0"/>
              <w:rPr>
                <w:sz w:val="18"/>
                <w:szCs w:val="18"/>
                <w:color w:val="auto"/>
              </w:rPr>
            </w:pPr>
          </w:p>
        </w:tc>
        <w:tc>
          <w:tcPr>
            <w:tcW w:w="102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0A0A0A"/>
              </w:rPr>
              <w:t>61.7</w:t>
            </w:r>
          </w:p>
        </w:tc>
        <w:tc>
          <w:tcPr>
            <w:tcW w:w="480" w:type="dxa"/>
            <w:vAlign w:val="bottom"/>
            <w:shd w:val="clear" w:color="auto" w:fill="C6F4F9"/>
          </w:tcPr>
          <w:p>
            <w:pPr>
              <w:spacing w:after="0"/>
              <w:rPr>
                <w:sz w:val="18"/>
                <w:szCs w:val="18"/>
                <w:color w:val="auto"/>
              </w:rPr>
            </w:pPr>
          </w:p>
        </w:tc>
        <w:tc>
          <w:tcPr>
            <w:tcW w:w="12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180" w:type="dxa"/>
            <w:vAlign w:val="bottom"/>
            <w:shd w:val="clear" w:color="auto" w:fill="C6F4F9"/>
          </w:tcPr>
          <w:p>
            <w:pPr>
              <w:jc w:val="right"/>
              <w:ind w:right="111"/>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shd w:val="clear" w:color="auto" w:fill="C6F4F9"/>
          </w:tcPr>
          <w:p>
            <w:pPr>
              <w:spacing w:after="0"/>
              <w:rPr>
                <w:sz w:val="18"/>
                <w:szCs w:val="18"/>
                <w:color w:val="auto"/>
              </w:rPr>
            </w:pPr>
          </w:p>
        </w:tc>
        <w:tc>
          <w:tcPr>
            <w:tcW w:w="1180" w:type="dxa"/>
            <w:vAlign w:val="bottom"/>
            <w:shd w:val="clear" w:color="auto" w:fill="C6F4F9"/>
          </w:tcPr>
          <w:p>
            <w:pPr>
              <w:spacing w:after="0"/>
              <w:rPr>
                <w:sz w:val="18"/>
                <w:szCs w:val="18"/>
                <w:color w:val="auto"/>
              </w:rPr>
            </w:pPr>
          </w:p>
        </w:tc>
      </w:tr>
    </w:tbl>
    <w:p>
      <w:pPr>
        <w:spacing w:after="0" w:line="225"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special items table above for more details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one-time costs to establish the Tax Receivable Agreement with our pre-IPO stockholders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adjustment to the TRA for the period, which is recorded in Non-operating Income (Expense)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adjusting items, net is calculated at the Company’s statutory rate for the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regarding the responses contained in this letter, please do not hesitate to contact the undersigned at (651) 905-2718.</w:t>
      </w:r>
    </w:p>
    <w:p>
      <w:pPr>
        <w:spacing w:after="0" w:line="2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Dave Davis,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hanging="552"/>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M. Janson</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00"/>
      </w:cols>
      <w:pgMar w:left="320" w:top="79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2022-08-01T00:19:56Z</dcterms:created>
  <dcterms:modified xsi:type="dcterms:W3CDTF">2022-08-01T00:19:56Z</dcterms:modified>
</cp:coreProperties>
</file>