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Mays Gregory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SUN COUNTRY AIRLINES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2005 CARGO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MINNEAPOLIS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55450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Sun Country Airlines Holdings, Inc.</w:t>
              </w:r>
            </w:hyperlink>
            <w:r>
              <w:rPr/>
              <w:t xml:space="preserve"> [ </w:t>
            </w:r>
            <w:r>
              <w:rPr>
                <w:rFonts w:ascii="Times;serif" w:hAnsi="Times;serif"/>
                <w:color w:val="0000FF"/>
                <w:sz w:val="24"/>
                <w:shd w:fill="FFFFFF" w:val="clear"/>
              </w:rPr>
              <w:t>SNCY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 &amp; EVP</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01/07/2025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16"/>
        <w:gridCol w:w="912"/>
        <w:gridCol w:w="783"/>
        <w:gridCol w:w="606"/>
        <w:gridCol w:w="342"/>
        <w:gridCol w:w="1008"/>
        <w:gridCol w:w="431"/>
        <w:gridCol w:w="983"/>
        <w:gridCol w:w="1129"/>
        <w:gridCol w:w="974"/>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1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1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01/07/2025</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133,836</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5.3</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200,187</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1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01/07/2025</w:t>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133,836</w:t>
            </w:r>
          </w:p>
        </w:tc>
        <w:tc>
          <w:tcPr>
            <w:tcW w:w="4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16.0002</w:t>
            </w:r>
            <w:r>
              <w:rPr>
                <w:rFonts w:ascii="Times;serif" w:hAnsi="Times;serif"/>
                <w:color w:val="008000"/>
                <w:position w:val="7"/>
                <w:sz w:val="16"/>
                <w:sz w:val="20"/>
                <w:shd w:fill="FFFFFF" w:val="clear"/>
              </w:rPr>
              <w:t>(2)</w:t>
            </w:r>
            <w:r>
              <w:rPr/>
              <w:t xml:space="preserve"> </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66,351</w:t>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41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816"/>
        <w:gridCol w:w="906"/>
        <w:gridCol w:w="801"/>
        <w:gridCol w:w="891"/>
        <w:gridCol w:w="921"/>
        <w:gridCol w:w="801"/>
        <w:gridCol w:w="936"/>
        <w:gridCol w:w="831"/>
        <w:gridCol w:w="846"/>
      </w:tblGrid>
      <w:tr>
        <w:trPr>
          <w:tblHeader w:val="true"/>
        </w:trPr>
        <w:tc>
          <w:tcPr>
            <w:tcW w:w="124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01/07/2025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133,836</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133,836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403,506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reported in this Form 4 were effected pursuant to a Rule 10b5-1 trading plan. The 10b5-1 trading plan was adopted on September 4,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$16.00 to $16.04,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(2)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Grants may have a graded vesting schedule. Date Exercisable will vary for each vesting tranche.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Rose Neale, as attorney-in-fact for Gregory Mays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01/10/2025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50885" TargetMode="External"/><Relationship Id="rId5" Type="http://schemas.openxmlformats.org/officeDocument/2006/relationships/hyperlink" Target="http://www.sec.gov/cgi-bin/browse-edgar?action=getcompany&amp;CIK=000174390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735</Words>
  <Characters>3935</Characters>
  <CharactersWithSpaces>4592</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