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12,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Anuja A. Majmudar</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Acceleration Request for 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333-252858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57" w:lineRule="auto"/>
        <w:rPr>
          <w:sz w:val="20"/>
          <w:szCs w:val="20"/>
          <w:color w:val="auto"/>
        </w:rPr>
      </w:pPr>
      <w:r>
        <w:rPr>
          <w:rFonts w:ascii="Arial" w:cs="Arial" w:eastAsia="Arial" w:hAnsi="Arial"/>
          <w:sz w:val="18"/>
          <w:szCs w:val="18"/>
          <w:color w:val="auto"/>
        </w:rPr>
        <w:t>Pursuant to Rule 461 under the Securities Act of 1933, as amended, we, as representatives of the several underwriters, hereby join in the request of Sun Country Airlines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cause the above-referenced Registration Statement on Form S-1 to become effective on March 16, 2021, at 4:00 p.m., Eastern Time, or as soon thereafter as is practicable or at such later time as the Registrant or its outside counsel, Paul, Weiss, Rifkind, Wharton &amp; Garrison LLP may orally request via telephone call to the staff of the Commission.</w:t>
      </w:r>
    </w:p>
    <w:p>
      <w:pPr>
        <w:spacing w:after="0" w:line="188" w:lineRule="exact"/>
        <w:rPr>
          <w:sz w:val="24"/>
          <w:szCs w:val="24"/>
          <w:color w:val="auto"/>
        </w:rPr>
      </w:pPr>
    </w:p>
    <w:p>
      <w:pPr>
        <w:ind w:right="320" w:firstLine="440"/>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84" w:lineRule="exact"/>
        <w:rPr>
          <w:sz w:val="24"/>
          <w:szCs w:val="24"/>
          <w:color w:val="auto"/>
        </w:rPr>
      </w:pPr>
    </w:p>
    <w:p>
      <w:pPr>
        <w:ind w:right="600" w:firstLine="440"/>
        <w:spacing w:after="0" w:line="277" w:lineRule="auto"/>
        <w:rPr>
          <w:sz w:val="20"/>
          <w:szCs w:val="20"/>
          <w:color w:val="auto"/>
        </w:rPr>
      </w:pPr>
      <w:r>
        <w:rPr>
          <w:rFonts w:ascii="Arial" w:cs="Arial" w:eastAsia="Arial" w:hAnsi="Arial"/>
          <w:sz w:val="18"/>
          <w:szCs w:val="18"/>
          <w:color w:val="auto"/>
        </w:rPr>
        <w:t>We, the undersigned, as representatives of the several underwriters, will comply with the requirements of Rule 15c2-8 under the Securities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33" w:right="45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MORGAN STANLEY &amp; CO. LLC</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Luthan T. Hill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Luthan T. Hill III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Underwriters’ Acceleration Request Letter</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2021-08-15T20:43:46Z</dcterms:created>
  <dcterms:modified xsi:type="dcterms:W3CDTF">2021-08-15T20:43:46Z</dcterms:modified>
</cp:coreProperties>
</file>