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649986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9860" cy="33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228600</wp:posOffset>
            </wp:positionV>
            <wp:extent cx="6499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986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UNITED STATES</w:t>
      </w:r>
    </w:p>
    <w:p>
      <w:pPr>
        <w:jc w:val="center"/>
        <w:spacing w:after="0" w:line="237" w:lineRule="auto"/>
        <w:rPr>
          <w:sz w:val="20"/>
          <w:szCs w:val="20"/>
          <w:color w:val="auto"/>
        </w:rPr>
      </w:pPr>
      <w:r>
        <w:rPr>
          <w:rFonts w:ascii="Arial" w:cs="Arial" w:eastAsia="Arial" w:hAnsi="Arial"/>
          <w:sz w:val="17"/>
          <w:szCs w:val="17"/>
          <w:color w:val="auto"/>
        </w:rPr>
        <w:t>SECURITIES AND EXCHANGE COMMISSION</w:t>
      </w:r>
    </w:p>
    <w:p>
      <w:pPr>
        <w:jc w:val="center"/>
        <w:spacing w:after="0"/>
        <w:rPr>
          <w:sz w:val="20"/>
          <w:szCs w:val="20"/>
          <w:color w:val="auto"/>
        </w:rPr>
      </w:pPr>
      <w:r>
        <w:rPr>
          <w:rFonts w:ascii="Arial" w:cs="Arial" w:eastAsia="Arial" w:hAnsi="Arial"/>
          <w:sz w:val="17"/>
          <w:szCs w:val="17"/>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 10-Q</w:t>
      </w:r>
    </w:p>
    <w:p>
      <w:pPr>
        <w:spacing w:after="0" w:line="101" w:lineRule="exact"/>
        <w:rPr>
          <w:sz w:val="24"/>
          <w:szCs w:val="24"/>
          <w:color w:val="auto"/>
        </w:rPr>
      </w:pPr>
    </w:p>
    <w:p>
      <w:pPr>
        <w:ind w:left="760" w:hanging="754"/>
        <w:spacing w:after="0"/>
        <w:tabs>
          <w:tab w:leader="none" w:pos="7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75" w:lineRule="exact"/>
        <w:rPr>
          <w:rFonts w:ascii="MS PGothic" w:cs="MS PGothic" w:eastAsia="MS PGothic" w:hAnsi="MS PGothic"/>
          <w:sz w:val="17"/>
          <w:szCs w:val="17"/>
          <w:color w:val="auto"/>
        </w:rPr>
      </w:pPr>
    </w:p>
    <w:p>
      <w:pPr>
        <w:ind w:left="3400"/>
        <w:spacing w:after="0"/>
        <w:rPr>
          <w:rFonts w:ascii="MS PGothic" w:cs="MS PGothic" w:eastAsia="MS PGothic" w:hAnsi="MS PGothic"/>
          <w:sz w:val="17"/>
          <w:szCs w:val="17"/>
          <w:color w:val="auto"/>
        </w:rPr>
      </w:pPr>
      <w:r>
        <w:rPr>
          <w:rFonts w:ascii="Arial" w:cs="Arial" w:eastAsia="Arial" w:hAnsi="Arial"/>
          <w:sz w:val="17"/>
          <w:szCs w:val="17"/>
          <w:color w:val="auto"/>
        </w:rPr>
        <w:t>For the quarterly period ended June 30, 2021</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140" w:lineRule="exact"/>
        <w:rPr>
          <w:sz w:val="24"/>
          <w:szCs w:val="24"/>
          <w:color w:val="auto"/>
        </w:rPr>
      </w:pPr>
    </w:p>
    <w:p>
      <w:pPr>
        <w:ind w:left="760" w:hanging="754"/>
        <w:spacing w:after="0"/>
        <w:tabs>
          <w:tab w:leader="none" w:pos="7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75" w:lineRule="exact"/>
        <w:rPr>
          <w:rFonts w:ascii="MS PGothic" w:cs="MS PGothic" w:eastAsia="MS PGothic" w:hAnsi="MS PGothic"/>
          <w:sz w:val="17"/>
          <w:szCs w:val="17"/>
          <w:color w:val="auto"/>
        </w:rPr>
      </w:pPr>
    </w:p>
    <w:p>
      <w:pPr>
        <w:ind w:left="3720"/>
        <w:spacing w:after="0"/>
        <w:rPr>
          <w:rFonts w:ascii="MS PGothic" w:cs="MS PGothic" w:eastAsia="MS PGothic" w:hAnsi="MS PGothic"/>
          <w:sz w:val="17"/>
          <w:szCs w:val="17"/>
          <w:color w:val="auto"/>
        </w:rPr>
      </w:pPr>
      <w:r>
        <w:rPr>
          <w:rFonts w:ascii="Arial" w:cs="Arial" w:eastAsia="Arial" w:hAnsi="Arial"/>
          <w:sz w:val="17"/>
          <w:szCs w:val="17"/>
          <w:color w:val="auto"/>
        </w:rPr>
        <w:t>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1903095</wp:posOffset>
            </wp:positionH>
            <wp:positionV relativeFrom="paragraph">
              <wp:posOffset>73025</wp:posOffset>
            </wp:positionV>
            <wp:extent cx="2701290" cy="343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01290" cy="3435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Sun Country Airlines Holdings,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25" w:lineRule="exact"/>
        <w:rPr>
          <w:sz w:val="24"/>
          <w:szCs w:val="24"/>
          <w:color w:val="auto"/>
        </w:rPr>
      </w:pPr>
    </w:p>
    <w:tbl>
      <w:tblPr>
        <w:tblLayout w:type="fixed"/>
        <w:tblInd w:w="280" w:type="dxa"/>
        <w:tblCellMar>
          <w:top w:w="0" w:type="dxa"/>
          <w:left w:w="0" w:type="dxa"/>
          <w:bottom w:w="0" w:type="dxa"/>
          <w:right w:w="0" w:type="dxa"/>
        </w:tblCellMar>
      </w:tblPr>
      <w:tr>
        <w:trPr>
          <w:trHeight w:val="195"/>
        </w:trPr>
        <w:tc>
          <w:tcPr>
            <w:tcW w:w="5300" w:type="dxa"/>
            <w:vAlign w:val="bottom"/>
          </w:tcPr>
          <w:p>
            <w:pPr>
              <w:jc w:val="center"/>
              <w:ind w:right="774"/>
              <w:spacing w:after="0"/>
              <w:rPr>
                <w:sz w:val="20"/>
                <w:szCs w:val="20"/>
                <w:color w:val="auto"/>
              </w:rPr>
            </w:pPr>
            <w:r>
              <w:rPr>
                <w:rFonts w:ascii="Arial" w:cs="Arial" w:eastAsia="Arial" w:hAnsi="Arial"/>
                <w:sz w:val="17"/>
                <w:szCs w:val="17"/>
                <w:color w:val="auto"/>
              </w:rPr>
              <w:t>Delaware</w:t>
            </w:r>
          </w:p>
        </w:tc>
        <w:tc>
          <w:tcPr>
            <w:tcW w:w="3520" w:type="dxa"/>
            <w:vAlign w:val="bottom"/>
          </w:tcPr>
          <w:p>
            <w:pPr>
              <w:jc w:val="right"/>
              <w:ind w:right="774"/>
              <w:spacing w:after="0"/>
              <w:rPr>
                <w:sz w:val="20"/>
                <w:szCs w:val="20"/>
                <w:color w:val="auto"/>
              </w:rPr>
            </w:pPr>
            <w:r>
              <w:rPr>
                <w:rFonts w:ascii="Arial" w:cs="Arial" w:eastAsia="Arial" w:hAnsi="Arial"/>
                <w:sz w:val="17"/>
                <w:szCs w:val="17"/>
                <w:color w:val="auto"/>
              </w:rPr>
              <w:t>82-4092570</w:t>
            </w:r>
          </w:p>
        </w:tc>
      </w:tr>
      <w:tr>
        <w:trPr>
          <w:trHeight w:val="206"/>
        </w:trPr>
        <w:tc>
          <w:tcPr>
            <w:tcW w:w="5300" w:type="dxa"/>
            <w:vAlign w:val="bottom"/>
          </w:tcPr>
          <w:p>
            <w:pPr>
              <w:jc w:val="center"/>
              <w:ind w:right="774"/>
              <w:spacing w:after="0"/>
              <w:rPr>
                <w:sz w:val="20"/>
                <w:szCs w:val="20"/>
                <w:color w:val="auto"/>
              </w:rPr>
            </w:pPr>
            <w:r>
              <w:rPr>
                <w:rFonts w:ascii="Arial" w:cs="Arial" w:eastAsia="Arial" w:hAnsi="Arial"/>
                <w:sz w:val="17"/>
                <w:szCs w:val="17"/>
                <w:color w:val="auto"/>
              </w:rPr>
              <w:t>(State or other jurisdiction of incorporation or organization)</w:t>
            </w:r>
          </w:p>
        </w:tc>
        <w:tc>
          <w:tcPr>
            <w:tcW w:w="3520" w:type="dxa"/>
            <w:vAlign w:val="bottom"/>
          </w:tcPr>
          <w:p>
            <w:pPr>
              <w:jc w:val="center"/>
              <w:ind w:left="794"/>
              <w:spacing w:after="0"/>
              <w:rPr>
                <w:sz w:val="20"/>
                <w:szCs w:val="20"/>
                <w:color w:val="auto"/>
              </w:rPr>
            </w:pPr>
            <w:r>
              <w:rPr>
                <w:rFonts w:ascii="Arial" w:cs="Arial" w:eastAsia="Arial" w:hAnsi="Arial"/>
                <w:sz w:val="17"/>
                <w:szCs w:val="17"/>
                <w:color w:val="auto"/>
              </w:rPr>
              <w:t>(I.R.S. Employer Identification No.)</w:t>
            </w:r>
          </w:p>
        </w:tc>
      </w:tr>
      <w:tr>
        <w:trPr>
          <w:trHeight w:val="375"/>
        </w:trPr>
        <w:tc>
          <w:tcPr>
            <w:tcW w:w="5300" w:type="dxa"/>
            <w:vAlign w:val="bottom"/>
          </w:tcPr>
          <w:p>
            <w:pPr>
              <w:jc w:val="center"/>
              <w:ind w:right="774"/>
              <w:spacing w:after="0"/>
              <w:rPr>
                <w:sz w:val="20"/>
                <w:szCs w:val="20"/>
                <w:color w:val="auto"/>
              </w:rPr>
            </w:pPr>
            <w:r>
              <w:rPr>
                <w:rFonts w:ascii="Arial" w:cs="Arial" w:eastAsia="Arial" w:hAnsi="Arial"/>
                <w:sz w:val="17"/>
                <w:szCs w:val="17"/>
                <w:color w:val="auto"/>
              </w:rPr>
              <w:t>2005 Cargo Road</w:t>
            </w:r>
          </w:p>
        </w:tc>
        <w:tc>
          <w:tcPr>
            <w:tcW w:w="3520" w:type="dxa"/>
            <w:vAlign w:val="bottom"/>
          </w:tcPr>
          <w:p>
            <w:pPr>
              <w:spacing w:after="0"/>
              <w:rPr>
                <w:sz w:val="24"/>
                <w:szCs w:val="24"/>
                <w:color w:val="auto"/>
              </w:rPr>
            </w:pPr>
          </w:p>
        </w:tc>
      </w:tr>
      <w:tr>
        <w:trPr>
          <w:trHeight w:val="193"/>
        </w:trPr>
        <w:tc>
          <w:tcPr>
            <w:tcW w:w="5300" w:type="dxa"/>
            <w:vAlign w:val="bottom"/>
          </w:tcPr>
          <w:p>
            <w:pPr>
              <w:jc w:val="center"/>
              <w:ind w:right="774"/>
              <w:spacing w:after="0" w:line="194" w:lineRule="exact"/>
              <w:rPr>
                <w:sz w:val="20"/>
                <w:szCs w:val="20"/>
                <w:color w:val="auto"/>
              </w:rPr>
            </w:pPr>
            <w:r>
              <w:rPr>
                <w:rFonts w:ascii="Arial" w:cs="Arial" w:eastAsia="Arial" w:hAnsi="Arial"/>
                <w:sz w:val="17"/>
                <w:szCs w:val="17"/>
                <w:color w:val="auto"/>
              </w:rPr>
              <w:t>Minneapolis, Minnesota</w:t>
            </w:r>
          </w:p>
        </w:tc>
        <w:tc>
          <w:tcPr>
            <w:tcW w:w="3520" w:type="dxa"/>
            <w:vAlign w:val="bottom"/>
          </w:tcPr>
          <w:p>
            <w:pPr>
              <w:jc w:val="right"/>
              <w:ind w:right="994"/>
              <w:spacing w:after="0" w:line="194" w:lineRule="exact"/>
              <w:rPr>
                <w:sz w:val="20"/>
                <w:szCs w:val="20"/>
                <w:color w:val="auto"/>
              </w:rPr>
            </w:pPr>
            <w:r>
              <w:rPr>
                <w:rFonts w:ascii="Arial" w:cs="Arial" w:eastAsia="Arial" w:hAnsi="Arial"/>
                <w:sz w:val="17"/>
                <w:szCs w:val="17"/>
                <w:color w:val="auto"/>
              </w:rPr>
              <w:t>55450</w:t>
            </w:r>
          </w:p>
        </w:tc>
      </w:tr>
      <w:tr>
        <w:trPr>
          <w:trHeight w:val="206"/>
        </w:trPr>
        <w:tc>
          <w:tcPr>
            <w:tcW w:w="5300" w:type="dxa"/>
            <w:vAlign w:val="bottom"/>
          </w:tcPr>
          <w:p>
            <w:pPr>
              <w:jc w:val="center"/>
              <w:ind w:right="774"/>
              <w:spacing w:after="0"/>
              <w:rPr>
                <w:sz w:val="20"/>
                <w:szCs w:val="20"/>
                <w:color w:val="auto"/>
              </w:rPr>
            </w:pPr>
            <w:r>
              <w:rPr>
                <w:rFonts w:ascii="Arial" w:cs="Arial" w:eastAsia="Arial" w:hAnsi="Arial"/>
                <w:sz w:val="17"/>
                <w:szCs w:val="17"/>
                <w:color w:val="auto"/>
              </w:rPr>
              <w:t>(Address of principal executive offices)</w:t>
            </w:r>
          </w:p>
        </w:tc>
        <w:tc>
          <w:tcPr>
            <w:tcW w:w="3520" w:type="dxa"/>
            <w:vAlign w:val="bottom"/>
          </w:tcPr>
          <w:p>
            <w:pPr>
              <w:jc w:val="center"/>
              <w:ind w:left="814"/>
              <w:spacing w:after="0"/>
              <w:rPr>
                <w:sz w:val="20"/>
                <w:szCs w:val="20"/>
                <w:color w:val="auto"/>
              </w:rPr>
            </w:pPr>
            <w:r>
              <w:rPr>
                <w:rFonts w:ascii="Arial" w:cs="Arial" w:eastAsia="Arial" w:hAnsi="Arial"/>
                <w:sz w:val="17"/>
                <w:szCs w:val="17"/>
                <w:color w:val="auto"/>
              </w:rPr>
              <w:t>(Zip Code)</w:t>
            </w:r>
          </w:p>
        </w:tc>
      </w:tr>
    </w:tbl>
    <w:p>
      <w:pPr>
        <w:spacing w:after="0" w:line="6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 (651) 681-3900</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31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080" w:type="dxa"/>
            <w:vAlign w:val="bottom"/>
            <w:gridSpan w:val="2"/>
          </w:tcPr>
          <w:p>
            <w:pPr>
              <w:jc w:val="center"/>
              <w:ind w:right="320"/>
              <w:spacing w:after="0"/>
              <w:rPr>
                <w:sz w:val="20"/>
                <w:szCs w:val="20"/>
                <w:color w:val="auto"/>
              </w:rPr>
            </w:pPr>
            <w:r>
              <w:rPr>
                <w:rFonts w:ascii="Arial" w:cs="Arial" w:eastAsia="Arial" w:hAnsi="Arial"/>
                <w:sz w:val="17"/>
                <w:szCs w:val="17"/>
                <w:color w:val="auto"/>
                <w:w w:val="99"/>
              </w:rPr>
              <w:t>Title of each class</w:t>
            </w:r>
          </w:p>
        </w:tc>
        <w:tc>
          <w:tcPr>
            <w:tcW w:w="2360" w:type="dxa"/>
            <w:vAlign w:val="bottom"/>
            <w:gridSpan w:val="2"/>
          </w:tcPr>
          <w:p>
            <w:pPr>
              <w:jc w:val="center"/>
              <w:ind w:right="320"/>
              <w:spacing w:after="0"/>
              <w:rPr>
                <w:sz w:val="20"/>
                <w:szCs w:val="20"/>
                <w:color w:val="auto"/>
              </w:rPr>
            </w:pPr>
            <w:r>
              <w:rPr>
                <w:rFonts w:ascii="Arial" w:cs="Arial" w:eastAsia="Arial" w:hAnsi="Arial"/>
                <w:sz w:val="17"/>
                <w:szCs w:val="17"/>
                <w:color w:val="auto"/>
              </w:rPr>
              <w:t>Trading Symbol</w:t>
            </w:r>
          </w:p>
        </w:tc>
        <w:tc>
          <w:tcPr>
            <w:tcW w:w="3800" w:type="dxa"/>
            <w:vAlign w:val="bottom"/>
          </w:tcPr>
          <w:p>
            <w:pPr>
              <w:jc w:val="center"/>
              <w:spacing w:after="0"/>
              <w:rPr>
                <w:sz w:val="20"/>
                <w:szCs w:val="20"/>
                <w:color w:val="auto"/>
              </w:rPr>
            </w:pPr>
            <w:r>
              <w:rPr>
                <w:rFonts w:ascii="Arial" w:cs="Arial" w:eastAsia="Arial" w:hAnsi="Arial"/>
                <w:sz w:val="17"/>
                <w:szCs w:val="17"/>
                <w:color w:val="auto"/>
              </w:rPr>
              <w:t>Name of each exchange on which registered</w:t>
            </w:r>
          </w:p>
        </w:tc>
      </w:tr>
      <w:tr>
        <w:trPr>
          <w:trHeight w:val="198"/>
        </w:trPr>
        <w:tc>
          <w:tcPr>
            <w:tcW w:w="37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Common Stock, par value $0.01 per share</w:t>
            </w:r>
          </w:p>
        </w:tc>
        <w:tc>
          <w:tcPr>
            <w:tcW w:w="3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SNCY</w:t>
            </w:r>
          </w:p>
        </w:tc>
        <w:tc>
          <w:tcPr>
            <w:tcW w:w="340" w:type="dxa"/>
            <w:vAlign w:val="bottom"/>
          </w:tcPr>
          <w:p>
            <w:pPr>
              <w:spacing w:after="0"/>
              <w:rPr>
                <w:sz w:val="17"/>
                <w:szCs w:val="17"/>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The Nasdaq Stock Market LLC</w:t>
            </w:r>
          </w:p>
        </w:tc>
      </w:tr>
    </w:tbl>
    <w:p>
      <w:pPr>
        <w:spacing w:after="0" w:line="64" w:lineRule="exact"/>
        <w:rPr>
          <w:sz w:val="24"/>
          <w:szCs w:val="24"/>
          <w:color w:val="auto"/>
        </w:rPr>
      </w:pPr>
    </w:p>
    <w:p>
      <w:pPr>
        <w:ind w:right="100" w:firstLine="309"/>
        <w:spacing w:after="0" w:line="243"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8" w:lineRule="exact"/>
        <w:rPr>
          <w:sz w:val="24"/>
          <w:szCs w:val="24"/>
          <w:color w:val="auto"/>
        </w:rPr>
      </w:pPr>
    </w:p>
    <w:p>
      <w:pPr>
        <w:jc w:val="cente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1" w:lineRule="exact"/>
        <w:rPr>
          <w:sz w:val="24"/>
          <w:szCs w:val="24"/>
          <w:color w:val="auto"/>
        </w:rPr>
      </w:pPr>
    </w:p>
    <w:p>
      <w:pPr>
        <w:ind w:right="140" w:firstLine="309"/>
        <w:spacing w:after="0" w:line="243"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1" w:lineRule="exact"/>
        <w:rPr>
          <w:sz w:val="24"/>
          <w:szCs w:val="24"/>
          <w:color w:val="auto"/>
        </w:rPr>
      </w:pPr>
    </w:p>
    <w:p>
      <w:pPr>
        <w:jc w:val="cente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1" w:lineRule="exact"/>
        <w:rPr>
          <w:sz w:val="24"/>
          <w:szCs w:val="24"/>
          <w:color w:val="auto"/>
        </w:rPr>
      </w:pPr>
    </w:p>
    <w:p>
      <w:pPr>
        <w:ind w:right="340" w:firstLine="309"/>
        <w:spacing w:after="0" w:line="24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54" w:right="839" w:bottom="1440" w:gutter="0" w:footer="0" w:header="0"/>
        </w:sectPr>
      </w:pPr>
    </w:p>
    <w:p>
      <w:pPr>
        <w:spacing w:after="0" w:line="296" w:lineRule="exact"/>
        <w:rPr>
          <w:sz w:val="24"/>
          <w:szCs w:val="24"/>
          <w:color w:val="auto"/>
        </w:rPr>
      </w:pPr>
    </w:p>
    <w:p>
      <w:pPr>
        <w:ind w:left="136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ind w:firstLine="821"/>
        <w:spacing w:after="0" w:line="265" w:lineRule="auto"/>
        <w:rPr>
          <w:sz w:val="20"/>
          <w:szCs w:val="20"/>
          <w:color w:val="auto"/>
        </w:rPr>
      </w:pPr>
      <w:r>
        <w:rPr>
          <w:rFonts w:ascii="Arial" w:cs="Arial" w:eastAsia="Arial" w:hAnsi="Arial"/>
          <w:sz w:val="17"/>
          <w:szCs w:val="17"/>
          <w:color w:val="auto"/>
        </w:rPr>
        <w:t>Accelerated filer Smaller reporting company</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both"/>
        <w:ind w:firstLine="459"/>
        <w:spacing w:after="0" w:line="265" w:lineRule="auto"/>
        <w:rPr>
          <w:sz w:val="20"/>
          <w:szCs w:val="20"/>
          <w:color w:val="auto"/>
        </w:rPr>
      </w:pPr>
      <w:r>
        <w:rPr>
          <w:rFonts w:ascii="Arial" w:cs="Arial" w:eastAsia="Arial" w:hAnsi="Arial"/>
          <w:sz w:val="17"/>
          <w:szCs w:val="17"/>
          <w:color w:val="auto"/>
        </w:rPr>
        <w:t>Non-accelerated filer Emerging growth company</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ectPr>
          <w:pgSz w:w="11900" w:h="16838" w:orient="portrait"/>
          <w:cols w:equalWidth="0" w:num="6">
            <w:col w:w="3060" w:space="200"/>
            <w:col w:w="180" w:space="720"/>
            <w:col w:w="2060" w:space="200"/>
            <w:col w:w="720" w:space="720"/>
            <w:col w:w="2040" w:space="180"/>
            <w:col w:w="160"/>
          </w:cols>
          <w:pgMar w:left="820" w:top="654" w:right="839" w:bottom="1440" w:gutter="0" w:footer="0" w:header="0"/>
          <w:type w:val="continuous"/>
        </w:sectPr>
      </w:pPr>
    </w:p>
    <w:p>
      <w:pPr>
        <w:ind w:right="220" w:firstLine="309"/>
        <w:spacing w:after="0" w:line="21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8" w:lineRule="exact"/>
        <w:rPr>
          <w:sz w:val="24"/>
          <w:szCs w:val="24"/>
          <w:color w:val="auto"/>
        </w:rPr>
      </w:pPr>
    </w:p>
    <w:p>
      <w:pPr>
        <w:jc w:val="center"/>
        <w:ind w:right="102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83" w:lineRule="exact"/>
        <w:rPr>
          <w:sz w:val="24"/>
          <w:szCs w:val="24"/>
          <w:color w:val="auto"/>
        </w:rPr>
      </w:pPr>
    </w:p>
    <w:p>
      <w:pPr>
        <w:jc w:val="cente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Number of shares outstanding by each class of common stock, as of June 30, 2021:</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Common Stock, $0.01 par value – 57,158,467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449580</wp:posOffset>
            </wp:positionV>
            <wp:extent cx="649986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9860" cy="247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48260</wp:posOffset>
            </wp:positionV>
            <wp:extent cx="6499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9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89535</wp:posOffset>
            </wp:positionV>
            <wp:extent cx="6499860"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9860" cy="33020"/>
                    </a:xfrm>
                    <a:prstGeom prst="rect">
                      <a:avLst/>
                    </a:prstGeom>
                    <a:noFill/>
                  </pic:spPr>
                </pic:pic>
              </a:graphicData>
            </a:graphic>
          </wp:anchor>
        </w:drawing>
      </w:r>
    </w:p>
    <w:p>
      <w:pPr>
        <w:sectPr>
          <w:pgSz w:w="11900" w:h="16838" w:orient="portrait"/>
          <w:cols w:equalWidth="0" w:num="1">
            <w:col w:w="10240"/>
          </w:cols>
          <w:pgMar w:left="820" w:top="654" w:right="839" w:bottom="1440" w:gutter="0" w:footer="0" w:header="0"/>
          <w:type w:val="continuous"/>
        </w:sectPr>
      </w:pPr>
    </w:p>
    <w:bookmarkStart w:id="1" w:name="page2"/>
    <w:bookmarkEnd w:id="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Sun Country Airlines Holdings,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10-Q</w:t>
      </w:r>
    </w:p>
    <w:p>
      <w:pPr>
        <w:jc w:val="center"/>
        <w:ind w:right="19"/>
        <w:spacing w:after="0"/>
        <w:rPr>
          <w:sz w:val="20"/>
          <w:szCs w:val="20"/>
          <w:color w:val="auto"/>
        </w:rPr>
      </w:pPr>
      <w:r>
        <w:rPr>
          <w:rFonts w:ascii="Arial" w:cs="Arial" w:eastAsia="Arial" w:hAnsi="Arial"/>
          <w:sz w:val="17"/>
          <w:szCs w:val="17"/>
          <w:b w:val="1"/>
          <w:bCs w:val="1"/>
          <w:color w:val="auto"/>
        </w:rPr>
        <w:t>Table of Contents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Page</w:t>
            </w:r>
          </w:p>
        </w:tc>
      </w:tr>
      <w:tr>
        <w:trPr>
          <w:trHeight w:val="354"/>
        </w:trPr>
        <w:tc>
          <w:tcPr>
            <w:tcW w:w="8380" w:type="dxa"/>
            <w:vAlign w:val="bottom"/>
            <w:gridSpan w:val="38"/>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Part I. Financial Information</w:t>
              </w:r>
            </w:hyperlink>
          </w:p>
        </w:tc>
        <w:tc>
          <w:tcPr>
            <w:tcW w:w="540" w:type="dxa"/>
            <w:vAlign w:val="bottom"/>
          </w:tcPr>
          <w:p>
            <w:pPr>
              <w:spacing w:after="0"/>
              <w:rPr>
                <w:sz w:val="24"/>
                <w:szCs w:val="24"/>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3"/>
        </w:trPr>
        <w:tc>
          <w:tcPr>
            <w:tcW w:w="260" w:type="dxa"/>
            <w:vAlign w:val="bottom"/>
          </w:tcPr>
          <w:p>
            <w:pPr>
              <w:spacing w:after="0"/>
              <w:rPr>
                <w:sz w:val="15"/>
                <w:szCs w:val="15"/>
                <w:color w:val="auto"/>
              </w:rPr>
            </w:pPr>
          </w:p>
        </w:tc>
        <w:tc>
          <w:tcPr>
            <w:tcW w:w="2180" w:type="dxa"/>
            <w:vAlign w:val="bottom"/>
            <w:tcBorders>
              <w:bottom w:val="single" w:sz="8" w:color="0000EE"/>
            </w:tcBorders>
            <w:gridSpan w:val="16"/>
          </w:tcPr>
          <w:p>
            <w:pPr>
              <w:spacing w:after="0" w:line="173" w:lineRule="exact"/>
              <w:rPr>
                <w:rFonts w:ascii="Arial" w:cs="Arial" w:eastAsia="Arial" w:hAnsi="Arial"/>
                <w:sz w:val="17"/>
                <w:szCs w:val="17"/>
                <w:color w:val="0000EE"/>
              </w:rPr>
            </w:pPr>
            <w:hyperlink w:anchor="page3">
              <w:r>
                <w:rPr>
                  <w:rFonts w:ascii="Arial" w:cs="Arial" w:eastAsia="Arial" w:hAnsi="Arial"/>
                  <w:sz w:val="17"/>
                  <w:szCs w:val="17"/>
                  <w:color w:val="0000EE"/>
                </w:rPr>
                <w:t>Item 1. Financial Statements</w:t>
              </w:r>
            </w:hyperlink>
          </w:p>
        </w:tc>
        <w:tc>
          <w:tcPr>
            <w:tcW w:w="5940" w:type="dxa"/>
            <w:vAlign w:val="bottom"/>
            <w:gridSpan w:val="21"/>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w w:val="84"/>
              </w:rPr>
              <w:t>3</w:t>
            </w:r>
          </w:p>
        </w:tc>
      </w:tr>
      <w:tr>
        <w:trPr>
          <w:trHeight w:val="173"/>
        </w:trPr>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0" w:type="dxa"/>
            <w:vAlign w:val="bottom"/>
            <w:tcBorders>
              <w:bottom w:val="single" w:sz="8" w:color="0000EE"/>
            </w:tcBorders>
            <w:gridSpan w:val="25"/>
          </w:tcPr>
          <w:p>
            <w:pPr>
              <w:spacing w:after="0" w:line="173" w:lineRule="exact"/>
              <w:rPr>
                <w:rFonts w:ascii="Arial" w:cs="Arial" w:eastAsia="Arial" w:hAnsi="Arial"/>
                <w:sz w:val="17"/>
                <w:szCs w:val="17"/>
                <w:color w:val="0000EE"/>
              </w:rPr>
            </w:pPr>
            <w:hyperlink w:anchor="page3">
              <w:r>
                <w:rPr>
                  <w:rFonts w:ascii="Arial" w:cs="Arial" w:eastAsia="Arial" w:hAnsi="Arial"/>
                  <w:sz w:val="17"/>
                  <w:szCs w:val="17"/>
                  <w:color w:val="0000EE"/>
                </w:rPr>
                <w:t>Condensed Consolidated Balance Sheets</w:t>
              </w:r>
            </w:hyperlink>
          </w:p>
        </w:tc>
        <w:tc>
          <w:tcPr>
            <w:tcW w:w="4680" w:type="dxa"/>
            <w:vAlign w:val="bottom"/>
            <w:gridSpan w:val="10"/>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w w:val="84"/>
              </w:rPr>
              <w:t>3</w:t>
            </w:r>
          </w:p>
        </w:tc>
      </w:tr>
      <w:tr>
        <w:trPr>
          <w:trHeight w:val="173"/>
        </w:trPr>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40" w:type="dxa"/>
            <w:vAlign w:val="bottom"/>
            <w:tcBorders>
              <w:bottom w:val="single" w:sz="8" w:color="0000EE"/>
            </w:tcBorders>
            <w:gridSpan w:val="28"/>
          </w:tcPr>
          <w:p>
            <w:pPr>
              <w:spacing w:after="0" w:line="173" w:lineRule="exact"/>
              <w:rPr>
                <w:rFonts w:ascii="Arial" w:cs="Arial" w:eastAsia="Arial" w:hAnsi="Arial"/>
                <w:sz w:val="17"/>
                <w:szCs w:val="17"/>
                <w:color w:val="0000EE"/>
              </w:rPr>
            </w:pPr>
            <w:hyperlink w:anchor="page5">
              <w:r>
                <w:rPr>
                  <w:rFonts w:ascii="Arial" w:cs="Arial" w:eastAsia="Arial" w:hAnsi="Arial"/>
                  <w:sz w:val="17"/>
                  <w:szCs w:val="17"/>
                  <w:color w:val="0000EE"/>
                </w:rPr>
                <w:t>Condensed Consolidated Statements of Operations</w:t>
              </w:r>
            </w:hyperlink>
          </w:p>
        </w:tc>
        <w:tc>
          <w:tcPr>
            <w:tcW w:w="3940" w:type="dxa"/>
            <w:vAlign w:val="bottom"/>
            <w:gridSpan w:val="7"/>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w w:val="84"/>
              </w:rPr>
              <w:t>5</w:t>
            </w:r>
          </w:p>
        </w:tc>
      </w:tr>
      <w:tr>
        <w:trPr>
          <w:trHeight w:val="173"/>
        </w:trPr>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80" w:type="dxa"/>
            <w:vAlign w:val="bottom"/>
            <w:gridSpan w:val="35"/>
          </w:tcPr>
          <w:p>
            <w:pPr>
              <w:spacing w:after="0" w:line="173" w:lineRule="exact"/>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Statements of Changes in Stockholders’ Equity</w:t>
              </w:r>
            </w:hyperlink>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w w:val="84"/>
              </w:rPr>
              <w:t>6</w:t>
            </w:r>
          </w:p>
        </w:tc>
      </w:tr>
      <w:tr>
        <w:trPr>
          <w:trHeight w:val="173"/>
        </w:trPr>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60" w:type="dxa"/>
            <w:vAlign w:val="bottom"/>
            <w:tcBorders>
              <w:top w:val="single" w:sz="8" w:color="0000EE"/>
            </w:tcBorders>
            <w:gridSpan w:val="33"/>
          </w:tcPr>
          <w:p>
            <w:pPr>
              <w:spacing w:after="0" w:line="173" w:lineRule="exact"/>
              <w:rPr>
                <w:rFonts w:ascii="Arial" w:cs="Arial" w:eastAsia="Arial" w:hAnsi="Arial"/>
                <w:sz w:val="17"/>
                <w:szCs w:val="17"/>
                <w:color w:val="0000EE"/>
              </w:rPr>
            </w:pPr>
            <w:hyperlink w:anchor="page7">
              <w:r>
                <w:rPr>
                  <w:rFonts w:ascii="Arial" w:cs="Arial" w:eastAsia="Arial" w:hAnsi="Arial"/>
                  <w:sz w:val="17"/>
                  <w:szCs w:val="17"/>
                  <w:color w:val="0000EE"/>
                </w:rPr>
                <w:t>Condensed Consolidated Statements of Cash Flows</w:t>
              </w:r>
            </w:hyperlink>
          </w:p>
        </w:tc>
        <w:tc>
          <w:tcPr>
            <w:tcW w:w="2320" w:type="dxa"/>
            <w:vAlign w:val="bottom"/>
            <w:gridSpan w:val="2"/>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w w:val="84"/>
              </w:rPr>
              <w:t>7</w:t>
            </w:r>
          </w:p>
        </w:tc>
      </w:tr>
      <w:tr>
        <w:trPr>
          <w:trHeight w:val="20"/>
        </w:trPr>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67"/>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80" w:type="dxa"/>
            <w:vAlign w:val="bottom"/>
            <w:gridSpan w:val="35"/>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Notes to the Condensed Consolidated Financial Statements</w:t>
              </w:r>
            </w:hyperlink>
          </w:p>
        </w:tc>
        <w:tc>
          <w:tcPr>
            <w:tcW w:w="540" w:type="dxa"/>
            <w:vAlign w:val="bottom"/>
          </w:tcPr>
          <w:p>
            <w:pPr>
              <w:jc w:val="center"/>
              <w:spacing w:after="0"/>
              <w:rPr>
                <w:sz w:val="20"/>
                <w:szCs w:val="20"/>
                <w:color w:val="auto"/>
              </w:rPr>
            </w:pPr>
            <w:r>
              <w:rPr>
                <w:rFonts w:ascii="Arial" w:cs="Arial" w:eastAsia="Arial" w:hAnsi="Arial"/>
                <w:sz w:val="17"/>
                <w:szCs w:val="17"/>
                <w:color w:val="auto"/>
                <w:w w:val="84"/>
              </w:rPr>
              <w:t>8</w:t>
            </w:r>
          </w:p>
        </w:tc>
      </w:tr>
      <w:tr>
        <w:trPr>
          <w:trHeight w:val="367"/>
        </w:trPr>
        <w:tc>
          <w:tcPr>
            <w:tcW w:w="500" w:type="dxa"/>
            <w:vAlign w:val="bottom"/>
            <w:gridSpan w:val="3"/>
          </w:tcPr>
          <w:p>
            <w:pPr>
              <w:spacing w:after="0"/>
              <w:rPr>
                <w:sz w:val="24"/>
                <w:szCs w:val="24"/>
                <w:color w:val="auto"/>
              </w:rPr>
            </w:pPr>
          </w:p>
        </w:tc>
        <w:tc>
          <w:tcPr>
            <w:tcW w:w="340" w:type="dxa"/>
            <w:vAlign w:val="bottom"/>
            <w:tcBorders>
              <w:top w:val="single" w:sz="8" w:color="0000EE"/>
            </w:tcBorders>
            <w:gridSpan w:val="3"/>
          </w:tcPr>
          <w:p>
            <w:pPr>
              <w:spacing w:after="0"/>
              <w:rPr>
                <w:sz w:val="24"/>
                <w:szCs w:val="24"/>
                <w:color w:val="auto"/>
              </w:rPr>
            </w:pPr>
          </w:p>
        </w:tc>
        <w:tc>
          <w:tcPr>
            <w:tcW w:w="60" w:type="dxa"/>
            <w:vAlign w:val="bottom"/>
            <w:tcBorders>
              <w:top w:val="single" w:sz="8" w:color="0000EE"/>
            </w:tcBorders>
          </w:tcPr>
          <w:p>
            <w:pPr>
              <w:jc w:val="right"/>
              <w:spacing w:after="0"/>
              <w:rPr>
                <w:rFonts w:ascii="Arial" w:cs="Arial" w:eastAsia="Arial" w:hAnsi="Arial"/>
                <w:sz w:val="10"/>
                <w:szCs w:val="10"/>
                <w:color w:val="0000EE"/>
                <w:w w:val="71"/>
              </w:rPr>
            </w:pPr>
            <w:hyperlink w:anchor="page8">
              <w:r>
                <w:rPr>
                  <w:rFonts w:ascii="Arial" w:cs="Arial" w:eastAsia="Arial" w:hAnsi="Arial"/>
                  <w:sz w:val="10"/>
                  <w:szCs w:val="10"/>
                  <w:color w:val="0000EE"/>
                  <w:w w:val="71"/>
                </w:rPr>
                <w:t>1</w:t>
              </w:r>
            </w:hyperlink>
          </w:p>
        </w:tc>
        <w:tc>
          <w:tcPr>
            <w:tcW w:w="240" w:type="dxa"/>
            <w:vAlign w:val="bottom"/>
            <w:tcBorders>
              <w:top w:val="single" w:sz="8" w:color="0000EE"/>
            </w:tcBorders>
          </w:tcPr>
          <w:p>
            <w:pPr>
              <w:spacing w:after="0"/>
              <w:rPr>
                <w:sz w:val="24"/>
                <w:szCs w:val="24"/>
                <w:color w:val="auto"/>
              </w:rPr>
            </w:pPr>
          </w:p>
        </w:tc>
        <w:tc>
          <w:tcPr>
            <w:tcW w:w="3920" w:type="dxa"/>
            <w:vAlign w:val="bottom"/>
            <w:tcBorders>
              <w:top w:val="single" w:sz="8" w:color="0000EE"/>
            </w:tcBorders>
            <w:gridSpan w:val="25"/>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Company Background</w:t>
              </w:r>
            </w:hyperlink>
          </w:p>
        </w:tc>
        <w:tc>
          <w:tcPr>
            <w:tcW w:w="3320" w:type="dxa"/>
            <w:vAlign w:val="bottom"/>
            <w:gridSpan w:val="5"/>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84"/>
              </w:rPr>
              <w:t>8</w:t>
            </w:r>
          </w:p>
        </w:tc>
      </w:tr>
      <w:tr>
        <w:trPr>
          <w:trHeight w:val="173"/>
        </w:trPr>
        <w:tc>
          <w:tcPr>
            <w:tcW w:w="840" w:type="dxa"/>
            <w:vAlign w:val="bottom"/>
            <w:gridSpan w:val="6"/>
          </w:tcPr>
          <w:p>
            <w:pPr>
              <w:spacing w:after="0"/>
              <w:rPr>
                <w:sz w:val="15"/>
                <w:szCs w:val="15"/>
                <w:color w:val="auto"/>
              </w:rPr>
            </w:pPr>
          </w:p>
        </w:tc>
        <w:tc>
          <w:tcPr>
            <w:tcW w:w="60" w:type="dxa"/>
            <w:vAlign w:val="bottom"/>
            <w:tcBorders>
              <w:top w:val="single" w:sz="8" w:color="0000EE"/>
            </w:tcBorders>
          </w:tcPr>
          <w:p>
            <w:pPr>
              <w:jc w:val="right"/>
              <w:spacing w:after="0"/>
              <w:rPr>
                <w:rFonts w:ascii="Arial" w:cs="Arial" w:eastAsia="Arial" w:hAnsi="Arial"/>
                <w:sz w:val="10"/>
                <w:szCs w:val="10"/>
                <w:color w:val="0000EE"/>
                <w:w w:val="71"/>
              </w:rPr>
            </w:pPr>
            <w:hyperlink w:anchor="page9">
              <w:r>
                <w:rPr>
                  <w:rFonts w:ascii="Arial" w:cs="Arial" w:eastAsia="Arial" w:hAnsi="Arial"/>
                  <w:sz w:val="10"/>
                  <w:szCs w:val="10"/>
                  <w:color w:val="0000EE"/>
                  <w:w w:val="71"/>
                </w:rPr>
                <w:t>2</w:t>
              </w:r>
            </w:hyperlink>
          </w:p>
        </w:tc>
        <w:tc>
          <w:tcPr>
            <w:tcW w:w="240" w:type="dxa"/>
            <w:vAlign w:val="bottom"/>
          </w:tcPr>
          <w:p>
            <w:pPr>
              <w:spacing w:after="0"/>
              <w:rPr>
                <w:sz w:val="15"/>
                <w:szCs w:val="15"/>
                <w:color w:val="auto"/>
              </w:rPr>
            </w:pPr>
          </w:p>
        </w:tc>
        <w:tc>
          <w:tcPr>
            <w:tcW w:w="1700" w:type="dxa"/>
            <w:vAlign w:val="bottom"/>
            <w:tcBorders>
              <w:top w:val="single" w:sz="8" w:color="0000EE"/>
            </w:tcBorders>
            <w:gridSpan w:val="16"/>
          </w:tcPr>
          <w:p>
            <w:pPr>
              <w:spacing w:after="0" w:line="173" w:lineRule="exact"/>
              <w:rPr>
                <w:rFonts w:ascii="Arial" w:cs="Arial" w:eastAsia="Arial" w:hAnsi="Arial"/>
                <w:sz w:val="17"/>
                <w:szCs w:val="17"/>
                <w:color w:val="0000EE"/>
              </w:rPr>
            </w:pPr>
            <w:hyperlink w:anchor="page9">
              <w:r>
                <w:rPr>
                  <w:rFonts w:ascii="Arial" w:cs="Arial" w:eastAsia="Arial" w:hAnsi="Arial"/>
                  <w:sz w:val="17"/>
                  <w:szCs w:val="17"/>
                  <w:color w:val="0000EE"/>
                </w:rPr>
                <w:t>Basis of Presentation</w:t>
              </w:r>
            </w:hyperlink>
          </w:p>
        </w:tc>
        <w:tc>
          <w:tcPr>
            <w:tcW w:w="5540" w:type="dxa"/>
            <w:vAlign w:val="bottom"/>
            <w:gridSpan w:val="14"/>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w w:val="84"/>
              </w:rPr>
              <w:t>9</w:t>
            </w:r>
          </w:p>
        </w:tc>
      </w:tr>
      <w:tr>
        <w:trPr>
          <w:trHeight w:val="20"/>
        </w:trPr>
        <w:tc>
          <w:tcPr>
            <w:tcW w:w="2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3"/>
        </w:trPr>
        <w:tc>
          <w:tcPr>
            <w:tcW w:w="840" w:type="dxa"/>
            <w:vAlign w:val="bottom"/>
            <w:gridSpan w:val="6"/>
          </w:tcPr>
          <w:p>
            <w:pPr>
              <w:spacing w:after="0"/>
              <w:rPr>
                <w:sz w:val="15"/>
                <w:szCs w:val="15"/>
                <w:color w:val="auto"/>
              </w:rPr>
            </w:pPr>
          </w:p>
        </w:tc>
        <w:tc>
          <w:tcPr>
            <w:tcW w:w="60" w:type="dxa"/>
            <w:vAlign w:val="bottom"/>
          </w:tcPr>
          <w:p>
            <w:pPr>
              <w:jc w:val="right"/>
              <w:spacing w:after="0"/>
              <w:rPr>
                <w:rFonts w:ascii="Arial" w:cs="Arial" w:eastAsia="Arial" w:hAnsi="Arial"/>
                <w:sz w:val="10"/>
                <w:szCs w:val="10"/>
                <w:color w:val="0000EE"/>
                <w:w w:val="71"/>
              </w:rPr>
            </w:pPr>
            <w:hyperlink w:anchor="page10">
              <w:r>
                <w:rPr>
                  <w:rFonts w:ascii="Arial" w:cs="Arial" w:eastAsia="Arial" w:hAnsi="Arial"/>
                  <w:sz w:val="10"/>
                  <w:szCs w:val="10"/>
                  <w:color w:val="0000EE"/>
                  <w:w w:val="71"/>
                </w:rPr>
                <w:t>3</w:t>
              </w:r>
            </w:hyperlink>
          </w:p>
        </w:tc>
        <w:tc>
          <w:tcPr>
            <w:tcW w:w="240" w:type="dxa"/>
            <w:vAlign w:val="bottom"/>
          </w:tcPr>
          <w:p>
            <w:pPr>
              <w:spacing w:after="0"/>
              <w:rPr>
                <w:sz w:val="15"/>
                <w:szCs w:val="15"/>
                <w:color w:val="auto"/>
              </w:rPr>
            </w:pPr>
          </w:p>
        </w:tc>
        <w:tc>
          <w:tcPr>
            <w:tcW w:w="7240" w:type="dxa"/>
            <w:vAlign w:val="bottom"/>
            <w:gridSpan w:val="30"/>
          </w:tcPr>
          <w:p>
            <w:pPr>
              <w:spacing w:after="0" w:line="173" w:lineRule="exact"/>
              <w:rPr>
                <w:rFonts w:ascii="Arial" w:cs="Arial" w:eastAsia="Arial" w:hAnsi="Arial"/>
                <w:sz w:val="17"/>
                <w:szCs w:val="17"/>
                <w:color w:val="0000EE"/>
              </w:rPr>
            </w:pPr>
            <w:hyperlink w:anchor="page10">
              <w:r>
                <w:rPr>
                  <w:rFonts w:ascii="Arial" w:cs="Arial" w:eastAsia="Arial" w:hAnsi="Arial"/>
                  <w:sz w:val="17"/>
                  <w:szCs w:val="17"/>
                  <w:color w:val="0000EE"/>
                </w:rPr>
                <w:t>Impact of the COVID-19 Pandemic</w:t>
              </w:r>
            </w:hyperlink>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10</w:t>
            </w:r>
          </w:p>
        </w:tc>
      </w:tr>
      <w:tr>
        <w:trPr>
          <w:trHeight w:val="173"/>
        </w:trPr>
        <w:tc>
          <w:tcPr>
            <w:tcW w:w="840" w:type="dxa"/>
            <w:vAlign w:val="bottom"/>
            <w:gridSpan w:val="6"/>
          </w:tcPr>
          <w:p>
            <w:pPr>
              <w:spacing w:after="0"/>
              <w:rPr>
                <w:sz w:val="15"/>
                <w:szCs w:val="15"/>
                <w:color w:val="auto"/>
              </w:rPr>
            </w:pPr>
          </w:p>
        </w:tc>
        <w:tc>
          <w:tcPr>
            <w:tcW w:w="60" w:type="dxa"/>
            <w:vAlign w:val="bottom"/>
            <w:tcBorders>
              <w:top w:val="single" w:sz="8" w:color="0000EE"/>
              <w:bottom w:val="single" w:sz="8" w:color="0000EE"/>
            </w:tcBorders>
          </w:tcPr>
          <w:p>
            <w:pPr>
              <w:jc w:val="right"/>
              <w:spacing w:after="0"/>
              <w:rPr>
                <w:rFonts w:ascii="Arial" w:cs="Arial" w:eastAsia="Arial" w:hAnsi="Arial"/>
                <w:sz w:val="10"/>
                <w:szCs w:val="10"/>
                <w:color w:val="0000EE"/>
                <w:w w:val="71"/>
              </w:rPr>
            </w:pPr>
            <w:hyperlink w:anchor="page12">
              <w:r>
                <w:rPr>
                  <w:rFonts w:ascii="Arial" w:cs="Arial" w:eastAsia="Arial" w:hAnsi="Arial"/>
                  <w:sz w:val="10"/>
                  <w:szCs w:val="10"/>
                  <w:color w:val="0000EE"/>
                  <w:w w:val="71"/>
                </w:rPr>
                <w:t>4</w:t>
              </w:r>
            </w:hyperlink>
          </w:p>
        </w:tc>
        <w:tc>
          <w:tcPr>
            <w:tcW w:w="240" w:type="dxa"/>
            <w:vAlign w:val="bottom"/>
          </w:tcPr>
          <w:p>
            <w:pPr>
              <w:spacing w:after="0"/>
              <w:rPr>
                <w:sz w:val="15"/>
                <w:szCs w:val="15"/>
                <w:color w:val="auto"/>
              </w:rPr>
            </w:pPr>
          </w:p>
        </w:tc>
        <w:tc>
          <w:tcPr>
            <w:tcW w:w="700" w:type="dxa"/>
            <w:vAlign w:val="bottom"/>
            <w:tcBorders>
              <w:top w:val="single" w:sz="8" w:color="0000EE"/>
              <w:bottom w:val="single" w:sz="8" w:color="0000EE"/>
            </w:tcBorders>
            <w:gridSpan w:val="3"/>
          </w:tcPr>
          <w:p>
            <w:pPr>
              <w:spacing w:after="0" w:line="173" w:lineRule="exact"/>
              <w:rPr>
                <w:rFonts w:ascii="Arial" w:cs="Arial" w:eastAsia="Arial" w:hAnsi="Arial"/>
                <w:sz w:val="17"/>
                <w:szCs w:val="17"/>
                <w:color w:val="0000EE"/>
                <w:w w:val="99"/>
              </w:rPr>
            </w:pPr>
            <w:hyperlink w:anchor="page12">
              <w:r>
                <w:rPr>
                  <w:rFonts w:ascii="Arial" w:cs="Arial" w:eastAsia="Arial" w:hAnsi="Arial"/>
                  <w:sz w:val="17"/>
                  <w:szCs w:val="17"/>
                  <w:color w:val="0000EE"/>
                  <w:w w:val="99"/>
                </w:rPr>
                <w:t>Revenue</w:t>
              </w:r>
            </w:hyperlink>
          </w:p>
        </w:tc>
        <w:tc>
          <w:tcPr>
            <w:tcW w:w="1940" w:type="dxa"/>
            <w:vAlign w:val="bottom"/>
            <w:tcBorders>
              <w:top w:val="single" w:sz="8" w:color="0000EE"/>
            </w:tcBorders>
            <w:gridSpan w:val="18"/>
          </w:tcPr>
          <w:p>
            <w:pPr>
              <w:spacing w:after="0"/>
              <w:rPr>
                <w:sz w:val="15"/>
                <w:szCs w:val="15"/>
                <w:color w:val="auto"/>
              </w:rPr>
            </w:pPr>
          </w:p>
        </w:tc>
        <w:tc>
          <w:tcPr>
            <w:tcW w:w="4600" w:type="dxa"/>
            <w:vAlign w:val="bottom"/>
            <w:gridSpan w:val="9"/>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12</w:t>
            </w:r>
          </w:p>
        </w:tc>
      </w:tr>
      <w:tr>
        <w:trPr>
          <w:trHeight w:val="173"/>
        </w:trPr>
        <w:tc>
          <w:tcPr>
            <w:tcW w:w="840" w:type="dxa"/>
            <w:vAlign w:val="bottom"/>
            <w:gridSpan w:val="6"/>
          </w:tcPr>
          <w:p>
            <w:pPr>
              <w:spacing w:after="0"/>
              <w:rPr>
                <w:sz w:val="15"/>
                <w:szCs w:val="15"/>
                <w:color w:val="auto"/>
              </w:rPr>
            </w:pPr>
          </w:p>
        </w:tc>
        <w:tc>
          <w:tcPr>
            <w:tcW w:w="60" w:type="dxa"/>
            <w:vAlign w:val="bottom"/>
          </w:tcPr>
          <w:p>
            <w:pPr>
              <w:jc w:val="right"/>
              <w:spacing w:after="0"/>
              <w:rPr>
                <w:rFonts w:ascii="Arial" w:cs="Arial" w:eastAsia="Arial" w:hAnsi="Arial"/>
                <w:sz w:val="10"/>
                <w:szCs w:val="10"/>
                <w:color w:val="0000EE"/>
                <w:w w:val="71"/>
              </w:rPr>
            </w:pPr>
            <w:hyperlink w:anchor="page14">
              <w:r>
                <w:rPr>
                  <w:rFonts w:ascii="Arial" w:cs="Arial" w:eastAsia="Arial" w:hAnsi="Arial"/>
                  <w:sz w:val="10"/>
                  <w:szCs w:val="10"/>
                  <w:color w:val="0000EE"/>
                  <w:w w:val="71"/>
                </w:rPr>
                <w:t>5</w:t>
              </w:r>
            </w:hyperlink>
          </w:p>
        </w:tc>
        <w:tc>
          <w:tcPr>
            <w:tcW w:w="240" w:type="dxa"/>
            <w:vAlign w:val="bottom"/>
          </w:tcPr>
          <w:p>
            <w:pPr>
              <w:spacing w:after="0"/>
              <w:rPr>
                <w:sz w:val="15"/>
                <w:szCs w:val="15"/>
                <w:color w:val="auto"/>
              </w:rPr>
            </w:pPr>
          </w:p>
        </w:tc>
        <w:tc>
          <w:tcPr>
            <w:tcW w:w="7240" w:type="dxa"/>
            <w:vAlign w:val="bottom"/>
            <w:gridSpan w:val="30"/>
          </w:tcPr>
          <w:p>
            <w:pPr>
              <w:spacing w:after="0" w:line="173" w:lineRule="exact"/>
              <w:rPr>
                <w:rFonts w:ascii="Arial" w:cs="Arial" w:eastAsia="Arial" w:hAnsi="Arial"/>
                <w:sz w:val="17"/>
                <w:szCs w:val="17"/>
                <w:color w:val="0000EE"/>
              </w:rPr>
            </w:pPr>
            <w:hyperlink w:anchor="page14">
              <w:r>
                <w:rPr>
                  <w:rFonts w:ascii="Arial" w:cs="Arial" w:eastAsia="Arial" w:hAnsi="Arial"/>
                  <w:sz w:val="17"/>
                  <w:szCs w:val="17"/>
                  <w:color w:val="0000EE"/>
                </w:rPr>
                <w:t>Earnings per Share</w:t>
              </w:r>
            </w:hyperlink>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14</w:t>
            </w:r>
          </w:p>
        </w:tc>
      </w:tr>
      <w:tr>
        <w:trPr>
          <w:trHeight w:val="173"/>
        </w:trPr>
        <w:tc>
          <w:tcPr>
            <w:tcW w:w="840" w:type="dxa"/>
            <w:vAlign w:val="bottom"/>
            <w:gridSpan w:val="6"/>
          </w:tcPr>
          <w:p>
            <w:pPr>
              <w:spacing w:after="0"/>
              <w:rPr>
                <w:sz w:val="15"/>
                <w:szCs w:val="15"/>
                <w:color w:val="auto"/>
              </w:rPr>
            </w:pPr>
          </w:p>
        </w:tc>
        <w:tc>
          <w:tcPr>
            <w:tcW w:w="60" w:type="dxa"/>
            <w:vAlign w:val="bottom"/>
            <w:tcBorders>
              <w:top w:val="single" w:sz="8" w:color="0000EE"/>
            </w:tcBorders>
          </w:tcPr>
          <w:p>
            <w:pPr>
              <w:jc w:val="right"/>
              <w:spacing w:after="0"/>
              <w:rPr>
                <w:rFonts w:ascii="Arial" w:cs="Arial" w:eastAsia="Arial" w:hAnsi="Arial"/>
                <w:sz w:val="10"/>
                <w:szCs w:val="10"/>
                <w:color w:val="0000EE"/>
                <w:w w:val="71"/>
              </w:rPr>
            </w:pPr>
            <w:hyperlink w:anchor="page15">
              <w:r>
                <w:rPr>
                  <w:rFonts w:ascii="Arial" w:cs="Arial" w:eastAsia="Arial" w:hAnsi="Arial"/>
                  <w:sz w:val="10"/>
                  <w:szCs w:val="10"/>
                  <w:color w:val="0000EE"/>
                  <w:w w:val="71"/>
                </w:rPr>
                <w:t>6</w:t>
              </w:r>
            </w:hyperlink>
          </w:p>
        </w:tc>
        <w:tc>
          <w:tcPr>
            <w:tcW w:w="240" w:type="dxa"/>
            <w:vAlign w:val="bottom"/>
          </w:tcPr>
          <w:p>
            <w:pPr>
              <w:spacing w:after="0"/>
              <w:rPr>
                <w:sz w:val="15"/>
                <w:szCs w:val="15"/>
                <w:color w:val="auto"/>
              </w:rPr>
            </w:pPr>
          </w:p>
        </w:tc>
        <w:tc>
          <w:tcPr>
            <w:tcW w:w="1480" w:type="dxa"/>
            <w:vAlign w:val="bottom"/>
            <w:tcBorders>
              <w:top w:val="single" w:sz="8" w:color="0000EE"/>
            </w:tcBorders>
            <w:gridSpan w:val="11"/>
          </w:tcPr>
          <w:p>
            <w:pPr>
              <w:spacing w:after="0" w:line="173" w:lineRule="exact"/>
              <w:rPr>
                <w:rFonts w:ascii="Arial" w:cs="Arial" w:eastAsia="Arial" w:hAnsi="Arial"/>
                <w:sz w:val="17"/>
                <w:szCs w:val="17"/>
                <w:color w:val="0000EE"/>
              </w:rPr>
            </w:pPr>
            <w:hyperlink w:anchor="page15">
              <w:r>
                <w:rPr>
                  <w:rFonts w:ascii="Arial" w:cs="Arial" w:eastAsia="Arial" w:hAnsi="Arial"/>
                  <w:sz w:val="17"/>
                  <w:szCs w:val="17"/>
                  <w:color w:val="0000EE"/>
                </w:rPr>
                <w:t>Aircraft</w:t>
              </w:r>
            </w:hyperlink>
          </w:p>
        </w:tc>
        <w:tc>
          <w:tcPr>
            <w:tcW w:w="5760" w:type="dxa"/>
            <w:vAlign w:val="bottom"/>
            <w:gridSpan w:val="19"/>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15</w:t>
            </w:r>
          </w:p>
        </w:tc>
      </w:tr>
      <w:tr>
        <w:trPr>
          <w:trHeight w:val="173"/>
        </w:trPr>
        <w:tc>
          <w:tcPr>
            <w:tcW w:w="840" w:type="dxa"/>
            <w:vAlign w:val="bottom"/>
            <w:gridSpan w:val="6"/>
          </w:tcPr>
          <w:p>
            <w:pPr>
              <w:spacing w:after="0"/>
              <w:rPr>
                <w:sz w:val="15"/>
                <w:szCs w:val="15"/>
                <w:color w:val="auto"/>
              </w:rPr>
            </w:pPr>
          </w:p>
        </w:tc>
        <w:tc>
          <w:tcPr>
            <w:tcW w:w="60" w:type="dxa"/>
            <w:vAlign w:val="bottom"/>
            <w:tcBorders>
              <w:top w:val="single" w:sz="8" w:color="0000EE"/>
            </w:tcBorders>
          </w:tcPr>
          <w:p>
            <w:pPr>
              <w:jc w:val="right"/>
              <w:spacing w:after="0"/>
              <w:rPr>
                <w:rFonts w:ascii="Arial" w:cs="Arial" w:eastAsia="Arial" w:hAnsi="Arial"/>
                <w:sz w:val="10"/>
                <w:szCs w:val="10"/>
                <w:color w:val="0000EE"/>
                <w:w w:val="71"/>
              </w:rPr>
            </w:pPr>
            <w:hyperlink w:anchor="page17">
              <w:r>
                <w:rPr>
                  <w:rFonts w:ascii="Arial" w:cs="Arial" w:eastAsia="Arial" w:hAnsi="Arial"/>
                  <w:sz w:val="10"/>
                  <w:szCs w:val="10"/>
                  <w:color w:val="0000EE"/>
                  <w:w w:val="71"/>
                </w:rPr>
                <w:t>7</w:t>
              </w:r>
            </w:hyperlink>
          </w:p>
        </w:tc>
        <w:tc>
          <w:tcPr>
            <w:tcW w:w="240" w:type="dxa"/>
            <w:vAlign w:val="bottom"/>
          </w:tcPr>
          <w:p>
            <w:pPr>
              <w:spacing w:after="0"/>
              <w:rPr>
                <w:sz w:val="15"/>
                <w:szCs w:val="15"/>
                <w:color w:val="auto"/>
              </w:rPr>
            </w:pPr>
          </w:p>
        </w:tc>
        <w:tc>
          <w:tcPr>
            <w:tcW w:w="540" w:type="dxa"/>
            <w:vAlign w:val="bottom"/>
            <w:tcBorders>
              <w:top w:val="single" w:sz="8" w:color="0000EE"/>
            </w:tcBorders>
            <w:gridSpan w:val="2"/>
          </w:tcPr>
          <w:p>
            <w:pPr>
              <w:spacing w:after="0" w:line="173" w:lineRule="exact"/>
              <w:rPr>
                <w:rFonts w:ascii="Arial" w:cs="Arial" w:eastAsia="Arial" w:hAnsi="Arial"/>
                <w:sz w:val="17"/>
                <w:szCs w:val="17"/>
                <w:color w:val="0000EE"/>
              </w:rPr>
            </w:pPr>
            <w:hyperlink w:anchor="page17">
              <w:r>
                <w:rPr>
                  <w:rFonts w:ascii="Arial" w:cs="Arial" w:eastAsia="Arial" w:hAnsi="Arial"/>
                  <w:sz w:val="17"/>
                  <w:szCs w:val="17"/>
                  <w:color w:val="0000EE"/>
                </w:rPr>
                <w:t>Debt</w:t>
              </w:r>
            </w:hyperlink>
          </w:p>
        </w:tc>
        <w:tc>
          <w:tcPr>
            <w:tcW w:w="6700" w:type="dxa"/>
            <w:vAlign w:val="bottom"/>
            <w:gridSpan w:val="28"/>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17</w:t>
            </w:r>
          </w:p>
        </w:tc>
      </w:tr>
      <w:tr>
        <w:trPr>
          <w:trHeight w:val="20"/>
        </w:trPr>
        <w:tc>
          <w:tcPr>
            <w:tcW w:w="2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3"/>
        </w:trPr>
        <w:tc>
          <w:tcPr>
            <w:tcW w:w="840" w:type="dxa"/>
            <w:vAlign w:val="bottom"/>
            <w:gridSpan w:val="6"/>
          </w:tcPr>
          <w:p>
            <w:pPr>
              <w:spacing w:after="0"/>
              <w:rPr>
                <w:sz w:val="15"/>
                <w:szCs w:val="15"/>
                <w:color w:val="auto"/>
              </w:rPr>
            </w:pPr>
          </w:p>
        </w:tc>
        <w:tc>
          <w:tcPr>
            <w:tcW w:w="60" w:type="dxa"/>
            <w:vAlign w:val="bottom"/>
          </w:tcPr>
          <w:p>
            <w:pPr>
              <w:jc w:val="right"/>
              <w:spacing w:after="0"/>
              <w:rPr>
                <w:rFonts w:ascii="Arial" w:cs="Arial" w:eastAsia="Arial" w:hAnsi="Arial"/>
                <w:sz w:val="10"/>
                <w:szCs w:val="10"/>
                <w:color w:val="0000EE"/>
                <w:w w:val="71"/>
              </w:rPr>
            </w:pPr>
            <w:hyperlink w:anchor="page19">
              <w:r>
                <w:rPr>
                  <w:rFonts w:ascii="Arial" w:cs="Arial" w:eastAsia="Arial" w:hAnsi="Arial"/>
                  <w:sz w:val="10"/>
                  <w:szCs w:val="10"/>
                  <w:color w:val="0000EE"/>
                  <w:w w:val="71"/>
                </w:rPr>
                <w:t>8</w:t>
              </w:r>
            </w:hyperlink>
          </w:p>
        </w:tc>
        <w:tc>
          <w:tcPr>
            <w:tcW w:w="240" w:type="dxa"/>
            <w:vAlign w:val="bottom"/>
          </w:tcPr>
          <w:p>
            <w:pPr>
              <w:spacing w:after="0"/>
              <w:rPr>
                <w:sz w:val="15"/>
                <w:szCs w:val="15"/>
                <w:color w:val="auto"/>
              </w:rPr>
            </w:pPr>
          </w:p>
        </w:tc>
        <w:tc>
          <w:tcPr>
            <w:tcW w:w="7240" w:type="dxa"/>
            <w:vAlign w:val="bottom"/>
            <w:gridSpan w:val="30"/>
          </w:tcPr>
          <w:p>
            <w:pPr>
              <w:spacing w:after="0" w:line="173" w:lineRule="exact"/>
              <w:rPr>
                <w:rFonts w:ascii="Arial" w:cs="Arial" w:eastAsia="Arial" w:hAnsi="Arial"/>
                <w:sz w:val="17"/>
                <w:szCs w:val="17"/>
                <w:color w:val="0000EE"/>
              </w:rPr>
            </w:pPr>
            <w:hyperlink w:anchor="page19">
              <w:r>
                <w:rPr>
                  <w:rFonts w:ascii="Arial" w:cs="Arial" w:eastAsia="Arial" w:hAnsi="Arial"/>
                  <w:sz w:val="17"/>
                  <w:szCs w:val="17"/>
                  <w:color w:val="0000EE"/>
                </w:rPr>
                <w:t>Fuel Derivatives and Risk Management</w:t>
              </w:r>
            </w:hyperlink>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19</w:t>
            </w:r>
          </w:p>
        </w:tc>
      </w:tr>
      <w:tr>
        <w:trPr>
          <w:trHeight w:val="173"/>
        </w:trPr>
        <w:tc>
          <w:tcPr>
            <w:tcW w:w="840" w:type="dxa"/>
            <w:vAlign w:val="bottom"/>
            <w:gridSpan w:val="6"/>
          </w:tcPr>
          <w:p>
            <w:pPr>
              <w:spacing w:after="0"/>
              <w:rPr>
                <w:sz w:val="15"/>
                <w:szCs w:val="15"/>
                <w:color w:val="auto"/>
              </w:rPr>
            </w:pPr>
          </w:p>
        </w:tc>
        <w:tc>
          <w:tcPr>
            <w:tcW w:w="60" w:type="dxa"/>
            <w:vAlign w:val="bottom"/>
            <w:tcBorders>
              <w:top w:val="single" w:sz="8" w:color="0000EE"/>
              <w:bottom w:val="single" w:sz="8" w:color="0000EE"/>
            </w:tcBorders>
          </w:tcPr>
          <w:p>
            <w:pPr>
              <w:jc w:val="right"/>
              <w:spacing w:after="0"/>
              <w:rPr>
                <w:rFonts w:ascii="Arial" w:cs="Arial" w:eastAsia="Arial" w:hAnsi="Arial"/>
                <w:sz w:val="10"/>
                <w:szCs w:val="10"/>
                <w:color w:val="0000EE"/>
                <w:w w:val="71"/>
              </w:rPr>
            </w:pPr>
            <w:hyperlink w:anchor="page20">
              <w:r>
                <w:rPr>
                  <w:rFonts w:ascii="Arial" w:cs="Arial" w:eastAsia="Arial" w:hAnsi="Arial"/>
                  <w:sz w:val="10"/>
                  <w:szCs w:val="10"/>
                  <w:color w:val="0000EE"/>
                  <w:w w:val="71"/>
                </w:rPr>
                <w:t>9</w:t>
              </w:r>
            </w:hyperlink>
          </w:p>
        </w:tc>
        <w:tc>
          <w:tcPr>
            <w:tcW w:w="240" w:type="dxa"/>
            <w:vAlign w:val="bottom"/>
          </w:tcPr>
          <w:p>
            <w:pPr>
              <w:spacing w:after="0"/>
              <w:rPr>
                <w:sz w:val="15"/>
                <w:szCs w:val="15"/>
                <w:color w:val="auto"/>
              </w:rPr>
            </w:pPr>
          </w:p>
        </w:tc>
        <w:tc>
          <w:tcPr>
            <w:tcW w:w="1960" w:type="dxa"/>
            <w:vAlign w:val="bottom"/>
            <w:tcBorders>
              <w:top w:val="single" w:sz="8" w:color="0000EE"/>
              <w:bottom w:val="single" w:sz="8" w:color="0000EE"/>
            </w:tcBorders>
            <w:gridSpan w:val="17"/>
          </w:tcPr>
          <w:p>
            <w:pPr>
              <w:spacing w:after="0" w:line="173" w:lineRule="exact"/>
              <w:rPr>
                <w:rFonts w:ascii="Arial" w:cs="Arial" w:eastAsia="Arial" w:hAnsi="Arial"/>
                <w:sz w:val="17"/>
                <w:szCs w:val="17"/>
                <w:color w:val="0000EE"/>
                <w:w w:val="99"/>
              </w:rPr>
            </w:pPr>
            <w:hyperlink w:anchor="page20">
              <w:r>
                <w:rPr>
                  <w:rFonts w:ascii="Arial" w:cs="Arial" w:eastAsia="Arial" w:hAnsi="Arial"/>
                  <w:sz w:val="17"/>
                  <w:szCs w:val="17"/>
                  <w:color w:val="0000EE"/>
                  <w:w w:val="99"/>
                </w:rPr>
                <w:t>Fair Value Measurements</w:t>
              </w:r>
            </w:hyperlink>
          </w:p>
        </w:tc>
        <w:tc>
          <w:tcPr>
            <w:tcW w:w="1040" w:type="dxa"/>
            <w:vAlign w:val="bottom"/>
            <w:tcBorders>
              <w:top w:val="single" w:sz="8" w:color="0000EE"/>
            </w:tcBorders>
            <w:gridSpan w:val="5"/>
          </w:tcPr>
          <w:p>
            <w:pPr>
              <w:spacing w:after="0"/>
              <w:rPr>
                <w:sz w:val="15"/>
                <w:szCs w:val="15"/>
                <w:color w:val="auto"/>
              </w:rPr>
            </w:pPr>
          </w:p>
        </w:tc>
        <w:tc>
          <w:tcPr>
            <w:tcW w:w="4240" w:type="dxa"/>
            <w:vAlign w:val="bottom"/>
            <w:gridSpan w:val="8"/>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20</w:t>
            </w:r>
          </w:p>
        </w:tc>
      </w:tr>
      <w:tr>
        <w:trPr>
          <w:trHeight w:val="173"/>
        </w:trPr>
        <w:tc>
          <w:tcPr>
            <w:tcW w:w="700" w:type="dxa"/>
            <w:vAlign w:val="bottom"/>
            <w:gridSpan w:val="5"/>
          </w:tcPr>
          <w:p>
            <w:pPr>
              <w:spacing w:after="0"/>
              <w:rPr>
                <w:sz w:val="15"/>
                <w:szCs w:val="15"/>
                <w:color w:val="auto"/>
              </w:rPr>
            </w:pPr>
          </w:p>
        </w:tc>
        <w:tc>
          <w:tcPr>
            <w:tcW w:w="200" w:type="dxa"/>
            <w:vAlign w:val="bottom"/>
            <w:gridSpan w:val="2"/>
          </w:tcPr>
          <w:p>
            <w:pPr>
              <w:jc w:val="right"/>
              <w:spacing w:after="0" w:line="173" w:lineRule="exact"/>
              <w:rPr>
                <w:rFonts w:ascii="Arial" w:cs="Arial" w:eastAsia="Arial" w:hAnsi="Arial"/>
                <w:sz w:val="17"/>
                <w:szCs w:val="17"/>
                <w:color w:val="0000EE"/>
                <w:w w:val="94"/>
              </w:rPr>
            </w:pPr>
            <w:hyperlink w:anchor="page21">
              <w:r>
                <w:rPr>
                  <w:rFonts w:ascii="Arial" w:cs="Arial" w:eastAsia="Arial" w:hAnsi="Arial"/>
                  <w:sz w:val="17"/>
                  <w:szCs w:val="17"/>
                  <w:color w:val="0000EE"/>
                  <w:w w:val="94"/>
                </w:rPr>
                <w:t>10</w:t>
              </w:r>
            </w:hyperlink>
          </w:p>
        </w:tc>
        <w:tc>
          <w:tcPr>
            <w:tcW w:w="240" w:type="dxa"/>
            <w:vAlign w:val="bottom"/>
          </w:tcPr>
          <w:p>
            <w:pPr>
              <w:spacing w:after="0"/>
              <w:rPr>
                <w:sz w:val="15"/>
                <w:szCs w:val="15"/>
                <w:color w:val="auto"/>
              </w:rPr>
            </w:pPr>
          </w:p>
        </w:tc>
        <w:tc>
          <w:tcPr>
            <w:tcW w:w="7240" w:type="dxa"/>
            <w:vAlign w:val="bottom"/>
            <w:gridSpan w:val="30"/>
          </w:tcPr>
          <w:p>
            <w:pPr>
              <w:spacing w:after="0" w:line="173" w:lineRule="exact"/>
              <w:rPr>
                <w:rFonts w:ascii="Arial" w:cs="Arial" w:eastAsia="Arial" w:hAnsi="Arial"/>
                <w:sz w:val="17"/>
                <w:szCs w:val="17"/>
                <w:color w:val="0000EE"/>
              </w:rPr>
            </w:pPr>
            <w:hyperlink w:anchor="page21">
              <w:r>
                <w:rPr>
                  <w:rFonts w:ascii="Arial" w:cs="Arial" w:eastAsia="Arial" w:hAnsi="Arial"/>
                  <w:sz w:val="17"/>
                  <w:szCs w:val="17"/>
                  <w:color w:val="0000EE"/>
                </w:rPr>
                <w:t>Income Taxes</w:t>
              </w:r>
            </w:hyperlink>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21</w:t>
            </w:r>
          </w:p>
        </w:tc>
      </w:tr>
      <w:tr>
        <w:trPr>
          <w:trHeight w:val="20"/>
        </w:trPr>
        <w:tc>
          <w:tcPr>
            <w:tcW w:w="2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3"/>
        </w:trPr>
        <w:tc>
          <w:tcPr>
            <w:tcW w:w="700" w:type="dxa"/>
            <w:vAlign w:val="bottom"/>
            <w:gridSpan w:val="5"/>
          </w:tcPr>
          <w:p>
            <w:pPr>
              <w:spacing w:after="0"/>
              <w:rPr>
                <w:sz w:val="15"/>
                <w:szCs w:val="15"/>
                <w:color w:val="auto"/>
              </w:rPr>
            </w:pPr>
          </w:p>
        </w:tc>
        <w:tc>
          <w:tcPr>
            <w:tcW w:w="200" w:type="dxa"/>
            <w:vAlign w:val="bottom"/>
            <w:gridSpan w:val="2"/>
          </w:tcPr>
          <w:p>
            <w:pPr>
              <w:jc w:val="right"/>
              <w:spacing w:after="0" w:line="173" w:lineRule="exact"/>
              <w:rPr>
                <w:rFonts w:ascii="Arial" w:cs="Arial" w:eastAsia="Arial" w:hAnsi="Arial"/>
                <w:sz w:val="17"/>
                <w:szCs w:val="17"/>
                <w:color w:val="0000EE"/>
                <w:w w:val="94"/>
              </w:rPr>
            </w:pPr>
            <w:hyperlink w:anchor="page22">
              <w:r>
                <w:rPr>
                  <w:rFonts w:ascii="Arial" w:cs="Arial" w:eastAsia="Arial" w:hAnsi="Arial"/>
                  <w:sz w:val="17"/>
                  <w:szCs w:val="17"/>
                  <w:color w:val="0000EE"/>
                  <w:w w:val="94"/>
                </w:rPr>
                <w:t>11</w:t>
              </w:r>
            </w:hyperlink>
          </w:p>
        </w:tc>
        <w:tc>
          <w:tcPr>
            <w:tcW w:w="240" w:type="dxa"/>
            <w:vAlign w:val="bottom"/>
          </w:tcPr>
          <w:p>
            <w:pPr>
              <w:spacing w:after="0"/>
              <w:rPr>
                <w:sz w:val="15"/>
                <w:szCs w:val="15"/>
                <w:color w:val="auto"/>
              </w:rPr>
            </w:pPr>
          </w:p>
        </w:tc>
        <w:tc>
          <w:tcPr>
            <w:tcW w:w="7240" w:type="dxa"/>
            <w:vAlign w:val="bottom"/>
            <w:gridSpan w:val="30"/>
          </w:tcPr>
          <w:p>
            <w:pPr>
              <w:spacing w:after="0" w:line="173" w:lineRule="exact"/>
              <w:rPr>
                <w:rFonts w:ascii="Arial" w:cs="Arial" w:eastAsia="Arial" w:hAnsi="Arial"/>
                <w:sz w:val="17"/>
                <w:szCs w:val="17"/>
                <w:color w:val="0000EE"/>
              </w:rPr>
            </w:pPr>
            <w:hyperlink w:anchor="page22">
              <w:r>
                <w:rPr>
                  <w:rFonts w:ascii="Arial" w:cs="Arial" w:eastAsia="Arial" w:hAnsi="Arial"/>
                  <w:sz w:val="17"/>
                  <w:szCs w:val="17"/>
                  <w:color w:val="0000EE"/>
                </w:rPr>
                <w:t>Special Items, net</w:t>
              </w:r>
            </w:hyperlink>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22</w:t>
            </w:r>
          </w:p>
        </w:tc>
      </w:tr>
      <w:tr>
        <w:trPr>
          <w:trHeight w:val="20"/>
        </w:trPr>
        <w:tc>
          <w:tcPr>
            <w:tcW w:w="2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3"/>
        </w:trPr>
        <w:tc>
          <w:tcPr>
            <w:tcW w:w="700" w:type="dxa"/>
            <w:vAlign w:val="bottom"/>
            <w:gridSpan w:val="5"/>
          </w:tcPr>
          <w:p>
            <w:pPr>
              <w:spacing w:after="0"/>
              <w:rPr>
                <w:sz w:val="15"/>
                <w:szCs w:val="15"/>
                <w:color w:val="auto"/>
              </w:rPr>
            </w:pPr>
          </w:p>
        </w:tc>
        <w:tc>
          <w:tcPr>
            <w:tcW w:w="200" w:type="dxa"/>
            <w:vAlign w:val="bottom"/>
            <w:tcBorders>
              <w:bottom w:val="single" w:sz="8" w:color="0000EE"/>
            </w:tcBorders>
            <w:gridSpan w:val="2"/>
          </w:tcPr>
          <w:p>
            <w:pPr>
              <w:jc w:val="right"/>
              <w:spacing w:after="0" w:line="173" w:lineRule="exact"/>
              <w:rPr>
                <w:rFonts w:ascii="Arial" w:cs="Arial" w:eastAsia="Arial" w:hAnsi="Arial"/>
                <w:sz w:val="17"/>
                <w:szCs w:val="17"/>
                <w:color w:val="0000EE"/>
                <w:w w:val="94"/>
              </w:rPr>
            </w:pPr>
            <w:hyperlink w:anchor="page23">
              <w:r>
                <w:rPr>
                  <w:rFonts w:ascii="Arial" w:cs="Arial" w:eastAsia="Arial" w:hAnsi="Arial"/>
                  <w:sz w:val="17"/>
                  <w:szCs w:val="17"/>
                  <w:color w:val="0000EE"/>
                  <w:w w:val="94"/>
                </w:rPr>
                <w:t>12</w:t>
              </w:r>
            </w:hyperlink>
          </w:p>
        </w:tc>
        <w:tc>
          <w:tcPr>
            <w:tcW w:w="240" w:type="dxa"/>
            <w:vAlign w:val="bottom"/>
          </w:tcPr>
          <w:p>
            <w:pPr>
              <w:spacing w:after="0"/>
              <w:rPr>
                <w:sz w:val="15"/>
                <w:szCs w:val="15"/>
                <w:color w:val="auto"/>
              </w:rPr>
            </w:pPr>
          </w:p>
        </w:tc>
        <w:tc>
          <w:tcPr>
            <w:tcW w:w="2540" w:type="dxa"/>
            <w:vAlign w:val="bottom"/>
            <w:tcBorders>
              <w:bottom w:val="single" w:sz="8" w:color="0000EE"/>
            </w:tcBorders>
            <w:gridSpan w:val="19"/>
          </w:tcPr>
          <w:p>
            <w:pPr>
              <w:spacing w:after="0" w:line="173" w:lineRule="exact"/>
              <w:rPr>
                <w:rFonts w:ascii="Arial" w:cs="Arial" w:eastAsia="Arial" w:hAnsi="Arial"/>
                <w:sz w:val="17"/>
                <w:szCs w:val="17"/>
                <w:color w:val="0000EE"/>
              </w:rPr>
            </w:pPr>
            <w:hyperlink w:anchor="page23">
              <w:r>
                <w:rPr>
                  <w:rFonts w:ascii="Arial" w:cs="Arial" w:eastAsia="Arial" w:hAnsi="Arial"/>
                  <w:sz w:val="17"/>
                  <w:szCs w:val="17"/>
                  <w:color w:val="0000EE"/>
                </w:rPr>
                <w:t>Commitments and Contingencies</w:t>
              </w:r>
            </w:hyperlink>
          </w:p>
        </w:tc>
        <w:tc>
          <w:tcPr>
            <w:tcW w:w="4700" w:type="dxa"/>
            <w:vAlign w:val="bottom"/>
            <w:gridSpan w:val="11"/>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23</w:t>
            </w:r>
          </w:p>
        </w:tc>
      </w:tr>
      <w:tr>
        <w:trPr>
          <w:trHeight w:val="173"/>
        </w:trPr>
        <w:tc>
          <w:tcPr>
            <w:tcW w:w="700" w:type="dxa"/>
            <w:vAlign w:val="bottom"/>
            <w:gridSpan w:val="5"/>
          </w:tcPr>
          <w:p>
            <w:pPr>
              <w:spacing w:after="0"/>
              <w:rPr>
                <w:sz w:val="15"/>
                <w:szCs w:val="15"/>
                <w:color w:val="auto"/>
              </w:rPr>
            </w:pPr>
          </w:p>
        </w:tc>
        <w:tc>
          <w:tcPr>
            <w:tcW w:w="200" w:type="dxa"/>
            <w:vAlign w:val="bottom"/>
            <w:gridSpan w:val="2"/>
          </w:tcPr>
          <w:p>
            <w:pPr>
              <w:jc w:val="right"/>
              <w:spacing w:after="0" w:line="173" w:lineRule="exact"/>
              <w:rPr>
                <w:rFonts w:ascii="Arial" w:cs="Arial" w:eastAsia="Arial" w:hAnsi="Arial"/>
                <w:sz w:val="17"/>
                <w:szCs w:val="17"/>
                <w:color w:val="0000EE"/>
                <w:w w:val="94"/>
              </w:rPr>
            </w:pPr>
            <w:hyperlink w:anchor="page23">
              <w:r>
                <w:rPr>
                  <w:rFonts w:ascii="Arial" w:cs="Arial" w:eastAsia="Arial" w:hAnsi="Arial"/>
                  <w:sz w:val="17"/>
                  <w:szCs w:val="17"/>
                  <w:color w:val="0000EE"/>
                  <w:w w:val="94"/>
                </w:rPr>
                <w:t>13</w:t>
              </w:r>
            </w:hyperlink>
          </w:p>
        </w:tc>
        <w:tc>
          <w:tcPr>
            <w:tcW w:w="240" w:type="dxa"/>
            <w:vAlign w:val="bottom"/>
          </w:tcPr>
          <w:p>
            <w:pPr>
              <w:spacing w:after="0"/>
              <w:rPr>
                <w:sz w:val="15"/>
                <w:szCs w:val="15"/>
                <w:color w:val="auto"/>
              </w:rPr>
            </w:pPr>
          </w:p>
        </w:tc>
        <w:tc>
          <w:tcPr>
            <w:tcW w:w="7240" w:type="dxa"/>
            <w:vAlign w:val="bottom"/>
            <w:gridSpan w:val="30"/>
          </w:tcPr>
          <w:p>
            <w:pPr>
              <w:spacing w:after="0" w:line="173" w:lineRule="exact"/>
              <w:rPr>
                <w:rFonts w:ascii="Arial" w:cs="Arial" w:eastAsia="Arial" w:hAnsi="Arial"/>
                <w:sz w:val="17"/>
                <w:szCs w:val="17"/>
                <w:color w:val="0000EE"/>
              </w:rPr>
            </w:pPr>
            <w:hyperlink w:anchor="page23">
              <w:r>
                <w:rPr>
                  <w:rFonts w:ascii="Arial" w:cs="Arial" w:eastAsia="Arial" w:hAnsi="Arial"/>
                  <w:sz w:val="17"/>
                  <w:szCs w:val="17"/>
                  <w:color w:val="0000EE"/>
                </w:rPr>
                <w:t>Operating Segments</w:t>
              </w:r>
            </w:hyperlink>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23</w:t>
            </w:r>
          </w:p>
        </w:tc>
      </w:tr>
      <w:tr>
        <w:trPr>
          <w:trHeight w:val="173"/>
        </w:trPr>
        <w:tc>
          <w:tcPr>
            <w:tcW w:w="700" w:type="dxa"/>
            <w:vAlign w:val="bottom"/>
            <w:gridSpan w:val="5"/>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73" w:lineRule="exact"/>
              <w:rPr>
                <w:rFonts w:ascii="Arial" w:cs="Arial" w:eastAsia="Arial" w:hAnsi="Arial"/>
                <w:sz w:val="17"/>
                <w:szCs w:val="17"/>
                <w:color w:val="0000EE"/>
                <w:w w:val="94"/>
              </w:rPr>
            </w:pPr>
            <w:hyperlink w:anchor="page24">
              <w:r>
                <w:rPr>
                  <w:rFonts w:ascii="Arial" w:cs="Arial" w:eastAsia="Arial" w:hAnsi="Arial"/>
                  <w:sz w:val="17"/>
                  <w:szCs w:val="17"/>
                  <w:color w:val="0000EE"/>
                  <w:w w:val="94"/>
                </w:rPr>
                <w:t>14</w:t>
              </w:r>
            </w:hyperlink>
          </w:p>
        </w:tc>
        <w:tc>
          <w:tcPr>
            <w:tcW w:w="240" w:type="dxa"/>
            <w:vAlign w:val="bottom"/>
          </w:tcPr>
          <w:p>
            <w:pPr>
              <w:spacing w:after="0"/>
              <w:rPr>
                <w:sz w:val="15"/>
                <w:szCs w:val="15"/>
                <w:color w:val="auto"/>
              </w:rPr>
            </w:pPr>
          </w:p>
        </w:tc>
        <w:tc>
          <w:tcPr>
            <w:tcW w:w="1500" w:type="dxa"/>
            <w:vAlign w:val="bottom"/>
            <w:tcBorders>
              <w:top w:val="single" w:sz="8" w:color="0000EE"/>
              <w:bottom w:val="single" w:sz="8" w:color="0000EE"/>
            </w:tcBorders>
            <w:gridSpan w:val="12"/>
          </w:tcPr>
          <w:p>
            <w:pPr>
              <w:spacing w:after="0" w:line="173" w:lineRule="exact"/>
              <w:rPr>
                <w:rFonts w:ascii="Arial" w:cs="Arial" w:eastAsia="Arial" w:hAnsi="Arial"/>
                <w:sz w:val="17"/>
                <w:szCs w:val="17"/>
                <w:color w:val="0000EE"/>
              </w:rPr>
            </w:pPr>
            <w:hyperlink w:anchor="page24">
              <w:r>
                <w:rPr>
                  <w:rFonts w:ascii="Arial" w:cs="Arial" w:eastAsia="Arial" w:hAnsi="Arial"/>
                  <w:sz w:val="17"/>
                  <w:szCs w:val="17"/>
                  <w:color w:val="0000EE"/>
                </w:rPr>
                <w:t>Subsequent Events</w:t>
              </w:r>
            </w:hyperlink>
          </w:p>
        </w:tc>
        <w:tc>
          <w:tcPr>
            <w:tcW w:w="80" w:type="dxa"/>
            <w:vAlign w:val="bottom"/>
            <w:tcBorders>
              <w:top w:val="single" w:sz="8" w:color="0000EE"/>
            </w:tcBorders>
            <w:gridSpan w:val="2"/>
          </w:tcPr>
          <w:p>
            <w:pPr>
              <w:spacing w:after="0"/>
              <w:rPr>
                <w:sz w:val="15"/>
                <w:szCs w:val="15"/>
                <w:color w:val="auto"/>
              </w:rPr>
            </w:pPr>
          </w:p>
        </w:tc>
        <w:tc>
          <w:tcPr>
            <w:tcW w:w="5660" w:type="dxa"/>
            <w:vAlign w:val="bottom"/>
            <w:gridSpan w:val="16"/>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24</w:t>
            </w:r>
          </w:p>
        </w:tc>
      </w:tr>
      <w:tr>
        <w:trPr>
          <w:trHeight w:val="367"/>
        </w:trPr>
        <w:tc>
          <w:tcPr>
            <w:tcW w:w="260" w:type="dxa"/>
            <w:vAlign w:val="bottom"/>
          </w:tcPr>
          <w:p>
            <w:pPr>
              <w:spacing w:after="0"/>
              <w:rPr>
                <w:sz w:val="24"/>
                <w:szCs w:val="24"/>
                <w:color w:val="auto"/>
              </w:rPr>
            </w:pPr>
          </w:p>
        </w:tc>
        <w:tc>
          <w:tcPr>
            <w:tcW w:w="8120" w:type="dxa"/>
            <w:vAlign w:val="bottom"/>
            <w:gridSpan w:val="37"/>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Item 2. Management’s Discussion and Analysis of Financial Condition and Results of Operations</w:t>
              </w:r>
            </w:hyperlink>
          </w:p>
        </w:tc>
        <w:tc>
          <w:tcPr>
            <w:tcW w:w="540" w:type="dxa"/>
            <w:vAlign w:val="bottom"/>
          </w:tcPr>
          <w:p>
            <w:pPr>
              <w:jc w:val="center"/>
              <w:spacing w:after="0"/>
              <w:rPr>
                <w:sz w:val="20"/>
                <w:szCs w:val="20"/>
                <w:color w:val="auto"/>
              </w:rPr>
            </w:pPr>
            <w:r>
              <w:rPr>
                <w:rFonts w:ascii="Arial" w:cs="Arial" w:eastAsia="Arial" w:hAnsi="Arial"/>
                <w:sz w:val="17"/>
                <w:szCs w:val="17"/>
                <w:color w:val="auto"/>
              </w:rPr>
              <w:t>25</w:t>
            </w:r>
          </w:p>
        </w:tc>
      </w:tr>
      <w:tr>
        <w:trPr>
          <w:trHeight w:val="173"/>
        </w:trPr>
        <w:tc>
          <w:tcPr>
            <w:tcW w:w="260" w:type="dxa"/>
            <w:vAlign w:val="bottom"/>
          </w:tcPr>
          <w:p>
            <w:pPr>
              <w:spacing w:after="0"/>
              <w:rPr>
                <w:sz w:val="15"/>
                <w:szCs w:val="15"/>
                <w:color w:val="auto"/>
              </w:rPr>
            </w:pPr>
          </w:p>
        </w:tc>
        <w:tc>
          <w:tcPr>
            <w:tcW w:w="7320" w:type="dxa"/>
            <w:vAlign w:val="bottom"/>
            <w:tcBorders>
              <w:top w:val="single" w:sz="8" w:color="0000EE"/>
            </w:tcBorders>
            <w:gridSpan w:val="36"/>
          </w:tcPr>
          <w:p>
            <w:pPr>
              <w:spacing w:after="0" w:line="173" w:lineRule="exact"/>
              <w:rPr>
                <w:rFonts w:ascii="Arial" w:cs="Arial" w:eastAsia="Arial" w:hAnsi="Arial"/>
                <w:sz w:val="17"/>
                <w:szCs w:val="17"/>
                <w:color w:val="0000EE"/>
              </w:rPr>
            </w:pPr>
            <w:hyperlink w:anchor="page55">
              <w:r>
                <w:rPr>
                  <w:rFonts w:ascii="Arial" w:cs="Arial" w:eastAsia="Arial" w:hAnsi="Arial"/>
                  <w:sz w:val="17"/>
                  <w:szCs w:val="17"/>
                  <w:color w:val="0000EE"/>
                </w:rPr>
                <w:t>Item 3. Quantitative and Qualitative Disclosures About Market Risk</w:t>
              </w:r>
            </w:hyperlink>
          </w:p>
        </w:tc>
        <w:tc>
          <w:tcPr>
            <w:tcW w:w="800" w:type="dxa"/>
            <w:vAlign w:val="bottom"/>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55</w:t>
            </w:r>
          </w:p>
        </w:tc>
      </w:tr>
      <w:tr>
        <w:trPr>
          <w:trHeight w:val="173"/>
        </w:trPr>
        <w:tc>
          <w:tcPr>
            <w:tcW w:w="26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22"/>
          </w:tcPr>
          <w:p>
            <w:pPr>
              <w:spacing w:after="0" w:line="173" w:lineRule="exact"/>
              <w:rPr>
                <w:rFonts w:ascii="Arial" w:cs="Arial" w:eastAsia="Arial" w:hAnsi="Arial"/>
                <w:sz w:val="17"/>
                <w:szCs w:val="17"/>
                <w:color w:val="0000EE"/>
              </w:rPr>
            </w:pPr>
            <w:hyperlink w:anchor="page55">
              <w:r>
                <w:rPr>
                  <w:rFonts w:ascii="Arial" w:cs="Arial" w:eastAsia="Arial" w:hAnsi="Arial"/>
                  <w:sz w:val="17"/>
                  <w:szCs w:val="17"/>
                  <w:color w:val="0000EE"/>
                </w:rPr>
                <w:t>Item 4. Controls and Procedures</w:t>
              </w:r>
            </w:hyperlink>
          </w:p>
        </w:tc>
        <w:tc>
          <w:tcPr>
            <w:tcW w:w="2560" w:type="dxa"/>
            <w:vAlign w:val="bottom"/>
            <w:tcBorders>
              <w:top w:val="single" w:sz="8" w:color="0000EE"/>
            </w:tcBorders>
            <w:gridSpan w:val="11"/>
          </w:tcPr>
          <w:p>
            <w:pPr>
              <w:spacing w:after="0"/>
              <w:rPr>
                <w:sz w:val="15"/>
                <w:szCs w:val="15"/>
                <w:color w:val="auto"/>
              </w:rPr>
            </w:pPr>
          </w:p>
        </w:tc>
        <w:tc>
          <w:tcPr>
            <w:tcW w:w="3060" w:type="dxa"/>
            <w:vAlign w:val="bottom"/>
            <w:gridSpan w:val="4"/>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55</w:t>
            </w:r>
          </w:p>
        </w:tc>
      </w:tr>
      <w:tr>
        <w:trPr>
          <w:trHeight w:val="367"/>
        </w:trPr>
        <w:tc>
          <w:tcPr>
            <w:tcW w:w="1920" w:type="dxa"/>
            <w:vAlign w:val="bottom"/>
            <w:tcBorders>
              <w:bottom w:val="single" w:sz="8" w:color="0000EE"/>
            </w:tcBorders>
            <w:gridSpan w:val="13"/>
          </w:tcPr>
          <w:p>
            <w:pPr>
              <w:spacing w:after="0"/>
              <w:rPr>
                <w:rFonts w:ascii="Arial" w:cs="Arial" w:eastAsia="Arial" w:hAnsi="Arial"/>
                <w:sz w:val="17"/>
                <w:szCs w:val="17"/>
                <w:color w:val="0000EE"/>
              </w:rPr>
            </w:pPr>
            <w:hyperlink w:anchor="page56">
              <w:r>
                <w:rPr>
                  <w:rFonts w:ascii="Arial" w:cs="Arial" w:eastAsia="Arial" w:hAnsi="Arial"/>
                  <w:sz w:val="17"/>
                  <w:szCs w:val="17"/>
                  <w:color w:val="0000EE"/>
                </w:rPr>
                <w:t>Part II. Other Information</w:t>
              </w:r>
            </w:hyperlink>
          </w:p>
        </w:tc>
        <w:tc>
          <w:tcPr>
            <w:tcW w:w="6460" w:type="dxa"/>
            <w:vAlign w:val="bottom"/>
            <w:gridSpan w:val="25"/>
          </w:tcPr>
          <w:p>
            <w:pPr>
              <w:spacing w:after="0"/>
              <w:rPr>
                <w:sz w:val="24"/>
                <w:szCs w:val="24"/>
                <w:color w:val="auto"/>
              </w:rPr>
            </w:pPr>
          </w:p>
        </w:tc>
        <w:tc>
          <w:tcPr>
            <w:tcW w:w="540" w:type="dxa"/>
            <w:vAlign w:val="bottom"/>
          </w:tcPr>
          <w:p>
            <w:pPr>
              <w:spacing w:after="0"/>
              <w:rPr>
                <w:sz w:val="24"/>
                <w:szCs w:val="24"/>
                <w:color w:val="auto"/>
              </w:rPr>
            </w:pPr>
          </w:p>
        </w:tc>
      </w:tr>
      <w:tr>
        <w:trPr>
          <w:trHeight w:val="173"/>
        </w:trPr>
        <w:tc>
          <w:tcPr>
            <w:tcW w:w="260" w:type="dxa"/>
            <w:vAlign w:val="bottom"/>
          </w:tcPr>
          <w:p>
            <w:pPr>
              <w:spacing w:after="0"/>
              <w:rPr>
                <w:sz w:val="15"/>
                <w:szCs w:val="15"/>
                <w:color w:val="auto"/>
              </w:rPr>
            </w:pPr>
          </w:p>
        </w:tc>
        <w:tc>
          <w:tcPr>
            <w:tcW w:w="2000" w:type="dxa"/>
            <w:vAlign w:val="bottom"/>
            <w:tcBorders>
              <w:bottom w:val="single" w:sz="8" w:color="0000EE"/>
            </w:tcBorders>
            <w:gridSpan w:val="15"/>
          </w:tcPr>
          <w:p>
            <w:pPr>
              <w:spacing w:after="0" w:line="173" w:lineRule="exact"/>
              <w:rPr>
                <w:rFonts w:ascii="Arial" w:cs="Arial" w:eastAsia="Arial" w:hAnsi="Arial"/>
                <w:sz w:val="17"/>
                <w:szCs w:val="17"/>
                <w:color w:val="0000EE"/>
              </w:rPr>
            </w:pPr>
            <w:hyperlink w:anchor="page56">
              <w:r>
                <w:rPr>
                  <w:rFonts w:ascii="Arial" w:cs="Arial" w:eastAsia="Arial" w:hAnsi="Arial"/>
                  <w:sz w:val="17"/>
                  <w:szCs w:val="17"/>
                  <w:color w:val="0000EE"/>
                </w:rPr>
                <w:t>Item 1. Legal Proceedings</w:t>
              </w:r>
            </w:hyperlink>
          </w:p>
        </w:tc>
        <w:tc>
          <w:tcPr>
            <w:tcW w:w="6120" w:type="dxa"/>
            <w:vAlign w:val="bottom"/>
            <w:gridSpan w:val="22"/>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56</w:t>
            </w:r>
          </w:p>
        </w:tc>
      </w:tr>
      <w:tr>
        <w:trPr>
          <w:trHeight w:val="173"/>
        </w:trPr>
        <w:tc>
          <w:tcPr>
            <w:tcW w:w="260" w:type="dxa"/>
            <w:vAlign w:val="bottom"/>
          </w:tcPr>
          <w:p>
            <w:pPr>
              <w:spacing w:after="0"/>
              <w:rPr>
                <w:sz w:val="15"/>
                <w:szCs w:val="15"/>
                <w:color w:val="auto"/>
              </w:rPr>
            </w:pPr>
          </w:p>
        </w:tc>
        <w:tc>
          <w:tcPr>
            <w:tcW w:w="1640" w:type="dxa"/>
            <w:vAlign w:val="bottom"/>
            <w:tcBorders>
              <w:bottom w:val="single" w:sz="8" w:color="0000EE"/>
            </w:tcBorders>
            <w:gridSpan w:val="11"/>
          </w:tcPr>
          <w:p>
            <w:pPr>
              <w:spacing w:after="0" w:line="173" w:lineRule="exact"/>
              <w:rPr>
                <w:rFonts w:ascii="Arial" w:cs="Arial" w:eastAsia="Arial" w:hAnsi="Arial"/>
                <w:sz w:val="17"/>
                <w:szCs w:val="17"/>
                <w:color w:val="0000EE"/>
                <w:w w:val="99"/>
              </w:rPr>
            </w:pPr>
            <w:hyperlink w:anchor="page56">
              <w:r>
                <w:rPr>
                  <w:rFonts w:ascii="Arial" w:cs="Arial" w:eastAsia="Arial" w:hAnsi="Arial"/>
                  <w:sz w:val="17"/>
                  <w:szCs w:val="17"/>
                  <w:color w:val="0000EE"/>
                  <w:w w:val="99"/>
                </w:rPr>
                <w:t>Item 1A. Risk Factors</w:t>
              </w:r>
            </w:hyperlink>
          </w:p>
        </w:tc>
        <w:tc>
          <w:tcPr>
            <w:tcW w:w="6480" w:type="dxa"/>
            <w:vAlign w:val="bottom"/>
            <w:gridSpan w:val="26"/>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56</w:t>
            </w:r>
          </w:p>
        </w:tc>
      </w:tr>
      <w:tr>
        <w:trPr>
          <w:trHeight w:val="173"/>
        </w:trPr>
        <w:tc>
          <w:tcPr>
            <w:tcW w:w="260" w:type="dxa"/>
            <w:vAlign w:val="bottom"/>
          </w:tcPr>
          <w:p>
            <w:pPr>
              <w:spacing w:after="0"/>
              <w:rPr>
                <w:sz w:val="15"/>
                <w:szCs w:val="15"/>
                <w:color w:val="auto"/>
              </w:rPr>
            </w:pPr>
          </w:p>
        </w:tc>
        <w:tc>
          <w:tcPr>
            <w:tcW w:w="8120" w:type="dxa"/>
            <w:vAlign w:val="bottom"/>
            <w:gridSpan w:val="37"/>
          </w:tcPr>
          <w:p>
            <w:pPr>
              <w:spacing w:after="0" w:line="173" w:lineRule="exact"/>
              <w:rPr>
                <w:rFonts w:ascii="Arial" w:cs="Arial" w:eastAsia="Arial" w:hAnsi="Arial"/>
                <w:sz w:val="17"/>
                <w:szCs w:val="17"/>
                <w:color w:val="0000EE"/>
              </w:rPr>
            </w:pPr>
            <w:hyperlink w:anchor="page56">
              <w:r>
                <w:rPr>
                  <w:rFonts w:ascii="Arial" w:cs="Arial" w:eastAsia="Arial" w:hAnsi="Arial"/>
                  <w:sz w:val="17"/>
                  <w:szCs w:val="17"/>
                  <w:color w:val="0000EE"/>
                </w:rPr>
                <w:t>Item 2. Unregistered Sales of Equity Securities and Use of Proceeds</w:t>
              </w:r>
            </w:hyperlink>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56</w:t>
            </w:r>
          </w:p>
        </w:tc>
      </w:tr>
      <w:tr>
        <w:trPr>
          <w:trHeight w:val="173"/>
        </w:trPr>
        <w:tc>
          <w:tcPr>
            <w:tcW w:w="260" w:type="dxa"/>
            <w:vAlign w:val="bottom"/>
          </w:tcPr>
          <w:p>
            <w:pPr>
              <w:spacing w:after="0"/>
              <w:rPr>
                <w:sz w:val="15"/>
                <w:szCs w:val="15"/>
                <w:color w:val="auto"/>
              </w:rPr>
            </w:pPr>
          </w:p>
        </w:tc>
        <w:tc>
          <w:tcPr>
            <w:tcW w:w="5200" w:type="dxa"/>
            <w:vAlign w:val="bottom"/>
            <w:tcBorders>
              <w:top w:val="single" w:sz="8" w:color="0000EE"/>
            </w:tcBorders>
            <w:gridSpan w:val="34"/>
          </w:tcPr>
          <w:p>
            <w:pPr>
              <w:spacing w:after="0" w:line="173" w:lineRule="exact"/>
              <w:rPr>
                <w:rFonts w:ascii="Arial" w:cs="Arial" w:eastAsia="Arial" w:hAnsi="Arial"/>
                <w:sz w:val="17"/>
                <w:szCs w:val="17"/>
                <w:color w:val="0000EE"/>
              </w:rPr>
            </w:pPr>
            <w:hyperlink w:anchor="page57">
              <w:r>
                <w:rPr>
                  <w:rFonts w:ascii="Arial" w:cs="Arial" w:eastAsia="Arial" w:hAnsi="Arial"/>
                  <w:sz w:val="17"/>
                  <w:szCs w:val="17"/>
                  <w:color w:val="0000EE"/>
                </w:rPr>
                <w:t>Item 3. Defaults Upon Senior Securities</w:t>
              </w:r>
            </w:hyperlink>
          </w:p>
        </w:tc>
        <w:tc>
          <w:tcPr>
            <w:tcW w:w="2920" w:type="dxa"/>
            <w:vAlign w:val="bottom"/>
            <w:gridSpan w:val="3"/>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57</w:t>
            </w:r>
          </w:p>
        </w:tc>
      </w:tr>
      <w:tr>
        <w:trPr>
          <w:trHeight w:val="173"/>
        </w:trPr>
        <w:tc>
          <w:tcPr>
            <w:tcW w:w="260" w:type="dxa"/>
            <w:vAlign w:val="bottom"/>
          </w:tcPr>
          <w:p>
            <w:pPr>
              <w:spacing w:after="0"/>
              <w:rPr>
                <w:sz w:val="15"/>
                <w:szCs w:val="15"/>
                <w:color w:val="auto"/>
              </w:rPr>
            </w:pPr>
          </w:p>
        </w:tc>
        <w:tc>
          <w:tcPr>
            <w:tcW w:w="2420" w:type="dxa"/>
            <w:vAlign w:val="bottom"/>
            <w:tcBorders>
              <w:top w:val="single" w:sz="8" w:color="0000EE"/>
              <w:bottom w:val="single" w:sz="8" w:color="0000EE"/>
            </w:tcBorders>
            <w:gridSpan w:val="20"/>
          </w:tcPr>
          <w:p>
            <w:pPr>
              <w:spacing w:after="0" w:line="173" w:lineRule="exact"/>
              <w:rPr>
                <w:rFonts w:ascii="Arial" w:cs="Arial" w:eastAsia="Arial" w:hAnsi="Arial"/>
                <w:sz w:val="17"/>
                <w:szCs w:val="17"/>
                <w:color w:val="0000EE"/>
              </w:rPr>
            </w:pPr>
            <w:hyperlink w:anchor="page57">
              <w:r>
                <w:rPr>
                  <w:rFonts w:ascii="Arial" w:cs="Arial" w:eastAsia="Arial" w:hAnsi="Arial"/>
                  <w:sz w:val="17"/>
                  <w:szCs w:val="17"/>
                  <w:color w:val="0000EE"/>
                </w:rPr>
                <w:t>Item 4. Mine Safety Disclosures</w:t>
              </w:r>
            </w:hyperlink>
          </w:p>
        </w:tc>
        <w:tc>
          <w:tcPr>
            <w:tcW w:w="580" w:type="dxa"/>
            <w:vAlign w:val="bottom"/>
            <w:tcBorders>
              <w:top w:val="single" w:sz="8" w:color="0000EE"/>
            </w:tcBorders>
            <w:gridSpan w:val="5"/>
          </w:tcPr>
          <w:p>
            <w:pPr>
              <w:spacing w:after="0"/>
              <w:rPr>
                <w:sz w:val="15"/>
                <w:szCs w:val="15"/>
                <w:color w:val="auto"/>
              </w:rPr>
            </w:pPr>
          </w:p>
        </w:tc>
        <w:tc>
          <w:tcPr>
            <w:tcW w:w="5120" w:type="dxa"/>
            <w:vAlign w:val="bottom"/>
            <w:gridSpan w:val="12"/>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57</w:t>
            </w:r>
          </w:p>
        </w:tc>
      </w:tr>
      <w:tr>
        <w:trPr>
          <w:trHeight w:val="173"/>
        </w:trPr>
        <w:tc>
          <w:tcPr>
            <w:tcW w:w="260" w:type="dxa"/>
            <w:vAlign w:val="bottom"/>
          </w:tcPr>
          <w:p>
            <w:pPr>
              <w:spacing w:after="0"/>
              <w:rPr>
                <w:sz w:val="15"/>
                <w:szCs w:val="15"/>
                <w:color w:val="auto"/>
              </w:rPr>
            </w:pPr>
          </w:p>
        </w:tc>
        <w:tc>
          <w:tcPr>
            <w:tcW w:w="8120" w:type="dxa"/>
            <w:vAlign w:val="bottom"/>
            <w:gridSpan w:val="37"/>
          </w:tcPr>
          <w:p>
            <w:pPr>
              <w:spacing w:after="0" w:line="173" w:lineRule="exact"/>
              <w:rPr>
                <w:rFonts w:ascii="Arial" w:cs="Arial" w:eastAsia="Arial" w:hAnsi="Arial"/>
                <w:sz w:val="17"/>
                <w:szCs w:val="17"/>
                <w:color w:val="0000EE"/>
              </w:rPr>
            </w:pPr>
            <w:hyperlink w:anchor="page57">
              <w:r>
                <w:rPr>
                  <w:rFonts w:ascii="Arial" w:cs="Arial" w:eastAsia="Arial" w:hAnsi="Arial"/>
                  <w:sz w:val="17"/>
                  <w:szCs w:val="17"/>
                  <w:color w:val="0000EE"/>
                </w:rPr>
                <w:t>Item 5. Other Information</w:t>
              </w:r>
            </w:hyperlink>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57</w:t>
            </w:r>
          </w:p>
        </w:tc>
      </w:tr>
      <w:tr>
        <w:trPr>
          <w:trHeight w:val="173"/>
        </w:trPr>
        <w:tc>
          <w:tcPr>
            <w:tcW w:w="260" w:type="dxa"/>
            <w:vAlign w:val="bottom"/>
          </w:tcPr>
          <w:p>
            <w:pPr>
              <w:spacing w:after="0"/>
              <w:rPr>
                <w:sz w:val="15"/>
                <w:szCs w:val="15"/>
                <w:color w:val="auto"/>
              </w:rPr>
            </w:pPr>
          </w:p>
        </w:tc>
        <w:tc>
          <w:tcPr>
            <w:tcW w:w="1240" w:type="dxa"/>
            <w:vAlign w:val="bottom"/>
            <w:tcBorders>
              <w:top w:val="single" w:sz="8" w:color="0000EE"/>
              <w:bottom w:val="single" w:sz="8" w:color="0000EE"/>
            </w:tcBorders>
            <w:gridSpan w:val="8"/>
          </w:tcPr>
          <w:p>
            <w:pPr>
              <w:spacing w:after="0" w:line="173" w:lineRule="exact"/>
              <w:rPr>
                <w:rFonts w:ascii="Arial" w:cs="Arial" w:eastAsia="Arial" w:hAnsi="Arial"/>
                <w:sz w:val="17"/>
                <w:szCs w:val="17"/>
                <w:color w:val="0000EE"/>
              </w:rPr>
            </w:pPr>
            <w:hyperlink w:anchor="page58">
              <w:r>
                <w:rPr>
                  <w:rFonts w:ascii="Arial" w:cs="Arial" w:eastAsia="Arial" w:hAnsi="Arial"/>
                  <w:sz w:val="17"/>
                  <w:szCs w:val="17"/>
                  <w:color w:val="0000EE"/>
                </w:rPr>
                <w:t>Item 6. Exhibits</w:t>
              </w:r>
            </w:hyperlink>
          </w:p>
        </w:tc>
        <w:tc>
          <w:tcPr>
            <w:tcW w:w="700" w:type="dxa"/>
            <w:vAlign w:val="bottom"/>
            <w:tcBorders>
              <w:top w:val="single" w:sz="8" w:color="0000EE"/>
            </w:tcBorders>
            <w:gridSpan w:val="6"/>
          </w:tcPr>
          <w:p>
            <w:pPr>
              <w:spacing w:after="0"/>
              <w:rPr>
                <w:sz w:val="15"/>
                <w:szCs w:val="15"/>
                <w:color w:val="auto"/>
              </w:rPr>
            </w:pPr>
          </w:p>
        </w:tc>
        <w:tc>
          <w:tcPr>
            <w:tcW w:w="6180" w:type="dxa"/>
            <w:vAlign w:val="bottom"/>
            <w:gridSpan w:val="23"/>
          </w:tcPr>
          <w:p>
            <w:pPr>
              <w:spacing w:after="0"/>
              <w:rPr>
                <w:sz w:val="15"/>
                <w:szCs w:val="15"/>
                <w:color w:val="auto"/>
              </w:rPr>
            </w:pPr>
          </w:p>
        </w:tc>
        <w:tc>
          <w:tcPr>
            <w:tcW w:w="540" w:type="dxa"/>
            <w:vAlign w:val="bottom"/>
          </w:tcPr>
          <w:p>
            <w:pPr>
              <w:jc w:val="center"/>
              <w:spacing w:after="0" w:line="173" w:lineRule="exact"/>
              <w:rPr>
                <w:sz w:val="20"/>
                <w:szCs w:val="20"/>
                <w:color w:val="auto"/>
              </w:rPr>
            </w:pPr>
            <w:r>
              <w:rPr>
                <w:rFonts w:ascii="Arial" w:cs="Arial" w:eastAsia="Arial" w:hAnsi="Arial"/>
                <w:sz w:val="17"/>
                <w:szCs w:val="17"/>
                <w:color w:val="auto"/>
              </w:rPr>
              <w:t>58</w:t>
            </w:r>
          </w:p>
        </w:tc>
      </w:tr>
      <w:tr>
        <w:trPr>
          <w:trHeight w:val="367"/>
        </w:trPr>
        <w:tc>
          <w:tcPr>
            <w:tcW w:w="840" w:type="dxa"/>
            <w:vAlign w:val="bottom"/>
            <w:tcBorders>
              <w:bottom w:val="single" w:sz="8" w:color="0000EE"/>
            </w:tcBorders>
            <w:gridSpan w:val="6"/>
          </w:tcPr>
          <w:p>
            <w:pPr>
              <w:spacing w:after="0"/>
              <w:rPr>
                <w:rFonts w:ascii="Arial" w:cs="Arial" w:eastAsia="Arial" w:hAnsi="Arial"/>
                <w:sz w:val="17"/>
                <w:szCs w:val="17"/>
                <w:color w:val="0000EE"/>
                <w:w w:val="98"/>
              </w:rPr>
            </w:pPr>
            <w:hyperlink w:anchor="page59">
              <w:r>
                <w:rPr>
                  <w:rFonts w:ascii="Arial" w:cs="Arial" w:eastAsia="Arial" w:hAnsi="Arial"/>
                  <w:sz w:val="17"/>
                  <w:szCs w:val="17"/>
                  <w:color w:val="0000EE"/>
                  <w:w w:val="98"/>
                </w:rPr>
                <w:t>Signatures</w:t>
              </w:r>
            </w:hyperlink>
          </w:p>
        </w:tc>
        <w:tc>
          <w:tcPr>
            <w:tcW w:w="3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PART I. Financial Information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 FINANCIAL STATEMENTS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15875</wp:posOffset>
            </wp:positionV>
            <wp:extent cx="5664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95"/>
              <w:spacing w:after="0" w:line="148"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Current Assets: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tcPr>
          <w:p>
            <w:pPr>
              <w:ind w:left="100"/>
              <w:spacing w:after="0" w:line="194" w:lineRule="exact"/>
              <w:rPr>
                <w:sz w:val="20"/>
                <w:szCs w:val="20"/>
                <w:color w:val="auto"/>
              </w:rPr>
            </w:pPr>
            <w:r>
              <w:rPr>
                <w:rFonts w:ascii="Arial" w:cs="Arial" w:eastAsia="Arial" w:hAnsi="Arial"/>
                <w:sz w:val="17"/>
                <w:szCs w:val="17"/>
                <w:color w:val="auto"/>
              </w:rPr>
              <w:t>Cash and Equivalents</w:t>
            </w:r>
          </w:p>
        </w:tc>
        <w:tc>
          <w:tcPr>
            <w:tcW w:w="2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310,723</w:t>
            </w:r>
          </w:p>
        </w:tc>
        <w:tc>
          <w:tcPr>
            <w:tcW w:w="160" w:type="dxa"/>
            <w:vAlign w:val="bottom"/>
          </w:tcPr>
          <w:p>
            <w:pPr>
              <w:spacing w:after="0"/>
              <w:rPr>
                <w:sz w:val="16"/>
                <w:szCs w:val="16"/>
                <w:color w:val="auto"/>
              </w:rPr>
            </w:pPr>
          </w:p>
        </w:tc>
        <w:tc>
          <w:tcPr>
            <w:tcW w:w="300" w:type="dxa"/>
            <w:vAlign w:val="bottom"/>
            <w:gridSpan w:val="2"/>
          </w:tcPr>
          <w:p>
            <w:pPr>
              <w:jc w:val="right"/>
              <w:ind w:right="161"/>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62,028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Restricted Cash</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4,762</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8,335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tcPr>
          <w:p>
            <w:pPr>
              <w:ind w:left="100"/>
              <w:spacing w:after="0" w:line="194" w:lineRule="exact"/>
              <w:rPr>
                <w:sz w:val="20"/>
                <w:szCs w:val="20"/>
                <w:color w:val="auto"/>
              </w:rPr>
            </w:pPr>
            <w:r>
              <w:rPr>
                <w:rFonts w:ascii="Arial" w:cs="Arial" w:eastAsia="Arial" w:hAnsi="Arial"/>
                <w:sz w:val="17"/>
                <w:szCs w:val="17"/>
                <w:color w:val="auto"/>
              </w:rPr>
              <w:t>Investments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6,076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5,624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Accounts Receivable, net of an allowance for credit losses of $297 and $224,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respectively</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25,989</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28,690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tcPr>
          <w:p>
            <w:pPr>
              <w:ind w:left="100"/>
              <w:spacing w:after="0" w:line="194" w:lineRule="exact"/>
              <w:rPr>
                <w:sz w:val="20"/>
                <w:szCs w:val="20"/>
                <w:color w:val="auto"/>
              </w:rPr>
            </w:pPr>
            <w:r>
              <w:rPr>
                <w:rFonts w:ascii="Arial" w:cs="Arial" w:eastAsia="Arial" w:hAnsi="Arial"/>
                <w:sz w:val="17"/>
                <w:szCs w:val="17"/>
                <w:color w:val="auto"/>
              </w:rPr>
              <w:t>Short-term Lessor Maintenance Deposits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1,490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3,101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Inventory, net of a reserve for obsolescence of $1,188 and $996, respectively</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5,382</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5,407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tcPr>
          <w:p>
            <w:pPr>
              <w:ind w:left="100"/>
              <w:spacing w:after="0" w:line="194" w:lineRule="exact"/>
              <w:rPr>
                <w:sz w:val="20"/>
                <w:szCs w:val="20"/>
                <w:color w:val="auto"/>
              </w:rPr>
            </w:pPr>
            <w:r>
              <w:rPr>
                <w:rFonts w:ascii="Arial" w:cs="Arial" w:eastAsia="Arial" w:hAnsi="Arial"/>
                <w:sz w:val="17"/>
                <w:szCs w:val="17"/>
                <w:color w:val="auto"/>
              </w:rPr>
              <w:t>Prepaid Expenses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14,447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8,002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Derivative Assets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1,598</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tcBorders>
              <w:bottom w:val="single" w:sz="8" w:color="CCEEFF"/>
            </w:tcBorders>
          </w:tcPr>
          <w:p>
            <w:pPr>
              <w:ind w:left="100"/>
              <w:spacing w:after="0" w:line="194" w:lineRule="exact"/>
              <w:rPr>
                <w:sz w:val="20"/>
                <w:szCs w:val="20"/>
                <w:color w:val="auto"/>
              </w:rPr>
            </w:pPr>
            <w:r>
              <w:rPr>
                <w:rFonts w:ascii="Arial" w:cs="Arial" w:eastAsia="Arial" w:hAnsi="Arial"/>
                <w:sz w:val="17"/>
                <w:szCs w:val="17"/>
                <w:color w:val="auto"/>
              </w:rPr>
              <w:t>Other Current Assets</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779</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5,553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4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Total Current Assets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371,246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126,740</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Property &amp; Equipment, net: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tcPr>
          <w:p>
            <w:pPr>
              <w:ind w:left="100"/>
              <w:spacing w:after="0" w:line="194" w:lineRule="exact"/>
              <w:rPr>
                <w:sz w:val="20"/>
                <w:szCs w:val="20"/>
                <w:color w:val="auto"/>
              </w:rPr>
            </w:pPr>
            <w:r>
              <w:rPr>
                <w:rFonts w:ascii="Arial" w:cs="Arial" w:eastAsia="Arial" w:hAnsi="Arial"/>
                <w:sz w:val="17"/>
                <w:szCs w:val="17"/>
                <w:color w:val="auto"/>
              </w:rPr>
              <w:t>Aircraft and Flight Equipment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395,646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331,685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Leasehold Improvements and Ground Equipment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14,025</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13,526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tcPr>
          <w:p>
            <w:pPr>
              <w:ind w:left="100"/>
              <w:spacing w:after="0" w:line="194" w:lineRule="exact"/>
              <w:rPr>
                <w:sz w:val="20"/>
                <w:szCs w:val="20"/>
                <w:color w:val="auto"/>
              </w:rPr>
            </w:pPr>
            <w:r>
              <w:rPr>
                <w:rFonts w:ascii="Arial" w:cs="Arial" w:eastAsia="Arial" w:hAnsi="Arial"/>
                <w:sz w:val="17"/>
                <w:szCs w:val="17"/>
                <w:color w:val="auto"/>
              </w:rPr>
              <w:t>Computer Hardware and Software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8,331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7,845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Finance Lease Assets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161,649</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117,833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tcBorders>
              <w:bottom w:val="single" w:sz="8" w:color="CCEEFF"/>
            </w:tcBorders>
          </w:tcPr>
          <w:p>
            <w:pPr>
              <w:ind w:left="100"/>
              <w:spacing w:after="0" w:line="194" w:lineRule="exact"/>
              <w:rPr>
                <w:sz w:val="20"/>
                <w:szCs w:val="20"/>
                <w:color w:val="auto"/>
              </w:rPr>
            </w:pPr>
            <w:r>
              <w:rPr>
                <w:rFonts w:ascii="Arial" w:cs="Arial" w:eastAsia="Arial" w:hAnsi="Arial"/>
                <w:sz w:val="17"/>
                <w:szCs w:val="17"/>
                <w:color w:val="auto"/>
              </w:rPr>
              <w:t>Rotable Parts</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9,094</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8,691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4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Property &amp; Equipment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588,745</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479,580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tcBorders>
              <w:bottom w:val="single" w:sz="8" w:color="CCEEFF"/>
            </w:tcBorders>
          </w:tcPr>
          <w:p>
            <w:pPr>
              <w:ind w:left="100"/>
              <w:spacing w:after="0" w:line="194" w:lineRule="exact"/>
              <w:rPr>
                <w:sz w:val="20"/>
                <w:szCs w:val="20"/>
                <w:color w:val="auto"/>
              </w:rPr>
            </w:pPr>
            <w:r>
              <w:rPr>
                <w:rFonts w:ascii="Arial" w:cs="Arial" w:eastAsia="Arial" w:hAnsi="Arial"/>
                <w:sz w:val="17"/>
                <w:szCs w:val="17"/>
                <w:color w:val="auto"/>
              </w:rPr>
              <w:t>Accumulated Depreciation &amp; Amortization</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(88,704)</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(65,065)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4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Total Property &amp; Equipment, net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500,041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414,515</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Other Assets: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tcPr>
          <w:p>
            <w:pPr>
              <w:ind w:left="100"/>
              <w:spacing w:after="0" w:line="194" w:lineRule="exact"/>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222,223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222,223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Other Intangible Assets, net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91,110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93,110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tcPr>
          <w:p>
            <w:pPr>
              <w:ind w:left="100"/>
              <w:spacing w:after="0" w:line="194" w:lineRule="exact"/>
              <w:rPr>
                <w:sz w:val="20"/>
                <w:szCs w:val="20"/>
                <w:color w:val="auto"/>
              </w:rPr>
            </w:pPr>
            <w:r>
              <w:rPr>
                <w:rFonts w:ascii="Arial" w:cs="Arial" w:eastAsia="Arial" w:hAnsi="Arial"/>
                <w:sz w:val="17"/>
                <w:szCs w:val="17"/>
                <w:color w:val="auto"/>
              </w:rPr>
              <w:t>Operating Lease Right-of-use Assets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70,715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121,269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Aircraft Lease Deposits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7,657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10,253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tcPr>
          <w:p>
            <w:pPr>
              <w:ind w:left="100"/>
              <w:spacing w:after="0" w:line="194" w:lineRule="exact"/>
              <w:rPr>
                <w:sz w:val="20"/>
                <w:szCs w:val="20"/>
                <w:color w:val="auto"/>
              </w:rPr>
            </w:pPr>
            <w:r>
              <w:rPr>
                <w:rFonts w:ascii="Arial" w:cs="Arial" w:eastAsia="Arial" w:hAnsi="Arial"/>
                <w:sz w:val="17"/>
                <w:szCs w:val="17"/>
                <w:color w:val="auto"/>
              </w:rPr>
              <w:t>Long-term Lessor Maintenance Deposits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19,493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22,584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Deferred Tax Asset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21,342</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36,216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tcBorders>
              <w:bottom w:val="single" w:sz="8" w:color="CCEEFF"/>
            </w:tcBorders>
          </w:tcPr>
          <w:p>
            <w:pPr>
              <w:ind w:left="100"/>
              <w:spacing w:after="0" w:line="194" w:lineRule="exact"/>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6,137</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6,357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4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Total Other Assets</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438,677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512,012</w:t>
            </w:r>
          </w:p>
        </w:tc>
        <w:tc>
          <w:tcPr>
            <w:tcW w:w="0" w:type="dxa"/>
            <w:vAlign w:val="bottom"/>
          </w:tcPr>
          <w:p>
            <w:pPr>
              <w:spacing w:after="0"/>
              <w:rPr>
                <w:sz w:val="1"/>
                <w:szCs w:val="1"/>
                <w:color w:val="auto"/>
              </w:rPr>
            </w:pPr>
          </w:p>
        </w:tc>
      </w:tr>
      <w:tr>
        <w:trPr>
          <w:trHeight w:val="186"/>
        </w:trPr>
        <w:tc>
          <w:tcPr>
            <w:tcW w:w="6160" w:type="dxa"/>
            <w:vAlign w:val="bottom"/>
            <w:gridSpan w:val="2"/>
          </w:tcPr>
          <w:p>
            <w:pPr>
              <w:spacing w:after="0" w:line="186" w:lineRule="exact"/>
              <w:rPr>
                <w:sz w:val="20"/>
                <w:szCs w:val="20"/>
                <w:color w:val="auto"/>
              </w:rPr>
            </w:pPr>
            <w:r>
              <w:rPr>
                <w:rFonts w:ascii="Arial" w:cs="Arial" w:eastAsia="Arial" w:hAnsi="Arial"/>
                <w:sz w:val="17"/>
                <w:szCs w:val="17"/>
                <w:color w:val="auto"/>
              </w:rPr>
              <w:t>Total Assets</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1,309,964</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1,053,267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15875</wp:posOffset>
            </wp:positionV>
            <wp:extent cx="5664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6"/>
              </w:rPr>
              <w:t>June 30, 2021</w:t>
            </w:r>
          </w:p>
        </w:tc>
        <w:tc>
          <w:tcPr>
            <w:tcW w:w="160" w:type="dxa"/>
            <w:vAlign w:val="bottom"/>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2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Current Liabilities: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Pr>
          <w:p>
            <w:pPr>
              <w:ind w:left="100"/>
              <w:spacing w:after="0" w:line="194" w:lineRule="exact"/>
              <w:rPr>
                <w:sz w:val="20"/>
                <w:szCs w:val="20"/>
                <w:color w:val="auto"/>
              </w:rPr>
            </w:pPr>
            <w:r>
              <w:rPr>
                <w:rFonts w:ascii="Arial" w:cs="Arial" w:eastAsia="Arial" w:hAnsi="Arial"/>
                <w:sz w:val="17"/>
                <w:szCs w:val="17"/>
                <w:color w:val="auto"/>
              </w:rPr>
              <w:t>Accounts Payable</w:t>
            </w:r>
          </w:p>
        </w:tc>
        <w:tc>
          <w:tcPr>
            <w:tcW w:w="2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36,847</w:t>
            </w:r>
          </w:p>
        </w:tc>
        <w:tc>
          <w:tcPr>
            <w:tcW w:w="460" w:type="dxa"/>
            <w:vAlign w:val="bottom"/>
            <w:gridSpan w:val="2"/>
          </w:tcPr>
          <w:p>
            <w:pPr>
              <w:jc w:val="right"/>
              <w:ind w:right="148"/>
              <w:spacing w:after="0" w:line="194"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34,035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Accrued Salaries, Wages, and Benefits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17,855</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16,368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Pr>
          <w:p>
            <w:pPr>
              <w:ind w:left="100"/>
              <w:spacing w:after="0" w:line="194" w:lineRule="exact"/>
              <w:rPr>
                <w:sz w:val="20"/>
                <w:szCs w:val="20"/>
                <w:color w:val="auto"/>
              </w:rPr>
            </w:pPr>
            <w:r>
              <w:rPr>
                <w:rFonts w:ascii="Arial" w:cs="Arial" w:eastAsia="Arial" w:hAnsi="Arial"/>
                <w:sz w:val="17"/>
                <w:szCs w:val="17"/>
                <w:color w:val="auto"/>
              </w:rPr>
              <w:t>Accrued Transportation Taxes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12,907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5,883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Air Traffic Liabilities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113,771</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101,075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Pr>
          <w:p>
            <w:pPr>
              <w:ind w:left="100"/>
              <w:spacing w:after="0" w:line="194" w:lineRule="exact"/>
              <w:rPr>
                <w:sz w:val="20"/>
                <w:szCs w:val="20"/>
                <w:color w:val="auto"/>
              </w:rPr>
            </w:pPr>
            <w:r>
              <w:rPr>
                <w:rFonts w:ascii="Arial" w:cs="Arial" w:eastAsia="Arial" w:hAnsi="Arial"/>
                <w:sz w:val="17"/>
                <w:szCs w:val="17"/>
                <w:color w:val="auto"/>
              </w:rPr>
              <w:t>Derivative Liabilities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1,174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Over-market Liabilities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4,309</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9,281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Pr>
          <w:p>
            <w:pPr>
              <w:ind w:left="100"/>
              <w:spacing w:after="0" w:line="194" w:lineRule="exact"/>
              <w:rPr>
                <w:sz w:val="20"/>
                <w:szCs w:val="20"/>
                <w:color w:val="auto"/>
              </w:rPr>
            </w:pPr>
            <w:r>
              <w:rPr>
                <w:rFonts w:ascii="Arial" w:cs="Arial" w:eastAsia="Arial" w:hAnsi="Arial"/>
                <w:sz w:val="17"/>
                <w:szCs w:val="17"/>
                <w:color w:val="auto"/>
              </w:rPr>
              <w:t>Finance Lease Obligations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9,601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11,460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Loyalty Program Liabilities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12,337</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7,016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Pr>
          <w:p>
            <w:pPr>
              <w:ind w:left="100"/>
              <w:spacing w:after="0" w:line="194" w:lineRule="exact"/>
              <w:rPr>
                <w:sz w:val="20"/>
                <w:szCs w:val="20"/>
                <w:color w:val="auto"/>
              </w:rPr>
            </w:pPr>
            <w:r>
              <w:rPr>
                <w:rFonts w:ascii="Arial" w:cs="Arial" w:eastAsia="Arial" w:hAnsi="Arial"/>
                <w:sz w:val="17"/>
                <w:szCs w:val="17"/>
                <w:color w:val="auto"/>
              </w:rPr>
              <w:t>Operating Lease Obligations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18,239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34,492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Current Maturities of Long-term Debt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19,795</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26,118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Borders>
              <w:bottom w:val="single" w:sz="8" w:color="CCEEFF"/>
            </w:tcBorders>
          </w:tcPr>
          <w:p>
            <w:pPr>
              <w:ind w:left="100"/>
              <w:spacing w:after="0" w:line="194" w:lineRule="exact"/>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5,145</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6,841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2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250,806</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253,743</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2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Long-term Liabilities: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Pr>
          <w:p>
            <w:pPr>
              <w:ind w:left="100"/>
              <w:spacing w:after="0" w:line="194" w:lineRule="exact"/>
              <w:rPr>
                <w:sz w:val="20"/>
                <w:szCs w:val="20"/>
                <w:color w:val="auto"/>
              </w:rPr>
            </w:pPr>
            <w:r>
              <w:rPr>
                <w:rFonts w:ascii="Arial" w:cs="Arial" w:eastAsia="Arial" w:hAnsi="Arial"/>
                <w:sz w:val="17"/>
                <w:szCs w:val="17"/>
                <w:color w:val="auto"/>
              </w:rPr>
              <w:t>Over-market Liabilities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12,583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28,128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Finance Lease Obligations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135,091</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95,710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Pr>
          <w:p>
            <w:pPr>
              <w:ind w:left="100"/>
              <w:spacing w:after="0" w:line="194" w:lineRule="exact"/>
              <w:rPr>
                <w:sz w:val="20"/>
                <w:szCs w:val="20"/>
                <w:color w:val="auto"/>
              </w:rPr>
            </w:pPr>
            <w:r>
              <w:rPr>
                <w:rFonts w:ascii="Arial" w:cs="Arial" w:eastAsia="Arial" w:hAnsi="Arial"/>
                <w:sz w:val="17"/>
                <w:szCs w:val="17"/>
                <w:color w:val="auto"/>
              </w:rPr>
              <w:t>Loyalty Program Liabilities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8,540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15,053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Operating Lease Obligations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68,408</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112,707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Pr>
          <w:p>
            <w:pPr>
              <w:ind w:left="100"/>
              <w:spacing w:after="0" w:line="194" w:lineRule="exact"/>
              <w:rPr>
                <w:sz w:val="20"/>
                <w:szCs w:val="20"/>
                <w:color w:val="auto"/>
              </w:rPr>
            </w:pPr>
            <w:r>
              <w:rPr>
                <w:rFonts w:ascii="Arial" w:cs="Arial" w:eastAsia="Arial" w:hAnsi="Arial"/>
                <w:sz w:val="17"/>
                <w:szCs w:val="17"/>
                <w:color w:val="auto"/>
              </w:rPr>
              <w:t>Long-term Debt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267,684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256,345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Income Tax Receivable Agreement Liability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96,500</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Borders>
              <w:bottom w:val="single" w:sz="8" w:color="CCEEFF"/>
            </w:tcBorders>
          </w:tcPr>
          <w:p>
            <w:pPr>
              <w:ind w:left="100"/>
              <w:spacing w:after="0" w:line="194" w:lineRule="exact"/>
              <w:rPr>
                <w:sz w:val="20"/>
                <w:szCs w:val="20"/>
                <w:color w:val="auto"/>
              </w:rPr>
            </w:pPr>
            <w:r>
              <w:rPr>
                <w:rFonts w:ascii="Arial" w:cs="Arial" w:eastAsia="Arial" w:hAnsi="Arial"/>
                <w:sz w:val="17"/>
                <w:szCs w:val="17"/>
                <w:color w:val="auto"/>
              </w:rPr>
              <w:t>Other Long-term Liabilities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6,119</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7,764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2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Total Long-term Liabilities</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594,925</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515,707</w:t>
            </w:r>
          </w:p>
        </w:tc>
        <w:tc>
          <w:tcPr>
            <w:tcW w:w="0" w:type="dxa"/>
            <w:vAlign w:val="bottom"/>
          </w:tcPr>
          <w:p>
            <w:pPr>
              <w:spacing w:after="0"/>
              <w:rPr>
                <w:sz w:val="1"/>
                <w:szCs w:val="1"/>
                <w:color w:val="auto"/>
              </w:rPr>
            </w:pPr>
          </w:p>
        </w:tc>
      </w:tr>
      <w:tr>
        <w:trPr>
          <w:trHeight w:val="186"/>
        </w:trPr>
        <w:tc>
          <w:tcPr>
            <w:tcW w:w="6240" w:type="dxa"/>
            <w:vAlign w:val="bottom"/>
            <w:gridSpan w:val="2"/>
          </w:tcPr>
          <w:p>
            <w:pPr>
              <w:spacing w:after="0" w:line="186" w:lineRule="exact"/>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86" w:lineRule="exact"/>
              <w:rPr>
                <w:sz w:val="20"/>
                <w:szCs w:val="20"/>
                <w:color w:val="auto"/>
              </w:rPr>
            </w:pPr>
            <w:r>
              <w:rPr>
                <w:rFonts w:ascii="Arial" w:cs="Arial" w:eastAsia="Arial" w:hAnsi="Arial"/>
                <w:sz w:val="17"/>
                <w:szCs w:val="17"/>
                <w:color w:val="auto"/>
              </w:rPr>
              <w:t>845,731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86" w:lineRule="exact"/>
              <w:rPr>
                <w:sz w:val="20"/>
                <w:szCs w:val="20"/>
                <w:color w:val="auto"/>
              </w:rPr>
            </w:pPr>
            <w:r>
              <w:rPr>
                <w:rFonts w:ascii="Arial" w:cs="Arial" w:eastAsia="Arial" w:hAnsi="Arial"/>
                <w:sz w:val="17"/>
                <w:szCs w:val="17"/>
                <w:color w:val="auto"/>
              </w:rPr>
              <w:t>769,450</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220" w:type="dxa"/>
            <w:vAlign w:val="bottom"/>
          </w:tcPr>
          <w:p>
            <w:pPr>
              <w:spacing w:after="0" w:line="194" w:lineRule="exact"/>
              <w:rPr>
                <w:sz w:val="20"/>
                <w:szCs w:val="20"/>
                <w:color w:val="auto"/>
              </w:rPr>
            </w:pPr>
            <w:r>
              <w:rPr>
                <w:rFonts w:ascii="Arial" w:cs="Arial" w:eastAsia="Arial" w:hAnsi="Arial"/>
                <w:sz w:val="17"/>
                <w:szCs w:val="17"/>
                <w:b w:val="1"/>
                <w:bCs w:val="1"/>
                <w:color w:val="auto"/>
              </w:rPr>
              <w:t>Commitments and Contingencies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220" w:type="dxa"/>
            <w:vAlign w:val="bottom"/>
          </w:tcPr>
          <w:p>
            <w:pPr>
              <w:spacing w:after="0" w:line="194" w:lineRule="exact"/>
              <w:rPr>
                <w:sz w:val="20"/>
                <w:szCs w:val="20"/>
                <w:color w:val="auto"/>
              </w:rPr>
            </w:pPr>
            <w:r>
              <w:rPr>
                <w:rFonts w:ascii="Arial" w:cs="Arial" w:eastAsia="Arial" w:hAnsi="Arial"/>
                <w:sz w:val="17"/>
                <w:szCs w:val="17"/>
                <w:b w:val="1"/>
                <w:bCs w:val="1"/>
                <w:color w:val="auto"/>
              </w:rPr>
              <w:t>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Common Stock</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572</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Pr>
          <w:p>
            <w:pPr>
              <w:ind w:left="200"/>
              <w:spacing w:after="0" w:line="193" w:lineRule="exact"/>
              <w:rPr>
                <w:sz w:val="20"/>
                <w:szCs w:val="20"/>
                <w:color w:val="auto"/>
              </w:rPr>
            </w:pPr>
            <w:r>
              <w:rPr>
                <w:rFonts w:ascii="Arial" w:cs="Arial" w:eastAsia="Arial" w:hAnsi="Arial"/>
                <w:sz w:val="17"/>
                <w:szCs w:val="17"/>
                <w:color w:val="auto"/>
              </w:rPr>
              <w:t>Common stock with $0.01 par value, 995,000,000 shares authorized,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Pr>
          <w:p>
            <w:pPr>
              <w:ind w:left="200"/>
              <w:spacing w:after="0" w:line="194" w:lineRule="exact"/>
              <w:rPr>
                <w:sz w:val="20"/>
                <w:szCs w:val="20"/>
                <w:color w:val="auto"/>
              </w:rPr>
            </w:pPr>
            <w:r>
              <w:rPr>
                <w:rFonts w:ascii="Arial" w:cs="Arial" w:eastAsia="Arial" w:hAnsi="Arial"/>
                <w:sz w:val="17"/>
                <w:szCs w:val="17"/>
                <w:color w:val="auto"/>
              </w:rPr>
              <w:t>57,158,467 and 46,839,659 issued at June 30, 2021 and December 31, 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20" w:type="dxa"/>
            <w:vAlign w:val="bottom"/>
          </w:tcPr>
          <w:p>
            <w:pPr>
              <w:ind w:left="200"/>
              <w:spacing w:after="0" w:line="194" w:lineRule="exact"/>
              <w:rPr>
                <w:sz w:val="20"/>
                <w:szCs w:val="20"/>
                <w:color w:val="auto"/>
              </w:rPr>
            </w:pPr>
            <w:r>
              <w:rPr>
                <w:rFonts w:ascii="Arial" w:cs="Arial" w:eastAsia="Arial" w:hAnsi="Arial"/>
                <w:sz w:val="17"/>
                <w:szCs w:val="17"/>
                <w:color w:val="auto"/>
              </w:rPr>
              <w:t>respectively.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Loans to Stockholders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(3,500)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Pr>
          <w:p>
            <w:pPr>
              <w:ind w:left="100"/>
              <w:spacing w:after="0" w:line="194" w:lineRule="exact"/>
              <w:rPr>
                <w:sz w:val="20"/>
                <w:szCs w:val="20"/>
                <w:color w:val="auto"/>
              </w:rPr>
            </w:pPr>
            <w:r>
              <w:rPr>
                <w:rFonts w:ascii="Arial" w:cs="Arial" w:eastAsia="Arial" w:hAnsi="Arial"/>
                <w:sz w:val="17"/>
                <w:szCs w:val="17"/>
                <w:color w:val="auto"/>
              </w:rPr>
              <w:t>Additional Paid In Capital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476,368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248,525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Retained Earnings (Deficit)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(12,707)</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38,324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20" w:type="dxa"/>
            <w:vAlign w:val="bottom"/>
            <w:tcBorders>
              <w:bottom w:val="single" w:sz="8" w:color="CCEEFF"/>
            </w:tcBorders>
          </w:tcPr>
          <w:p>
            <w:pPr>
              <w:ind w:left="200"/>
              <w:spacing w:after="0" w:line="186" w:lineRule="exact"/>
              <w:rPr>
                <w:sz w:val="20"/>
                <w:szCs w:val="20"/>
                <w:color w:val="auto"/>
              </w:rPr>
            </w:pPr>
            <w:r>
              <w:rPr>
                <w:rFonts w:ascii="Arial" w:cs="Arial" w:eastAsia="Arial" w:hAnsi="Arial"/>
                <w:sz w:val="17"/>
                <w:szCs w:val="17"/>
                <w:color w:val="auto"/>
              </w:rPr>
              <w:t>Total Stockholders' Equity</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464,233</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283,817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20" w:type="dxa"/>
            <w:vAlign w:val="bottom"/>
            <w:tcBorders>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Total Liabilities and Stockholders' Equity</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1,309,964</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1,053,267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819"/>
        <w:spacing w:after="0" w:line="261" w:lineRule="auto"/>
        <w:rPr>
          <w:sz w:val="20"/>
          <w:szCs w:val="20"/>
          <w:color w:val="auto"/>
        </w:rPr>
      </w:pPr>
      <w:r>
        <w:rPr>
          <w:rFonts w:ascii="Arial" w:cs="Arial" w:eastAsia="Arial" w:hAnsi="Arial"/>
          <w:sz w:val="17"/>
          <w:szCs w:val="17"/>
          <w:b w:val="1"/>
          <w:bCs w:val="1"/>
          <w:color w:val="auto"/>
        </w:rPr>
        <w:t>CONDENSED CONSOLIDATED STATEMENTS OF OPERATIONS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128270</wp:posOffset>
            </wp:positionV>
            <wp:extent cx="5664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w w:val="99"/>
              </w:rPr>
              <w:t>Three Months Ended June 30,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5"/>
              <w:spacing w:after="0" w:line="148"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5"/>
              <w:spacing w:after="0" w:line="148"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5"/>
              <w:spacing w:after="0" w:line="148"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5"/>
              <w:spacing w:after="0" w:line="148"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0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Operating Revenues:</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tcPr>
          <w:p>
            <w:pPr>
              <w:ind w:left="100"/>
              <w:spacing w:after="0" w:line="194" w:lineRule="exact"/>
              <w:rPr>
                <w:sz w:val="20"/>
                <w:szCs w:val="20"/>
                <w:color w:val="auto"/>
              </w:rPr>
            </w:pPr>
            <w:r>
              <w:rPr>
                <w:rFonts w:ascii="Arial" w:cs="Arial" w:eastAsia="Arial" w:hAnsi="Arial"/>
                <w:sz w:val="17"/>
                <w:szCs w:val="17"/>
                <w:color w:val="auto"/>
              </w:rPr>
              <w:t>Passenger</w:t>
            </w:r>
          </w:p>
        </w:tc>
        <w:tc>
          <w:tcPr>
            <w:tcW w:w="3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125,130</w:t>
            </w:r>
          </w:p>
        </w:tc>
        <w:tc>
          <w:tcPr>
            <w:tcW w:w="3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31,341</w:t>
            </w:r>
          </w:p>
        </w:tc>
        <w:tc>
          <w:tcPr>
            <w:tcW w:w="3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229,325</w:t>
            </w:r>
          </w:p>
        </w:tc>
        <w:tc>
          <w:tcPr>
            <w:tcW w:w="3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209,827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Cargo</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22,098</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3,219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43,684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3,219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tcBorders>
              <w:bottom w:val="single" w:sz="8" w:color="CCEEFF"/>
            </w:tcBorders>
          </w:tcPr>
          <w:p>
            <w:pPr>
              <w:ind w:left="100"/>
              <w:spacing w:after="0" w:line="194" w:lineRule="exact"/>
              <w:rPr>
                <w:sz w:val="20"/>
                <w:szCs w:val="20"/>
                <w:color w:val="auto"/>
              </w:rPr>
            </w:pPr>
            <w:r>
              <w:rPr>
                <w:rFonts w:ascii="Arial" w:cs="Arial" w:eastAsia="Arial" w:hAnsi="Arial"/>
                <w:sz w:val="17"/>
                <w:szCs w:val="17"/>
                <w:color w:val="auto"/>
              </w:rPr>
              <w:t>Other</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1,961</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816</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3,793</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2,660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0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Total Operating Revenue</w:t>
            </w: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149,189</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35,376</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276,802</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215,706</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7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Operating Expenses:</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tcPr>
          <w:p>
            <w:pPr>
              <w:ind w:left="100"/>
              <w:spacing w:after="0" w:line="194" w:lineRule="exact"/>
              <w:rPr>
                <w:sz w:val="20"/>
                <w:szCs w:val="20"/>
                <w:color w:val="auto"/>
              </w:rPr>
            </w:pPr>
            <w:r>
              <w:rPr>
                <w:rFonts w:ascii="Arial" w:cs="Arial" w:eastAsia="Arial" w:hAnsi="Arial"/>
                <w:sz w:val="17"/>
                <w:szCs w:val="17"/>
                <w:color w:val="auto"/>
              </w:rPr>
              <w:t>Aircraft Fuel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29,709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677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53,984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56,238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Salaries, Wages, and Benefits</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42,316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32,484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86,392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70,575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tcPr>
          <w:p>
            <w:pPr>
              <w:ind w:left="100"/>
              <w:spacing w:after="0" w:line="194" w:lineRule="exact"/>
              <w:rPr>
                <w:sz w:val="20"/>
                <w:szCs w:val="20"/>
                <w:color w:val="auto"/>
              </w:rPr>
            </w:pPr>
            <w:r>
              <w:rPr>
                <w:rFonts w:ascii="Arial" w:cs="Arial" w:eastAsia="Arial" w:hAnsi="Arial"/>
                <w:sz w:val="17"/>
                <w:szCs w:val="17"/>
                <w:color w:val="auto"/>
              </w:rPr>
              <w:t>Aircraft Rent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3,815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5,934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9,414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16,966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Maintenance</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11,300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2,426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20,510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8,904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tcPr>
          <w:p>
            <w:pPr>
              <w:ind w:left="100"/>
              <w:spacing w:after="0" w:line="194" w:lineRule="exact"/>
              <w:rPr>
                <w:sz w:val="20"/>
                <w:szCs w:val="20"/>
                <w:color w:val="auto"/>
              </w:rPr>
            </w:pPr>
            <w:r>
              <w:rPr>
                <w:rFonts w:ascii="Arial" w:cs="Arial" w:eastAsia="Arial" w:hAnsi="Arial"/>
                <w:sz w:val="17"/>
                <w:szCs w:val="17"/>
                <w:color w:val="auto"/>
              </w:rPr>
              <w:t>Sales and Marketing</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5,822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1,630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10,932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10,202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Depreciation and Amortization</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13,460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12,175</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26,075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22,702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tcPr>
          <w:p>
            <w:pPr>
              <w:ind w:left="100"/>
              <w:spacing w:after="0" w:line="194" w:lineRule="exact"/>
              <w:rPr>
                <w:sz w:val="20"/>
                <w:szCs w:val="20"/>
                <w:color w:val="auto"/>
              </w:rPr>
            </w:pPr>
            <w:r>
              <w:rPr>
                <w:rFonts w:ascii="Arial" w:cs="Arial" w:eastAsia="Arial" w:hAnsi="Arial"/>
                <w:sz w:val="17"/>
                <w:szCs w:val="17"/>
                <w:color w:val="auto"/>
              </w:rPr>
              <w:t>Ground Handling</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6,551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1,614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11,781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10,906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Landing Fees and Airport Rent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8,752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2,667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17,537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13,781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tcPr>
          <w:p>
            <w:pPr>
              <w:ind w:left="100"/>
              <w:spacing w:after="0" w:line="194" w:lineRule="exact"/>
              <w:rPr>
                <w:sz w:val="20"/>
                <w:szCs w:val="20"/>
                <w:color w:val="auto"/>
              </w:rPr>
            </w:pPr>
            <w:r>
              <w:rPr>
                <w:rFonts w:ascii="Arial" w:cs="Arial" w:eastAsia="Arial" w:hAnsi="Arial"/>
                <w:sz w:val="17"/>
                <w:szCs w:val="17"/>
                <w:color w:val="auto"/>
              </w:rPr>
              <w:t>Special Items, net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(38,520)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(31,481)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(65,392)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(31,481)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Other Operating, net</w:t>
            </w: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16,746</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9,484</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31,397</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23,917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00" w:type="dxa"/>
            <w:vAlign w:val="bottom"/>
            <w:tcBorders>
              <w:bottom w:val="single" w:sz="8" w:color="CCEEFF"/>
            </w:tcBorders>
          </w:tcPr>
          <w:p>
            <w:pPr>
              <w:ind w:left="200"/>
              <w:spacing w:after="0" w:line="186" w:lineRule="exact"/>
              <w:rPr>
                <w:sz w:val="20"/>
                <w:szCs w:val="20"/>
                <w:color w:val="auto"/>
              </w:rPr>
            </w:pPr>
            <w:r>
              <w:rPr>
                <w:rFonts w:ascii="Arial" w:cs="Arial" w:eastAsia="Arial" w:hAnsi="Arial"/>
                <w:sz w:val="17"/>
                <w:szCs w:val="17"/>
                <w:color w:val="auto"/>
              </w:rPr>
              <w:t>Total Operating Expenses</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99,951</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37,610</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202,630</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202,710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Operating Income (Loss)</w:t>
            </w: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49,238</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(2,234)</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74,172</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12,996</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7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Non-operating Income (Expense):</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tcPr>
          <w:p>
            <w:pPr>
              <w:ind w:left="100"/>
              <w:spacing w:after="0" w:line="194" w:lineRule="exact"/>
              <w:rPr>
                <w:sz w:val="20"/>
                <w:szCs w:val="20"/>
                <w:color w:val="auto"/>
              </w:rPr>
            </w:pPr>
            <w:r>
              <w:rPr>
                <w:rFonts w:ascii="Arial" w:cs="Arial" w:eastAsia="Arial" w:hAnsi="Arial"/>
                <w:sz w:val="17"/>
                <w:szCs w:val="17"/>
                <w:color w:val="auto"/>
              </w:rPr>
              <w:t>Interest Income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63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24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Interest Expense</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(6,080)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(5,442)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(13,201)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(11,058)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tcBorders>
              <w:bottom w:val="single" w:sz="8" w:color="CCEEFF"/>
            </w:tcBorders>
          </w:tcPr>
          <w:p>
            <w:pPr>
              <w:ind w:left="100"/>
              <w:spacing w:after="0" w:line="194" w:lineRule="exact"/>
              <w:rPr>
                <w:sz w:val="20"/>
                <w:szCs w:val="20"/>
                <w:color w:val="auto"/>
              </w:rPr>
            </w:pPr>
            <w:r>
              <w:rPr>
                <w:rFonts w:ascii="Arial" w:cs="Arial" w:eastAsia="Arial" w:hAnsi="Arial"/>
                <w:sz w:val="17"/>
                <w:szCs w:val="17"/>
                <w:color w:val="auto"/>
              </w:rPr>
              <w:t>Other, net</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18,054</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(325)</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18,049</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0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Total Non-operating Income (Expense), net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11,983</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(5,704)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4,872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(11,238)</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7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Income (Loss) before Income Tax</w:t>
            </w: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61,221</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(7,938)</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79,044</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1,758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00" w:type="dxa"/>
            <w:vAlign w:val="bottom"/>
            <w:tcBorders>
              <w:bottom w:val="single" w:sz="8" w:color="CCEEFF"/>
            </w:tcBorders>
          </w:tcPr>
          <w:p>
            <w:pPr>
              <w:ind w:left="100"/>
              <w:spacing w:after="0" w:line="186" w:lineRule="exact"/>
              <w:rPr>
                <w:sz w:val="20"/>
                <w:szCs w:val="20"/>
                <w:color w:val="auto"/>
              </w:rPr>
            </w:pPr>
            <w:r>
              <w:rPr>
                <w:rFonts w:ascii="Arial" w:cs="Arial" w:eastAsia="Arial" w:hAnsi="Arial"/>
                <w:sz w:val="17"/>
                <w:szCs w:val="17"/>
                <w:color w:val="auto"/>
              </w:rPr>
              <w:t>Income Tax Expense (Benefit)</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9,468</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(1,898)</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14,875</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547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00" w:type="dxa"/>
            <w:vAlign w:val="bottom"/>
            <w:tcBorders>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Net Income (Loss)</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51,753</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(6,040)</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64,169</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restart"/>
          </w:tcPr>
          <w:p>
            <w:pPr>
              <w:spacing w:after="0"/>
              <w:rPr>
                <w:sz w:val="14"/>
                <w:szCs w:val="14"/>
                <w:color w:val="auto"/>
              </w:rPr>
            </w:pPr>
          </w:p>
        </w:tc>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7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Net Income (Loss) per share to common</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stockholders:</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00" w:type="dxa"/>
            <w:vAlign w:val="bottom"/>
          </w:tcPr>
          <w:p>
            <w:pPr>
              <w:ind w:left="100"/>
              <w:spacing w:after="0" w:line="194" w:lineRule="exact"/>
              <w:rPr>
                <w:sz w:val="20"/>
                <w:szCs w:val="20"/>
                <w:color w:val="auto"/>
              </w:rPr>
            </w:pPr>
            <w:r>
              <w:rPr>
                <w:rFonts w:ascii="Arial" w:cs="Arial" w:eastAsia="Arial" w:hAnsi="Arial"/>
                <w:sz w:val="17"/>
                <w:szCs w:val="17"/>
                <w:color w:val="auto"/>
              </w:rPr>
              <w:t>Basic</w:t>
            </w:r>
          </w:p>
        </w:tc>
        <w:tc>
          <w:tcPr>
            <w:tcW w:w="220" w:type="dxa"/>
            <w:vAlign w:val="bottom"/>
          </w:tcPr>
          <w:p>
            <w:pPr>
              <w:spacing w:after="0"/>
              <w:rPr>
                <w:sz w:val="20"/>
                <w:szCs w:val="20"/>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0.91</w:t>
            </w:r>
          </w:p>
        </w:tc>
        <w:tc>
          <w:tcPr>
            <w:tcW w:w="3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(0.13)</w:t>
            </w:r>
          </w:p>
        </w:tc>
        <w:tc>
          <w:tcPr>
            <w:tcW w:w="3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1.21</w:t>
            </w:r>
          </w:p>
        </w:tc>
        <w:tc>
          <w:tcPr>
            <w:tcW w:w="3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Borders>
              <w:top w:val="single" w:sz="8" w:color="CCEEFF"/>
              <w:bottom w:val="single" w:sz="8" w:color="CCEEFF"/>
            </w:tcBorders>
            <w:shd w:val="clear" w:color="auto" w:fill="CCEEFF"/>
          </w:tcPr>
          <w:p>
            <w:pPr>
              <w:ind w:left="100"/>
              <w:spacing w:after="0" w:line="172" w:lineRule="exact"/>
              <w:rPr>
                <w:sz w:val="20"/>
                <w:szCs w:val="20"/>
                <w:color w:val="auto"/>
              </w:rPr>
            </w:pPr>
            <w:r>
              <w:rPr>
                <w:rFonts w:ascii="Arial" w:cs="Arial" w:eastAsia="Arial" w:hAnsi="Arial"/>
                <w:sz w:val="17"/>
                <w:szCs w:val="17"/>
                <w:color w:val="auto"/>
              </w:rPr>
              <w:t>Diluted</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7"/>
                <w:szCs w:val="17"/>
                <w:color w:val="auto"/>
              </w:rPr>
              <w:t>0.83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7"/>
                <w:szCs w:val="17"/>
                <w:color w:val="auto"/>
              </w:rPr>
              <w:t>(0.13)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7"/>
                <w:szCs w:val="17"/>
                <w:color w:val="auto"/>
              </w:rPr>
              <w:t>1.12</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7"/>
                <w:szCs w:val="17"/>
                <w:color w:val="auto"/>
              </w:rPr>
              <w:t>Shares used for computation:</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Basic</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57,156,159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46,805,950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52,850,041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46,805,950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00" w:type="dxa"/>
            <w:vAlign w:val="bottom"/>
          </w:tcPr>
          <w:p>
            <w:pPr>
              <w:ind w:left="100"/>
              <w:spacing w:after="0"/>
              <w:rPr>
                <w:sz w:val="20"/>
                <w:szCs w:val="20"/>
                <w:color w:val="auto"/>
              </w:rPr>
            </w:pPr>
            <w:r>
              <w:rPr>
                <w:rFonts w:ascii="Arial" w:cs="Arial" w:eastAsia="Arial" w:hAnsi="Arial"/>
                <w:sz w:val="17"/>
                <w:szCs w:val="17"/>
                <w:color w:val="auto"/>
              </w:rPr>
              <w:t>Diluted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61,982,441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46,805,950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57,403,593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48,243,146</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15875</wp:posOffset>
            </wp:positionV>
            <wp:extent cx="5664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3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w w:val="99"/>
              </w:rPr>
              <w:t>Six Months Ended June 30, 2020</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5"/>
          </w:tcPr>
          <w:p>
            <w:pPr>
              <w:ind w:left="280"/>
              <w:spacing w:after="0" w:line="148"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9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rPr>
              <w:t>Loans to</w:t>
            </w:r>
          </w:p>
        </w:tc>
        <w:tc>
          <w:tcPr>
            <w:tcW w:w="120" w:type="dxa"/>
            <w:vAlign w:val="bottom"/>
          </w:tcPr>
          <w:p>
            <w:pPr>
              <w:spacing w:after="0"/>
              <w:rPr>
                <w:sz w:val="12"/>
                <w:szCs w:val="12"/>
                <w:color w:val="auto"/>
              </w:rPr>
            </w:pPr>
          </w:p>
        </w:tc>
        <w:tc>
          <w:tcPr>
            <w:tcW w:w="106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Additional</w:t>
            </w:r>
          </w:p>
        </w:tc>
        <w:tc>
          <w:tcPr>
            <w:tcW w:w="820" w:type="dxa"/>
            <w:vAlign w:val="bottom"/>
            <w:gridSpan w:val="3"/>
          </w:tcPr>
          <w:p>
            <w:pPr>
              <w:jc w:val="right"/>
              <w:ind w:right="200"/>
              <w:spacing w:after="0" w:line="148"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91"/>
              <w:spacing w:after="0" w:line="148" w:lineRule="exact"/>
              <w:rPr>
                <w:sz w:val="20"/>
                <w:szCs w:val="20"/>
                <w:color w:val="auto"/>
              </w:rPr>
            </w:pPr>
            <w:r>
              <w:rPr>
                <w:rFonts w:ascii="Arial" w:cs="Arial" w:eastAsia="Arial" w:hAnsi="Arial"/>
                <w:sz w:val="14"/>
                <w:szCs w:val="14"/>
                <w:b w:val="1"/>
                <w:bCs w:val="1"/>
                <w:color w:val="auto"/>
              </w:rPr>
              <w:t>Warrants</w:t>
            </w:r>
          </w:p>
        </w:tc>
        <w:tc>
          <w:tcPr>
            <w:tcW w:w="1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11"/>
              <w:spacing w:after="0" w:line="148"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2"/>
          </w:tcPr>
          <w:p>
            <w:pPr>
              <w:ind w:left="20"/>
              <w:spacing w:after="0" w:line="148"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4"/>
                <w:szCs w:val="14"/>
                <w:b w:val="1"/>
                <w:bCs w:val="1"/>
                <w:color w:val="auto"/>
                <w:w w:val="99"/>
              </w:rPr>
              <w:t>Stockholders</w:t>
            </w:r>
          </w:p>
        </w:tc>
        <w:tc>
          <w:tcPr>
            <w:tcW w:w="1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4"/>
                <w:szCs w:val="14"/>
                <w:b w:val="1"/>
                <w:bCs w:val="1"/>
                <w:color w:val="auto"/>
              </w:rPr>
              <w:t>Paid-in Capital</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December 31, 2019</w:t>
            </w: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40,005,885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6,800,065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(3,500)</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244,928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42,228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283,724</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4"/>
                <w:szCs w:val="14"/>
                <w:color w:val="auto"/>
              </w:rPr>
              <w:t>Exercise of Apollo Warrants</w:t>
            </w: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80" w:type="dxa"/>
            <w:vAlign w:val="bottom"/>
            <w:vMerge w:val="continue"/>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4"/>
                <w:szCs w:val="14"/>
                <w:color w:val="auto"/>
              </w:rPr>
              <w:t>(40,005,885)</w:t>
            </w:r>
          </w:p>
        </w:tc>
        <w:tc>
          <w:tcPr>
            <w:tcW w:w="14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4"/>
                <w:szCs w:val="14"/>
                <w:color w:val="auto"/>
              </w:rPr>
              <w:t>40,005,885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(379)</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Income</w:t>
            </w:r>
          </w:p>
        </w:tc>
        <w:tc>
          <w:tcPr>
            <w:tcW w:w="102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7,251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7,251</w:t>
            </w:r>
          </w:p>
        </w:tc>
        <w:tc>
          <w:tcPr>
            <w:tcW w:w="0" w:type="dxa"/>
            <w:vAlign w:val="bottom"/>
          </w:tcPr>
          <w:p>
            <w:pPr>
              <w:spacing w:after="0"/>
              <w:rPr>
                <w:sz w:val="1"/>
                <w:szCs w:val="1"/>
                <w:color w:val="auto"/>
              </w:rPr>
            </w:pPr>
          </w:p>
        </w:tc>
      </w:tr>
      <w:tr>
        <w:trPr>
          <w:trHeight w:val="155"/>
        </w:trPr>
        <w:tc>
          <w:tcPr>
            <w:tcW w:w="23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Stock-based Compensation</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March 31, 2020</w:t>
            </w: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46,805,950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468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(3,500)</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244,918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49,479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291,365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Net Loss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vMerge w:val="continue"/>
          </w:tcPr>
          <w:p>
            <w:pPr>
              <w:spacing w:after="0"/>
              <w:rPr>
                <w:sz w:val="11"/>
                <w:szCs w:val="11"/>
                <w:color w:val="auto"/>
              </w:rPr>
            </w:pPr>
          </w:p>
        </w:tc>
        <w:tc>
          <w:tcPr>
            <w:tcW w:w="1020" w:type="dxa"/>
            <w:vAlign w:val="bottom"/>
            <w:gridSpan w:val="2"/>
          </w:tcPr>
          <w:p>
            <w:pPr>
              <w:jc w:val="right"/>
              <w:ind w:right="200"/>
              <w:spacing w:after="0" w:line="133"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3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200"/>
              <w:spacing w:after="0" w:line="13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00"/>
              <w:spacing w:after="0" w:line="13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60" w:type="dxa"/>
            <w:vAlign w:val="bottom"/>
            <w:gridSpan w:val="2"/>
          </w:tcPr>
          <w:p>
            <w:pPr>
              <w:jc w:val="right"/>
              <w:ind w:right="200"/>
              <w:spacing w:after="0" w:line="13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60"/>
              <w:spacing w:after="0" w:line="133" w:lineRule="exact"/>
              <w:rPr>
                <w:sz w:val="20"/>
                <w:szCs w:val="20"/>
                <w:color w:val="auto"/>
              </w:rPr>
            </w:pPr>
            <w:r>
              <w:rPr>
                <w:rFonts w:ascii="Arial" w:cs="Arial" w:eastAsia="Arial" w:hAnsi="Arial"/>
                <w:sz w:val="14"/>
                <w:szCs w:val="14"/>
                <w:color w:val="auto"/>
              </w:rPr>
              <w:t>(6,040)</w:t>
            </w:r>
          </w:p>
        </w:tc>
        <w:tc>
          <w:tcPr>
            <w:tcW w:w="1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4"/>
                <w:szCs w:val="14"/>
                <w:color w:val="auto"/>
              </w:rPr>
              <w:t>(6,040)</w:t>
            </w: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Stock-based Compensation</w:t>
            </w: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388</w:t>
            </w: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48"/>
        </w:trPr>
        <w:tc>
          <w:tcPr>
            <w:tcW w:w="2380" w:type="dxa"/>
            <w:vAlign w:val="bottom"/>
          </w:tcPr>
          <w:p>
            <w:pPr>
              <w:spacing w:after="0" w:line="148" w:lineRule="exact"/>
              <w:rPr>
                <w:sz w:val="20"/>
                <w:szCs w:val="20"/>
                <w:color w:val="auto"/>
              </w:rPr>
            </w:pPr>
            <w:r>
              <w:rPr>
                <w:rFonts w:ascii="Arial" w:cs="Arial" w:eastAsia="Arial" w:hAnsi="Arial"/>
                <w:sz w:val="14"/>
                <w:szCs w:val="14"/>
                <w:color w:val="auto"/>
              </w:rPr>
              <w:t>June 30, 2020</w:t>
            </w:r>
          </w:p>
        </w:tc>
        <w:tc>
          <w:tcPr>
            <w:tcW w:w="10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8" w:lineRule="exact"/>
              <w:rPr>
                <w:sz w:val="20"/>
                <w:szCs w:val="20"/>
                <w:color w:val="auto"/>
              </w:rPr>
            </w:pPr>
            <w:r>
              <w:rPr>
                <w:rFonts w:ascii="Arial" w:cs="Arial" w:eastAsia="Arial" w:hAnsi="Arial"/>
                <w:sz w:val="14"/>
                <w:szCs w:val="14"/>
                <w:color w:val="auto"/>
              </w:rPr>
              <w:t>46,805,950</w:t>
            </w:r>
          </w:p>
        </w:tc>
        <w:tc>
          <w:tcPr>
            <w:tcW w:w="160" w:type="dxa"/>
            <w:vAlign w:val="bottom"/>
          </w:tcPr>
          <w:p>
            <w:pPr>
              <w:spacing w:after="0"/>
              <w:rPr>
                <w:sz w:val="12"/>
                <w:szCs w:val="12"/>
                <w:color w:val="auto"/>
              </w:rPr>
            </w:pPr>
          </w:p>
        </w:tc>
        <w:tc>
          <w:tcPr>
            <w:tcW w:w="12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8" w:lineRule="exact"/>
              <w:rPr>
                <w:sz w:val="20"/>
                <w:szCs w:val="20"/>
                <w:color w:val="auto"/>
              </w:rPr>
            </w:pPr>
            <w:r>
              <w:rPr>
                <w:rFonts w:ascii="Arial" w:cs="Arial" w:eastAsia="Arial" w:hAnsi="Arial"/>
                <w:sz w:val="14"/>
                <w:szCs w:val="14"/>
                <w:color w:val="auto"/>
              </w:rPr>
              <w:t>468</w:t>
            </w:r>
          </w:p>
        </w:tc>
        <w:tc>
          <w:tcPr>
            <w:tcW w:w="160" w:type="dxa"/>
            <w:vAlign w:val="bottom"/>
          </w:tcPr>
          <w:p>
            <w:pPr>
              <w:spacing w:after="0"/>
              <w:rPr>
                <w:sz w:val="12"/>
                <w:szCs w:val="12"/>
                <w:color w:val="auto"/>
              </w:rPr>
            </w:pPr>
          </w:p>
        </w:tc>
        <w:tc>
          <w:tcPr>
            <w:tcW w:w="120" w:type="dxa"/>
            <w:vAlign w:val="bottom"/>
          </w:tcPr>
          <w:p>
            <w:pPr>
              <w:jc w:val="right"/>
              <w:spacing w:after="0" w:line="148"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(3,500)</w:t>
            </w:r>
          </w:p>
        </w:tc>
        <w:tc>
          <w:tcPr>
            <w:tcW w:w="120" w:type="dxa"/>
            <w:vAlign w:val="bottom"/>
          </w:tcPr>
          <w:p>
            <w:pPr>
              <w:jc w:val="right"/>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245,306</w:t>
            </w:r>
          </w:p>
        </w:tc>
        <w:tc>
          <w:tcPr>
            <w:tcW w:w="160" w:type="dxa"/>
            <w:vAlign w:val="bottom"/>
          </w:tcPr>
          <w:p>
            <w:pPr>
              <w:spacing w:after="0"/>
              <w:rPr>
                <w:sz w:val="12"/>
                <w:szCs w:val="12"/>
                <w:color w:val="auto"/>
              </w:rPr>
            </w:pPr>
          </w:p>
        </w:tc>
        <w:tc>
          <w:tcPr>
            <w:tcW w:w="140" w:type="dxa"/>
            <w:vAlign w:val="bottom"/>
          </w:tcPr>
          <w:p>
            <w:pPr>
              <w:jc w:val="right"/>
              <w:spacing w:after="0" w:line="148"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8" w:lineRule="exact"/>
              <w:rPr>
                <w:sz w:val="20"/>
                <w:szCs w:val="20"/>
                <w:color w:val="auto"/>
              </w:rPr>
            </w:pPr>
            <w:r>
              <w:rPr>
                <w:rFonts w:ascii="Arial" w:cs="Arial" w:eastAsia="Arial" w:hAnsi="Arial"/>
                <w:sz w:val="14"/>
                <w:szCs w:val="14"/>
                <w:color w:val="auto"/>
              </w:rPr>
              <w:t>43,439</w:t>
            </w:r>
          </w:p>
        </w:tc>
        <w:tc>
          <w:tcPr>
            <w:tcW w:w="160" w:type="dxa"/>
            <w:vAlign w:val="bottom"/>
          </w:tcPr>
          <w:p>
            <w:pPr>
              <w:spacing w:after="0"/>
              <w:rPr>
                <w:sz w:val="12"/>
                <w:szCs w:val="12"/>
                <w:color w:val="auto"/>
              </w:rPr>
            </w:pPr>
          </w:p>
        </w:tc>
        <w:tc>
          <w:tcPr>
            <w:tcW w:w="120" w:type="dxa"/>
            <w:vAlign w:val="bottom"/>
          </w:tcPr>
          <w:p>
            <w:pPr>
              <w:jc w:val="right"/>
              <w:spacing w:after="0" w:line="148"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285,713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271"/>
              <w:spacing w:after="0"/>
              <w:rPr>
                <w:sz w:val="20"/>
                <w:szCs w:val="20"/>
                <w:color w:val="auto"/>
              </w:rPr>
            </w:pPr>
            <w:r>
              <w:rPr>
                <w:rFonts w:ascii="Arial" w:cs="Arial" w:eastAsia="Arial" w:hAnsi="Arial"/>
                <w:sz w:val="14"/>
                <w:szCs w:val="14"/>
                <w:b w:val="1"/>
                <w:bCs w:val="1"/>
                <w:color w:val="auto"/>
              </w:rPr>
              <w:t>Six Months Ended June 30, 2021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60"/>
              <w:spacing w:after="0" w:line="136" w:lineRule="exact"/>
              <w:rPr>
                <w:sz w:val="20"/>
                <w:szCs w:val="20"/>
                <w:color w:val="auto"/>
              </w:rPr>
            </w:pPr>
            <w:r>
              <w:rPr>
                <w:rFonts w:ascii="Arial" w:cs="Arial" w:eastAsia="Arial" w:hAnsi="Arial"/>
                <w:sz w:val="14"/>
                <w:szCs w:val="14"/>
                <w:b w:val="1"/>
                <w:bCs w:val="1"/>
                <w:color w:val="auto"/>
                <w:w w:val="98"/>
              </w:rPr>
              <w:t>Retained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31"/>
              <w:spacing w:after="0"/>
              <w:rPr>
                <w:sz w:val="20"/>
                <w:szCs w:val="20"/>
                <w:color w:val="auto"/>
              </w:rPr>
            </w:pPr>
            <w:r>
              <w:rPr>
                <w:rFonts w:ascii="Arial" w:cs="Arial" w:eastAsia="Arial" w:hAnsi="Arial"/>
                <w:sz w:val="14"/>
                <w:szCs w:val="14"/>
                <w:b w:val="1"/>
                <w:bCs w:val="1"/>
                <w:color w:val="auto"/>
              </w:rPr>
              <w:t>Loans to</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31"/>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w w:val="98"/>
              </w:rPr>
              <w:t>Warrants</w:t>
            </w:r>
          </w:p>
        </w:tc>
        <w:tc>
          <w:tcPr>
            <w:tcW w:w="1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31"/>
              <w:spacing w:after="0" w:line="148"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4"/>
                <w:szCs w:val="14"/>
                <w:b w:val="1"/>
                <w:bCs w:val="1"/>
                <w:color w:val="auto"/>
                <w:w w:val="99"/>
              </w:rPr>
              <w:t>Stockholders</w:t>
            </w:r>
          </w:p>
        </w:tc>
        <w:tc>
          <w:tcPr>
            <w:tcW w:w="1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4"/>
                <w:szCs w:val="14"/>
                <w:b w:val="1"/>
                <w:bCs w:val="1"/>
                <w:color w:val="auto"/>
              </w:rPr>
              <w:t>Paid-in Capital</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1"/>
              <w:spacing w:after="0" w:line="148" w:lineRule="exact"/>
              <w:rPr>
                <w:sz w:val="20"/>
                <w:szCs w:val="20"/>
                <w:color w:val="auto"/>
              </w:rPr>
            </w:pPr>
            <w:r>
              <w:rPr>
                <w:rFonts w:ascii="Arial" w:cs="Arial" w:eastAsia="Arial" w:hAnsi="Arial"/>
                <w:sz w:val="14"/>
                <w:szCs w:val="14"/>
                <w:b w:val="1"/>
                <w:bCs w:val="1"/>
                <w:color w:val="auto"/>
                <w:w w:val="99"/>
              </w:rPr>
              <w:t>(Deficit)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8" w:lineRule="exact"/>
              <w:rPr>
                <w:sz w:val="20"/>
                <w:szCs w:val="20"/>
                <w:color w:val="auto"/>
              </w:rPr>
            </w:pPr>
            <w:r>
              <w:rPr>
                <w:rFonts w:ascii="Arial" w:cs="Arial" w:eastAsia="Arial" w:hAnsi="Arial"/>
                <w:sz w:val="14"/>
                <w:szCs w:val="14"/>
                <w:b w:val="1"/>
                <w:bCs w:val="1"/>
                <w:color w:val="auto"/>
              </w:rPr>
              <w:t>Total</w:t>
            </w: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December 31, 2020</w:t>
            </w:r>
          </w:p>
        </w:tc>
        <w:tc>
          <w:tcPr>
            <w:tcW w:w="800" w:type="dxa"/>
            <w:vAlign w:val="bottom"/>
            <w:gridSpan w:val="2"/>
            <w:shd w:val="clear" w:color="auto" w:fill="CCEEFF"/>
          </w:tcPr>
          <w:p>
            <w:pPr>
              <w:ind w:left="460"/>
              <w:spacing w:after="0" w:line="14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46,839,659</w:t>
            </w:r>
          </w:p>
        </w:tc>
        <w:tc>
          <w:tcPr>
            <w:tcW w:w="420" w:type="dxa"/>
            <w:vAlign w:val="bottom"/>
            <w:gridSpan w:val="2"/>
            <w:shd w:val="clear" w:color="auto" w:fill="CCEEFF"/>
          </w:tcPr>
          <w:p>
            <w:pPr>
              <w:jc w:val="right"/>
              <w:ind w:right="131"/>
              <w:spacing w:after="0" w:line="14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4"/>
              </w:rPr>
              <w:t>468</w:t>
            </w:r>
          </w:p>
        </w:tc>
        <w:tc>
          <w:tcPr>
            <w:tcW w:w="2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(3,500)</w:t>
            </w:r>
          </w:p>
        </w:tc>
        <w:tc>
          <w:tcPr>
            <w:tcW w:w="2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248,525</w:t>
            </w:r>
          </w:p>
        </w:tc>
        <w:tc>
          <w:tcPr>
            <w:tcW w:w="24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38,324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283,817</w:t>
            </w:r>
          </w:p>
        </w:tc>
      </w:tr>
      <w:tr>
        <w:trPr>
          <w:trHeight w:val="139"/>
        </w:trPr>
        <w:tc>
          <w:tcPr>
            <w:tcW w:w="2360" w:type="dxa"/>
            <w:vAlign w:val="bottom"/>
            <w:gridSpan w:val="2"/>
          </w:tcPr>
          <w:p>
            <w:pPr>
              <w:spacing w:after="0" w:line="139" w:lineRule="exact"/>
              <w:rPr>
                <w:sz w:val="20"/>
                <w:szCs w:val="20"/>
                <w:color w:val="auto"/>
              </w:rPr>
            </w:pPr>
            <w:r>
              <w:rPr>
                <w:rFonts w:ascii="Arial" w:cs="Arial" w:eastAsia="Arial" w:hAnsi="Arial"/>
                <w:sz w:val="14"/>
                <w:szCs w:val="14"/>
                <w:color w:val="auto"/>
              </w:rPr>
              <w:t>Shares Surrendered by</w:t>
            </w: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r>
      <w:tr>
        <w:trPr>
          <w:trHeight w:val="150"/>
        </w:trPr>
        <w:tc>
          <w:tcPr>
            <w:tcW w:w="2360" w:type="dxa"/>
            <w:vAlign w:val="bottom"/>
            <w:gridSpan w:val="2"/>
          </w:tcPr>
          <w:p>
            <w:pPr>
              <w:spacing w:after="0" w:line="150" w:lineRule="exact"/>
              <w:rPr>
                <w:sz w:val="20"/>
                <w:szCs w:val="20"/>
                <w:color w:val="auto"/>
              </w:rPr>
            </w:pPr>
            <w:r>
              <w:rPr>
                <w:rFonts w:ascii="Arial" w:cs="Arial" w:eastAsia="Arial" w:hAnsi="Arial"/>
                <w:sz w:val="14"/>
                <w:szCs w:val="14"/>
                <w:color w:val="auto"/>
              </w:rPr>
              <w:t>Stockholders</w:t>
            </w:r>
          </w:p>
        </w:tc>
        <w:tc>
          <w:tcPr>
            <w:tcW w:w="800" w:type="dxa"/>
            <w:vAlign w:val="bottom"/>
            <w:gridSpan w:val="2"/>
          </w:tcPr>
          <w:p>
            <w:pPr>
              <w:ind w:left="460"/>
              <w:spacing w:after="0" w:line="150"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0" w:lineRule="exact"/>
              <w:rPr>
                <w:sz w:val="20"/>
                <w:szCs w:val="20"/>
                <w:color w:val="auto"/>
              </w:rPr>
            </w:pPr>
            <w:r>
              <w:rPr>
                <w:rFonts w:ascii="Arial" w:cs="Arial" w:eastAsia="Arial" w:hAnsi="Arial"/>
                <w:sz w:val="14"/>
                <w:szCs w:val="14"/>
                <w:color w:val="auto"/>
              </w:rPr>
              <w:t>(140,737)</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jc w:val="right"/>
              <w:spacing w:after="0" w:line="150"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Arial" w:cs="Arial" w:eastAsia="Arial" w:hAnsi="Arial"/>
                <w:sz w:val="14"/>
                <w:szCs w:val="14"/>
                <w:color w:val="auto"/>
              </w:rPr>
              <w:t>3,500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line="150" w:lineRule="exact"/>
              <w:rPr>
                <w:sz w:val="20"/>
                <w:szCs w:val="20"/>
                <w:color w:val="auto"/>
              </w:rPr>
            </w:pPr>
            <w:r>
              <w:rPr>
                <w:rFonts w:ascii="Arial" w:cs="Arial" w:eastAsia="Arial" w:hAnsi="Arial"/>
                <w:sz w:val="14"/>
                <w:szCs w:val="14"/>
                <w:color w:val="auto"/>
              </w:rPr>
              <w:t>(3,499)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line="15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spacing w:after="0" w:line="150" w:lineRule="exact"/>
              <w:rPr>
                <w:sz w:val="20"/>
                <w:szCs w:val="20"/>
                <w:color w:val="auto"/>
              </w:rPr>
            </w:pPr>
            <w:r>
              <w:rPr>
                <w:rFonts w:ascii="Arial" w:cs="Arial" w:eastAsia="Arial" w:hAnsi="Arial"/>
                <w:sz w:val="14"/>
                <w:szCs w:val="14"/>
                <w:color w:val="auto"/>
              </w:rPr>
              <w:t>—</w:t>
            </w:r>
          </w:p>
        </w:tc>
      </w:tr>
      <w:tr>
        <w:trPr>
          <w:trHeight w:val="155"/>
        </w:trPr>
        <w:tc>
          <w:tcPr>
            <w:tcW w:w="20" w:type="dxa"/>
            <w:vAlign w:val="bottom"/>
          </w:tcPr>
          <w:p>
            <w:pPr>
              <w:spacing w:after="0"/>
              <w:rPr>
                <w:sz w:val="13"/>
                <w:szCs w:val="13"/>
                <w:color w:val="auto"/>
              </w:rPr>
            </w:pPr>
          </w:p>
        </w:tc>
        <w:tc>
          <w:tcPr>
            <w:tcW w:w="23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Initial Public Offering</w:t>
            </w:r>
          </w:p>
        </w:tc>
        <w:tc>
          <w:tcPr>
            <w:tcW w:w="800" w:type="dxa"/>
            <w:vAlign w:val="bottom"/>
            <w:gridSpan w:val="2"/>
            <w:shd w:val="clear" w:color="auto" w:fill="CCEEFF"/>
          </w:tcPr>
          <w:p>
            <w:pPr>
              <w:ind w:left="460"/>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10,454,545</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105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224,552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224,657</w:t>
            </w:r>
          </w:p>
        </w:tc>
      </w:tr>
      <w:tr>
        <w:trPr>
          <w:trHeight w:val="155"/>
        </w:trPr>
        <w:tc>
          <w:tcPr>
            <w:tcW w:w="2360" w:type="dxa"/>
            <w:vAlign w:val="bottom"/>
            <w:gridSpan w:val="2"/>
          </w:tcPr>
          <w:p>
            <w:pPr>
              <w:spacing w:after="0" w:line="155" w:lineRule="exact"/>
              <w:rPr>
                <w:sz w:val="20"/>
                <w:szCs w:val="20"/>
                <w:color w:val="auto"/>
              </w:rPr>
            </w:pPr>
            <w:r>
              <w:rPr>
                <w:rFonts w:ascii="Arial" w:cs="Arial" w:eastAsia="Arial" w:hAnsi="Arial"/>
                <w:sz w:val="14"/>
                <w:szCs w:val="14"/>
                <w:color w:val="auto"/>
              </w:rPr>
              <w:t>Net Income</w:t>
            </w:r>
          </w:p>
        </w:tc>
        <w:tc>
          <w:tcPr>
            <w:tcW w:w="800" w:type="dxa"/>
            <w:vAlign w:val="bottom"/>
            <w:gridSpan w:val="2"/>
          </w:tcPr>
          <w:p>
            <w:pPr>
              <w:ind w:left="460"/>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12,416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12,416</w:t>
            </w:r>
          </w:p>
        </w:tc>
      </w:tr>
      <w:tr>
        <w:trPr>
          <w:trHeight w:val="155"/>
        </w:trPr>
        <w:tc>
          <w:tcPr>
            <w:tcW w:w="20" w:type="dxa"/>
            <w:vAlign w:val="bottom"/>
          </w:tcPr>
          <w:p>
            <w:pPr>
              <w:spacing w:after="0"/>
              <w:rPr>
                <w:sz w:val="13"/>
                <w:szCs w:val="13"/>
                <w:color w:val="auto"/>
              </w:rPr>
            </w:pPr>
          </w:p>
        </w:tc>
        <w:tc>
          <w:tcPr>
            <w:tcW w:w="23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Income Tax Receivable Agreement</w:t>
            </w:r>
          </w:p>
        </w:tc>
        <w:tc>
          <w:tcPr>
            <w:tcW w:w="800" w:type="dxa"/>
            <w:vAlign w:val="bottom"/>
            <w:gridSpan w:val="2"/>
            <w:shd w:val="clear" w:color="auto" w:fill="CCEEFF"/>
          </w:tcPr>
          <w:p>
            <w:pPr>
              <w:ind w:left="460"/>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(115,200)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(115,200)</w:t>
            </w:r>
          </w:p>
        </w:tc>
      </w:tr>
      <w:tr>
        <w:trPr>
          <w:trHeight w:val="155"/>
        </w:trPr>
        <w:tc>
          <w:tcPr>
            <w:tcW w:w="2360" w:type="dxa"/>
            <w:vAlign w:val="bottom"/>
            <w:gridSpan w:val="2"/>
          </w:tcPr>
          <w:p>
            <w:pPr>
              <w:spacing w:after="0" w:line="155" w:lineRule="exact"/>
              <w:rPr>
                <w:sz w:val="20"/>
                <w:szCs w:val="20"/>
                <w:color w:val="auto"/>
              </w:rPr>
            </w:pPr>
            <w:r>
              <w:rPr>
                <w:rFonts w:ascii="Arial" w:cs="Arial" w:eastAsia="Arial" w:hAnsi="Arial"/>
                <w:sz w:val="14"/>
                <w:szCs w:val="14"/>
                <w:color w:val="auto"/>
              </w:rPr>
              <w:t>Amazon Warrants</w:t>
            </w:r>
          </w:p>
        </w:tc>
        <w:tc>
          <w:tcPr>
            <w:tcW w:w="800" w:type="dxa"/>
            <w:vAlign w:val="bottom"/>
            <w:gridSpan w:val="2"/>
          </w:tcPr>
          <w:p>
            <w:pPr>
              <w:ind w:left="460"/>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1,400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1,400</w:t>
            </w:r>
          </w:p>
        </w:tc>
      </w:tr>
      <w:tr>
        <w:trPr>
          <w:trHeight w:val="155"/>
        </w:trPr>
        <w:tc>
          <w:tcPr>
            <w:tcW w:w="20" w:type="dxa"/>
            <w:vAlign w:val="bottom"/>
          </w:tcPr>
          <w:p>
            <w:pPr>
              <w:spacing w:after="0"/>
              <w:rPr>
                <w:sz w:val="13"/>
                <w:szCs w:val="13"/>
                <w:color w:val="auto"/>
              </w:rPr>
            </w:pPr>
          </w:p>
        </w:tc>
        <w:tc>
          <w:tcPr>
            <w:tcW w:w="23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shd w:val="clear" w:color="auto" w:fill="CCEEFF"/>
          </w:tcPr>
          <w:p>
            <w:pPr>
              <w:ind w:left="460"/>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2,870</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2,870</w:t>
            </w:r>
          </w:p>
        </w:tc>
      </w:tr>
      <w:tr>
        <w:trPr>
          <w:trHeight w:val="188"/>
        </w:trPr>
        <w:tc>
          <w:tcPr>
            <w:tcW w:w="2360" w:type="dxa"/>
            <w:vAlign w:val="bottom"/>
            <w:gridSpan w:val="2"/>
          </w:tcPr>
          <w:p>
            <w:pPr>
              <w:spacing w:after="0" w:line="148" w:lineRule="exact"/>
              <w:rPr>
                <w:sz w:val="20"/>
                <w:szCs w:val="20"/>
                <w:color w:val="auto"/>
              </w:rPr>
            </w:pPr>
            <w:r>
              <w:rPr>
                <w:rFonts w:ascii="Arial" w:cs="Arial" w:eastAsia="Arial" w:hAnsi="Arial"/>
                <w:sz w:val="14"/>
                <w:szCs w:val="14"/>
                <w:color w:val="auto"/>
              </w:rPr>
              <w:t>March 31, 2021</w:t>
            </w:r>
          </w:p>
        </w:tc>
        <w:tc>
          <w:tcPr>
            <w:tcW w:w="800" w:type="dxa"/>
            <w:vAlign w:val="bottom"/>
            <w:gridSpan w:val="2"/>
          </w:tcPr>
          <w:p>
            <w:pPr>
              <w:ind w:left="460"/>
              <w:spacing w:after="0" w:line="148"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8" w:lineRule="exact"/>
              <w:rPr>
                <w:sz w:val="20"/>
                <w:szCs w:val="20"/>
                <w:color w:val="auto"/>
              </w:rPr>
            </w:pPr>
            <w:r>
              <w:rPr>
                <w:rFonts w:ascii="Arial" w:cs="Arial" w:eastAsia="Arial" w:hAnsi="Arial"/>
                <w:sz w:val="14"/>
                <w:szCs w:val="14"/>
                <w:color w:val="auto"/>
              </w:rPr>
              <w:t>57,153,467</w:t>
            </w:r>
          </w:p>
        </w:tc>
        <w:tc>
          <w:tcPr>
            <w:tcW w:w="420" w:type="dxa"/>
            <w:vAlign w:val="bottom"/>
            <w:gridSpan w:val="2"/>
          </w:tcPr>
          <w:p>
            <w:pPr>
              <w:jc w:val="right"/>
              <w:ind w:right="131"/>
              <w:spacing w:after="0" w:line="148"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8" w:lineRule="exact"/>
              <w:rPr>
                <w:sz w:val="20"/>
                <w:szCs w:val="20"/>
                <w:color w:val="auto"/>
              </w:rPr>
            </w:pPr>
            <w:r>
              <w:rPr>
                <w:rFonts w:ascii="Arial" w:cs="Arial" w:eastAsia="Arial" w:hAnsi="Arial"/>
                <w:sz w:val="14"/>
                <w:szCs w:val="14"/>
                <w:color w:val="auto"/>
                <w:w w:val="94"/>
              </w:rPr>
              <w:t>572</w:t>
            </w:r>
          </w:p>
        </w:tc>
        <w:tc>
          <w:tcPr>
            <w:tcW w:w="2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8" w:lineRule="exact"/>
              <w:rPr>
                <w:sz w:val="20"/>
                <w:szCs w:val="20"/>
                <w:color w:val="auto"/>
              </w:rPr>
            </w:pPr>
            <w:r>
              <w:rPr>
                <w:rFonts w:ascii="Arial" w:cs="Arial" w:eastAsia="Arial" w:hAnsi="Arial"/>
                <w:sz w:val="14"/>
                <w:szCs w:val="14"/>
                <w:color w:val="auto"/>
              </w:rPr>
              <w:t>473,848</w:t>
            </w:r>
          </w:p>
        </w:tc>
        <w:tc>
          <w:tcPr>
            <w:tcW w:w="24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4"/>
                <w:szCs w:val="14"/>
                <w:color w:val="auto"/>
              </w:rPr>
              <w:t>(64,460)</w:t>
            </w:r>
          </w:p>
        </w:tc>
        <w:tc>
          <w:tcPr>
            <w:tcW w:w="140" w:type="dxa"/>
            <w:vAlign w:val="bottom"/>
          </w:tcPr>
          <w:p>
            <w:pPr>
              <w:spacing w:after="0"/>
              <w:rPr>
                <w:sz w:val="16"/>
                <w:szCs w:val="16"/>
                <w:color w:val="auto"/>
              </w:rPr>
            </w:pPr>
          </w:p>
        </w:tc>
        <w:tc>
          <w:tcPr>
            <w:tcW w:w="140" w:type="dxa"/>
            <w:vAlign w:val="bottom"/>
          </w:tcPr>
          <w:p>
            <w:pPr>
              <w:jc w:val="right"/>
              <w:spacing w:after="0" w:line="148"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409,960</w:t>
            </w:r>
          </w:p>
        </w:tc>
      </w:tr>
      <w:tr>
        <w:trPr>
          <w:trHeight w:val="112"/>
        </w:trPr>
        <w:tc>
          <w:tcPr>
            <w:tcW w:w="20" w:type="dxa"/>
            <w:vAlign w:val="bottom"/>
          </w:tcPr>
          <w:p>
            <w:pPr>
              <w:spacing w:after="0"/>
              <w:rPr>
                <w:sz w:val="9"/>
                <w:szCs w:val="9"/>
                <w:color w:val="auto"/>
              </w:rPr>
            </w:pPr>
          </w:p>
        </w:tc>
        <w:tc>
          <w:tcPr>
            <w:tcW w:w="234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3"/>
                <w:szCs w:val="13"/>
                <w:color w:val="auto"/>
              </w:rPr>
              <w:t>Initial Public Offering Expense</w:t>
            </w:r>
          </w:p>
        </w:tc>
        <w:tc>
          <w:tcPr>
            <w:tcW w:w="6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r>
      <w:tr>
        <w:trPr>
          <w:trHeight w:val="150"/>
        </w:trPr>
        <w:tc>
          <w:tcPr>
            <w:tcW w:w="20" w:type="dxa"/>
            <w:vAlign w:val="bottom"/>
          </w:tcPr>
          <w:p>
            <w:pPr>
              <w:spacing w:after="0"/>
              <w:rPr>
                <w:sz w:val="13"/>
                <w:szCs w:val="13"/>
                <w:color w:val="auto"/>
              </w:rPr>
            </w:pPr>
          </w:p>
        </w:tc>
        <w:tc>
          <w:tcPr>
            <w:tcW w:w="2340" w:type="dxa"/>
            <w:vAlign w:val="bottom"/>
            <w:shd w:val="clear" w:color="auto" w:fill="CCEEFF"/>
          </w:tcPr>
          <w:p>
            <w:pPr>
              <w:spacing w:after="0" w:line="150" w:lineRule="exact"/>
              <w:rPr>
                <w:sz w:val="20"/>
                <w:szCs w:val="20"/>
                <w:color w:val="auto"/>
              </w:rPr>
            </w:pPr>
            <w:r>
              <w:rPr>
                <w:rFonts w:ascii="Arial" w:cs="Arial" w:eastAsia="Arial" w:hAnsi="Arial"/>
                <w:sz w:val="14"/>
                <w:szCs w:val="14"/>
                <w:color w:val="auto"/>
              </w:rPr>
              <w:t>Adjustment</w:t>
            </w:r>
          </w:p>
        </w:tc>
        <w:tc>
          <w:tcPr>
            <w:tcW w:w="800" w:type="dxa"/>
            <w:vAlign w:val="bottom"/>
            <w:gridSpan w:val="2"/>
            <w:shd w:val="clear" w:color="auto" w:fill="CCEEFF"/>
          </w:tcPr>
          <w:p>
            <w:pPr>
              <w:ind w:left="460"/>
              <w:spacing w:after="0" w:line="15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0" w:lineRule="exact"/>
              <w:rPr>
                <w:sz w:val="20"/>
                <w:szCs w:val="20"/>
                <w:color w:val="auto"/>
              </w:rPr>
            </w:pPr>
            <w:r>
              <w:rPr>
                <w:rFonts w:ascii="Arial" w:cs="Arial" w:eastAsia="Arial" w:hAnsi="Arial"/>
                <w:sz w:val="14"/>
                <w:szCs w:val="14"/>
                <w:color w:val="auto"/>
              </w:rPr>
              <w:t>349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0"/>
              <w:spacing w:after="0" w:line="15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0" w:lineRule="exact"/>
              <w:rPr>
                <w:sz w:val="20"/>
                <w:szCs w:val="20"/>
                <w:color w:val="auto"/>
              </w:rPr>
            </w:pPr>
            <w:r>
              <w:rPr>
                <w:rFonts w:ascii="Arial" w:cs="Arial" w:eastAsia="Arial" w:hAnsi="Arial"/>
                <w:sz w:val="14"/>
                <w:szCs w:val="14"/>
                <w:color w:val="auto"/>
              </w:rPr>
              <w:t>349</w:t>
            </w:r>
          </w:p>
        </w:tc>
      </w:tr>
      <w:tr>
        <w:trPr>
          <w:trHeight w:val="155"/>
        </w:trPr>
        <w:tc>
          <w:tcPr>
            <w:tcW w:w="2360" w:type="dxa"/>
            <w:vAlign w:val="bottom"/>
            <w:gridSpan w:val="2"/>
          </w:tcPr>
          <w:p>
            <w:pPr>
              <w:spacing w:after="0" w:line="155" w:lineRule="exact"/>
              <w:rPr>
                <w:sz w:val="20"/>
                <w:szCs w:val="20"/>
                <w:color w:val="auto"/>
              </w:rPr>
            </w:pPr>
            <w:r>
              <w:rPr>
                <w:rFonts w:ascii="Arial" w:cs="Arial" w:eastAsia="Arial" w:hAnsi="Arial"/>
                <w:sz w:val="14"/>
                <w:szCs w:val="14"/>
                <w:color w:val="auto"/>
              </w:rPr>
              <w:t>Exercise of Stock Options</w:t>
            </w:r>
          </w:p>
        </w:tc>
        <w:tc>
          <w:tcPr>
            <w:tcW w:w="800" w:type="dxa"/>
            <w:vAlign w:val="bottom"/>
            <w:gridSpan w:val="2"/>
          </w:tcPr>
          <w:p>
            <w:pPr>
              <w:ind w:left="460"/>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5,000</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27</w:t>
            </w:r>
          </w:p>
        </w:tc>
      </w:tr>
      <w:tr>
        <w:trPr>
          <w:trHeight w:val="155"/>
        </w:trPr>
        <w:tc>
          <w:tcPr>
            <w:tcW w:w="20" w:type="dxa"/>
            <w:vAlign w:val="bottom"/>
          </w:tcPr>
          <w:p>
            <w:pPr>
              <w:spacing w:after="0"/>
              <w:rPr>
                <w:sz w:val="13"/>
                <w:szCs w:val="13"/>
                <w:color w:val="auto"/>
              </w:rPr>
            </w:pPr>
          </w:p>
        </w:tc>
        <w:tc>
          <w:tcPr>
            <w:tcW w:w="23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Income</w:t>
            </w:r>
          </w:p>
        </w:tc>
        <w:tc>
          <w:tcPr>
            <w:tcW w:w="800" w:type="dxa"/>
            <w:vAlign w:val="bottom"/>
            <w:gridSpan w:val="2"/>
            <w:shd w:val="clear" w:color="auto" w:fill="CCEEFF"/>
          </w:tcPr>
          <w:p>
            <w:pPr>
              <w:ind w:left="460"/>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51,753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51,753</w:t>
            </w:r>
          </w:p>
        </w:tc>
      </w:tr>
      <w:tr>
        <w:trPr>
          <w:trHeight w:val="155"/>
        </w:trPr>
        <w:tc>
          <w:tcPr>
            <w:tcW w:w="2360" w:type="dxa"/>
            <w:vAlign w:val="bottom"/>
            <w:gridSpan w:val="2"/>
          </w:tcPr>
          <w:p>
            <w:pPr>
              <w:spacing w:after="0" w:line="155" w:lineRule="exact"/>
              <w:rPr>
                <w:sz w:val="20"/>
                <w:szCs w:val="20"/>
                <w:color w:val="auto"/>
              </w:rPr>
            </w:pPr>
            <w:r>
              <w:rPr>
                <w:rFonts w:ascii="Arial" w:cs="Arial" w:eastAsia="Arial" w:hAnsi="Arial"/>
                <w:sz w:val="14"/>
                <w:szCs w:val="14"/>
                <w:color w:val="auto"/>
              </w:rPr>
              <w:t>Amazon Warrants</w:t>
            </w:r>
          </w:p>
        </w:tc>
        <w:tc>
          <w:tcPr>
            <w:tcW w:w="800" w:type="dxa"/>
            <w:vAlign w:val="bottom"/>
            <w:gridSpan w:val="2"/>
          </w:tcPr>
          <w:p>
            <w:pPr>
              <w:ind w:left="460"/>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1,400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1,400</w:t>
            </w:r>
          </w:p>
        </w:tc>
      </w:tr>
      <w:tr>
        <w:trPr>
          <w:trHeight w:val="155"/>
        </w:trPr>
        <w:tc>
          <w:tcPr>
            <w:tcW w:w="20" w:type="dxa"/>
            <w:vAlign w:val="bottom"/>
          </w:tcPr>
          <w:p>
            <w:pPr>
              <w:spacing w:after="0"/>
              <w:rPr>
                <w:sz w:val="13"/>
                <w:szCs w:val="13"/>
                <w:color w:val="auto"/>
              </w:rPr>
            </w:pPr>
          </w:p>
        </w:tc>
        <w:tc>
          <w:tcPr>
            <w:tcW w:w="23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shd w:val="clear" w:color="auto" w:fill="CCEEFF"/>
          </w:tcPr>
          <w:p>
            <w:pPr>
              <w:ind w:left="460"/>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744</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744</w:t>
            </w:r>
          </w:p>
        </w:tc>
      </w:tr>
      <w:tr>
        <w:trPr>
          <w:trHeight w:val="148"/>
        </w:trPr>
        <w:tc>
          <w:tcPr>
            <w:tcW w:w="2360" w:type="dxa"/>
            <w:vAlign w:val="bottom"/>
            <w:gridSpan w:val="2"/>
          </w:tcPr>
          <w:p>
            <w:pPr>
              <w:spacing w:after="0" w:line="148" w:lineRule="exact"/>
              <w:rPr>
                <w:sz w:val="20"/>
                <w:szCs w:val="20"/>
                <w:color w:val="auto"/>
              </w:rPr>
            </w:pPr>
            <w:r>
              <w:rPr>
                <w:rFonts w:ascii="Arial" w:cs="Arial" w:eastAsia="Arial" w:hAnsi="Arial"/>
                <w:sz w:val="14"/>
                <w:szCs w:val="14"/>
                <w:color w:val="auto"/>
              </w:rPr>
              <w:t>June 30, 2021</w:t>
            </w:r>
          </w:p>
        </w:tc>
        <w:tc>
          <w:tcPr>
            <w:tcW w:w="800" w:type="dxa"/>
            <w:vAlign w:val="bottom"/>
            <w:gridSpan w:val="2"/>
          </w:tcPr>
          <w:p>
            <w:pPr>
              <w:ind w:left="460"/>
              <w:spacing w:after="0" w:line="148"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8" w:lineRule="exact"/>
              <w:rPr>
                <w:sz w:val="20"/>
                <w:szCs w:val="20"/>
                <w:color w:val="auto"/>
              </w:rPr>
            </w:pPr>
            <w:r>
              <w:rPr>
                <w:rFonts w:ascii="Arial" w:cs="Arial" w:eastAsia="Arial" w:hAnsi="Arial"/>
                <w:sz w:val="14"/>
                <w:szCs w:val="14"/>
                <w:color w:val="auto"/>
              </w:rPr>
              <w:t>57,158,467</w:t>
            </w:r>
          </w:p>
        </w:tc>
        <w:tc>
          <w:tcPr>
            <w:tcW w:w="420" w:type="dxa"/>
            <w:vAlign w:val="bottom"/>
            <w:gridSpan w:val="2"/>
          </w:tcPr>
          <w:p>
            <w:pPr>
              <w:jc w:val="right"/>
              <w:ind w:right="131"/>
              <w:spacing w:after="0" w:line="148"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8" w:lineRule="exact"/>
              <w:rPr>
                <w:sz w:val="20"/>
                <w:szCs w:val="20"/>
                <w:color w:val="auto"/>
              </w:rPr>
            </w:pPr>
            <w:r>
              <w:rPr>
                <w:rFonts w:ascii="Arial" w:cs="Arial" w:eastAsia="Arial" w:hAnsi="Arial"/>
                <w:sz w:val="14"/>
                <w:szCs w:val="14"/>
                <w:color w:val="auto"/>
                <w:w w:val="94"/>
              </w:rPr>
              <w:t>572</w:t>
            </w:r>
          </w:p>
        </w:tc>
        <w:tc>
          <w:tcPr>
            <w:tcW w:w="2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8" w:lineRule="exact"/>
              <w:rPr>
                <w:sz w:val="20"/>
                <w:szCs w:val="20"/>
                <w:color w:val="auto"/>
              </w:rPr>
            </w:pPr>
            <w:r>
              <w:rPr>
                <w:rFonts w:ascii="Arial" w:cs="Arial" w:eastAsia="Arial" w:hAnsi="Arial"/>
                <w:sz w:val="14"/>
                <w:szCs w:val="14"/>
                <w:color w:val="auto"/>
              </w:rPr>
              <w:t>476,368</w:t>
            </w:r>
          </w:p>
        </w:tc>
        <w:tc>
          <w:tcPr>
            <w:tcW w:w="24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4"/>
                <w:szCs w:val="14"/>
                <w:color w:val="auto"/>
              </w:rPr>
              <w:t>(12,707)</w:t>
            </w:r>
          </w:p>
        </w:tc>
        <w:tc>
          <w:tcPr>
            <w:tcW w:w="140" w:type="dxa"/>
            <w:vAlign w:val="bottom"/>
          </w:tcPr>
          <w:p>
            <w:pPr>
              <w:spacing w:after="0"/>
              <w:rPr>
                <w:sz w:val="12"/>
                <w:szCs w:val="12"/>
                <w:color w:val="auto"/>
              </w:rPr>
            </w:pPr>
          </w:p>
        </w:tc>
        <w:tc>
          <w:tcPr>
            <w:tcW w:w="140" w:type="dxa"/>
            <w:vAlign w:val="bottom"/>
          </w:tcPr>
          <w:p>
            <w:pPr>
              <w:jc w:val="right"/>
              <w:spacing w:after="0" w:line="148"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464,233</w:t>
            </w: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23495</wp:posOffset>
            </wp:positionV>
            <wp:extent cx="5664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80" w:type="dxa"/>
            <w:vAlign w:val="bottom"/>
            <w:tcBorders>
              <w:bottom w:val="single" w:sz="8" w:color="CCEEFF"/>
            </w:tcBorders>
          </w:tcPr>
          <w:p>
            <w:pPr>
              <w:spacing w:after="0"/>
              <w:rPr>
                <w:sz w:val="9"/>
                <w:szCs w:val="9"/>
                <w:color w:val="auto"/>
              </w:rPr>
            </w:pPr>
          </w:p>
        </w:tc>
        <w:tc>
          <w:tcPr>
            <w:tcW w:w="12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60"/>
              <w:spacing w:after="0" w:line="109" w:lineRule="exact"/>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60"/>
              <w:spacing w:after="0" w:line="109" w:lineRule="exact"/>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80" w:type="dxa"/>
            <w:vAlign w:val="bottom"/>
            <w:shd w:val="clear" w:color="auto" w:fill="CCEEFF"/>
          </w:tcPr>
          <w:p>
            <w:pPr>
              <w:spacing w:after="0" w:line="122" w:lineRule="exact"/>
              <w:rPr>
                <w:sz w:val="20"/>
                <w:szCs w:val="20"/>
                <w:color w:val="auto"/>
              </w:rPr>
            </w:pPr>
            <w:r>
              <w:rPr>
                <w:rFonts w:ascii="Arial" w:cs="Arial" w:eastAsia="Arial" w:hAnsi="Arial"/>
                <w:sz w:val="12"/>
                <w:szCs w:val="12"/>
                <w:b w:val="1"/>
                <w:bCs w:val="1"/>
                <w:color w:val="auto"/>
              </w:rPr>
              <w:t>Net Income</w:t>
            </w:r>
          </w:p>
        </w:tc>
        <w:tc>
          <w:tcPr>
            <w:tcW w:w="120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64,169</w:t>
            </w: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1,211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Adjustments to reconcile Net Income to Cash from Operating Activities:</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200"/>
              <w:spacing w:after="0" w:line="129" w:lineRule="exact"/>
              <w:rPr>
                <w:sz w:val="20"/>
                <w:szCs w:val="20"/>
                <w:color w:val="auto"/>
              </w:rPr>
            </w:pPr>
            <w:r>
              <w:rPr>
                <w:rFonts w:ascii="Arial" w:cs="Arial" w:eastAsia="Arial" w:hAnsi="Arial"/>
                <w:sz w:val="12"/>
                <w:szCs w:val="12"/>
                <w:color w:val="auto"/>
              </w:rPr>
              <w:t>Depreciation and Amortization</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26,075</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22,702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200"/>
              <w:spacing w:after="0" w:line="129" w:lineRule="exact"/>
              <w:rPr>
                <w:sz w:val="20"/>
                <w:szCs w:val="20"/>
                <w:color w:val="auto"/>
              </w:rPr>
            </w:pPr>
            <w:r>
              <w:rPr>
                <w:rFonts w:ascii="Arial" w:cs="Arial" w:eastAsia="Arial" w:hAnsi="Arial"/>
                <w:sz w:val="12"/>
                <w:szCs w:val="12"/>
                <w:color w:val="auto"/>
              </w:rPr>
              <w:t>Tax Receivable Agreement Adjustment</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(18,700)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200"/>
              <w:spacing w:after="0" w:line="129" w:lineRule="exact"/>
              <w:rPr>
                <w:sz w:val="20"/>
                <w:szCs w:val="20"/>
                <w:color w:val="auto"/>
              </w:rPr>
            </w:pPr>
            <w:r>
              <w:rPr>
                <w:rFonts w:ascii="Arial" w:cs="Arial" w:eastAsia="Arial" w:hAnsi="Arial"/>
                <w:sz w:val="12"/>
                <w:szCs w:val="12"/>
                <w:color w:val="auto"/>
              </w:rPr>
              <w:t>Reduction in Operating Lease Right-of-use Assets</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9,419</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13,585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200"/>
              <w:spacing w:after="0" w:line="129" w:lineRule="exact"/>
              <w:rPr>
                <w:sz w:val="20"/>
                <w:szCs w:val="20"/>
                <w:color w:val="auto"/>
              </w:rPr>
            </w:pPr>
            <w:r>
              <w:rPr>
                <w:rFonts w:ascii="Arial" w:cs="Arial" w:eastAsia="Arial" w:hAnsi="Arial"/>
                <w:sz w:val="12"/>
                <w:szCs w:val="12"/>
                <w:color w:val="auto"/>
              </w:rPr>
              <w:t>Non-Cash (Gain) Loss on Asset Transactions, net</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(12,668)</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381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200"/>
              <w:spacing w:after="0" w:line="129" w:lineRule="exact"/>
              <w:rPr>
                <w:sz w:val="20"/>
                <w:szCs w:val="20"/>
                <w:color w:val="auto"/>
              </w:rPr>
            </w:pPr>
            <w:r>
              <w:rPr>
                <w:rFonts w:ascii="Arial" w:cs="Arial" w:eastAsia="Arial" w:hAnsi="Arial"/>
                <w:sz w:val="12"/>
                <w:szCs w:val="12"/>
                <w:color w:val="auto"/>
              </w:rPr>
              <w:t>Unrealized (Gain) Loss on Fuel Derivatives</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(3,599)</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16,056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200"/>
              <w:spacing w:after="0" w:line="129" w:lineRule="exact"/>
              <w:rPr>
                <w:sz w:val="20"/>
                <w:szCs w:val="20"/>
                <w:color w:val="auto"/>
              </w:rPr>
            </w:pPr>
            <w:r>
              <w:rPr>
                <w:rFonts w:ascii="Arial" w:cs="Arial" w:eastAsia="Arial" w:hAnsi="Arial"/>
                <w:sz w:val="12"/>
                <w:szCs w:val="12"/>
                <w:color w:val="auto"/>
              </w:rPr>
              <w:t>Amortization of Over-market Liabilities</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(3,081)</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(5,781)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200"/>
              <w:spacing w:after="0" w:line="129" w:lineRule="exact"/>
              <w:rPr>
                <w:sz w:val="20"/>
                <w:szCs w:val="20"/>
                <w:color w:val="auto"/>
              </w:rPr>
            </w:pPr>
            <w:r>
              <w:rPr>
                <w:rFonts w:ascii="Arial" w:cs="Arial" w:eastAsia="Arial" w:hAnsi="Arial"/>
                <w:sz w:val="12"/>
                <w:szCs w:val="12"/>
                <w:color w:val="auto"/>
              </w:rPr>
              <w:t>Deferred Income Taxes</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14,875</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570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200"/>
              <w:spacing w:after="0" w:line="129" w:lineRule="exact"/>
              <w:rPr>
                <w:sz w:val="20"/>
                <w:szCs w:val="20"/>
                <w:color w:val="auto"/>
              </w:rPr>
            </w:pPr>
            <w:r>
              <w:rPr>
                <w:rFonts w:ascii="Arial" w:cs="Arial" w:eastAsia="Arial" w:hAnsi="Arial"/>
                <w:sz w:val="12"/>
                <w:szCs w:val="12"/>
                <w:color w:val="auto"/>
              </w:rPr>
              <w:t>Amazon Warrants Vested</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2,800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200"/>
              <w:spacing w:after="0" w:line="129" w:lineRule="exact"/>
              <w:rPr>
                <w:sz w:val="20"/>
                <w:szCs w:val="20"/>
                <w:color w:val="auto"/>
              </w:rPr>
            </w:pPr>
            <w:r>
              <w:rPr>
                <w:rFonts w:ascii="Arial" w:cs="Arial" w:eastAsia="Arial" w:hAnsi="Arial"/>
                <w:sz w:val="12"/>
                <w:szCs w:val="12"/>
                <w:color w:val="auto"/>
              </w:rPr>
              <w:t>Stock-based Compensation Expense</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3,613</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757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200"/>
              <w:spacing w:after="0" w:line="129" w:lineRule="exact"/>
              <w:rPr>
                <w:sz w:val="20"/>
                <w:szCs w:val="20"/>
                <w:color w:val="auto"/>
              </w:rPr>
            </w:pPr>
            <w:r>
              <w:rPr>
                <w:rFonts w:ascii="Arial" w:cs="Arial" w:eastAsia="Arial" w:hAnsi="Arial"/>
                <w:sz w:val="12"/>
                <w:szCs w:val="12"/>
                <w:color w:val="auto"/>
              </w:rPr>
              <w:t>Amortization of Debt Issuance Costs</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1,911</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903</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3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Changes in Operating Assets and Liabilities:</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200"/>
              <w:spacing w:after="0" w:line="129" w:lineRule="exact"/>
              <w:rPr>
                <w:sz w:val="20"/>
                <w:szCs w:val="20"/>
                <w:color w:val="auto"/>
              </w:rPr>
            </w:pPr>
            <w:r>
              <w:rPr>
                <w:rFonts w:ascii="Arial" w:cs="Arial" w:eastAsia="Arial" w:hAnsi="Arial"/>
                <w:sz w:val="12"/>
                <w:szCs w:val="12"/>
                <w:color w:val="auto"/>
              </w:rPr>
              <w:t>Accounts Receivable</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4,265</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3,406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200"/>
              <w:spacing w:after="0" w:line="129" w:lineRule="exact"/>
              <w:rPr>
                <w:sz w:val="20"/>
                <w:szCs w:val="20"/>
                <w:color w:val="auto"/>
              </w:rPr>
            </w:pPr>
            <w:r>
              <w:rPr>
                <w:rFonts w:ascii="Arial" w:cs="Arial" w:eastAsia="Arial" w:hAnsi="Arial"/>
                <w:sz w:val="12"/>
                <w:szCs w:val="12"/>
                <w:color w:val="auto"/>
              </w:rPr>
              <w:t>Inventory</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(224)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(596)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200"/>
              <w:spacing w:after="0" w:line="129" w:lineRule="exact"/>
              <w:rPr>
                <w:sz w:val="20"/>
                <w:szCs w:val="20"/>
                <w:color w:val="auto"/>
              </w:rPr>
            </w:pPr>
            <w:r>
              <w:rPr>
                <w:rFonts w:ascii="Arial" w:cs="Arial" w:eastAsia="Arial" w:hAnsi="Arial"/>
                <w:sz w:val="12"/>
                <w:szCs w:val="12"/>
                <w:color w:val="auto"/>
              </w:rPr>
              <w:t>Prepaid Expenses</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(6,446)</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(797)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200"/>
              <w:spacing w:after="0" w:line="129" w:lineRule="exact"/>
              <w:rPr>
                <w:sz w:val="20"/>
                <w:szCs w:val="20"/>
                <w:color w:val="auto"/>
              </w:rPr>
            </w:pPr>
            <w:r>
              <w:rPr>
                <w:rFonts w:ascii="Arial" w:cs="Arial" w:eastAsia="Arial" w:hAnsi="Arial"/>
                <w:sz w:val="12"/>
                <w:szCs w:val="12"/>
                <w:color w:val="auto"/>
              </w:rPr>
              <w:t>Lessor Maintenance Deposits</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(3,220)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(6,946)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200"/>
              <w:spacing w:after="0" w:line="129" w:lineRule="exact"/>
              <w:rPr>
                <w:sz w:val="20"/>
                <w:szCs w:val="20"/>
                <w:color w:val="auto"/>
              </w:rPr>
            </w:pPr>
            <w:r>
              <w:rPr>
                <w:rFonts w:ascii="Arial" w:cs="Arial" w:eastAsia="Arial" w:hAnsi="Arial"/>
                <w:sz w:val="12"/>
                <w:szCs w:val="12"/>
                <w:color w:val="auto"/>
              </w:rPr>
              <w:t>Aircraft Lease Deposits</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1,496</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1,290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200"/>
              <w:spacing w:after="0" w:line="129" w:lineRule="exact"/>
              <w:rPr>
                <w:sz w:val="20"/>
                <w:szCs w:val="20"/>
                <w:color w:val="auto"/>
              </w:rPr>
            </w:pPr>
            <w:r>
              <w:rPr>
                <w:rFonts w:ascii="Arial" w:cs="Arial" w:eastAsia="Arial" w:hAnsi="Arial"/>
                <w:sz w:val="12"/>
                <w:szCs w:val="12"/>
                <w:color w:val="auto"/>
              </w:rPr>
              <w:t>Other Assets</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1,294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(3,033)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200"/>
              <w:spacing w:after="0" w:line="129" w:lineRule="exact"/>
              <w:rPr>
                <w:sz w:val="20"/>
                <w:szCs w:val="20"/>
                <w:color w:val="auto"/>
              </w:rPr>
            </w:pPr>
            <w:r>
              <w:rPr>
                <w:rFonts w:ascii="Arial" w:cs="Arial" w:eastAsia="Arial" w:hAnsi="Arial"/>
                <w:sz w:val="12"/>
                <w:szCs w:val="12"/>
                <w:color w:val="auto"/>
              </w:rPr>
              <w:t>Accounts Payable</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3,546</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(13,144)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200"/>
              <w:spacing w:after="0" w:line="129" w:lineRule="exact"/>
              <w:rPr>
                <w:sz w:val="20"/>
                <w:szCs w:val="20"/>
                <w:color w:val="auto"/>
              </w:rPr>
            </w:pPr>
            <w:r>
              <w:rPr>
                <w:rFonts w:ascii="Arial" w:cs="Arial" w:eastAsia="Arial" w:hAnsi="Arial"/>
                <w:sz w:val="12"/>
                <w:szCs w:val="12"/>
                <w:color w:val="auto"/>
              </w:rPr>
              <w:t>Accrued Transportation Taxes</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7,024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(11,779)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200"/>
              <w:spacing w:after="0" w:line="129" w:lineRule="exact"/>
              <w:rPr>
                <w:sz w:val="20"/>
                <w:szCs w:val="20"/>
                <w:color w:val="auto"/>
              </w:rPr>
            </w:pPr>
            <w:r>
              <w:rPr>
                <w:rFonts w:ascii="Arial" w:cs="Arial" w:eastAsia="Arial" w:hAnsi="Arial"/>
                <w:sz w:val="12"/>
                <w:szCs w:val="12"/>
                <w:color w:val="auto"/>
              </w:rPr>
              <w:t>Air Traffic Liabilities</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12,695</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(20,587)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200"/>
              <w:spacing w:after="0" w:line="129" w:lineRule="exact"/>
              <w:rPr>
                <w:sz w:val="20"/>
                <w:szCs w:val="20"/>
                <w:color w:val="auto"/>
              </w:rPr>
            </w:pPr>
            <w:r>
              <w:rPr>
                <w:rFonts w:ascii="Arial" w:cs="Arial" w:eastAsia="Arial" w:hAnsi="Arial"/>
                <w:sz w:val="12"/>
                <w:szCs w:val="12"/>
                <w:color w:val="auto"/>
              </w:rPr>
              <w:t>Loyalty Program Liabilities</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(1,192)</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(775)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200"/>
              <w:spacing w:after="0" w:line="129" w:lineRule="exact"/>
              <w:rPr>
                <w:sz w:val="20"/>
                <w:szCs w:val="20"/>
                <w:color w:val="auto"/>
              </w:rPr>
            </w:pPr>
            <w:r>
              <w:rPr>
                <w:rFonts w:ascii="Arial" w:cs="Arial" w:eastAsia="Arial" w:hAnsi="Arial"/>
                <w:sz w:val="12"/>
                <w:szCs w:val="12"/>
                <w:color w:val="auto"/>
              </w:rPr>
              <w:t>Reduction in Operating Lease Obligations</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(15,826)</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(9,718)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Borders>
              <w:bottom w:val="single" w:sz="8" w:color="CCEEFF"/>
            </w:tcBorders>
          </w:tcPr>
          <w:p>
            <w:pPr>
              <w:ind w:left="200"/>
              <w:spacing w:after="0" w:line="129" w:lineRule="exact"/>
              <w:rPr>
                <w:sz w:val="20"/>
                <w:szCs w:val="20"/>
                <w:color w:val="auto"/>
              </w:rPr>
            </w:pPr>
            <w:r>
              <w:rPr>
                <w:rFonts w:ascii="Arial" w:cs="Arial" w:eastAsia="Arial" w:hAnsi="Arial"/>
                <w:sz w:val="12"/>
                <w:szCs w:val="12"/>
                <w:color w:val="auto"/>
              </w:rPr>
              <w:t>Other Liabilities</w:t>
            </w:r>
          </w:p>
        </w:tc>
        <w:tc>
          <w:tcPr>
            <w:tcW w:w="1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1,615</w:t>
            </w: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(600)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80" w:type="dxa"/>
            <w:vAlign w:val="bottom"/>
            <w:shd w:val="clear" w:color="auto" w:fill="CCEEFF"/>
          </w:tcPr>
          <w:p>
            <w:pPr>
              <w:ind w:left="300"/>
              <w:spacing w:after="0" w:line="122" w:lineRule="exact"/>
              <w:rPr>
                <w:sz w:val="20"/>
                <w:szCs w:val="20"/>
                <w:color w:val="auto"/>
              </w:rPr>
            </w:pPr>
            <w:r>
              <w:rPr>
                <w:rFonts w:ascii="Arial" w:cs="Arial" w:eastAsia="Arial" w:hAnsi="Arial"/>
                <w:sz w:val="12"/>
                <w:szCs w:val="12"/>
                <w:b w:val="1"/>
                <w:bCs w:val="1"/>
                <w:color w:val="auto"/>
              </w:rPr>
              <w:t>Net Cash Provided by (Used in) Operating Activities</w:t>
            </w:r>
          </w:p>
        </w:tc>
        <w:tc>
          <w:tcPr>
            <w:tcW w:w="12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89,841</w:t>
            </w:r>
          </w:p>
        </w:tc>
        <w:tc>
          <w:tcPr>
            <w:tcW w:w="2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(12,895)</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b w:val="1"/>
                <w:bCs w:val="1"/>
                <w:color w:val="auto"/>
              </w:rPr>
              <w:t>Cash Flows from Investing Activities:</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200"/>
              <w:spacing w:after="0" w:line="129" w:lineRule="exact"/>
              <w:rPr>
                <w:sz w:val="20"/>
                <w:szCs w:val="20"/>
                <w:color w:val="auto"/>
              </w:rPr>
            </w:pPr>
            <w:r>
              <w:rPr>
                <w:rFonts w:ascii="Arial" w:cs="Arial" w:eastAsia="Arial" w:hAnsi="Arial"/>
                <w:sz w:val="12"/>
                <w:szCs w:val="12"/>
                <w:color w:val="auto"/>
              </w:rPr>
              <w:t>Purchases of Property &amp; Equipment</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(66,736)</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(93,677)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200"/>
              <w:spacing w:after="0" w:line="129" w:lineRule="exact"/>
              <w:rPr>
                <w:sz w:val="20"/>
                <w:szCs w:val="20"/>
                <w:color w:val="auto"/>
              </w:rPr>
            </w:pPr>
            <w:r>
              <w:rPr>
                <w:rFonts w:ascii="Arial" w:cs="Arial" w:eastAsia="Arial" w:hAnsi="Arial"/>
                <w:sz w:val="12"/>
                <w:szCs w:val="12"/>
                <w:color w:val="auto"/>
              </w:rPr>
              <w:t>Purchase of Investments</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(1,436)</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Borders>
              <w:bottom w:val="single" w:sz="8" w:color="CCEEFF"/>
            </w:tcBorders>
          </w:tcPr>
          <w:p>
            <w:pPr>
              <w:ind w:left="200"/>
              <w:spacing w:after="0" w:line="129" w:lineRule="exact"/>
              <w:rPr>
                <w:sz w:val="20"/>
                <w:szCs w:val="20"/>
                <w:color w:val="auto"/>
              </w:rPr>
            </w:pPr>
            <w:r>
              <w:rPr>
                <w:rFonts w:ascii="Arial" w:cs="Arial" w:eastAsia="Arial" w:hAnsi="Arial"/>
                <w:sz w:val="12"/>
                <w:szCs w:val="12"/>
                <w:color w:val="auto"/>
              </w:rPr>
              <w:t>Proceeds from the Sale of Investments</w:t>
            </w:r>
          </w:p>
        </w:tc>
        <w:tc>
          <w:tcPr>
            <w:tcW w:w="1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984</w:t>
            </w: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227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80" w:type="dxa"/>
            <w:vAlign w:val="bottom"/>
            <w:shd w:val="clear" w:color="auto" w:fill="CCEEFF"/>
          </w:tcPr>
          <w:p>
            <w:pPr>
              <w:ind w:left="300"/>
              <w:spacing w:after="0" w:line="122" w:lineRule="exact"/>
              <w:rPr>
                <w:sz w:val="20"/>
                <w:szCs w:val="20"/>
                <w:color w:val="auto"/>
              </w:rPr>
            </w:pPr>
            <w:r>
              <w:rPr>
                <w:rFonts w:ascii="Arial" w:cs="Arial" w:eastAsia="Arial" w:hAnsi="Arial"/>
                <w:sz w:val="12"/>
                <w:szCs w:val="12"/>
                <w:b w:val="1"/>
                <w:bCs w:val="1"/>
                <w:color w:val="auto"/>
              </w:rPr>
              <w:t>Net Cash Used in Investing Activities</w:t>
            </w:r>
          </w:p>
        </w:tc>
        <w:tc>
          <w:tcPr>
            <w:tcW w:w="12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(67,188)</w:t>
            </w:r>
          </w:p>
        </w:tc>
        <w:tc>
          <w:tcPr>
            <w:tcW w:w="2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(93,640)</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b w:val="1"/>
                <w:bCs w:val="1"/>
                <w:color w:val="auto"/>
              </w:rPr>
              <w:t>Cash Flows from Financing Activities:</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200"/>
              <w:spacing w:after="0" w:line="129" w:lineRule="exact"/>
              <w:rPr>
                <w:sz w:val="20"/>
                <w:szCs w:val="20"/>
                <w:color w:val="auto"/>
              </w:rPr>
            </w:pPr>
            <w:r>
              <w:rPr>
                <w:rFonts w:ascii="Arial" w:cs="Arial" w:eastAsia="Arial" w:hAnsi="Arial"/>
                <w:sz w:val="12"/>
                <w:szCs w:val="12"/>
                <w:color w:val="auto"/>
              </w:rPr>
              <w:t>Cash Received from Stock Offering</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235,894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200"/>
              <w:spacing w:after="0" w:line="129" w:lineRule="exact"/>
              <w:rPr>
                <w:sz w:val="20"/>
                <w:szCs w:val="20"/>
                <w:color w:val="auto"/>
              </w:rPr>
            </w:pPr>
            <w:r>
              <w:rPr>
                <w:rFonts w:ascii="Arial" w:cs="Arial" w:eastAsia="Arial" w:hAnsi="Arial"/>
                <w:sz w:val="12"/>
                <w:szCs w:val="12"/>
                <w:color w:val="auto"/>
              </w:rPr>
              <w:t>Costs of Stock Offering</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(8,669)</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200"/>
              <w:spacing w:after="0" w:line="129" w:lineRule="exact"/>
              <w:rPr>
                <w:sz w:val="20"/>
                <w:szCs w:val="20"/>
                <w:color w:val="auto"/>
              </w:rPr>
            </w:pPr>
            <w:r>
              <w:rPr>
                <w:rFonts w:ascii="Arial" w:cs="Arial" w:eastAsia="Arial" w:hAnsi="Arial"/>
                <w:sz w:val="12"/>
                <w:szCs w:val="12"/>
                <w:color w:val="auto"/>
              </w:rPr>
              <w:t>Proceeds from Stock Option and Warrant Exercises</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26</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200"/>
              <w:spacing w:after="0" w:line="129" w:lineRule="exact"/>
              <w:rPr>
                <w:sz w:val="20"/>
                <w:szCs w:val="20"/>
                <w:color w:val="auto"/>
              </w:rPr>
            </w:pPr>
            <w:r>
              <w:rPr>
                <w:rFonts w:ascii="Arial" w:cs="Arial" w:eastAsia="Arial" w:hAnsi="Arial"/>
                <w:sz w:val="12"/>
                <w:szCs w:val="12"/>
                <w:color w:val="auto"/>
              </w:rPr>
              <w:t>Proceeds from Borrowings</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80,500</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220,307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200"/>
              <w:spacing w:after="0" w:line="129" w:lineRule="exact"/>
              <w:rPr>
                <w:sz w:val="20"/>
                <w:szCs w:val="20"/>
                <w:color w:val="auto"/>
              </w:rPr>
            </w:pPr>
            <w:r>
              <w:rPr>
                <w:rFonts w:ascii="Arial" w:cs="Arial" w:eastAsia="Arial" w:hAnsi="Arial"/>
                <w:sz w:val="12"/>
                <w:szCs w:val="12"/>
                <w:color w:val="auto"/>
              </w:rPr>
              <w:t>Repayment of Finance Lease Obligations</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(7,864)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(85,976)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200"/>
              <w:spacing w:after="0" w:line="129" w:lineRule="exact"/>
              <w:rPr>
                <w:sz w:val="20"/>
                <w:szCs w:val="20"/>
                <w:color w:val="auto"/>
              </w:rPr>
            </w:pPr>
            <w:r>
              <w:rPr>
                <w:rFonts w:ascii="Arial" w:cs="Arial" w:eastAsia="Arial" w:hAnsi="Arial"/>
                <w:sz w:val="12"/>
                <w:szCs w:val="12"/>
                <w:color w:val="auto"/>
              </w:rPr>
              <w:t>Repayment of Borrowings</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(74,709)</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(54,879)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Borders>
              <w:bottom w:val="single" w:sz="8" w:color="CCEEFF"/>
            </w:tcBorders>
          </w:tcPr>
          <w:p>
            <w:pPr>
              <w:ind w:left="200"/>
              <w:spacing w:after="0" w:line="129" w:lineRule="exact"/>
              <w:rPr>
                <w:sz w:val="20"/>
                <w:szCs w:val="20"/>
                <w:color w:val="auto"/>
              </w:rPr>
            </w:pPr>
            <w:r>
              <w:rPr>
                <w:rFonts w:ascii="Arial" w:cs="Arial" w:eastAsia="Arial" w:hAnsi="Arial"/>
                <w:sz w:val="12"/>
                <w:szCs w:val="12"/>
                <w:color w:val="auto"/>
              </w:rPr>
              <w:t>Debt Issuance Costs</w:t>
            </w:r>
          </w:p>
        </w:tc>
        <w:tc>
          <w:tcPr>
            <w:tcW w:w="1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(2,709)</w:t>
            </w: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(2,764)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80" w:type="dxa"/>
            <w:vAlign w:val="bottom"/>
            <w:shd w:val="clear" w:color="auto" w:fill="CCEEFF"/>
          </w:tcPr>
          <w:p>
            <w:pPr>
              <w:ind w:left="300"/>
              <w:spacing w:after="0" w:line="122" w:lineRule="exact"/>
              <w:rPr>
                <w:sz w:val="20"/>
                <w:szCs w:val="20"/>
                <w:color w:val="auto"/>
              </w:rPr>
            </w:pPr>
            <w:r>
              <w:rPr>
                <w:rFonts w:ascii="Arial" w:cs="Arial" w:eastAsia="Arial" w:hAnsi="Arial"/>
                <w:sz w:val="12"/>
                <w:szCs w:val="12"/>
                <w:b w:val="1"/>
                <w:bCs w:val="1"/>
                <w:color w:val="auto"/>
              </w:rPr>
              <w:t>Net Cash Provided by Financing Activities</w:t>
            </w:r>
          </w:p>
        </w:tc>
        <w:tc>
          <w:tcPr>
            <w:tcW w:w="12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222,469</w:t>
            </w:r>
          </w:p>
        </w:tc>
        <w:tc>
          <w:tcPr>
            <w:tcW w:w="2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76,709</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53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Net Increase (Decrease) in Cash, Cash Equivalents and Restricted Cash</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245,122</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(29,826)</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53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Cash, Cash Equivalents and Restricted Cash--Beginning of the Period</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70,363</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64,478</w:t>
            </w:r>
          </w:p>
        </w:tc>
        <w:tc>
          <w:tcPr>
            <w:tcW w:w="0" w:type="dxa"/>
            <w:vAlign w:val="bottom"/>
          </w:tcPr>
          <w:p>
            <w:pPr>
              <w:spacing w:after="0"/>
              <w:rPr>
                <w:sz w:val="1"/>
                <w:szCs w:val="1"/>
                <w:color w:val="auto"/>
              </w:rPr>
            </w:pPr>
          </w:p>
        </w:tc>
      </w:tr>
      <w:tr>
        <w:trPr>
          <w:trHeight w:val="90"/>
        </w:trPr>
        <w:tc>
          <w:tcPr>
            <w:tcW w:w="5400" w:type="dxa"/>
            <w:vAlign w:val="bottom"/>
            <w:gridSpan w:val="2"/>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80" w:type="dxa"/>
            <w:vAlign w:val="bottom"/>
            <w:tcBorders>
              <w:top w:val="single" w:sz="8" w:color="CCEEFF"/>
              <w:bottom w:val="single" w:sz="8" w:color="CCEEFF"/>
            </w:tcBorders>
            <w:shd w:val="clear" w:color="auto" w:fill="CCEEFF"/>
          </w:tcPr>
          <w:p>
            <w:pPr>
              <w:spacing w:after="0" w:line="122" w:lineRule="exact"/>
              <w:rPr>
                <w:sz w:val="20"/>
                <w:szCs w:val="20"/>
                <w:color w:val="auto"/>
              </w:rPr>
            </w:pPr>
            <w:r>
              <w:rPr>
                <w:rFonts w:ascii="Arial" w:cs="Arial" w:eastAsia="Arial" w:hAnsi="Arial"/>
                <w:sz w:val="12"/>
                <w:szCs w:val="12"/>
                <w:b w:val="1"/>
                <w:bCs w:val="1"/>
                <w:color w:val="auto"/>
              </w:rPr>
              <w:t>Cash, Cash Equivalents and Restricted Cash--End of the Period</w:t>
            </w:r>
          </w:p>
        </w:tc>
        <w:tc>
          <w:tcPr>
            <w:tcW w:w="120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315,485</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34,652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vMerge w:val="restart"/>
          </w:tcPr>
          <w:p>
            <w:pPr>
              <w:spacing w:after="0"/>
              <w:rPr>
                <w:sz w:val="5"/>
                <w:szCs w:val="5"/>
                <w:color w:val="auto"/>
              </w:rPr>
            </w:pPr>
          </w:p>
        </w:tc>
        <w:tc>
          <w:tcPr>
            <w:tcW w:w="5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53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Supplemental information:</w:t>
            </w: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100"/>
              <w:spacing w:after="0" w:line="129" w:lineRule="exact"/>
              <w:rPr>
                <w:sz w:val="20"/>
                <w:szCs w:val="20"/>
                <w:color w:val="auto"/>
              </w:rPr>
            </w:pPr>
            <w:r>
              <w:rPr>
                <w:rFonts w:ascii="Arial" w:cs="Arial" w:eastAsia="Arial" w:hAnsi="Arial"/>
                <w:sz w:val="12"/>
                <w:szCs w:val="12"/>
                <w:color w:val="auto"/>
              </w:rPr>
              <w:t>Cash Payments for Interest</w:t>
            </w:r>
          </w:p>
        </w:tc>
        <w:tc>
          <w:tcPr>
            <w:tcW w:w="1440" w:type="dxa"/>
            <w:vAlign w:val="bottom"/>
            <w:gridSpan w:val="2"/>
          </w:tcPr>
          <w:p>
            <w:pPr>
              <w:jc w:val="right"/>
              <w:ind w:right="130"/>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11,040</w:t>
            </w:r>
          </w:p>
        </w:tc>
        <w:tc>
          <w:tcPr>
            <w:tcW w:w="440" w:type="dxa"/>
            <w:vAlign w:val="bottom"/>
            <w:gridSpan w:val="2"/>
          </w:tcPr>
          <w:p>
            <w:pPr>
              <w:jc w:val="right"/>
              <w:ind w:right="130"/>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10,115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Cash Payments (Receipts) for Income Taxes, net</w:t>
            </w:r>
          </w:p>
        </w:tc>
        <w:tc>
          <w:tcPr>
            <w:tcW w:w="1440" w:type="dxa"/>
            <w:vAlign w:val="bottom"/>
            <w:gridSpan w:val="2"/>
            <w:shd w:val="clear" w:color="auto" w:fill="CCEEFF"/>
          </w:tcPr>
          <w:p>
            <w:pPr>
              <w:jc w:val="right"/>
              <w:ind w:right="130"/>
              <w:spacing w:after="0" w:line="129"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40</w:t>
            </w:r>
          </w:p>
        </w:tc>
        <w:tc>
          <w:tcPr>
            <w:tcW w:w="440" w:type="dxa"/>
            <w:vAlign w:val="bottom"/>
            <w:gridSpan w:val="2"/>
            <w:shd w:val="clear" w:color="auto" w:fill="CCEEFF"/>
          </w:tcPr>
          <w:p>
            <w:pPr>
              <w:jc w:val="right"/>
              <w:ind w:right="130"/>
              <w:spacing w:after="0" w:line="129"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spacing w:after="0" w:line="129" w:lineRule="exact"/>
              <w:rPr>
                <w:sz w:val="20"/>
                <w:szCs w:val="20"/>
                <w:color w:val="auto"/>
              </w:rPr>
            </w:pPr>
            <w:r>
              <w:rPr>
                <w:rFonts w:ascii="Arial" w:cs="Arial" w:eastAsia="Arial" w:hAnsi="Arial"/>
                <w:sz w:val="12"/>
                <w:szCs w:val="12"/>
                <w:b w:val="1"/>
                <w:bCs w:val="1"/>
                <w:color w:val="auto"/>
              </w:rPr>
              <w:t>Non-cash transactions:</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Lease Deposits Applied Against the Purchase of Aircraft</w:t>
            </w:r>
          </w:p>
        </w:tc>
        <w:tc>
          <w:tcPr>
            <w:tcW w:w="1440" w:type="dxa"/>
            <w:vAlign w:val="bottom"/>
            <w:gridSpan w:val="2"/>
            <w:shd w:val="clear" w:color="auto" w:fill="CCEEFF"/>
          </w:tcPr>
          <w:p>
            <w:pPr>
              <w:jc w:val="right"/>
              <w:ind w:right="130"/>
              <w:spacing w:after="0" w:line="129"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3,296</w:t>
            </w:r>
          </w:p>
        </w:tc>
        <w:tc>
          <w:tcPr>
            <w:tcW w:w="440" w:type="dxa"/>
            <w:vAlign w:val="bottom"/>
            <w:gridSpan w:val="2"/>
            <w:shd w:val="clear" w:color="auto" w:fill="CCEEFF"/>
          </w:tcPr>
          <w:p>
            <w:pPr>
              <w:jc w:val="right"/>
              <w:ind w:right="130"/>
              <w:spacing w:after="0" w:line="129"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ind w:left="100"/>
              <w:spacing w:after="0" w:line="129" w:lineRule="exact"/>
              <w:rPr>
                <w:sz w:val="20"/>
                <w:szCs w:val="20"/>
                <w:color w:val="auto"/>
              </w:rPr>
            </w:pPr>
            <w:r>
              <w:rPr>
                <w:rFonts w:ascii="Arial" w:cs="Arial" w:eastAsia="Arial" w:hAnsi="Arial"/>
                <w:sz w:val="12"/>
                <w:szCs w:val="12"/>
                <w:color w:val="auto"/>
              </w:rPr>
              <w:t>Aircraft and Flight Equipment Acquired through Finance Leases</w:t>
            </w:r>
          </w:p>
        </w:tc>
        <w:tc>
          <w:tcPr>
            <w:tcW w:w="1440" w:type="dxa"/>
            <w:vAlign w:val="bottom"/>
            <w:gridSpan w:val="2"/>
          </w:tcPr>
          <w:p>
            <w:pPr>
              <w:jc w:val="right"/>
              <w:ind w:right="130"/>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42,911</w:t>
            </w:r>
          </w:p>
        </w:tc>
        <w:tc>
          <w:tcPr>
            <w:tcW w:w="440" w:type="dxa"/>
            <w:vAlign w:val="bottom"/>
            <w:gridSpan w:val="2"/>
          </w:tcPr>
          <w:p>
            <w:pPr>
              <w:jc w:val="right"/>
              <w:ind w:right="130"/>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Purchases of Property &amp; Equipment in Accounts Payable</w:t>
            </w:r>
          </w:p>
        </w:tc>
        <w:tc>
          <w:tcPr>
            <w:tcW w:w="1440" w:type="dxa"/>
            <w:vAlign w:val="bottom"/>
            <w:gridSpan w:val="2"/>
            <w:shd w:val="clear" w:color="auto" w:fill="CCEEFF"/>
          </w:tcPr>
          <w:p>
            <w:pPr>
              <w:jc w:val="right"/>
              <w:ind w:right="130"/>
              <w:spacing w:after="0" w:line="129"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30"/>
              <w:spacing w:after="0" w:line="129"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555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100"/>
              <w:spacing w:after="0"/>
              <w:rPr>
                <w:sz w:val="20"/>
                <w:szCs w:val="20"/>
                <w:color w:val="auto"/>
              </w:rPr>
            </w:pPr>
            <w:r>
              <w:rPr>
                <w:rFonts w:ascii="Arial" w:cs="Arial" w:eastAsia="Arial" w:hAnsi="Arial"/>
                <w:sz w:val="12"/>
                <w:szCs w:val="12"/>
                <w:color w:val="auto"/>
              </w:rPr>
              <w:t>Costs of Stock Offering in Accounts Payable</w:t>
            </w:r>
          </w:p>
        </w:tc>
        <w:tc>
          <w:tcPr>
            <w:tcW w:w="144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38</w:t>
            </w:r>
          </w:p>
        </w:tc>
        <w:tc>
          <w:tcPr>
            <w:tcW w:w="44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-9525</wp:posOffset>
            </wp:positionV>
            <wp:extent cx="5656580" cy="571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6580" cy="571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2"/>
          <w:szCs w:val="12"/>
          <w:color w:val="auto"/>
        </w:rPr>
        <w:t>The following provides a reconciliation of Cash, Cash Equivalents and Restricted Cash to the amounts reported on the Consolidated Balance Sheets:</w:t>
      </w:r>
    </w:p>
    <w:tbl>
      <w:tblPr>
        <w:tblLayout w:type="fixed"/>
        <w:tblInd w:w="4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468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June 30, 2021</w:t>
            </w:r>
          </w:p>
        </w:tc>
        <w:tc>
          <w:tcPr>
            <w:tcW w:w="2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June 30, 2020</w:t>
            </w:r>
          </w:p>
        </w:tc>
      </w:tr>
      <w:tr>
        <w:trPr>
          <w:trHeight w:val="122"/>
        </w:trPr>
        <w:tc>
          <w:tcPr>
            <w:tcW w:w="20" w:type="dxa"/>
            <w:vAlign w:val="bottom"/>
          </w:tcPr>
          <w:p>
            <w:pPr>
              <w:spacing w:after="0"/>
              <w:rPr>
                <w:sz w:val="10"/>
                <w:szCs w:val="10"/>
                <w:color w:val="auto"/>
              </w:rPr>
            </w:pPr>
          </w:p>
        </w:tc>
        <w:tc>
          <w:tcPr>
            <w:tcW w:w="4680" w:type="dxa"/>
            <w:vAlign w:val="bottom"/>
            <w:shd w:val="clear" w:color="auto" w:fill="CCEEFF"/>
          </w:tcPr>
          <w:p>
            <w:pPr>
              <w:spacing w:after="0" w:line="122" w:lineRule="exact"/>
              <w:rPr>
                <w:sz w:val="20"/>
                <w:szCs w:val="20"/>
                <w:color w:val="auto"/>
              </w:rPr>
            </w:pPr>
            <w:r>
              <w:rPr>
                <w:rFonts w:ascii="Arial" w:cs="Arial" w:eastAsia="Arial" w:hAnsi="Arial"/>
                <w:sz w:val="12"/>
                <w:szCs w:val="12"/>
                <w:color w:val="auto"/>
              </w:rPr>
              <w:t>Cash and Equivalents</w:t>
            </w:r>
          </w:p>
        </w:tc>
        <w:tc>
          <w:tcPr>
            <w:tcW w:w="19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310,723</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32,084</w:t>
            </w:r>
          </w:p>
        </w:tc>
      </w:tr>
      <w:tr>
        <w:trPr>
          <w:trHeight w:val="129"/>
        </w:trPr>
        <w:tc>
          <w:tcPr>
            <w:tcW w:w="20" w:type="dxa"/>
            <w:vAlign w:val="bottom"/>
          </w:tcPr>
          <w:p>
            <w:pPr>
              <w:spacing w:after="0"/>
              <w:rPr>
                <w:sz w:val="11"/>
                <w:szCs w:val="11"/>
                <w:color w:val="auto"/>
              </w:rPr>
            </w:pPr>
          </w:p>
        </w:tc>
        <w:tc>
          <w:tcPr>
            <w:tcW w:w="468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color w:val="auto"/>
              </w:rPr>
              <w:t>Restricted Cash</w:t>
            </w:r>
          </w:p>
        </w:tc>
        <w:tc>
          <w:tcPr>
            <w:tcW w:w="19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4,762</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2,568</w:t>
            </w:r>
          </w:p>
        </w:tc>
      </w:tr>
      <w:tr>
        <w:trPr>
          <w:trHeight w:val="122"/>
        </w:trPr>
        <w:tc>
          <w:tcPr>
            <w:tcW w:w="20" w:type="dxa"/>
            <w:vAlign w:val="bottom"/>
          </w:tcPr>
          <w:p>
            <w:pPr>
              <w:spacing w:after="0"/>
              <w:rPr>
                <w:sz w:val="10"/>
                <w:szCs w:val="10"/>
                <w:color w:val="auto"/>
              </w:rPr>
            </w:pPr>
          </w:p>
        </w:tc>
        <w:tc>
          <w:tcPr>
            <w:tcW w:w="4680" w:type="dxa"/>
            <w:vAlign w:val="bottom"/>
            <w:tcBorders>
              <w:bottom w:val="single" w:sz="8" w:color="CCEEFF"/>
            </w:tcBorders>
            <w:shd w:val="clear" w:color="auto" w:fill="CCEEFF"/>
          </w:tcPr>
          <w:p>
            <w:pPr>
              <w:ind w:left="100"/>
              <w:spacing w:after="0" w:line="122" w:lineRule="exact"/>
              <w:rPr>
                <w:sz w:val="20"/>
                <w:szCs w:val="20"/>
                <w:color w:val="auto"/>
              </w:rPr>
            </w:pPr>
            <w:r>
              <w:rPr>
                <w:rFonts w:ascii="Arial" w:cs="Arial" w:eastAsia="Arial" w:hAnsi="Arial"/>
                <w:sz w:val="12"/>
                <w:szCs w:val="12"/>
                <w:color w:val="auto"/>
              </w:rPr>
              <w:t>Total Cash, Cash Equivalents and Restricted Cash</w:t>
            </w:r>
          </w:p>
        </w:tc>
        <w:tc>
          <w:tcPr>
            <w:tcW w:w="19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315,485</w:t>
            </w:r>
          </w:p>
        </w:tc>
        <w:tc>
          <w:tcPr>
            <w:tcW w:w="2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34,652</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4835" cy="1651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60" w:hanging="313"/>
        <w:spacing w:after="0"/>
        <w:tabs>
          <w:tab w:leader="none" w:pos="3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COMPANY BACKGROUND</w:t>
      </w:r>
    </w:p>
    <w:p>
      <w:pPr>
        <w:spacing w:after="0" w:line="224" w:lineRule="exact"/>
        <w:rPr>
          <w:rFonts w:ascii="Arial" w:cs="Arial" w:eastAsia="Arial" w:hAnsi="Arial"/>
          <w:sz w:val="17"/>
          <w:szCs w:val="17"/>
          <w:b w:val="1"/>
          <w:bCs w:val="1"/>
          <w:color w:val="auto"/>
        </w:rPr>
      </w:pPr>
    </w:p>
    <w:p>
      <w:pPr>
        <w:jc w:val="both"/>
        <w:ind w:left="360" w:right="59"/>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Sun Country Airlines Holdings, Inc. is the parent company of Sun Country, Inc., which is a certificated air carrier providing scheduled passenger service, air cargo service, charter air transportation and related services. Services are provided to the general public, cargo customers, military branches, wholesale tour operators, individual entities, schools and companies for air transportation to various U.S. and international destinations. Except as otherwise stated, the financial information, accounting policies, and activities of Sun Country Airlines Holdings, Inc. are referred to as those of the Company (the “Company” or “Sun Country”).</w:t>
      </w:r>
    </w:p>
    <w:p>
      <w:pPr>
        <w:spacing w:after="0" w:line="178"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Stock Split</w:t>
      </w:r>
    </w:p>
    <w:p>
      <w:pPr>
        <w:spacing w:after="0" w:line="224" w:lineRule="exact"/>
        <w:rPr>
          <w:rFonts w:ascii="Arial" w:cs="Arial" w:eastAsia="Arial" w:hAnsi="Arial"/>
          <w:sz w:val="17"/>
          <w:szCs w:val="17"/>
          <w:b w:val="1"/>
          <w:bCs w:val="1"/>
          <w:color w:val="auto"/>
        </w:rPr>
      </w:pPr>
    </w:p>
    <w:p>
      <w:pPr>
        <w:jc w:val="both"/>
        <w:ind w:left="360" w:right="59"/>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In March 2021, the Company effected an approximately 18.8886 for 1 stock split of its common stock (the “Stock Split”), with exercise prices for outstanding warrants and options adjusted accordingly by dividing such prices by the Stock Split ratio. The par value of the common stock was not adjusted as a result of the Stock Split. As a result of the Stock Split, the Company issued an additional 44,226,587 shares of common stock. All references to common stock, warrants to purchase common stock, stock options, per share amounts and related information contained in the accompanying Condensed Consolidated Financial Statements and applicable disclosures have been retroactively adjusted to reflect the effect of the Stock Split for all periods.</w:t>
      </w:r>
    </w:p>
    <w:p>
      <w:pPr>
        <w:spacing w:after="0" w:line="177"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Approval of the Omnibus Incentive Plan</w:t>
      </w:r>
    </w:p>
    <w:p>
      <w:pPr>
        <w:spacing w:after="0" w:line="224" w:lineRule="exact"/>
        <w:rPr>
          <w:rFonts w:ascii="Arial" w:cs="Arial" w:eastAsia="Arial" w:hAnsi="Arial"/>
          <w:sz w:val="17"/>
          <w:szCs w:val="17"/>
          <w:b w:val="1"/>
          <w:bCs w:val="1"/>
          <w:color w:val="auto"/>
        </w:rPr>
      </w:pPr>
    </w:p>
    <w:p>
      <w:pPr>
        <w:jc w:val="both"/>
        <w:ind w:left="360" w:right="59"/>
        <w:spacing w:after="0"/>
        <w:rPr>
          <w:rFonts w:ascii="Arial" w:cs="Arial" w:eastAsia="Arial" w:hAnsi="Arial"/>
          <w:sz w:val="17"/>
          <w:szCs w:val="17"/>
          <w:b w:val="1"/>
          <w:bCs w:val="1"/>
          <w:color w:val="auto"/>
        </w:rPr>
      </w:pPr>
      <w:r>
        <w:rPr>
          <w:rFonts w:ascii="Arial" w:cs="Arial" w:eastAsia="Arial" w:hAnsi="Arial"/>
          <w:sz w:val="17"/>
          <w:szCs w:val="17"/>
          <w:color w:val="auto"/>
        </w:rPr>
        <w:t>In March 2021, the stockholders approved the Sun Country Airlines Holdings, Inc. 2021 Omnibus Incentive Plan (the “Plan”). The Plan authorizes that no more than 3,600,000 shares of Common Stock may be delivered in the aggregate pursuant to Awards granted under the Plan. An “Award” means any Incentive Stock Option, Nonqualified Stock Option, Stock Appreciation Right, Restricted Stock, Restricted Stock Unit, Other Stock-Based Award, or Other Cash-Based Award granted under the Plan.</w:t>
      </w:r>
    </w:p>
    <w:p>
      <w:pPr>
        <w:spacing w:after="0" w:line="195" w:lineRule="exact"/>
        <w:rPr>
          <w:rFonts w:ascii="Arial" w:cs="Arial" w:eastAsia="Arial" w:hAnsi="Arial"/>
          <w:sz w:val="17"/>
          <w:szCs w:val="17"/>
          <w:b w:val="1"/>
          <w:bCs w:val="1"/>
          <w:color w:val="auto"/>
        </w:rPr>
      </w:pPr>
    </w:p>
    <w:p>
      <w:pPr>
        <w:ind w:left="360" w:right="59"/>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Upon implementation of this new Plan, there were no more grants under the October 2018 equity incentive plan. Awards already issued under the 2018 plan are not impacted by the new Plan.</w:t>
      </w:r>
    </w:p>
    <w:p>
      <w:pPr>
        <w:spacing w:after="0" w:line="167"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Initial Public Offering of Common Stock and Other Stock Sales</w:t>
      </w:r>
    </w:p>
    <w:p>
      <w:pPr>
        <w:spacing w:after="0" w:line="224" w:lineRule="exact"/>
        <w:rPr>
          <w:rFonts w:ascii="Arial" w:cs="Arial" w:eastAsia="Arial" w:hAnsi="Arial"/>
          <w:sz w:val="17"/>
          <w:szCs w:val="17"/>
          <w:b w:val="1"/>
          <w:bCs w:val="1"/>
          <w:color w:val="auto"/>
        </w:rPr>
      </w:pPr>
    </w:p>
    <w:p>
      <w:pPr>
        <w:jc w:val="both"/>
        <w:ind w:left="360" w:right="59"/>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On March 16, 2021, the Company priced its initial public offering of 9,090,909 shares of common stock to the public at $24.00 per share. The stock began trading on the NASDAQ on March 17, 2021 under the symbol SNCY. The underwriters had an option to purchase an additional 1,363,636 shares from the Company at the public offering price, which they exercised. In total, all 10,454,545 shares were issued on March 19, 2021 and the net proceeds to the Company were $225,006 after deducting underwriting discounts and commissions, and other offering expenses.</w:t>
      </w:r>
    </w:p>
    <w:p>
      <w:pPr>
        <w:spacing w:after="0" w:line="198" w:lineRule="exact"/>
        <w:rPr>
          <w:rFonts w:ascii="Arial" w:cs="Arial" w:eastAsia="Arial" w:hAnsi="Arial"/>
          <w:sz w:val="17"/>
          <w:szCs w:val="17"/>
          <w:b w:val="1"/>
          <w:bCs w:val="1"/>
          <w:color w:val="auto"/>
        </w:rPr>
      </w:pPr>
    </w:p>
    <w:p>
      <w:pPr>
        <w:jc w:val="both"/>
        <w:ind w:left="360" w:right="59"/>
        <w:spacing w:after="0"/>
        <w:rPr>
          <w:rFonts w:ascii="Arial" w:cs="Arial" w:eastAsia="Arial" w:hAnsi="Arial"/>
          <w:sz w:val="17"/>
          <w:szCs w:val="17"/>
          <w:b w:val="1"/>
          <w:bCs w:val="1"/>
          <w:color w:val="auto"/>
        </w:rPr>
      </w:pPr>
      <w:r>
        <w:rPr>
          <w:rFonts w:ascii="Arial" w:cs="Arial" w:eastAsia="Arial" w:hAnsi="Arial"/>
          <w:sz w:val="17"/>
          <w:szCs w:val="17"/>
          <w:color w:val="auto"/>
        </w:rPr>
        <w:t>Concurrently with the closing of the initial public offering, SCA Horus Holdings, LLC, an affiliate of investment funds managed by affiliates of Apollo Global Management (the “Apollo Stockholder”), also completed a concurrent private placement in which the Apollo Stockholder sold 2,216,312 and 2,216,308 shares of common stock to PAR Investment Partners, L.P. and certain funds or accounts managed by an investment adviser subsidiary of Blackrock, Inc., respectively. Each of the two sales was based on an</w:t>
      </w:r>
    </w:p>
    <w:p>
      <w:pPr>
        <w:spacing w:after="0" w:line="200" w:lineRule="exact"/>
        <w:rPr>
          <w:rFonts w:ascii="Arial" w:cs="Arial" w:eastAsia="Arial" w:hAnsi="Arial"/>
          <w:sz w:val="17"/>
          <w:szCs w:val="17"/>
          <w:b w:val="1"/>
          <w:bCs w:val="1"/>
          <w:color w:val="auto"/>
        </w:rPr>
      </w:pPr>
    </w:p>
    <w:p>
      <w:pPr>
        <w:spacing w:after="0" w:line="202" w:lineRule="exact"/>
        <w:rPr>
          <w:rFonts w:ascii="Arial" w:cs="Arial" w:eastAsia="Arial" w:hAnsi="Arial"/>
          <w:sz w:val="17"/>
          <w:szCs w:val="17"/>
          <w:b w:val="1"/>
          <w:bCs w:val="1"/>
          <w:color w:val="auto"/>
        </w:rPr>
      </w:pPr>
    </w:p>
    <w:p>
      <w:pPr>
        <w:ind w:left="4460" w:hanging="109"/>
        <w:spacing w:after="0"/>
        <w:tabs>
          <w:tab w:leader="none" w:pos="4460" w:val="left"/>
        </w:tabs>
        <w:numPr>
          <w:ilvl w:val="1"/>
          <w:numId w:val="3"/>
        </w:numPr>
        <w:rPr>
          <w:rFonts w:ascii="Arial" w:cs="Arial" w:eastAsia="Arial" w:hAnsi="Arial"/>
          <w:sz w:val="17"/>
          <w:szCs w:val="17"/>
          <w:color w:val="auto"/>
        </w:rPr>
      </w:pPr>
      <w:r>
        <w:rPr>
          <w:rFonts w:ascii="Arial" w:cs="Arial" w:eastAsia="Arial" w:hAnsi="Arial"/>
          <w:sz w:val="17"/>
          <w:szCs w:val="17"/>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left="360" w:right="59"/>
        <w:spacing w:after="0" w:line="249" w:lineRule="auto"/>
        <w:rPr>
          <w:sz w:val="20"/>
          <w:szCs w:val="20"/>
          <w:color w:val="auto"/>
        </w:rPr>
      </w:pPr>
      <w:r>
        <w:rPr>
          <w:rFonts w:ascii="Arial" w:cs="Arial" w:eastAsia="Arial" w:hAnsi="Arial"/>
          <w:sz w:val="17"/>
          <w:szCs w:val="17"/>
          <w:color w:val="auto"/>
        </w:rPr>
        <w:t>aggregate purchase price of $50,000 and a price per share equal to 94% of the initial public offering price of $24.00 per share.</w:t>
      </w:r>
    </w:p>
    <w:p>
      <w:pPr>
        <w:spacing w:after="0" w:line="187" w:lineRule="exact"/>
        <w:rPr>
          <w:sz w:val="20"/>
          <w:szCs w:val="20"/>
          <w:color w:val="auto"/>
        </w:rPr>
      </w:pPr>
    </w:p>
    <w:p>
      <w:pPr>
        <w:jc w:val="both"/>
        <w:ind w:left="360" w:right="59"/>
        <w:spacing w:after="0"/>
        <w:rPr>
          <w:sz w:val="20"/>
          <w:szCs w:val="20"/>
          <w:color w:val="auto"/>
        </w:rPr>
      </w:pPr>
      <w:r>
        <w:rPr>
          <w:rFonts w:ascii="Arial" w:cs="Arial" w:eastAsia="Arial" w:hAnsi="Arial"/>
          <w:sz w:val="17"/>
          <w:szCs w:val="17"/>
          <w:color w:val="auto"/>
        </w:rPr>
        <w:t>In May 2021, the Apollo Stockholder sold 7,250,000 shares of the Company’s common stock at a public offering price of $ 34.50 per share. The underwriters in this offering exercised their option to purchase an additional 1,087,500 shares at the public offering price, bringing the total offering to 8,337,500 shares. The Company incurred offering expenses of $640 and did not receive any of the proceeds from the offering. All proceeds went to the Apollo Stockholder.</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Amazon Agreement</w:t>
      </w:r>
    </w:p>
    <w:p>
      <w:pPr>
        <w:spacing w:after="0" w:line="224" w:lineRule="exact"/>
        <w:rPr>
          <w:sz w:val="20"/>
          <w:szCs w:val="20"/>
          <w:color w:val="auto"/>
        </w:rPr>
      </w:pPr>
    </w:p>
    <w:p>
      <w:pPr>
        <w:jc w:val="both"/>
        <w:ind w:left="360" w:right="59"/>
        <w:spacing w:after="0" w:line="239" w:lineRule="auto"/>
        <w:rPr>
          <w:sz w:val="20"/>
          <w:szCs w:val="20"/>
          <w:color w:val="auto"/>
        </w:rPr>
      </w:pPr>
      <w:r>
        <w:rPr>
          <w:rFonts w:ascii="Arial" w:cs="Arial" w:eastAsia="Arial" w:hAnsi="Arial"/>
          <w:sz w:val="17"/>
          <w:szCs w:val="17"/>
          <w:color w:val="auto"/>
        </w:rPr>
        <w:t>On December 13, 2019, the Company signed a six-year contract (with two, two-year extension options, for a maximum term of 10 years) with Amazon.com Services, Inc. (together with its affiliates, “Amazon”) to provide cargo services under an Air Transportation Services Agreement (the “ATSA”). The agreement is structured for the Company to provide crew, maintenance, and insurance (“CMI”) services to Amazon. Sun Country began flying for Amazon in May 2020. On June 27, 2020, Amazon and the Company signed an amendment to the December 2019 agreement that increased the number of aircraft Sun Country operates from 10 to 12.</w:t>
      </w:r>
    </w:p>
    <w:p>
      <w:pPr>
        <w:spacing w:after="0" w:line="199" w:lineRule="exact"/>
        <w:rPr>
          <w:sz w:val="20"/>
          <w:szCs w:val="20"/>
          <w:color w:val="auto"/>
        </w:rPr>
      </w:pPr>
    </w:p>
    <w:p>
      <w:pPr>
        <w:jc w:val="both"/>
        <w:ind w:left="360" w:right="59"/>
        <w:spacing w:after="0" w:line="239" w:lineRule="auto"/>
        <w:rPr>
          <w:sz w:val="20"/>
          <w:szCs w:val="20"/>
          <w:color w:val="auto"/>
        </w:rPr>
      </w:pPr>
      <w:r>
        <w:rPr>
          <w:rFonts w:ascii="Arial" w:cs="Arial" w:eastAsia="Arial" w:hAnsi="Arial"/>
          <w:sz w:val="17"/>
          <w:szCs w:val="17"/>
          <w:color w:val="auto"/>
        </w:rPr>
        <w:t>In December 2019, in connection with the ATSA, the Company issued warrants to Amazon to purchase an aggregate of up to 9,482,606 shares of common stock at an exercise price of approximately $15.17 per share. The exercise period of these warrants is through the eighth anniversary of the issue date. Of the 9,482,606 total Amazon warrants issued, 632,183 vested upon execution of the ATSA in December 2019. Thereafter, an additional 63,217 warrants will vest for each milestone of $8,000 in qualifying payments made by Amazon to the Company. During the three and six months ended June 30, 2021, 189,652 and 379,304 warrants vested, respectively. The cumulative warrants vested as of June 30, 2021 were 1,264,356. No warrants vested during the six months ended June 30, 2020.</w:t>
      </w:r>
    </w:p>
    <w:p>
      <w:pPr>
        <w:spacing w:after="0" w:line="163" w:lineRule="exact"/>
        <w:rPr>
          <w:sz w:val="20"/>
          <w:szCs w:val="20"/>
          <w:color w:val="auto"/>
        </w:rPr>
      </w:pPr>
    </w:p>
    <w:p>
      <w:pPr>
        <w:ind w:left="360" w:hanging="313"/>
        <w:spacing w:after="0"/>
        <w:tabs>
          <w:tab w:leader="none" w:pos="3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w:t>
      </w:r>
    </w:p>
    <w:p>
      <w:pPr>
        <w:spacing w:after="0" w:line="224" w:lineRule="exact"/>
        <w:rPr>
          <w:rFonts w:ascii="Arial" w:cs="Arial" w:eastAsia="Arial" w:hAnsi="Arial"/>
          <w:sz w:val="17"/>
          <w:szCs w:val="17"/>
          <w:b w:val="1"/>
          <w:bCs w:val="1"/>
          <w:color w:val="auto"/>
        </w:rPr>
      </w:pPr>
    </w:p>
    <w:p>
      <w:pPr>
        <w:jc w:val="both"/>
        <w:ind w:left="360" w:right="59"/>
        <w:spacing w:after="0"/>
        <w:rPr>
          <w:rFonts w:ascii="Arial" w:cs="Arial" w:eastAsia="Arial" w:hAnsi="Arial"/>
          <w:sz w:val="17"/>
          <w:szCs w:val="17"/>
          <w:b w:val="1"/>
          <w:bCs w:val="1"/>
          <w:color w:val="auto"/>
        </w:rPr>
      </w:pPr>
      <w:r>
        <w:rPr>
          <w:rFonts w:ascii="Arial" w:cs="Arial" w:eastAsia="Arial" w:hAnsi="Arial"/>
          <w:sz w:val="17"/>
          <w:szCs w:val="17"/>
          <w:color w:val="auto"/>
        </w:rPr>
        <w:t>The accompanying unaudited Condensed Consolidated Financial Statements of Sun Country Airlines Holdings, Inc. should be read in conjunction with the consolidated financial statements contained in the Company’s Annual Report for the year ended December 31, 2020, which is included in the Company’s Final Prospectus dated March 16, 2021. During the six months ended June 30, 2021, there were no significant changes to the Company’s critical accounting policies.</w:t>
      </w:r>
    </w:p>
    <w:p>
      <w:pPr>
        <w:spacing w:after="0" w:line="195" w:lineRule="exact"/>
        <w:rPr>
          <w:rFonts w:ascii="Arial" w:cs="Arial" w:eastAsia="Arial" w:hAnsi="Arial"/>
          <w:sz w:val="17"/>
          <w:szCs w:val="17"/>
          <w:b w:val="1"/>
          <w:bCs w:val="1"/>
          <w:color w:val="auto"/>
        </w:rPr>
      </w:pPr>
    </w:p>
    <w:p>
      <w:pPr>
        <w:jc w:val="both"/>
        <w:ind w:left="360" w:right="59"/>
        <w:spacing w:after="0" w:line="241" w:lineRule="auto"/>
        <w:rPr>
          <w:rFonts w:ascii="Arial" w:cs="Arial" w:eastAsia="Arial" w:hAnsi="Arial"/>
          <w:sz w:val="17"/>
          <w:szCs w:val="17"/>
          <w:b w:val="1"/>
          <w:bCs w:val="1"/>
          <w:color w:val="auto"/>
        </w:rPr>
      </w:pPr>
      <w:r>
        <w:rPr>
          <w:rFonts w:ascii="Arial" w:cs="Arial" w:eastAsia="Arial" w:hAnsi="Arial"/>
          <w:sz w:val="17"/>
          <w:szCs w:val="17"/>
          <w:color w:val="auto"/>
        </w:rPr>
        <w:t>Certain prior period Stockholders’ Equity amounts were reclassified to conform to the current period presentation. This involved reducing the Common Stock values to $0.01 times the shares outstanding and reclassifying those dollars to Additional Paid-In Capital. These reclasses were $238,694 as of December 31, 2020, June 30, 2020 and March 31, 2020. The reclass as of December 31, 2019 was $239,073.</w:t>
      </w:r>
    </w:p>
    <w:p>
      <w:pPr>
        <w:spacing w:after="0" w:line="194" w:lineRule="exact"/>
        <w:rPr>
          <w:rFonts w:ascii="Arial" w:cs="Arial" w:eastAsia="Arial" w:hAnsi="Arial"/>
          <w:sz w:val="17"/>
          <w:szCs w:val="17"/>
          <w:b w:val="1"/>
          <w:bCs w:val="1"/>
          <w:color w:val="auto"/>
        </w:rPr>
      </w:pPr>
    </w:p>
    <w:p>
      <w:pPr>
        <w:jc w:val="both"/>
        <w:ind w:left="360" w:right="59"/>
        <w:spacing w:after="0"/>
        <w:rPr>
          <w:rFonts w:ascii="Arial" w:cs="Arial" w:eastAsia="Arial" w:hAnsi="Arial"/>
          <w:sz w:val="17"/>
          <w:szCs w:val="17"/>
          <w:b w:val="1"/>
          <w:bCs w:val="1"/>
          <w:color w:val="auto"/>
        </w:rPr>
      </w:pPr>
      <w:r>
        <w:rPr>
          <w:rFonts w:ascii="Arial" w:cs="Arial" w:eastAsia="Arial" w:hAnsi="Arial"/>
          <w:sz w:val="17"/>
          <w:szCs w:val="17"/>
          <w:color w:val="auto"/>
        </w:rPr>
        <w:t>Management believes that all adjustments necessary for the fair presentation of results, consisting of normally recurring items, have been included in the unaudited Condensed Consolidated Financial Statements for the interim periods presented. All material intercompany balances and transactions have been eliminated in consolidation. The preparation of financial statements in accordance with accounting principles generally accepted in the United States (“GAAP”) requires management to make certain</w:t>
      </w:r>
    </w:p>
    <w:p>
      <w:pPr>
        <w:spacing w:after="0" w:line="200" w:lineRule="exact"/>
        <w:rPr>
          <w:rFonts w:ascii="Arial" w:cs="Arial" w:eastAsia="Arial" w:hAnsi="Arial"/>
          <w:sz w:val="17"/>
          <w:szCs w:val="17"/>
          <w:b w:val="1"/>
          <w:bCs w:val="1"/>
          <w:color w:val="auto"/>
        </w:rPr>
      </w:pPr>
    </w:p>
    <w:p>
      <w:pPr>
        <w:spacing w:after="0" w:line="202" w:lineRule="exact"/>
        <w:rPr>
          <w:rFonts w:ascii="Arial" w:cs="Arial" w:eastAsia="Arial" w:hAnsi="Arial"/>
          <w:sz w:val="17"/>
          <w:szCs w:val="17"/>
          <w:b w:val="1"/>
          <w:bCs w:val="1"/>
          <w:color w:val="auto"/>
        </w:rPr>
      </w:pPr>
    </w:p>
    <w:p>
      <w:pPr>
        <w:ind w:left="4460" w:hanging="109"/>
        <w:spacing w:after="0"/>
        <w:tabs>
          <w:tab w:leader="none" w:pos="4460" w:val="left"/>
        </w:tabs>
        <w:numPr>
          <w:ilvl w:val="1"/>
          <w:numId w:val="4"/>
        </w:numPr>
        <w:rPr>
          <w:rFonts w:ascii="Arial" w:cs="Arial" w:eastAsia="Arial" w:hAnsi="Arial"/>
          <w:sz w:val="17"/>
          <w:szCs w:val="17"/>
          <w:color w:val="auto"/>
        </w:rPr>
      </w:pPr>
      <w:r>
        <w:rPr>
          <w:rFonts w:ascii="Arial" w:cs="Arial" w:eastAsia="Arial" w:hAnsi="Arial"/>
          <w:sz w:val="17"/>
          <w:szCs w:val="17"/>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left="360" w:right="59"/>
        <w:spacing w:after="0" w:line="239" w:lineRule="auto"/>
        <w:rPr>
          <w:sz w:val="20"/>
          <w:szCs w:val="20"/>
          <w:color w:val="auto"/>
        </w:rPr>
      </w:pPr>
      <w:r>
        <w:rPr>
          <w:rFonts w:ascii="Arial" w:cs="Arial" w:eastAsia="Arial" w:hAnsi="Arial"/>
          <w:sz w:val="17"/>
          <w:szCs w:val="17"/>
          <w:color w:val="auto"/>
        </w:rPr>
        <w:t>estimates and assumptions that affect the reported amounts of assets and liabilities, revenues and expenses, and the disclosure of contingent assets and liabilities at the date of the financial statements. Actual results could differ from those estimates. Significant areas of judgment relate to passenger revenue recognition, maintenance under the built-in overhaul method, equity-based compensation, tax receivable agreement, lease accounting, impairment of goodwill, impairment of long-lived and intangible assets, air traffic liabilities, the loyalty program, as well as the valuation of Amazon warrants.</w:t>
      </w:r>
    </w:p>
    <w:p>
      <w:pPr>
        <w:spacing w:after="0" w:line="199" w:lineRule="exact"/>
        <w:rPr>
          <w:sz w:val="20"/>
          <w:szCs w:val="20"/>
          <w:color w:val="auto"/>
        </w:rPr>
      </w:pPr>
    </w:p>
    <w:p>
      <w:pPr>
        <w:jc w:val="both"/>
        <w:ind w:left="360" w:right="59"/>
        <w:spacing w:after="0" w:line="239" w:lineRule="auto"/>
        <w:rPr>
          <w:sz w:val="20"/>
          <w:szCs w:val="20"/>
          <w:color w:val="auto"/>
        </w:rPr>
      </w:pPr>
      <w:r>
        <w:rPr>
          <w:rFonts w:ascii="Arial" w:cs="Arial" w:eastAsia="Arial" w:hAnsi="Arial"/>
          <w:sz w:val="17"/>
          <w:szCs w:val="17"/>
          <w:color w:val="auto"/>
        </w:rPr>
        <w:t>Due to severe impacts from the global coronavirus (“COVID-19”) pandemic, seasonal variations in the demand for air travel, the volatility of aircraft fuel prices and other factors, operating results for the three and six months ended June 30, 2021 are not necessarily indicative of operating results for future quarters or for the year ended December 31, 2021. Air travel is also significantly impacted by general economic conditions, the amount of disposable income available to consumers, unemployment levels, corporate travel budgets, extreme or severe weather and natural disasters, disease outbreaks, fears of terrorism or war, and other factors beyond the Company’s control.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operates its fiscal year on a calendar year basis.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7"/>
          <w:szCs w:val="17"/>
          <w:b w:val="1"/>
          <w:bCs w:val="1"/>
          <w:u w:val="single" w:color="auto"/>
          <w:color w:val="auto"/>
        </w:rPr>
        <w:t>Recently Adopted Accounting Standards</w:t>
      </w:r>
    </w:p>
    <w:p>
      <w:pPr>
        <w:spacing w:after="0" w:line="204" w:lineRule="exact"/>
        <w:rPr>
          <w:sz w:val="20"/>
          <w:szCs w:val="20"/>
          <w:color w:val="auto"/>
        </w:rPr>
      </w:pPr>
    </w:p>
    <w:p>
      <w:pPr>
        <w:jc w:val="both"/>
        <w:ind w:left="360" w:right="59"/>
        <w:spacing w:after="0" w:line="243"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Simplifying the Accounting for Income Taxes </w:t>
      </w:r>
      <w:r>
        <w:rPr>
          <w:rFonts w:ascii="Arial" w:cs="Arial" w:eastAsia="Arial" w:hAnsi="Arial"/>
          <w:sz w:val="17"/>
          <w:szCs w:val="17"/>
          <w:color w:val="auto"/>
        </w:rPr>
        <w:t>- In December 2019, the FASB issued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it did not have a material impact on the Company’s Condensed Consolidated Financial Statements.</w:t>
      </w:r>
    </w:p>
    <w:p>
      <w:pPr>
        <w:spacing w:after="0" w:line="162" w:lineRule="exact"/>
        <w:rPr>
          <w:sz w:val="20"/>
          <w:szCs w:val="20"/>
          <w:color w:val="auto"/>
        </w:rPr>
      </w:pPr>
    </w:p>
    <w:p>
      <w:pPr>
        <w:ind w:left="360" w:hanging="313"/>
        <w:spacing w:after="0"/>
        <w:tabs>
          <w:tab w:leader="none" w:pos="36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IMPACT OF THE COVID-19 PANDEMIC</w:t>
      </w:r>
    </w:p>
    <w:p>
      <w:pPr>
        <w:spacing w:after="0" w:line="224" w:lineRule="exact"/>
        <w:rPr>
          <w:rFonts w:ascii="Arial" w:cs="Arial" w:eastAsia="Arial" w:hAnsi="Arial"/>
          <w:sz w:val="17"/>
          <w:szCs w:val="17"/>
          <w:b w:val="1"/>
          <w:bCs w:val="1"/>
          <w:color w:val="auto"/>
        </w:rPr>
      </w:pPr>
    </w:p>
    <w:p>
      <w:pPr>
        <w:jc w:val="both"/>
        <w:ind w:left="360" w:right="59"/>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On March 11, 2020 the World Health Organization declared COVID-19 a global pandemic causing a massive market disruption to the aviation industry. While U.S. domestic passenger volumes have increased to date, those levels are still down when compared to the same time frame in 2019. The growth in the U.S. domestic air traffic since the trough in April 2020 has been led by leisure and visiting family and relatives (“VFR”) travelers as business travel remains more subdued with corporate workforces continuing to “work-from-home” and in-person meetings continuing to be conducted via videoconferencing and other virtual channels. Equity research analysts and other industry executives believe that the positive trends in leisure and VFR travel will continue as COVID-19 vaccines continue to become more widely distributed in 2021. COVID-19 vaccines have become widely available in the US according to the Centers for Disease Control and Prevention (“the CDC”). The initial beneficiaries of the travel rebound are expected to be leisure and VFR focused Low-Cost Carriers (“LCCs”) and Ultra Low-Cost Carriers (“ULCCs”), while the more international and business travel exposed legacy network airlines are expected to lag behind.</w:t>
      </w:r>
    </w:p>
    <w:p>
      <w:pPr>
        <w:spacing w:after="0" w:line="187" w:lineRule="exact"/>
        <w:rPr>
          <w:rFonts w:ascii="Arial" w:cs="Arial" w:eastAsia="Arial" w:hAnsi="Arial"/>
          <w:sz w:val="17"/>
          <w:szCs w:val="17"/>
          <w:b w:val="1"/>
          <w:bCs w:val="1"/>
          <w:color w:val="auto"/>
        </w:rPr>
      </w:pPr>
    </w:p>
    <w:p>
      <w:pPr>
        <w:jc w:val="both"/>
        <w:ind w:left="360" w:right="59"/>
        <w:spacing w:after="0" w:line="241" w:lineRule="auto"/>
        <w:rPr>
          <w:rFonts w:ascii="Arial" w:cs="Arial" w:eastAsia="Arial" w:hAnsi="Arial"/>
          <w:sz w:val="17"/>
          <w:szCs w:val="17"/>
          <w:b w:val="1"/>
          <w:bCs w:val="1"/>
          <w:color w:val="auto"/>
        </w:rPr>
      </w:pPr>
      <w:r>
        <w:rPr>
          <w:rFonts w:ascii="Arial" w:cs="Arial" w:eastAsia="Arial" w:hAnsi="Arial"/>
          <w:sz w:val="17"/>
          <w:szCs w:val="17"/>
          <w:color w:val="auto"/>
        </w:rPr>
        <w:t>As COVID-19 has spread globally, many countries have imposed strict international travel restrictions. The U.S. market has recovered markedly faster than most other countries as a result of widespread vaccine distribution igniting the leisure travel recovery. However, given the uncertainty regarding COVID-19 variants, including but not limited to the Delta variant, the demand recovery may be impacted in both international and domestic travel.</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ind w:left="4400" w:hanging="96"/>
        <w:spacing w:after="0"/>
        <w:tabs>
          <w:tab w:leader="none" w:pos="4400" w:val="left"/>
        </w:tabs>
        <w:numPr>
          <w:ilvl w:val="1"/>
          <w:numId w:val="5"/>
        </w:numPr>
        <w:rPr>
          <w:rFonts w:ascii="Arial" w:cs="Arial" w:eastAsia="Arial" w:hAnsi="Arial"/>
          <w:sz w:val="17"/>
          <w:szCs w:val="17"/>
          <w:color w:val="auto"/>
        </w:rPr>
      </w:pPr>
      <w:r>
        <w:rPr>
          <w:rFonts w:ascii="Arial" w:cs="Arial" w:eastAsia="Arial" w:hAnsi="Arial"/>
          <w:sz w:val="17"/>
          <w:szCs w:val="17"/>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left="360" w:right="59"/>
        <w:spacing w:after="0"/>
        <w:rPr>
          <w:sz w:val="20"/>
          <w:szCs w:val="20"/>
          <w:color w:val="auto"/>
        </w:rPr>
      </w:pPr>
      <w:r>
        <w:rPr>
          <w:rFonts w:ascii="Arial" w:cs="Arial" w:eastAsia="Arial" w:hAnsi="Arial"/>
          <w:sz w:val="17"/>
          <w:szCs w:val="17"/>
          <w:color w:val="auto"/>
        </w:rPr>
        <w:t>Since the beginning of the COVID-19 pandemic, the air cargo market has experienced solid growth both in terms of volumes and yields. While the pandemic has caused a worldwide economic recession, e-commerce has thrived due to a variety of factors such as consumers being unable or unwilling to visit brick-and-mortar stores due to social distancing, which translated into an acceleration of secular growth in e-commerce. Air cargo operators have been in a unique position to meet e-commerce demands that require a high level of speed, reliability and security.</w:t>
      </w:r>
    </w:p>
    <w:p>
      <w:pPr>
        <w:spacing w:after="0" w:line="36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Coronavirus Aid, Relief, and Economic Security Act (“CARES Act”)</w:t>
      </w:r>
    </w:p>
    <w:p>
      <w:pPr>
        <w:spacing w:after="0" w:line="224" w:lineRule="exact"/>
        <w:rPr>
          <w:sz w:val="20"/>
          <w:szCs w:val="20"/>
          <w:color w:val="auto"/>
        </w:rPr>
      </w:pPr>
    </w:p>
    <w:p>
      <w:pPr>
        <w:jc w:val="both"/>
        <w:ind w:left="360" w:right="59"/>
        <w:spacing w:after="0"/>
        <w:rPr>
          <w:sz w:val="20"/>
          <w:szCs w:val="20"/>
          <w:color w:val="auto"/>
        </w:rPr>
      </w:pPr>
      <w:r>
        <w:rPr>
          <w:rFonts w:ascii="Arial" w:cs="Arial" w:eastAsia="Arial" w:hAnsi="Arial"/>
          <w:sz w:val="17"/>
          <w:szCs w:val="17"/>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and has received certain benefits outlined in the CARES Act including but not limited to payroll tax breaks, government grants and government loans.</w:t>
      </w:r>
    </w:p>
    <w:p>
      <w:pPr>
        <w:spacing w:after="0" w:line="196" w:lineRule="exact"/>
        <w:rPr>
          <w:sz w:val="20"/>
          <w:szCs w:val="20"/>
          <w:color w:val="auto"/>
        </w:rPr>
      </w:pPr>
    </w:p>
    <w:p>
      <w:pPr>
        <w:jc w:val="both"/>
        <w:ind w:left="360" w:right="59"/>
        <w:spacing w:after="0" w:line="241" w:lineRule="auto"/>
        <w:rPr>
          <w:sz w:val="20"/>
          <w:szCs w:val="20"/>
          <w:color w:val="auto"/>
        </w:rPr>
      </w:pPr>
      <w:r>
        <w:rPr>
          <w:rFonts w:ascii="Arial" w:cs="Arial" w:eastAsia="Arial" w:hAnsi="Arial"/>
          <w:sz w:val="17"/>
          <w:szCs w:val="17"/>
          <w:color w:val="212529"/>
        </w:rPr>
        <w:t xml:space="preserve">The grant amount </w:t>
      </w:r>
      <w:r>
        <w:rPr>
          <w:rFonts w:ascii="Arial" w:cs="Arial" w:eastAsia="Arial" w:hAnsi="Arial"/>
          <w:sz w:val="17"/>
          <w:szCs w:val="17"/>
          <w:color w:val="000000"/>
        </w:rPr>
        <w:t>recognized under the CARES Act Payroll Support Program for the year ended December 31,</w:t>
      </w:r>
      <w:r>
        <w:rPr>
          <w:rFonts w:ascii="Arial" w:cs="Arial" w:eastAsia="Arial" w:hAnsi="Arial"/>
          <w:sz w:val="17"/>
          <w:szCs w:val="17"/>
          <w:color w:val="212529"/>
        </w:rPr>
        <w:t xml:space="preserve"> </w:t>
      </w:r>
      <w:r>
        <w:rPr>
          <w:rFonts w:ascii="Arial" w:cs="Arial" w:eastAsia="Arial" w:hAnsi="Arial"/>
          <w:sz w:val="17"/>
          <w:szCs w:val="17"/>
          <w:color w:val="000000"/>
        </w:rPr>
        <w:t>2020 was $62,312 and was recorded in Special Items, net. During the first quarter of 2021, the Company received $32,208 from the Treasury under the Payroll Support Program Extension (“PSP2”). During the second quarter of 2021, the Company received an additional $4,831 from the Treasury as a top-off grant under PSP2.</w:t>
      </w:r>
    </w:p>
    <w:p>
      <w:pPr>
        <w:spacing w:after="0" w:line="195" w:lineRule="exact"/>
        <w:rPr>
          <w:sz w:val="20"/>
          <w:szCs w:val="20"/>
          <w:color w:val="auto"/>
        </w:rPr>
      </w:pPr>
    </w:p>
    <w:p>
      <w:pPr>
        <w:jc w:val="both"/>
        <w:ind w:left="360" w:right="59"/>
        <w:spacing w:after="0" w:line="241" w:lineRule="auto"/>
        <w:rPr>
          <w:sz w:val="20"/>
          <w:szCs w:val="20"/>
          <w:color w:val="auto"/>
        </w:rPr>
      </w:pPr>
      <w:r>
        <w:rPr>
          <w:rFonts w:ascii="Arial" w:cs="Arial" w:eastAsia="Arial" w:hAnsi="Arial"/>
          <w:sz w:val="17"/>
          <w:szCs w:val="17"/>
          <w:color w:val="auto"/>
        </w:rPr>
        <w:t>Further, in the second quarter, the Company received a grant of $34,547 under the American Rescue Plan Act of 2021 (“PSP3”) which was enacted on March 11, 2021, and authorizes Treasury to provide additional assistance to passenger air carriers and contractors that received financial assistance under the CARES Act. The grant amount recognized under PSP3 of $34,547 was recorded in Special Items, net during the second quarter.</w:t>
      </w:r>
    </w:p>
    <w:p>
      <w:pPr>
        <w:spacing w:after="0" w:line="195" w:lineRule="exact"/>
        <w:rPr>
          <w:sz w:val="20"/>
          <w:szCs w:val="20"/>
          <w:color w:val="auto"/>
        </w:rPr>
      </w:pPr>
    </w:p>
    <w:p>
      <w:pPr>
        <w:jc w:val="both"/>
        <w:ind w:left="360" w:right="59"/>
        <w:spacing w:after="0"/>
        <w:rPr>
          <w:sz w:val="20"/>
          <w:szCs w:val="20"/>
          <w:color w:val="auto"/>
        </w:rPr>
      </w:pPr>
      <w:r>
        <w:rPr>
          <w:rFonts w:ascii="Arial" w:cs="Arial" w:eastAsia="Arial" w:hAnsi="Arial"/>
          <w:sz w:val="17"/>
          <w:szCs w:val="17"/>
          <w:color w:val="auto"/>
        </w:rPr>
        <w:t>The CARES Act provides an employee retention credit (“CARES Employee Retention Credit”) which is a refundable tax credit against certain employment taxes. During the year ended December 31, 2020, the Company recorded $ 2,328 related to the CARES Employee Retention Credit within Special Items, net. In the first and second quarters of 2021, an additional $334 and $446, respectively, was recognized within Special Items, net.</w:t>
      </w:r>
    </w:p>
    <w:p>
      <w:pPr>
        <w:spacing w:after="0" w:line="391" w:lineRule="exact"/>
        <w:rPr>
          <w:sz w:val="20"/>
          <w:szCs w:val="20"/>
          <w:color w:val="auto"/>
        </w:rPr>
      </w:pPr>
    </w:p>
    <w:p>
      <w:pPr>
        <w:jc w:val="both"/>
        <w:ind w:left="360" w:right="59"/>
        <w:spacing w:after="0" w:line="249" w:lineRule="auto"/>
        <w:rPr>
          <w:sz w:val="20"/>
          <w:szCs w:val="20"/>
          <w:color w:val="auto"/>
        </w:rPr>
      </w:pPr>
      <w:r>
        <w:rPr>
          <w:rFonts w:ascii="Arial" w:cs="Arial" w:eastAsia="Arial" w:hAnsi="Arial"/>
          <w:sz w:val="17"/>
          <w:szCs w:val="17"/>
          <w:color w:val="auto"/>
        </w:rPr>
        <w:t>Under the CARES Act Loan Program, the Company received a $45,000 loan (the “CARES Act Loan”) from the Treasury on October 26, 2020, which was repaid in full on March 24, 2021.</w:t>
      </w:r>
    </w:p>
    <w:p>
      <w:pPr>
        <w:spacing w:after="0" w:line="187" w:lineRule="exact"/>
        <w:rPr>
          <w:sz w:val="20"/>
          <w:szCs w:val="20"/>
          <w:color w:val="auto"/>
        </w:rPr>
      </w:pPr>
    </w:p>
    <w:p>
      <w:pPr>
        <w:jc w:val="both"/>
        <w:ind w:left="360" w:right="59"/>
        <w:spacing w:after="0" w:line="239" w:lineRule="auto"/>
        <w:rPr>
          <w:sz w:val="20"/>
          <w:szCs w:val="20"/>
          <w:color w:val="auto"/>
        </w:rPr>
      </w:pPr>
      <w:r>
        <w:rPr>
          <w:rFonts w:ascii="Arial" w:cs="Arial" w:eastAsia="Arial" w:hAnsi="Arial"/>
          <w:sz w:val="17"/>
          <w:szCs w:val="17"/>
          <w:color w:val="auto"/>
        </w:rPr>
        <w:t>In accordance with any grants and/or loans received under the CARES Act, the Company is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September 30, 2022; and restrictions on the payment of certain executive compensation until April 1, 2023.</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60" w:hanging="313"/>
        <w:spacing w:after="0"/>
        <w:tabs>
          <w:tab w:leader="none" w:pos="3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REVENUE</w:t>
      </w:r>
    </w:p>
    <w:p>
      <w:pPr>
        <w:spacing w:after="0" w:line="224" w:lineRule="exact"/>
        <w:rPr>
          <w:rFonts w:ascii="Arial" w:cs="Arial" w:eastAsia="Arial" w:hAnsi="Arial"/>
          <w:sz w:val="17"/>
          <w:szCs w:val="17"/>
          <w:b w:val="1"/>
          <w:bCs w:val="1"/>
          <w:color w:val="auto"/>
        </w:rPr>
      </w:pPr>
    </w:p>
    <w:p>
      <w:pPr>
        <w:jc w:val="both"/>
        <w:ind w:left="360" w:right="59"/>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ATSA. Other revenue consists primarily of revenue from services in connection with Sun Country Vacation products.</w:t>
      </w:r>
    </w:p>
    <w:p>
      <w:pPr>
        <w:spacing w:after="0" w:line="197"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color w:val="auto"/>
        </w:rPr>
        <w:t>The significant categories comprising Operating Revenues are as follows:</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4160" w:type="dxa"/>
            <w:vAlign w:val="bottom"/>
          </w:tcPr>
          <w:p>
            <w:pPr>
              <w:spacing w:after="0"/>
              <w:rPr>
                <w:sz w:val="14"/>
                <w:szCs w:val="14"/>
                <w:color w:val="auto"/>
              </w:rPr>
            </w:pPr>
          </w:p>
        </w:tc>
        <w:tc>
          <w:tcPr>
            <w:tcW w:w="22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8"/>
        </w:trPr>
        <w:tc>
          <w:tcPr>
            <w:tcW w:w="4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8"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6"/>
              <w:spacing w:after="0" w:line="148"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8"/>
              <w:spacing w:after="0" w:line="148"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8" w:lineRule="exact"/>
              <w:rPr>
                <w:sz w:val="20"/>
                <w:szCs w:val="20"/>
                <w:color w:val="auto"/>
              </w:rPr>
            </w:pPr>
            <w:r>
              <w:rPr>
                <w:rFonts w:ascii="Arial" w:cs="Arial" w:eastAsia="Arial" w:hAnsi="Arial"/>
                <w:sz w:val="14"/>
                <w:szCs w:val="14"/>
                <w:b w:val="1"/>
                <w:bCs w:val="1"/>
                <w:color w:val="auto"/>
              </w:rPr>
              <w:t>2020</w:t>
            </w:r>
          </w:p>
        </w:tc>
      </w:tr>
      <w:tr>
        <w:trPr>
          <w:trHeight w:val="186"/>
        </w:trPr>
        <w:tc>
          <w:tcPr>
            <w:tcW w:w="416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Scheduled service</w:t>
            </w:r>
          </w:p>
        </w:tc>
        <w:tc>
          <w:tcPr>
            <w:tcW w:w="1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67,073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4"/>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17,882</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$ 121,693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132,110</w:t>
            </w:r>
          </w:p>
        </w:tc>
      </w:tr>
      <w:tr>
        <w:trPr>
          <w:trHeight w:val="193"/>
        </w:trPr>
        <w:tc>
          <w:tcPr>
            <w:tcW w:w="4160" w:type="dxa"/>
            <w:vAlign w:val="bottom"/>
          </w:tcPr>
          <w:p>
            <w:pPr>
              <w:spacing w:after="0" w:line="194" w:lineRule="exact"/>
              <w:rPr>
                <w:sz w:val="20"/>
                <w:szCs w:val="20"/>
                <w:color w:val="auto"/>
              </w:rPr>
            </w:pPr>
            <w:r>
              <w:rPr>
                <w:rFonts w:ascii="Arial" w:cs="Arial" w:eastAsia="Arial" w:hAnsi="Arial"/>
                <w:sz w:val="17"/>
                <w:szCs w:val="17"/>
                <w:color w:val="auto"/>
              </w:rPr>
              <w:t>Charter service</w:t>
            </w:r>
          </w:p>
        </w:tc>
        <w:tc>
          <w:tcPr>
            <w:tcW w:w="18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28,898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8,491</w:t>
            </w:r>
          </w:p>
        </w:tc>
        <w:tc>
          <w:tcPr>
            <w:tcW w:w="16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54,703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37,718</w:t>
            </w:r>
          </w:p>
        </w:tc>
      </w:tr>
      <w:tr>
        <w:trPr>
          <w:trHeight w:val="193"/>
        </w:trPr>
        <w:tc>
          <w:tcPr>
            <w:tcW w:w="4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Ancillary</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29,159</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4,968</w:t>
            </w:r>
          </w:p>
        </w:tc>
        <w:tc>
          <w:tcPr>
            <w:tcW w:w="1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52,929</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39,999</w:t>
            </w:r>
          </w:p>
        </w:tc>
      </w:tr>
      <w:tr>
        <w:trPr>
          <w:trHeight w:val="186"/>
        </w:trPr>
        <w:tc>
          <w:tcPr>
            <w:tcW w:w="4160" w:type="dxa"/>
            <w:vAlign w:val="bottom"/>
          </w:tcPr>
          <w:p>
            <w:pPr>
              <w:ind w:left="200"/>
              <w:spacing w:after="0" w:line="186" w:lineRule="exact"/>
              <w:rPr>
                <w:sz w:val="20"/>
                <w:szCs w:val="20"/>
                <w:color w:val="auto"/>
              </w:rPr>
            </w:pPr>
            <w:r>
              <w:rPr>
                <w:rFonts w:ascii="Arial" w:cs="Arial" w:eastAsia="Arial" w:hAnsi="Arial"/>
                <w:sz w:val="17"/>
                <w:szCs w:val="17"/>
                <w:color w:val="auto"/>
              </w:rPr>
              <w:t>Passenger</w:t>
            </w:r>
          </w:p>
        </w:tc>
        <w:tc>
          <w:tcPr>
            <w:tcW w:w="180" w:type="dxa"/>
            <w:vAlign w:val="bottom"/>
          </w:tcPr>
          <w:p>
            <w:pPr>
              <w:spacing w:after="0"/>
              <w:rPr>
                <w:sz w:val="16"/>
                <w:szCs w:val="16"/>
                <w:color w:val="auto"/>
              </w:rPr>
            </w:pPr>
          </w:p>
        </w:tc>
        <w:tc>
          <w:tcPr>
            <w:tcW w:w="740" w:type="dxa"/>
            <w:vAlign w:val="bottom"/>
          </w:tcPr>
          <w:p>
            <w:pPr>
              <w:jc w:val="right"/>
              <w:spacing w:after="0" w:line="186" w:lineRule="exact"/>
              <w:rPr>
                <w:sz w:val="20"/>
                <w:szCs w:val="20"/>
                <w:color w:val="auto"/>
              </w:rPr>
            </w:pPr>
            <w:r>
              <w:rPr>
                <w:rFonts w:ascii="Arial" w:cs="Arial" w:eastAsia="Arial" w:hAnsi="Arial"/>
                <w:sz w:val="17"/>
                <w:szCs w:val="17"/>
                <w:color w:val="auto"/>
              </w:rPr>
              <w:t>125,130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31,341</w:t>
            </w:r>
          </w:p>
        </w:tc>
        <w:tc>
          <w:tcPr>
            <w:tcW w:w="16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229,325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209,827</w:t>
            </w:r>
          </w:p>
        </w:tc>
      </w:tr>
      <w:tr>
        <w:trPr>
          <w:trHeight w:val="193"/>
        </w:trPr>
        <w:tc>
          <w:tcPr>
            <w:tcW w:w="4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Cargo</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22,098</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3,219</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43,684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3,219</w:t>
            </w:r>
          </w:p>
        </w:tc>
      </w:tr>
      <w:tr>
        <w:trPr>
          <w:trHeight w:val="193"/>
        </w:trPr>
        <w:tc>
          <w:tcPr>
            <w:tcW w:w="416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1,961</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816</w:t>
            </w: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3,793</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2,660</w:t>
            </w:r>
          </w:p>
        </w:tc>
      </w:tr>
      <w:tr>
        <w:trPr>
          <w:trHeight w:val="186"/>
        </w:trPr>
        <w:tc>
          <w:tcPr>
            <w:tcW w:w="4160" w:type="dxa"/>
            <w:vAlign w:val="bottom"/>
            <w:tcBorders>
              <w:bottom w:val="single" w:sz="8" w:color="CCEEFF"/>
            </w:tcBorders>
            <w:shd w:val="clear" w:color="auto" w:fill="CCEEFF"/>
          </w:tcPr>
          <w:p>
            <w:pPr>
              <w:ind w:left="200"/>
              <w:spacing w:after="0" w:line="186" w:lineRule="exact"/>
              <w:rPr>
                <w:sz w:val="20"/>
                <w:szCs w:val="20"/>
                <w:color w:val="auto"/>
              </w:rPr>
            </w:pPr>
            <w:r>
              <w:rPr>
                <w:rFonts w:ascii="Arial" w:cs="Arial" w:eastAsia="Arial" w:hAnsi="Arial"/>
                <w:sz w:val="17"/>
                <w:szCs w:val="17"/>
                <w:color w:val="auto"/>
              </w:rPr>
              <w:t>Total Operating Revenue</w:t>
            </w:r>
          </w:p>
        </w:tc>
        <w:tc>
          <w:tcPr>
            <w:tcW w:w="1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149,189</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4"/>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35,376</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$ 276,802</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215,706</w:t>
            </w: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360" w:right="59"/>
        <w:spacing w:after="0" w:line="244" w:lineRule="auto"/>
        <w:rPr>
          <w:sz w:val="20"/>
          <w:szCs w:val="20"/>
          <w:color w:val="auto"/>
        </w:rPr>
      </w:pPr>
      <w:r>
        <w:rPr>
          <w:rFonts w:ascii="Arial" w:cs="Arial" w:eastAsia="Arial" w:hAnsi="Arial"/>
          <w:sz w:val="17"/>
          <w:szCs w:val="17"/>
          <w:color w:val="auto"/>
        </w:rPr>
        <w:t>The Company attributes and measures its Operating Revenue by geographic region as defined by the Department of Transportation for airline reporting based upon the origin of each passenger and cargo flight segment.</w:t>
      </w:r>
    </w:p>
    <w:p>
      <w:pPr>
        <w:spacing w:after="0" w:line="389" w:lineRule="exact"/>
        <w:rPr>
          <w:sz w:val="20"/>
          <w:szCs w:val="20"/>
          <w:color w:val="auto"/>
        </w:rPr>
      </w:pPr>
    </w:p>
    <w:p>
      <w:pPr>
        <w:jc w:val="both"/>
        <w:ind w:left="360" w:right="59"/>
        <w:spacing w:after="0" w:line="244" w:lineRule="auto"/>
        <w:rPr>
          <w:sz w:val="20"/>
          <w:szCs w:val="20"/>
          <w:color w:val="auto"/>
        </w:rPr>
      </w:pPr>
      <w:r>
        <w:rPr>
          <w:rFonts w:ascii="Arial" w:cs="Arial" w:eastAsia="Arial" w:hAnsi="Arial"/>
          <w:sz w:val="17"/>
          <w:szCs w:val="17"/>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38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Operating Revenue by geographic region are as follows:</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4160" w:type="dxa"/>
            <w:vAlign w:val="bottom"/>
          </w:tcPr>
          <w:p>
            <w:pPr>
              <w:spacing w:after="0"/>
              <w:rPr>
                <w:sz w:val="14"/>
                <w:szCs w:val="14"/>
                <w:color w:val="auto"/>
              </w:rPr>
            </w:pPr>
          </w:p>
        </w:tc>
        <w:tc>
          <w:tcPr>
            <w:tcW w:w="22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8"/>
        </w:trPr>
        <w:tc>
          <w:tcPr>
            <w:tcW w:w="4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8"/>
              <w:spacing w:after="0" w:line="148"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8"/>
              <w:spacing w:after="0" w:line="148"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0"/>
              <w:spacing w:after="0" w:line="148"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8"/>
              <w:spacing w:after="0" w:line="148" w:lineRule="exact"/>
              <w:rPr>
                <w:sz w:val="20"/>
                <w:szCs w:val="20"/>
                <w:color w:val="auto"/>
              </w:rPr>
            </w:pPr>
            <w:r>
              <w:rPr>
                <w:rFonts w:ascii="Arial" w:cs="Arial" w:eastAsia="Arial" w:hAnsi="Arial"/>
                <w:sz w:val="14"/>
                <w:szCs w:val="14"/>
                <w:b w:val="1"/>
                <w:bCs w:val="1"/>
                <w:color w:val="auto"/>
              </w:rPr>
              <w:t>2020</w:t>
            </w:r>
          </w:p>
        </w:tc>
      </w:tr>
      <w:tr>
        <w:trPr>
          <w:trHeight w:val="186"/>
        </w:trPr>
        <w:tc>
          <w:tcPr>
            <w:tcW w:w="416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Domestic</w:t>
            </w:r>
          </w:p>
        </w:tc>
        <w:tc>
          <w:tcPr>
            <w:tcW w:w="1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142,774</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4"/>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34,307</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$ 262,020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197,345</w:t>
            </w:r>
          </w:p>
        </w:tc>
      </w:tr>
      <w:tr>
        <w:trPr>
          <w:trHeight w:val="193"/>
        </w:trPr>
        <w:tc>
          <w:tcPr>
            <w:tcW w:w="4160" w:type="dxa"/>
            <w:vAlign w:val="bottom"/>
          </w:tcPr>
          <w:p>
            <w:pPr>
              <w:spacing w:after="0" w:line="194" w:lineRule="exact"/>
              <w:rPr>
                <w:sz w:val="20"/>
                <w:szCs w:val="20"/>
                <w:color w:val="auto"/>
              </w:rPr>
            </w:pPr>
            <w:r>
              <w:rPr>
                <w:rFonts w:ascii="Arial" w:cs="Arial" w:eastAsia="Arial" w:hAnsi="Arial"/>
                <w:sz w:val="17"/>
                <w:szCs w:val="17"/>
                <w:color w:val="auto"/>
              </w:rPr>
              <w:t>Latin America</w:t>
            </w:r>
          </w:p>
        </w:tc>
        <w:tc>
          <w:tcPr>
            <w:tcW w:w="18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6,266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1,038</w:t>
            </w:r>
          </w:p>
        </w:tc>
        <w:tc>
          <w:tcPr>
            <w:tcW w:w="16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14,228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18,114</w:t>
            </w:r>
          </w:p>
        </w:tc>
      </w:tr>
      <w:tr>
        <w:trPr>
          <w:trHeight w:val="193"/>
        </w:trPr>
        <w:tc>
          <w:tcPr>
            <w:tcW w:w="4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149</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554</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247</w:t>
            </w:r>
          </w:p>
        </w:tc>
      </w:tr>
      <w:tr>
        <w:trPr>
          <w:trHeight w:val="186"/>
        </w:trPr>
        <w:tc>
          <w:tcPr>
            <w:tcW w:w="4160" w:type="dxa"/>
            <w:vAlign w:val="bottom"/>
          </w:tcPr>
          <w:p>
            <w:pPr>
              <w:ind w:left="100"/>
              <w:spacing w:after="0" w:line="186" w:lineRule="exact"/>
              <w:rPr>
                <w:sz w:val="20"/>
                <w:szCs w:val="20"/>
                <w:color w:val="auto"/>
              </w:rPr>
            </w:pPr>
            <w:r>
              <w:rPr>
                <w:rFonts w:ascii="Arial" w:cs="Arial" w:eastAsia="Arial" w:hAnsi="Arial"/>
                <w:sz w:val="17"/>
                <w:szCs w:val="17"/>
                <w:color w:val="auto"/>
              </w:rPr>
              <w:t>Total Operating Revenue</w:t>
            </w:r>
          </w:p>
        </w:tc>
        <w:tc>
          <w:tcPr>
            <w:tcW w:w="1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149,189</w:t>
            </w:r>
          </w:p>
        </w:tc>
        <w:tc>
          <w:tcPr>
            <w:tcW w:w="200" w:type="dxa"/>
            <w:vAlign w:val="bottom"/>
          </w:tcPr>
          <w:p>
            <w:pPr>
              <w:spacing w:after="0"/>
              <w:rPr>
                <w:sz w:val="16"/>
                <w:szCs w:val="16"/>
                <w:color w:val="auto"/>
              </w:rPr>
            </w:pPr>
          </w:p>
        </w:tc>
        <w:tc>
          <w:tcPr>
            <w:tcW w:w="200" w:type="dxa"/>
            <w:vAlign w:val="bottom"/>
            <w:tcBorders>
              <w:bottom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35,376</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$ 276,802</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215,706</w:t>
            </w: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Contract Balances</w:t>
      </w:r>
    </w:p>
    <w:p>
      <w:pPr>
        <w:spacing w:after="0" w:line="224" w:lineRule="exact"/>
        <w:rPr>
          <w:sz w:val="20"/>
          <w:szCs w:val="20"/>
          <w:color w:val="auto"/>
        </w:rPr>
      </w:pPr>
    </w:p>
    <w:p>
      <w:pPr>
        <w:jc w:val="both"/>
        <w:ind w:left="360" w:right="59"/>
        <w:spacing w:after="0"/>
        <w:rPr>
          <w:sz w:val="20"/>
          <w:szCs w:val="20"/>
          <w:color w:val="auto"/>
        </w:rPr>
      </w:pPr>
      <w:r>
        <w:rPr>
          <w:rFonts w:ascii="Arial" w:cs="Arial" w:eastAsia="Arial" w:hAnsi="Arial"/>
          <w:sz w:val="17"/>
          <w:szCs w:val="17"/>
          <w:color w:val="auto"/>
        </w:rPr>
        <w:t>The Company’s contract assets primarily relate to costs incurred to get the 12 Amazon cargo aircraft ready for service. The balances are included in Other Current Assets and Other Assets on the Condensed Consolidated Balance Sheets. The amount expensed during the three and six months ended June 30, 2021 was $ 169 and $307, respectively, and is included in Maintenance expense. There was nothing expensed in the six months ended June 30, 2020, since the Amazon cargo services were just getting started.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left="360" w:right="59"/>
        <w:spacing w:after="0"/>
        <w:rPr>
          <w:sz w:val="20"/>
          <w:szCs w:val="20"/>
          <w:color w:val="auto"/>
        </w:rPr>
      </w:pPr>
      <w:r>
        <w:rPr>
          <w:rFonts w:ascii="Arial" w:cs="Arial" w:eastAsia="Arial" w:hAnsi="Arial"/>
          <w:sz w:val="17"/>
          <w:szCs w:val="17"/>
          <w:color w:val="auto"/>
        </w:rPr>
        <w:t>The Company’s significant contract liabilities are comprised of 1) ticket sales for transportation that has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the Amazon Deferred Up-front Payment received (reported within Other Liabilities on the Condensed Consolidated Balance Sheets).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Contract Assets and Liabilities are as follows:</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5920" w:type="dxa"/>
            <w:vAlign w:val="bottom"/>
          </w:tcPr>
          <w:p>
            <w:pPr>
              <w:spacing w:after="0"/>
              <w:rPr>
                <w:sz w:val="14"/>
                <w:szCs w:val="14"/>
                <w:color w:val="auto"/>
              </w:rPr>
            </w:pPr>
          </w:p>
        </w:tc>
        <w:tc>
          <w:tcPr>
            <w:tcW w:w="2320" w:type="dxa"/>
            <w:vAlign w:val="bottom"/>
            <w:gridSpan w:val="5"/>
          </w:tcPr>
          <w:p>
            <w:pPr>
              <w:spacing w:after="0"/>
              <w:rPr>
                <w:sz w:val="20"/>
                <w:szCs w:val="20"/>
                <w:color w:val="auto"/>
              </w:rPr>
            </w:pPr>
            <w:r>
              <w:rPr>
                <w:rFonts w:ascii="Arial" w:cs="Arial" w:eastAsia="Arial" w:hAnsi="Arial"/>
                <w:sz w:val="14"/>
                <w:szCs w:val="14"/>
                <w:b w:val="1"/>
                <w:bCs w:val="1"/>
                <w:color w:val="auto"/>
              </w:rPr>
              <w:t>June 30, 2021   December 31, 2020</w:t>
            </w:r>
          </w:p>
        </w:tc>
      </w:tr>
      <w:tr>
        <w:trPr>
          <w:trHeight w:val="186"/>
        </w:trPr>
        <w:tc>
          <w:tcPr>
            <w:tcW w:w="59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Contract Assets</w:t>
            </w: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33"/>
        </w:trPr>
        <w:tc>
          <w:tcPr>
            <w:tcW w:w="592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Costs to fulfill contract with Amazon</w:t>
            </w:r>
          </w:p>
        </w:tc>
        <w:tc>
          <w:tcPr>
            <w:tcW w:w="16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3,203</w:t>
            </w: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54"/>
              <w:spacing w:after="0" w:line="194" w:lineRule="exact"/>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3,614</w:t>
            </w:r>
          </w:p>
        </w:tc>
      </w:tr>
      <w:tr>
        <w:trPr>
          <w:trHeight w:val="172"/>
        </w:trPr>
        <w:tc>
          <w:tcPr>
            <w:tcW w:w="592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rPr>
              <w:t>Air Traffic Liabilities</w:t>
            </w:r>
          </w:p>
        </w:tc>
        <w:tc>
          <w:tcPr>
            <w:tcW w:w="16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113,771</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54"/>
              <w:spacing w:after="0" w:line="172" w:lineRule="exact"/>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101,075</w:t>
            </w:r>
          </w:p>
        </w:tc>
      </w:tr>
      <w:tr>
        <w:trPr>
          <w:trHeight w:val="193"/>
        </w:trPr>
        <w:tc>
          <w:tcPr>
            <w:tcW w:w="5920" w:type="dxa"/>
            <w:vAlign w:val="bottom"/>
          </w:tcPr>
          <w:p>
            <w:pPr>
              <w:spacing w:after="0" w:line="194" w:lineRule="exact"/>
              <w:rPr>
                <w:sz w:val="20"/>
                <w:szCs w:val="20"/>
                <w:color w:val="auto"/>
              </w:rPr>
            </w:pPr>
            <w:r>
              <w:rPr>
                <w:rFonts w:ascii="Arial" w:cs="Arial" w:eastAsia="Arial" w:hAnsi="Arial"/>
                <w:sz w:val="17"/>
                <w:szCs w:val="17"/>
                <w:color w:val="auto"/>
              </w:rPr>
              <w:t>Loyalty Program Liabilities</w:t>
            </w:r>
          </w:p>
        </w:tc>
        <w:tc>
          <w:tcPr>
            <w:tcW w:w="1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20,877</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22,069</w:t>
            </w:r>
          </w:p>
        </w:tc>
      </w:tr>
      <w:tr>
        <w:trPr>
          <w:trHeight w:val="193"/>
        </w:trPr>
        <w:tc>
          <w:tcPr>
            <w:tcW w:w="5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Amazon Deferred Up-front Payment</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4,772</w:t>
            </w:r>
          </w:p>
        </w:tc>
        <w:tc>
          <w:tcPr>
            <w:tcW w:w="1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5,240</w:t>
            </w:r>
          </w:p>
        </w:tc>
      </w:tr>
      <w:tr>
        <w:trPr>
          <w:trHeight w:val="186"/>
        </w:trPr>
        <w:tc>
          <w:tcPr>
            <w:tcW w:w="5920" w:type="dxa"/>
            <w:vAlign w:val="bottom"/>
          </w:tcPr>
          <w:p>
            <w:pPr>
              <w:ind w:left="100"/>
              <w:spacing w:after="0" w:line="186" w:lineRule="exact"/>
              <w:rPr>
                <w:sz w:val="20"/>
                <w:szCs w:val="20"/>
                <w:color w:val="auto"/>
              </w:rPr>
            </w:pPr>
            <w:r>
              <w:rPr>
                <w:rFonts w:ascii="Arial" w:cs="Arial" w:eastAsia="Arial" w:hAnsi="Arial"/>
                <w:sz w:val="17"/>
                <w:szCs w:val="17"/>
                <w:color w:val="auto"/>
              </w:rPr>
              <w:t>Total Contract Liabilities</w:t>
            </w:r>
          </w:p>
        </w:tc>
        <w:tc>
          <w:tcPr>
            <w:tcW w:w="16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139,420</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86" w:lineRule="exact"/>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128,384</w:t>
            </w: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360" w:right="59"/>
        <w:spacing w:after="0" w:line="241" w:lineRule="auto"/>
        <w:rPr>
          <w:sz w:val="20"/>
          <w:szCs w:val="20"/>
          <w:color w:val="auto"/>
        </w:rPr>
      </w:pPr>
      <w:r>
        <w:rPr>
          <w:rFonts w:ascii="Arial" w:cs="Arial" w:eastAsia="Arial" w:hAnsi="Arial"/>
          <w:sz w:val="17"/>
          <w:szCs w:val="17"/>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six month period ended June 30, 2021, $82,206 of revenue was recognized in Passenger revenue that was included in the Air Traffic Liabilities as of December 31, 2020.</w:t>
      </w:r>
    </w:p>
    <w:p>
      <w:pPr>
        <w:spacing w:after="0" w:line="195" w:lineRule="exact"/>
        <w:rPr>
          <w:sz w:val="20"/>
          <w:szCs w:val="20"/>
          <w:color w:val="auto"/>
        </w:rPr>
      </w:pPr>
    </w:p>
    <w:p>
      <w:pPr>
        <w:jc w:val="both"/>
        <w:ind w:left="360" w:right="59"/>
        <w:spacing w:after="0" w:line="239" w:lineRule="auto"/>
        <w:rPr>
          <w:sz w:val="20"/>
          <w:szCs w:val="20"/>
          <w:color w:val="auto"/>
        </w:rPr>
      </w:pPr>
      <w:r>
        <w:rPr>
          <w:rFonts w:ascii="Arial" w:cs="Arial" w:eastAsia="Arial" w:hAnsi="Arial"/>
          <w:sz w:val="17"/>
          <w:szCs w:val="17"/>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$5,633 was recorded in Other Liabilities on the Company's Condensed Consolidated Balance Sheet. This deferred up-front payment is being amortized into revenue on a pro-rata basis over the initial six years of the ATSA. For the three and six months ended June 30, 2021, $237 and $ 468 was amortized into Cargo revenue, respectively. For each of the three and six months ended June 30, 2020, $38 was amortized into Cargo revenue.</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Loyalty Program</w:t>
      </w:r>
    </w:p>
    <w:p>
      <w:pPr>
        <w:spacing w:after="0" w:line="224" w:lineRule="exact"/>
        <w:rPr>
          <w:sz w:val="20"/>
          <w:szCs w:val="20"/>
          <w:color w:val="auto"/>
        </w:rPr>
      </w:pPr>
    </w:p>
    <w:p>
      <w:pPr>
        <w:jc w:val="both"/>
        <w:ind w:left="360" w:right="59"/>
        <w:spacing w:after="0"/>
        <w:rPr>
          <w:sz w:val="20"/>
          <w:szCs w:val="20"/>
          <w:color w:val="auto"/>
        </w:rPr>
      </w:pPr>
      <w:r>
        <w:rPr>
          <w:rFonts w:ascii="Arial" w:cs="Arial" w:eastAsia="Arial" w:hAnsi="Arial"/>
          <w:sz w:val="17"/>
          <w:szCs w:val="17"/>
          <w:color w:val="auto"/>
        </w:rPr>
        <w:t>The Sun Country Rewards program provides loyalty awards to program members based on accumulated loyalty points. Loyalty points are earned as a result of travel and purchases using the Company’s co- 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Changes in the Loyalty Program Liabilities are as follows:</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2220" w:type="dxa"/>
            <w:vAlign w:val="bottom"/>
            <w:tcBorders>
              <w:bottom w:val="single" w:sz="8" w:color="CCEEFF"/>
            </w:tcBorders>
          </w:tcPr>
          <w:p>
            <w:pPr>
              <w:spacing w:after="0"/>
              <w:rPr>
                <w:sz w:val="14"/>
                <w:szCs w:val="14"/>
                <w:color w:val="auto"/>
              </w:rPr>
            </w:pPr>
          </w:p>
        </w:tc>
        <w:tc>
          <w:tcPr>
            <w:tcW w:w="4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2020</w:t>
            </w:r>
          </w:p>
        </w:tc>
      </w:tr>
      <w:tr>
        <w:trPr>
          <w:trHeight w:val="186"/>
        </w:trPr>
        <w:tc>
          <w:tcPr>
            <w:tcW w:w="634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Balance - January 1</w:t>
            </w:r>
          </w:p>
        </w:tc>
        <w:tc>
          <w:tcPr>
            <w:tcW w:w="1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22,069</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4"/>
              <w:spacing w:after="0" w:line="186"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22,892</w:t>
            </w:r>
          </w:p>
        </w:tc>
      </w:tr>
      <w:tr>
        <w:trPr>
          <w:trHeight w:val="193"/>
        </w:trPr>
        <w:tc>
          <w:tcPr>
            <w:tcW w:w="6340" w:type="dxa"/>
            <w:vAlign w:val="bottom"/>
            <w:gridSpan w:val="2"/>
          </w:tcPr>
          <w:p>
            <w:pPr>
              <w:spacing w:after="0" w:line="194" w:lineRule="exact"/>
              <w:rPr>
                <w:sz w:val="20"/>
                <w:szCs w:val="20"/>
                <w:color w:val="auto"/>
              </w:rPr>
            </w:pPr>
            <w:r>
              <w:rPr>
                <w:rFonts w:ascii="Arial" w:cs="Arial" w:eastAsia="Arial" w:hAnsi="Arial"/>
                <w:sz w:val="17"/>
                <w:szCs w:val="17"/>
                <w:color w:val="auto"/>
              </w:rPr>
              <w:t>Loyalty Points Earned</w:t>
            </w:r>
          </w:p>
        </w:tc>
        <w:tc>
          <w:tcPr>
            <w:tcW w:w="18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auto"/>
              </w:rPr>
              <w:t>1,904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2,621</w:t>
            </w:r>
          </w:p>
        </w:tc>
      </w:tr>
      <w:tr>
        <w:trPr>
          <w:trHeight w:val="193"/>
        </w:trPr>
        <w:tc>
          <w:tcPr>
            <w:tcW w:w="6340" w:type="dxa"/>
            <w:vAlign w:val="bottom"/>
            <w:gridSpan w:val="2"/>
            <w:shd w:val="clear" w:color="auto" w:fill="CCEEFF"/>
          </w:tcPr>
          <w:p>
            <w:pPr>
              <w:spacing w:after="0" w:line="193" w:lineRule="exact"/>
              <w:rPr>
                <w:sz w:val="20"/>
                <w:szCs w:val="20"/>
                <w:color w:val="auto"/>
              </w:rPr>
            </w:pPr>
            <w:r>
              <w:rPr>
                <w:rFonts w:ascii="Arial" w:cs="Arial" w:eastAsia="Arial" w:hAnsi="Arial"/>
                <w:sz w:val="15"/>
                <w:szCs w:val="15"/>
                <w:color w:val="auto"/>
              </w:rPr>
              <w:t>Loyalty Points Redeemed</w:t>
            </w:r>
            <w:r>
              <w:rPr>
                <w:rFonts w:ascii="Arial" w:cs="Arial" w:eastAsia="Arial" w:hAnsi="Arial"/>
                <w:sz w:val="22"/>
                <w:szCs w:val="22"/>
                <w:color w:val="auto"/>
                <w:vertAlign w:val="superscript"/>
              </w:rPr>
              <w:t>(1)</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(3,096)</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(3,395)</w:t>
            </w:r>
          </w:p>
        </w:tc>
      </w:tr>
      <w:tr>
        <w:trPr>
          <w:trHeight w:val="186"/>
        </w:trPr>
        <w:tc>
          <w:tcPr>
            <w:tcW w:w="6340" w:type="dxa"/>
            <w:vAlign w:val="bottom"/>
            <w:gridSpan w:val="2"/>
          </w:tcPr>
          <w:p>
            <w:pPr>
              <w:spacing w:after="0" w:line="186" w:lineRule="exact"/>
              <w:rPr>
                <w:sz w:val="20"/>
                <w:szCs w:val="20"/>
                <w:color w:val="auto"/>
              </w:rPr>
            </w:pPr>
            <w:r>
              <w:rPr>
                <w:rFonts w:ascii="Arial" w:cs="Arial" w:eastAsia="Arial" w:hAnsi="Arial"/>
                <w:sz w:val="17"/>
                <w:szCs w:val="17"/>
                <w:color w:val="auto"/>
              </w:rPr>
              <w:t>Balance - June 30</w:t>
            </w:r>
          </w:p>
        </w:tc>
        <w:tc>
          <w:tcPr>
            <w:tcW w:w="1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20,877</w:t>
            </w:r>
          </w:p>
        </w:tc>
        <w:tc>
          <w:tcPr>
            <w:tcW w:w="1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22,118</w:t>
            </w:r>
          </w:p>
        </w:tc>
      </w:tr>
      <w:tr>
        <w:trPr>
          <w:trHeight w:val="20"/>
        </w:trPr>
        <w:tc>
          <w:tcPr>
            <w:tcW w:w="22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8"/>
        </w:trPr>
        <w:tc>
          <w:tcPr>
            <w:tcW w:w="222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79" w:lineRule="exact"/>
        <w:rPr>
          <w:sz w:val="20"/>
          <w:szCs w:val="20"/>
          <w:color w:val="auto"/>
        </w:rPr>
      </w:pPr>
    </w:p>
    <w:p>
      <w:pPr>
        <w:jc w:val="both"/>
        <w:ind w:left="700" w:right="59" w:hanging="318"/>
        <w:spacing w:after="0" w:line="223" w:lineRule="auto"/>
        <w:tabs>
          <w:tab w:leader="none" w:pos="7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Principally relates to revenue recognized from the redemption of loyalty points for both air and non-air travel awards. Loyalty points are combined in one homogenous pool and are not separately identifiable. As such, the revenue recognized is comprised of points that were part of the Loyalty Program Liabilities balance at the beginning of the period, as well as points that were earned during the period.</w:t>
      </w:r>
    </w:p>
    <w:p>
      <w:pPr>
        <w:spacing w:after="0" w:line="199" w:lineRule="exact"/>
        <w:rPr>
          <w:sz w:val="20"/>
          <w:szCs w:val="20"/>
          <w:color w:val="auto"/>
        </w:rPr>
      </w:pPr>
    </w:p>
    <w:p>
      <w:pPr>
        <w:jc w:val="both"/>
        <w:ind w:left="360" w:right="59"/>
        <w:spacing w:after="0" w:line="241" w:lineRule="auto"/>
        <w:rPr>
          <w:sz w:val="20"/>
          <w:szCs w:val="20"/>
          <w:color w:val="auto"/>
        </w:rPr>
      </w:pPr>
      <w:r>
        <w:rPr>
          <w:rFonts w:ascii="Arial" w:cs="Arial" w:eastAsia="Arial" w:hAnsi="Arial"/>
          <w:sz w:val="17"/>
          <w:szCs w:val="17"/>
          <w:color w:val="auto"/>
        </w:rPr>
        <w:t xml:space="preserve">The timing of loyalty point redemptions can vary significantly, however most new points, that are not left to expire, are redeemed within two years. </w:t>
      </w:r>
      <w:r>
        <w:rPr>
          <w:rFonts w:ascii="Arial" w:cs="Arial" w:eastAsia="Arial" w:hAnsi="Arial"/>
          <w:sz w:val="17"/>
          <w:szCs w:val="17"/>
          <w:color w:val="212529"/>
        </w:rPr>
        <w:t>Given the inherent uncertainty of the current operating environment due to</w:t>
      </w:r>
      <w:r>
        <w:rPr>
          <w:rFonts w:ascii="Arial" w:cs="Arial" w:eastAsia="Arial" w:hAnsi="Arial"/>
          <w:sz w:val="17"/>
          <w:szCs w:val="17"/>
          <w:color w:val="auto"/>
        </w:rPr>
        <w:t xml:space="preserve"> </w:t>
      </w:r>
      <w:r>
        <w:rPr>
          <w:rFonts w:ascii="Arial" w:cs="Arial" w:eastAsia="Arial" w:hAnsi="Arial"/>
          <w:sz w:val="17"/>
          <w:szCs w:val="17"/>
          <w:color w:val="212529"/>
        </w:rPr>
        <w:t>COVID-19, the Company will continue to monitor redemption patterns and will adjust estimates in the future, which could be material.</w:t>
      </w:r>
    </w:p>
    <w:p>
      <w:pPr>
        <w:spacing w:after="0" w:line="162" w:lineRule="exact"/>
        <w:rPr>
          <w:sz w:val="20"/>
          <w:szCs w:val="20"/>
          <w:color w:val="auto"/>
        </w:rPr>
      </w:pPr>
    </w:p>
    <w:p>
      <w:pPr>
        <w:ind w:left="360" w:hanging="313"/>
        <w:spacing w:after="0"/>
        <w:tabs>
          <w:tab w:leader="none" w:pos="3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224" w:lineRule="exact"/>
        <w:rPr>
          <w:rFonts w:ascii="Arial" w:cs="Arial" w:eastAsia="Arial" w:hAnsi="Arial"/>
          <w:sz w:val="17"/>
          <w:szCs w:val="17"/>
          <w:b w:val="1"/>
          <w:bCs w:val="1"/>
          <w:color w:val="auto"/>
        </w:rPr>
      </w:pPr>
    </w:p>
    <w:p>
      <w:pPr>
        <w:ind w:left="360" w:right="59"/>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Basic earnings per share, which excludes dilution, is computed by dividing Net Income available to common stockholders by the weighted average number of shares of common stock outstanding for the period.</w:t>
      </w:r>
    </w:p>
    <w:p>
      <w:pPr>
        <w:spacing w:after="0" w:line="187" w:lineRule="exact"/>
        <w:rPr>
          <w:rFonts w:ascii="Arial" w:cs="Arial" w:eastAsia="Arial" w:hAnsi="Arial"/>
          <w:sz w:val="17"/>
          <w:szCs w:val="17"/>
          <w:b w:val="1"/>
          <w:bCs w:val="1"/>
          <w:color w:val="auto"/>
        </w:rPr>
      </w:pPr>
    </w:p>
    <w:p>
      <w:pPr>
        <w:jc w:val="both"/>
        <w:ind w:left="360" w:right="59"/>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192"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shows the computation of basic and diluted earnings per share:</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4140" w:type="dxa"/>
            <w:vAlign w:val="bottom"/>
          </w:tcPr>
          <w:p>
            <w:pPr>
              <w:spacing w:after="0"/>
              <w:rPr>
                <w:sz w:val="14"/>
                <w:szCs w:val="14"/>
                <w:color w:val="auto"/>
              </w:rPr>
            </w:pPr>
          </w:p>
        </w:tc>
        <w:tc>
          <w:tcPr>
            <w:tcW w:w="21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940" w:type="dxa"/>
            <w:vAlign w:val="bottom"/>
            <w:gridSpan w:val="5"/>
          </w:tcPr>
          <w:p>
            <w:pPr>
              <w:jc w:val="right"/>
              <w:ind w:right="11"/>
              <w:spacing w:after="0"/>
              <w:rPr>
                <w:sz w:val="20"/>
                <w:szCs w:val="20"/>
                <w:color w:val="auto"/>
              </w:rPr>
            </w:pPr>
            <w:r>
              <w:rPr>
                <w:rFonts w:ascii="Arial" w:cs="Arial" w:eastAsia="Arial" w:hAnsi="Arial"/>
                <w:sz w:val="14"/>
                <w:szCs w:val="14"/>
                <w:b w:val="1"/>
                <w:bCs w:val="1"/>
                <w:color w:val="auto"/>
              </w:rPr>
              <w:t>Six Months Ended June 30,</w:t>
            </w:r>
          </w:p>
        </w:tc>
      </w:tr>
      <w:tr>
        <w:trPr>
          <w:trHeight w:val="148"/>
        </w:trPr>
        <w:tc>
          <w:tcPr>
            <w:tcW w:w="4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8"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8"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8"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8" w:lineRule="exact"/>
              <w:rPr>
                <w:sz w:val="20"/>
                <w:szCs w:val="20"/>
                <w:color w:val="auto"/>
              </w:rPr>
            </w:pPr>
            <w:r>
              <w:rPr>
                <w:rFonts w:ascii="Arial" w:cs="Arial" w:eastAsia="Arial" w:hAnsi="Arial"/>
                <w:sz w:val="14"/>
                <w:szCs w:val="14"/>
                <w:b w:val="1"/>
                <w:bCs w:val="1"/>
                <w:color w:val="auto"/>
              </w:rPr>
              <w:t>2020</w:t>
            </w:r>
          </w:p>
        </w:tc>
      </w:tr>
      <w:tr>
        <w:trPr>
          <w:trHeight w:val="148"/>
        </w:trPr>
        <w:tc>
          <w:tcPr>
            <w:tcW w:w="414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Numerator:</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color w:val="auto"/>
              </w:rPr>
              <w:t>Net Income (Loss)</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51,753</w:t>
            </w:r>
          </w:p>
        </w:tc>
        <w:tc>
          <w:tcPr>
            <w:tcW w:w="20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(6,040)</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64,169</w:t>
            </w:r>
          </w:p>
        </w:tc>
        <w:tc>
          <w:tcPr>
            <w:tcW w:w="16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1,211</w:t>
            </w:r>
          </w:p>
        </w:tc>
      </w:tr>
      <w:tr>
        <w:trPr>
          <w:trHeight w:val="155"/>
        </w:trPr>
        <w:tc>
          <w:tcPr>
            <w:tcW w:w="4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b w:val="1"/>
                <w:bCs w:val="1"/>
                <w:color w:val="auto"/>
              </w:rPr>
              <w:t>Denominator:</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5"/>
        </w:trPr>
        <w:tc>
          <w:tcPr>
            <w:tcW w:w="41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Weighted Average Common Shares Outstanding - Basic</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57,156,159</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46,805,950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52,850,041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46,805,950</w:t>
            </w:r>
          </w:p>
        </w:tc>
      </w:tr>
      <w:tr>
        <w:trPr>
          <w:trHeight w:val="155"/>
        </w:trPr>
        <w:tc>
          <w:tcPr>
            <w:tcW w:w="4140" w:type="dxa"/>
            <w:vAlign w:val="bottom"/>
          </w:tcPr>
          <w:p>
            <w:pPr>
              <w:spacing w:after="0" w:line="154" w:lineRule="exact"/>
              <w:rPr>
                <w:sz w:val="20"/>
                <w:szCs w:val="20"/>
                <w:color w:val="auto"/>
              </w:rPr>
            </w:pPr>
            <w:r>
              <w:rPr>
                <w:rFonts w:ascii="Arial" w:cs="Arial" w:eastAsia="Arial" w:hAnsi="Arial"/>
                <w:sz w:val="12"/>
                <w:szCs w:val="12"/>
                <w:color w:val="auto"/>
              </w:rPr>
              <w:t xml:space="preserve">Dilutive effect of Stock Options and Warrants </w:t>
            </w:r>
            <w:r>
              <w:rPr>
                <w:rFonts w:ascii="Arial" w:cs="Arial" w:eastAsia="Arial" w:hAnsi="Arial"/>
                <w:sz w:val="17"/>
                <w:szCs w:val="17"/>
                <w:color w:val="auto"/>
                <w:vertAlign w:val="superscript"/>
              </w:rPr>
              <w:t>(1)</w:t>
            </w:r>
          </w:p>
        </w:tc>
        <w:tc>
          <w:tcPr>
            <w:tcW w:w="1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4,826,282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4,553,552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1,437,196</w:t>
            </w:r>
          </w:p>
        </w:tc>
      </w:tr>
      <w:tr>
        <w:trPr>
          <w:trHeight w:val="148"/>
        </w:trPr>
        <w:tc>
          <w:tcPr>
            <w:tcW w:w="414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Weighted Average Common Shares Outstanding - Diluted</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61,982,441</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46,805,950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57,403,593</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48,243,146</w:t>
            </w:r>
          </w:p>
        </w:tc>
      </w:tr>
      <w:tr>
        <w:trPr>
          <w:trHeight w:val="148"/>
        </w:trPr>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5"/>
        </w:trPr>
        <w:tc>
          <w:tcPr>
            <w:tcW w:w="41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Basic earnings (loss) per share</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0.91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(0.13)</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0.03</w:t>
            </w:r>
          </w:p>
        </w:tc>
      </w:tr>
      <w:tr>
        <w:trPr>
          <w:trHeight w:val="169"/>
        </w:trPr>
        <w:tc>
          <w:tcPr>
            <w:tcW w:w="4140" w:type="dxa"/>
            <w:vAlign w:val="bottom"/>
          </w:tcPr>
          <w:p>
            <w:pPr>
              <w:spacing w:after="0"/>
              <w:rPr>
                <w:sz w:val="20"/>
                <w:szCs w:val="20"/>
                <w:color w:val="auto"/>
              </w:rPr>
            </w:pPr>
            <w:r>
              <w:rPr>
                <w:rFonts w:ascii="Arial" w:cs="Arial" w:eastAsia="Arial" w:hAnsi="Arial"/>
                <w:sz w:val="14"/>
                <w:szCs w:val="14"/>
                <w:color w:val="auto"/>
              </w:rPr>
              <w:t>Diluted earnings (loss) per share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0.83</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(0.13)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1.12</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56515</wp:posOffset>
            </wp:positionV>
            <wp:extent cx="141605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6050" cy="16510"/>
                    </a:xfrm>
                    <a:prstGeom prst="rect">
                      <a:avLst/>
                    </a:prstGeom>
                    <a:noFill/>
                  </pic:spPr>
                </pic:pic>
              </a:graphicData>
            </a:graphic>
          </wp:anchor>
        </w:drawing>
      </w:r>
    </w:p>
    <w:p>
      <w:pPr>
        <w:spacing w:after="0" w:line="177" w:lineRule="exact"/>
        <w:rPr>
          <w:sz w:val="20"/>
          <w:szCs w:val="20"/>
          <w:color w:val="auto"/>
        </w:rPr>
      </w:pPr>
    </w:p>
    <w:p>
      <w:pPr>
        <w:jc w:val="both"/>
        <w:ind w:left="700" w:right="59" w:hanging="318"/>
        <w:spacing w:after="0" w:line="201" w:lineRule="auto"/>
        <w:tabs>
          <w:tab w:leader="none" w:pos="700" w:val="left"/>
        </w:tabs>
        <w:numPr>
          <w:ilvl w:val="0"/>
          <w:numId w:val="9"/>
        </w:numPr>
        <w:rPr>
          <w:rFonts w:ascii="Arial" w:cs="Arial" w:eastAsia="Arial" w:hAnsi="Arial"/>
          <w:sz w:val="23"/>
          <w:szCs w:val="23"/>
          <w:color w:val="auto"/>
          <w:vertAlign w:val="superscript"/>
        </w:rPr>
      </w:pPr>
      <w:r>
        <w:rPr>
          <w:rFonts w:ascii="Arial" w:cs="Arial" w:eastAsia="Arial" w:hAnsi="Arial"/>
          <w:sz w:val="14"/>
          <w:szCs w:val="14"/>
          <w:color w:val="auto"/>
        </w:rPr>
        <w:t>There were 3,547,524 and 3,636,773 performance-based stock options outstanding at June 30, 2021 and 2020, respectively. As a result of the Company’s initial public offering, 75% of these options are expected to meet the performance conditions and are included in dilutive options at June 30, 2021. At June 30, 2020, these options were excluded from the calculation of diluted EPS since the performance conditions were not considered likely to be met.</w:t>
      </w:r>
    </w:p>
    <w:p>
      <w:pPr>
        <w:spacing w:after="0" w:line="399" w:lineRule="exact"/>
        <w:rPr>
          <w:rFonts w:ascii="Arial" w:cs="Arial" w:eastAsia="Arial" w:hAnsi="Arial"/>
          <w:sz w:val="23"/>
          <w:szCs w:val="23"/>
          <w:color w:val="auto"/>
          <w:vertAlign w:val="superscript"/>
        </w:rPr>
      </w:pPr>
    </w:p>
    <w:p>
      <w:pPr>
        <w:ind w:left="4400" w:hanging="96"/>
        <w:spacing w:after="0"/>
        <w:tabs>
          <w:tab w:leader="none" w:pos="4400" w:val="left"/>
        </w:tabs>
        <w:numPr>
          <w:ilvl w:val="1"/>
          <w:numId w:val="9"/>
        </w:numPr>
        <w:rPr>
          <w:rFonts w:ascii="Arial" w:cs="Arial" w:eastAsia="Arial" w:hAnsi="Arial"/>
          <w:sz w:val="17"/>
          <w:szCs w:val="17"/>
          <w:color w:val="auto"/>
        </w:rPr>
      </w:pPr>
      <w:r>
        <w:rPr>
          <w:rFonts w:ascii="Arial" w:cs="Arial" w:eastAsia="Arial" w:hAnsi="Arial"/>
          <w:sz w:val="17"/>
          <w:szCs w:val="17"/>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left="360" w:right="59"/>
        <w:spacing w:after="0" w:line="243" w:lineRule="auto"/>
        <w:rPr>
          <w:sz w:val="20"/>
          <w:szCs w:val="20"/>
          <w:color w:val="auto"/>
        </w:rPr>
      </w:pPr>
      <w:r>
        <w:rPr>
          <w:rFonts w:ascii="Arial" w:cs="Arial" w:eastAsia="Arial" w:hAnsi="Arial"/>
          <w:sz w:val="17"/>
          <w:szCs w:val="17"/>
          <w:color w:val="auto"/>
        </w:rPr>
        <w:t>Prior to their exercise on January 31, 2020, all 40,005,885 warrants held by the Apollo Stockholder were included in basic and diluted weighted average shares outstanding as they were equity classified, had an exercise price of approximately $0.0005, and all necessary conditions for issuance were met.</w:t>
      </w:r>
    </w:p>
    <w:p>
      <w:pPr>
        <w:spacing w:after="0" w:line="193" w:lineRule="exact"/>
        <w:rPr>
          <w:sz w:val="20"/>
          <w:szCs w:val="20"/>
          <w:color w:val="auto"/>
        </w:rPr>
      </w:pPr>
    </w:p>
    <w:p>
      <w:pPr>
        <w:jc w:val="both"/>
        <w:ind w:left="360" w:right="59"/>
        <w:spacing w:after="0" w:line="243" w:lineRule="auto"/>
        <w:rPr>
          <w:sz w:val="20"/>
          <w:szCs w:val="20"/>
          <w:color w:val="auto"/>
        </w:rPr>
      </w:pPr>
      <w:r>
        <w:rPr>
          <w:rFonts w:ascii="Arial" w:cs="Arial" w:eastAsia="Arial" w:hAnsi="Arial"/>
          <w:sz w:val="17"/>
          <w:szCs w:val="17"/>
          <w:color w:val="auto"/>
        </w:rPr>
        <w:t>Warrants held by Amazon are included in dilutive weighted average shares outstanding as of the date the warrants vest. The unvested warrants held by Amazon have not been included in dilutive shares as their performance condition had not been satisfied.</w:t>
      </w:r>
    </w:p>
    <w:p>
      <w:pPr>
        <w:spacing w:after="0" w:line="160" w:lineRule="exact"/>
        <w:rPr>
          <w:sz w:val="20"/>
          <w:szCs w:val="20"/>
          <w:color w:val="auto"/>
        </w:rPr>
      </w:pPr>
    </w:p>
    <w:p>
      <w:pPr>
        <w:ind w:left="360" w:right="7599" w:hanging="313"/>
        <w:spacing w:after="0" w:line="502" w:lineRule="auto"/>
        <w:tabs>
          <w:tab w:leader="none" w:pos="3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AIRCRAFT Aircraft Fleet</w:t>
      </w:r>
    </w:p>
    <w:p>
      <w:pPr>
        <w:spacing w:after="0" w:line="2" w:lineRule="exact"/>
        <w:rPr>
          <w:sz w:val="20"/>
          <w:szCs w:val="20"/>
          <w:color w:val="auto"/>
        </w:rPr>
      </w:pPr>
    </w:p>
    <w:p>
      <w:pPr>
        <w:jc w:val="both"/>
        <w:ind w:left="360" w:right="79"/>
        <w:spacing w:after="0" w:line="249" w:lineRule="auto"/>
        <w:rPr>
          <w:sz w:val="20"/>
          <w:szCs w:val="20"/>
          <w:color w:val="auto"/>
        </w:rPr>
      </w:pPr>
      <w:r>
        <w:rPr>
          <w:rFonts w:ascii="Arial" w:cs="Arial" w:eastAsia="Arial" w:hAnsi="Arial"/>
          <w:sz w:val="17"/>
          <w:szCs w:val="17"/>
          <w:color w:val="auto"/>
        </w:rPr>
        <w:t>The following tables summarize the Company’s aircraft fleet activity for the six months ended June 30, 2021 and 2020, respectively:</w:t>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4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Additions</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Removals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8"/>
              </w:rPr>
              <w:t>June 30, 2021</w:t>
            </w:r>
          </w:p>
        </w:tc>
      </w:tr>
      <w:tr>
        <w:trPr>
          <w:trHeight w:val="186"/>
        </w:trPr>
        <w:tc>
          <w:tcPr>
            <w:tcW w:w="410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Passenger:</w:t>
            </w:r>
          </w:p>
        </w:tc>
        <w:tc>
          <w:tcPr>
            <w:tcW w:w="12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r>
      <w:tr>
        <w:trPr>
          <w:trHeight w:val="193"/>
        </w:trPr>
        <w:tc>
          <w:tcPr>
            <w:tcW w:w="4100" w:type="dxa"/>
            <w:vAlign w:val="bottom"/>
          </w:tcPr>
          <w:p>
            <w:pPr>
              <w:ind w:left="100"/>
              <w:spacing w:after="0" w:line="194" w:lineRule="exact"/>
              <w:rPr>
                <w:sz w:val="20"/>
                <w:szCs w:val="20"/>
                <w:color w:val="auto"/>
              </w:rPr>
            </w:pPr>
            <w:r>
              <w:rPr>
                <w:rFonts w:ascii="Arial" w:cs="Arial" w:eastAsia="Arial" w:hAnsi="Arial"/>
                <w:sz w:val="17"/>
                <w:szCs w:val="17"/>
                <w:color w:val="auto"/>
              </w:rPr>
              <w:t>Owned</w:t>
            </w:r>
          </w:p>
        </w:tc>
        <w:tc>
          <w:tcPr>
            <w:tcW w:w="1260" w:type="dxa"/>
            <w:vAlign w:val="bottom"/>
          </w:tcPr>
          <w:p>
            <w:pPr>
              <w:jc w:val="right"/>
              <w:spacing w:after="0" w:line="194" w:lineRule="exact"/>
              <w:rPr>
                <w:sz w:val="20"/>
                <w:szCs w:val="20"/>
                <w:color w:val="auto"/>
              </w:rPr>
            </w:pPr>
            <w:r>
              <w:rPr>
                <w:rFonts w:ascii="Arial" w:cs="Arial" w:eastAsia="Arial" w:hAnsi="Arial"/>
                <w:sz w:val="17"/>
                <w:szCs w:val="17"/>
                <w:color w:val="auto"/>
              </w:rPr>
              <w:t>14</w:t>
            </w:r>
          </w:p>
        </w:tc>
        <w:tc>
          <w:tcPr>
            <w:tcW w:w="16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6</w:t>
            </w:r>
          </w:p>
        </w:tc>
        <w:tc>
          <w:tcPr>
            <w:tcW w:w="160" w:type="dxa"/>
            <w:vAlign w:val="bottom"/>
          </w:tcPr>
          <w:p>
            <w:pPr>
              <w:spacing w:after="0"/>
              <w:rPr>
                <w:sz w:val="16"/>
                <w:szCs w:val="16"/>
                <w:color w:val="auto"/>
              </w:rPr>
            </w:pPr>
          </w:p>
        </w:tc>
        <w:tc>
          <w:tcPr>
            <w:tcW w:w="92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20</w:t>
            </w:r>
          </w:p>
        </w:tc>
      </w:tr>
      <w:tr>
        <w:trPr>
          <w:trHeight w:val="193"/>
        </w:trPr>
        <w:tc>
          <w:tcPr>
            <w:tcW w:w="410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Finance leases</w:t>
            </w:r>
          </w:p>
        </w:tc>
        <w:tc>
          <w:tcPr>
            <w:tcW w:w="1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w:t>
            </w:r>
          </w:p>
        </w:tc>
      </w:tr>
      <w:tr>
        <w:trPr>
          <w:trHeight w:val="193"/>
        </w:trPr>
        <w:tc>
          <w:tcPr>
            <w:tcW w:w="4100" w:type="dxa"/>
            <w:vAlign w:val="bottom"/>
          </w:tcPr>
          <w:p>
            <w:pPr>
              <w:ind w:left="100"/>
              <w:spacing w:after="0" w:line="194" w:lineRule="exact"/>
              <w:rPr>
                <w:sz w:val="20"/>
                <w:szCs w:val="20"/>
                <w:color w:val="auto"/>
              </w:rPr>
            </w:pPr>
            <w:r>
              <w:rPr>
                <w:rFonts w:ascii="Arial" w:cs="Arial" w:eastAsia="Arial" w:hAnsi="Arial"/>
                <w:sz w:val="17"/>
                <w:szCs w:val="17"/>
                <w:color w:val="auto"/>
              </w:rPr>
              <w:t>Operating leases</w:t>
            </w:r>
          </w:p>
        </w:tc>
        <w:tc>
          <w:tcPr>
            <w:tcW w:w="1260" w:type="dxa"/>
            <w:vAlign w:val="bottom"/>
          </w:tcPr>
          <w:p>
            <w:pPr>
              <w:jc w:val="right"/>
              <w:spacing w:after="0" w:line="194" w:lineRule="exact"/>
              <w:rPr>
                <w:sz w:val="20"/>
                <w:szCs w:val="20"/>
                <w:color w:val="auto"/>
              </w:rPr>
            </w:pPr>
            <w:r>
              <w:rPr>
                <w:rFonts w:ascii="Arial" w:cs="Arial" w:eastAsia="Arial" w:hAnsi="Arial"/>
                <w:sz w:val="17"/>
                <w:szCs w:val="17"/>
                <w:color w:val="auto"/>
              </w:rPr>
              <w:t>12</w:t>
            </w:r>
          </w:p>
        </w:tc>
        <w:tc>
          <w:tcPr>
            <w:tcW w:w="160" w:type="dxa"/>
            <w:vAlign w:val="bottom"/>
          </w:tcPr>
          <w:p>
            <w:pPr>
              <w:spacing w:after="0"/>
              <w:rPr>
                <w:sz w:val="16"/>
                <w:szCs w:val="16"/>
                <w:color w:val="auto"/>
              </w:rPr>
            </w:pPr>
          </w:p>
        </w:tc>
        <w:tc>
          <w:tcPr>
            <w:tcW w:w="86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(6)</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6</w:t>
            </w:r>
          </w:p>
        </w:tc>
      </w:tr>
      <w:tr>
        <w:trPr>
          <w:trHeight w:val="186"/>
        </w:trPr>
        <w:tc>
          <w:tcPr>
            <w:tcW w:w="4100" w:type="dxa"/>
            <w:vAlign w:val="bottom"/>
            <w:tcBorders>
              <w:top w:val="single" w:sz="8" w:color="CCEEFF"/>
            </w:tcBorders>
            <w:shd w:val="clear" w:color="auto" w:fill="CCEEFF"/>
          </w:tcPr>
          <w:p>
            <w:pPr>
              <w:ind w:left="200"/>
              <w:spacing w:after="0" w:line="186" w:lineRule="exact"/>
              <w:rPr>
                <w:sz w:val="20"/>
                <w:szCs w:val="20"/>
                <w:color w:val="auto"/>
              </w:rPr>
            </w:pPr>
            <w:r>
              <w:rPr>
                <w:rFonts w:ascii="Arial" w:cs="Arial" w:eastAsia="Arial" w:hAnsi="Arial"/>
                <w:sz w:val="17"/>
                <w:szCs w:val="17"/>
                <w:color w:val="auto"/>
              </w:rPr>
              <w:t>Sun Country Airlines' Fleet</w:t>
            </w:r>
          </w:p>
        </w:tc>
        <w:tc>
          <w:tcPr>
            <w:tcW w:w="12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31</w:t>
            </w: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8</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w:t>
            </w: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33</w:t>
            </w:r>
          </w:p>
        </w:tc>
      </w:tr>
      <w:tr>
        <w:trPr>
          <w:trHeight w:val="193"/>
        </w:trPr>
        <w:tc>
          <w:tcPr>
            <w:tcW w:w="4100" w:type="dxa"/>
            <w:vAlign w:val="bottom"/>
          </w:tcPr>
          <w:p>
            <w:pPr>
              <w:spacing w:after="0" w:line="194" w:lineRule="exact"/>
              <w:rPr>
                <w:sz w:val="20"/>
                <w:szCs w:val="20"/>
                <w:color w:val="auto"/>
              </w:rPr>
            </w:pPr>
            <w:r>
              <w:rPr>
                <w:rFonts w:ascii="Arial" w:cs="Arial" w:eastAsia="Arial" w:hAnsi="Arial"/>
                <w:sz w:val="17"/>
                <w:szCs w:val="17"/>
                <w:color w:val="auto"/>
              </w:rPr>
              <w:t>Cargo:</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410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Aircraft Operated for Amazon</w:t>
            </w:r>
          </w:p>
        </w:tc>
        <w:tc>
          <w:tcPr>
            <w:tcW w:w="1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w:t>
            </w:r>
          </w:p>
        </w:tc>
      </w:tr>
      <w:tr>
        <w:trPr>
          <w:trHeight w:val="186"/>
        </w:trPr>
        <w:tc>
          <w:tcPr>
            <w:tcW w:w="4100" w:type="dxa"/>
            <w:vAlign w:val="bottom"/>
          </w:tcPr>
          <w:p>
            <w:pPr>
              <w:ind w:left="200"/>
              <w:spacing w:after="0" w:line="186" w:lineRule="exact"/>
              <w:rPr>
                <w:sz w:val="20"/>
                <w:szCs w:val="20"/>
                <w:color w:val="auto"/>
              </w:rPr>
            </w:pPr>
            <w:r>
              <w:rPr>
                <w:rFonts w:ascii="Arial" w:cs="Arial" w:eastAsia="Arial" w:hAnsi="Arial"/>
                <w:sz w:val="17"/>
                <w:szCs w:val="17"/>
                <w:color w:val="auto"/>
              </w:rPr>
              <w:t>Total Aircraft Operated</w:t>
            </w:r>
          </w:p>
        </w:tc>
        <w:tc>
          <w:tcPr>
            <w:tcW w:w="12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43</w:t>
            </w:r>
          </w:p>
        </w:tc>
        <w:tc>
          <w:tcPr>
            <w:tcW w:w="16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8</w:t>
            </w:r>
          </w:p>
        </w:tc>
        <w:tc>
          <w:tcPr>
            <w:tcW w:w="16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(6)</w:t>
            </w:r>
          </w:p>
        </w:tc>
        <w:tc>
          <w:tcPr>
            <w:tcW w:w="16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45</w:t>
            </w:r>
          </w:p>
        </w:tc>
      </w:tr>
      <w:tr>
        <w:trPr>
          <w:trHeight w:val="20"/>
        </w:trPr>
        <w:tc>
          <w:tcPr>
            <w:tcW w:w="4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360" w:right="59"/>
        <w:spacing w:after="0" w:line="243" w:lineRule="auto"/>
        <w:rPr>
          <w:sz w:val="20"/>
          <w:szCs w:val="20"/>
          <w:color w:val="auto"/>
        </w:rPr>
      </w:pPr>
      <w:r>
        <w:rPr>
          <w:rFonts w:ascii="Arial" w:cs="Arial" w:eastAsia="Arial" w:hAnsi="Arial"/>
          <w:sz w:val="17"/>
          <w:szCs w:val="17"/>
          <w:color w:val="auto"/>
        </w:rPr>
        <w:t>The six aircraft purchased during the six months ended June 30, 2021 were financed through the Delayed Draw Term Loan Facility (see Note 7). All six of these were previously under operating leases. During June 2021, the Company obtained an additional two aircraft under finance leases.</w:t>
      </w:r>
    </w:p>
    <w:p>
      <w:pPr>
        <w:spacing w:after="0" w:line="195"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4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Additions</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Removals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8"/>
              </w:rPr>
              <w:t>June 30, 2020</w:t>
            </w:r>
          </w:p>
        </w:tc>
      </w:tr>
      <w:tr>
        <w:trPr>
          <w:trHeight w:val="173"/>
        </w:trPr>
        <w:tc>
          <w:tcPr>
            <w:tcW w:w="41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color w:val="auto"/>
              </w:rPr>
              <w:t>Passenger:</w:t>
            </w:r>
          </w:p>
        </w:tc>
        <w:tc>
          <w:tcPr>
            <w:tcW w:w="12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93"/>
        </w:trPr>
        <w:tc>
          <w:tcPr>
            <w:tcW w:w="4100" w:type="dxa"/>
            <w:vAlign w:val="bottom"/>
          </w:tcPr>
          <w:p>
            <w:pPr>
              <w:ind w:left="100"/>
              <w:spacing w:after="0" w:line="194" w:lineRule="exact"/>
              <w:rPr>
                <w:sz w:val="20"/>
                <w:szCs w:val="20"/>
                <w:color w:val="auto"/>
              </w:rPr>
            </w:pPr>
            <w:r>
              <w:rPr>
                <w:rFonts w:ascii="Arial" w:cs="Arial" w:eastAsia="Arial" w:hAnsi="Arial"/>
                <w:sz w:val="17"/>
                <w:szCs w:val="17"/>
                <w:color w:val="auto"/>
              </w:rPr>
              <w:t>Owned</w:t>
            </w:r>
          </w:p>
        </w:tc>
        <w:tc>
          <w:tcPr>
            <w:tcW w:w="1260" w:type="dxa"/>
            <w:vAlign w:val="bottom"/>
          </w:tcPr>
          <w:p>
            <w:pPr>
              <w:jc w:val="right"/>
              <w:spacing w:after="0" w:line="194" w:lineRule="exact"/>
              <w:rPr>
                <w:sz w:val="20"/>
                <w:szCs w:val="20"/>
                <w:color w:val="auto"/>
              </w:rPr>
            </w:pPr>
            <w:r>
              <w:rPr>
                <w:rFonts w:ascii="Arial" w:cs="Arial" w:eastAsia="Arial" w:hAnsi="Arial"/>
                <w:sz w:val="17"/>
                <w:szCs w:val="17"/>
                <w:color w:val="auto"/>
              </w:rPr>
              <w:t>5</w:t>
            </w:r>
          </w:p>
        </w:tc>
        <w:tc>
          <w:tcPr>
            <w:tcW w:w="16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9</w:t>
            </w:r>
          </w:p>
        </w:tc>
        <w:tc>
          <w:tcPr>
            <w:tcW w:w="160" w:type="dxa"/>
            <w:vAlign w:val="bottom"/>
          </w:tcPr>
          <w:p>
            <w:pPr>
              <w:spacing w:after="0"/>
              <w:rPr>
                <w:sz w:val="16"/>
                <w:szCs w:val="16"/>
                <w:color w:val="auto"/>
              </w:rPr>
            </w:pPr>
          </w:p>
        </w:tc>
        <w:tc>
          <w:tcPr>
            <w:tcW w:w="92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14</w:t>
            </w:r>
          </w:p>
        </w:tc>
      </w:tr>
      <w:tr>
        <w:trPr>
          <w:trHeight w:val="193"/>
        </w:trPr>
        <w:tc>
          <w:tcPr>
            <w:tcW w:w="410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Finance leases</w:t>
            </w:r>
          </w:p>
        </w:tc>
        <w:tc>
          <w:tcPr>
            <w:tcW w:w="1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(5)</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w:t>
            </w:r>
          </w:p>
        </w:tc>
      </w:tr>
      <w:tr>
        <w:trPr>
          <w:trHeight w:val="193"/>
        </w:trPr>
        <w:tc>
          <w:tcPr>
            <w:tcW w:w="4100" w:type="dxa"/>
            <w:vAlign w:val="bottom"/>
          </w:tcPr>
          <w:p>
            <w:pPr>
              <w:ind w:left="100"/>
              <w:spacing w:after="0" w:line="194" w:lineRule="exact"/>
              <w:rPr>
                <w:sz w:val="20"/>
                <w:szCs w:val="20"/>
                <w:color w:val="auto"/>
              </w:rPr>
            </w:pPr>
            <w:r>
              <w:rPr>
                <w:rFonts w:ascii="Arial" w:cs="Arial" w:eastAsia="Arial" w:hAnsi="Arial"/>
                <w:sz w:val="17"/>
                <w:szCs w:val="17"/>
                <w:color w:val="auto"/>
              </w:rPr>
              <w:t>Operating leases</w:t>
            </w:r>
          </w:p>
        </w:tc>
        <w:tc>
          <w:tcPr>
            <w:tcW w:w="1260" w:type="dxa"/>
            <w:vAlign w:val="bottom"/>
          </w:tcPr>
          <w:p>
            <w:pPr>
              <w:jc w:val="right"/>
              <w:spacing w:after="0" w:line="194" w:lineRule="exact"/>
              <w:rPr>
                <w:sz w:val="20"/>
                <w:szCs w:val="20"/>
                <w:color w:val="auto"/>
              </w:rPr>
            </w:pPr>
            <w:r>
              <w:rPr>
                <w:rFonts w:ascii="Arial" w:cs="Arial" w:eastAsia="Arial" w:hAnsi="Arial"/>
                <w:sz w:val="17"/>
                <w:szCs w:val="17"/>
                <w:color w:val="auto"/>
              </w:rPr>
              <w:t>14</w:t>
            </w:r>
          </w:p>
        </w:tc>
        <w:tc>
          <w:tcPr>
            <w:tcW w:w="160" w:type="dxa"/>
            <w:vAlign w:val="bottom"/>
          </w:tcPr>
          <w:p>
            <w:pPr>
              <w:spacing w:after="0"/>
              <w:rPr>
                <w:sz w:val="16"/>
                <w:szCs w:val="16"/>
                <w:color w:val="auto"/>
              </w:rPr>
            </w:pPr>
          </w:p>
        </w:tc>
        <w:tc>
          <w:tcPr>
            <w:tcW w:w="86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12</w:t>
            </w:r>
          </w:p>
        </w:tc>
      </w:tr>
      <w:tr>
        <w:trPr>
          <w:trHeight w:val="193"/>
        </w:trPr>
        <w:tc>
          <w:tcPr>
            <w:tcW w:w="410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Seasonal leases</w:t>
            </w:r>
          </w:p>
        </w:tc>
        <w:tc>
          <w:tcPr>
            <w:tcW w:w="1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r>
      <w:tr>
        <w:trPr>
          <w:trHeight w:val="186"/>
        </w:trPr>
        <w:tc>
          <w:tcPr>
            <w:tcW w:w="4100" w:type="dxa"/>
            <w:vAlign w:val="bottom"/>
          </w:tcPr>
          <w:p>
            <w:pPr>
              <w:ind w:left="200"/>
              <w:spacing w:after="0" w:line="186" w:lineRule="exact"/>
              <w:rPr>
                <w:sz w:val="20"/>
                <w:szCs w:val="20"/>
                <w:color w:val="auto"/>
              </w:rPr>
            </w:pPr>
            <w:r>
              <w:rPr>
                <w:rFonts w:ascii="Arial" w:cs="Arial" w:eastAsia="Arial" w:hAnsi="Arial"/>
                <w:sz w:val="17"/>
                <w:szCs w:val="17"/>
                <w:color w:val="auto"/>
              </w:rPr>
              <w:t>Sun Country Airlines' Fleet</w:t>
            </w:r>
          </w:p>
        </w:tc>
        <w:tc>
          <w:tcPr>
            <w:tcW w:w="126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31</w:t>
            </w:r>
          </w:p>
        </w:tc>
        <w:tc>
          <w:tcPr>
            <w:tcW w:w="160" w:type="dxa"/>
            <w:vAlign w:val="bottom"/>
          </w:tcPr>
          <w:p>
            <w:pPr>
              <w:spacing w:after="0"/>
              <w:rPr>
                <w:sz w:val="16"/>
                <w:szCs w:val="16"/>
                <w:color w:val="auto"/>
              </w:rPr>
            </w:pPr>
          </w:p>
        </w:tc>
        <w:tc>
          <w:tcPr>
            <w:tcW w:w="70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9</w:t>
            </w:r>
          </w:p>
        </w:tc>
        <w:tc>
          <w:tcPr>
            <w:tcW w:w="160" w:type="dxa"/>
            <w:vAlign w:val="bottom"/>
          </w:tcPr>
          <w:p>
            <w:pPr>
              <w:spacing w:after="0"/>
              <w:rPr>
                <w:sz w:val="16"/>
                <w:szCs w:val="16"/>
                <w:color w:val="auto"/>
              </w:rPr>
            </w:pPr>
          </w:p>
        </w:tc>
        <w:tc>
          <w:tcPr>
            <w:tcW w:w="76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(9)</w:t>
            </w:r>
          </w:p>
        </w:tc>
        <w:tc>
          <w:tcPr>
            <w:tcW w:w="160" w:type="dxa"/>
            <w:vAlign w:val="bottom"/>
          </w:tcPr>
          <w:p>
            <w:pPr>
              <w:spacing w:after="0"/>
              <w:rPr>
                <w:sz w:val="16"/>
                <w:szCs w:val="16"/>
                <w:color w:val="auto"/>
              </w:rPr>
            </w:pPr>
          </w:p>
        </w:tc>
        <w:tc>
          <w:tcPr>
            <w:tcW w:w="94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31</w:t>
            </w:r>
          </w:p>
        </w:tc>
      </w:tr>
      <w:tr>
        <w:trPr>
          <w:trHeight w:val="193"/>
        </w:trPr>
        <w:tc>
          <w:tcPr>
            <w:tcW w:w="4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Cargo:</w:t>
            </w: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3"/>
        </w:trPr>
        <w:tc>
          <w:tcPr>
            <w:tcW w:w="4100" w:type="dxa"/>
            <w:vAlign w:val="bottom"/>
          </w:tcPr>
          <w:p>
            <w:pPr>
              <w:ind w:left="100"/>
              <w:spacing w:after="0" w:line="194" w:lineRule="exact"/>
              <w:rPr>
                <w:sz w:val="20"/>
                <w:szCs w:val="20"/>
                <w:color w:val="auto"/>
              </w:rPr>
            </w:pPr>
            <w:r>
              <w:rPr>
                <w:rFonts w:ascii="Arial" w:cs="Arial" w:eastAsia="Arial" w:hAnsi="Arial"/>
                <w:sz w:val="17"/>
                <w:szCs w:val="17"/>
                <w:color w:val="auto"/>
              </w:rPr>
              <w:t>Aircraft Operated for Amazon</w:t>
            </w:r>
          </w:p>
        </w:tc>
        <w:tc>
          <w:tcPr>
            <w:tcW w:w="142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7</w:t>
            </w:r>
          </w:p>
        </w:tc>
        <w:tc>
          <w:tcPr>
            <w:tcW w:w="160" w:type="dxa"/>
            <w:vAlign w:val="bottom"/>
          </w:tcPr>
          <w:p>
            <w:pPr>
              <w:spacing w:after="0"/>
              <w:rPr>
                <w:sz w:val="16"/>
                <w:szCs w:val="16"/>
                <w:color w:val="auto"/>
              </w:rPr>
            </w:pPr>
          </w:p>
        </w:tc>
        <w:tc>
          <w:tcPr>
            <w:tcW w:w="92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7</w:t>
            </w:r>
          </w:p>
        </w:tc>
      </w:tr>
      <w:tr>
        <w:trPr>
          <w:trHeight w:val="186"/>
        </w:trPr>
        <w:tc>
          <w:tcPr>
            <w:tcW w:w="4100" w:type="dxa"/>
            <w:vAlign w:val="bottom"/>
            <w:tcBorders>
              <w:top w:val="single" w:sz="8" w:color="CCEEFF"/>
              <w:bottom w:val="single" w:sz="8" w:color="CCEEFF"/>
            </w:tcBorders>
            <w:shd w:val="clear" w:color="auto" w:fill="CCEEFF"/>
          </w:tcPr>
          <w:p>
            <w:pPr>
              <w:ind w:left="200"/>
              <w:spacing w:after="0" w:line="186" w:lineRule="exact"/>
              <w:rPr>
                <w:sz w:val="20"/>
                <w:szCs w:val="20"/>
                <w:color w:val="auto"/>
              </w:rPr>
            </w:pPr>
            <w:r>
              <w:rPr>
                <w:rFonts w:ascii="Arial" w:cs="Arial" w:eastAsia="Arial" w:hAnsi="Arial"/>
                <w:sz w:val="17"/>
                <w:szCs w:val="17"/>
                <w:color w:val="auto"/>
              </w:rPr>
              <w:t>Total Aircraft Operated</w:t>
            </w:r>
          </w:p>
        </w:tc>
        <w:tc>
          <w:tcPr>
            <w:tcW w:w="12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38</w:t>
            </w:r>
          </w:p>
        </w:tc>
      </w:tr>
      <w:tr>
        <w:trPr>
          <w:trHeight w:val="20"/>
        </w:trPr>
        <w:tc>
          <w:tcPr>
            <w:tcW w:w="4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360" w:right="59"/>
        <w:spacing w:after="0" w:line="241" w:lineRule="auto"/>
        <w:rPr>
          <w:sz w:val="20"/>
          <w:szCs w:val="20"/>
          <w:color w:val="auto"/>
        </w:rPr>
      </w:pPr>
      <w:r>
        <w:rPr>
          <w:rFonts w:ascii="Arial" w:cs="Arial" w:eastAsia="Arial" w:hAnsi="Arial"/>
          <w:sz w:val="17"/>
          <w:szCs w:val="17"/>
          <w:color w:val="auto"/>
        </w:rPr>
        <w:t>The nine aircraft purchased during the six months ended June 30, 2020 were financed through equipment trust certificates (see Note 7). Two of these aircraft were previously under operating leases, five were previously under finance leases, and the other two aircraft were new to the Company’s fleet. In addition, the Company refinanced three previously owned and financed aircraft in January 2020 utilizing equipment trust certificates (see Note 7).</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left="360" w:right="59"/>
        <w:spacing w:after="0" w:line="249" w:lineRule="auto"/>
        <w:rPr>
          <w:sz w:val="20"/>
          <w:szCs w:val="20"/>
          <w:color w:val="auto"/>
        </w:rPr>
      </w:pPr>
      <w:r>
        <w:rPr>
          <w:rFonts w:ascii="Arial" w:cs="Arial" w:eastAsia="Arial" w:hAnsi="Arial"/>
          <w:sz w:val="17"/>
          <w:szCs w:val="17"/>
          <w:color w:val="auto"/>
        </w:rPr>
        <w:t>As of June 30, 2021, Sun Country operated a fleet of Boeing 737-NG aircraft, consisting of 44 Boeing 737-800s and 1 Boeing 737-700.</w:t>
      </w:r>
    </w:p>
    <w:p>
      <w:pPr>
        <w:spacing w:after="0" w:line="187" w:lineRule="exact"/>
        <w:rPr>
          <w:sz w:val="20"/>
          <w:szCs w:val="20"/>
          <w:color w:val="auto"/>
        </w:rPr>
      </w:pPr>
    </w:p>
    <w:p>
      <w:pPr>
        <w:jc w:val="both"/>
        <w:ind w:left="360" w:right="59"/>
        <w:spacing w:after="0" w:line="241" w:lineRule="auto"/>
        <w:rPr>
          <w:sz w:val="20"/>
          <w:szCs w:val="20"/>
          <w:color w:val="auto"/>
        </w:rPr>
      </w:pPr>
      <w:r>
        <w:rPr>
          <w:rFonts w:ascii="Arial" w:cs="Arial" w:eastAsia="Arial" w:hAnsi="Arial"/>
          <w:sz w:val="17"/>
          <w:szCs w:val="17"/>
          <w:color w:val="auto"/>
        </w:rPr>
        <w:t>The Accumulated Depreciation on owned assets was $67,495 and $52,048 as of June 30, 2021 and December 31, 2020, respectively. Depreciation expense on these assets was $9,642 and $6,370 for the three months ended June 30, 2021 and 2020, respectively. Depreciation expense was $18,442 and $11,491 for the six months ended June 30, 2021 and 2020, respectively.</w:t>
      </w:r>
    </w:p>
    <w:p>
      <w:pPr>
        <w:spacing w:after="0" w:line="195" w:lineRule="exact"/>
        <w:rPr>
          <w:sz w:val="20"/>
          <w:szCs w:val="20"/>
          <w:color w:val="auto"/>
        </w:rPr>
      </w:pPr>
    </w:p>
    <w:p>
      <w:pPr>
        <w:jc w:val="both"/>
        <w:ind w:left="360" w:right="59"/>
        <w:spacing w:after="0" w:line="241" w:lineRule="auto"/>
        <w:rPr>
          <w:sz w:val="20"/>
          <w:szCs w:val="20"/>
          <w:color w:val="auto"/>
        </w:rPr>
      </w:pPr>
      <w:r>
        <w:rPr>
          <w:rFonts w:ascii="Arial" w:cs="Arial" w:eastAsia="Arial" w:hAnsi="Arial"/>
          <w:sz w:val="17"/>
          <w:szCs w:val="17"/>
          <w:color w:val="auto"/>
        </w:rPr>
        <w:t>The Accumulated Amortization on Finance Lease Assets was $21,209 and $13,018 as of June 30, 2021 and December 31, 2020, respectively. Amortization Expense on these assets was $2,692 and $4,665 for the three months ended June 30, 2021 and 2020, respectively. Amortization Expense was $5,384 and $8,955 for the six months ended June 30, 2021 and 2020, respectively.</w:t>
      </w:r>
    </w:p>
    <w:p>
      <w:pPr>
        <w:spacing w:after="0" w:line="195" w:lineRule="exact"/>
        <w:rPr>
          <w:sz w:val="20"/>
          <w:szCs w:val="20"/>
          <w:color w:val="auto"/>
        </w:rPr>
      </w:pPr>
    </w:p>
    <w:p>
      <w:pPr>
        <w:jc w:val="both"/>
        <w:ind w:left="360" w:right="59"/>
        <w:spacing w:after="0" w:line="249" w:lineRule="auto"/>
        <w:rPr>
          <w:sz w:val="20"/>
          <w:szCs w:val="20"/>
          <w:color w:val="auto"/>
        </w:rPr>
      </w:pPr>
      <w:r>
        <w:rPr>
          <w:rFonts w:ascii="Arial" w:cs="Arial" w:eastAsia="Arial" w:hAnsi="Arial"/>
          <w:sz w:val="17"/>
          <w:szCs w:val="17"/>
          <w:color w:val="auto"/>
        </w:rPr>
        <w:t>Depreciation expense on owned assets and amortization expense on Finance Lease Assets are each classified in Depreciation and Amortization on the Condensed Consolidated Statements of Operations.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Aircraft Lease Payment Deferrals</w:t>
      </w:r>
    </w:p>
    <w:p>
      <w:pPr>
        <w:spacing w:after="0" w:line="224" w:lineRule="exact"/>
        <w:rPr>
          <w:sz w:val="20"/>
          <w:szCs w:val="20"/>
          <w:color w:val="auto"/>
        </w:rPr>
      </w:pPr>
    </w:p>
    <w:p>
      <w:pPr>
        <w:jc w:val="both"/>
        <w:ind w:left="360" w:right="59"/>
        <w:spacing w:after="0" w:line="239" w:lineRule="auto"/>
        <w:rPr>
          <w:sz w:val="20"/>
          <w:szCs w:val="20"/>
          <w:color w:val="auto"/>
        </w:rPr>
      </w:pPr>
      <w:r>
        <w:rPr>
          <w:rFonts w:ascii="Arial" w:cs="Arial" w:eastAsia="Arial" w:hAnsi="Arial"/>
          <w:sz w:val="17"/>
          <w:szCs w:val="17"/>
          <w:color w:val="auto"/>
        </w:rPr>
        <w:t>During the year ended December 31, 2020 the Company negotiated rent payment deferrals with a majority of its aircraft lessors due to COVID-19 cash flow impacts. There were no amounts deferred as of June 30, 2021 since the final payments were made in the second quarter of 2021. The amount deferred as of December 31, 2020 was $7,569, consisting of $2,133 under finance leases and $5,436 under operating leases. These deferrals were classified within the current portion of the respective lease liabilities on the Condensed Consolidated Balance Sheet as of December 31, 2020.</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Aircraft Maintenance Deposits Contra-Assets</w:t>
      </w:r>
    </w:p>
    <w:p>
      <w:pPr>
        <w:spacing w:after="0" w:line="224" w:lineRule="exact"/>
        <w:rPr>
          <w:sz w:val="20"/>
          <w:szCs w:val="20"/>
          <w:color w:val="auto"/>
        </w:rPr>
      </w:pPr>
    </w:p>
    <w:p>
      <w:pPr>
        <w:jc w:val="both"/>
        <w:ind w:left="360" w:right="59"/>
        <w:spacing w:after="0" w:line="238" w:lineRule="auto"/>
        <w:rPr>
          <w:sz w:val="20"/>
          <w:szCs w:val="20"/>
          <w:color w:val="auto"/>
        </w:rPr>
      </w:pPr>
      <w:r>
        <w:rPr>
          <w:rFonts w:ascii="Arial" w:cs="Arial" w:eastAsia="Arial" w:hAnsi="Arial"/>
          <w:sz w:val="17"/>
          <w:szCs w:val="17"/>
          <w:color w:val="auto"/>
        </w:rPr>
        <w:t>At April 11, 2018 (the “Acquisition Date”), the Company established a deposit contra-asset to represent the Company’s obligation to perform planned maintenance events on leased aircraft held as of the Acquisition Date. As of June 30, 2021 and December 31, 2020, the remaining balance of the contra-asset was $22,792 and $36,729, respectively. Of the $13,937 reduction in the contra-asset during the six months ended June 30, 2021, $12,749 related to the purchase of six aircrafts previously leased, whereupon the contra-assets and related maintenance deposits were written-off concurrently to Aircraft lease buy-out expense in Special Items, net (see Note 11). For the three months ended June 30, 2021 and 2020, the Company recognized $850 and none respectively, of the contra-asset as a reduction to Maintenance expense on the accompanying Condensed Consolidated Statements of Operations. For the six months ended June 30, 2021 and 2020, the Company recognized $850 and $328, respectively, of the contra-asset as a reduction to Maintenance expense.</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Over-market Liabilities</w:t>
      </w:r>
    </w:p>
    <w:p>
      <w:pPr>
        <w:spacing w:after="0" w:line="224" w:lineRule="exact"/>
        <w:rPr>
          <w:sz w:val="20"/>
          <w:szCs w:val="20"/>
          <w:color w:val="auto"/>
        </w:rPr>
      </w:pPr>
    </w:p>
    <w:p>
      <w:pPr>
        <w:jc w:val="both"/>
        <w:ind w:left="360" w:right="59"/>
        <w:spacing w:after="0" w:line="249" w:lineRule="auto"/>
        <w:rPr>
          <w:sz w:val="20"/>
          <w:szCs w:val="20"/>
          <w:color w:val="auto"/>
        </w:rPr>
      </w:pPr>
      <w:r>
        <w:rPr>
          <w:rFonts w:ascii="Arial" w:cs="Arial" w:eastAsia="Arial" w:hAnsi="Arial"/>
          <w:sz w:val="17"/>
          <w:szCs w:val="17"/>
          <w:color w:val="auto"/>
        </w:rPr>
        <w:t>At the Acquisition Date, the Company acquired liabilities related to its over-market lease rates and over-market maintenance reserve payments.</w:t>
      </w:r>
    </w:p>
    <w:p>
      <w:pPr>
        <w:spacing w:after="0" w:line="187" w:lineRule="exact"/>
        <w:rPr>
          <w:sz w:val="20"/>
          <w:szCs w:val="20"/>
          <w:color w:val="auto"/>
        </w:rPr>
      </w:pPr>
    </w:p>
    <w:p>
      <w:pPr>
        <w:jc w:val="both"/>
        <w:ind w:left="360" w:right="59"/>
        <w:spacing w:after="0" w:line="243" w:lineRule="auto"/>
        <w:rPr>
          <w:sz w:val="20"/>
          <w:szCs w:val="20"/>
          <w:color w:val="auto"/>
        </w:rPr>
      </w:pPr>
      <w:r>
        <w:rPr>
          <w:rFonts w:ascii="Arial" w:cs="Arial" w:eastAsia="Arial" w:hAnsi="Arial"/>
          <w:sz w:val="17"/>
          <w:szCs w:val="17"/>
          <w:color w:val="auto"/>
        </w:rPr>
        <w:t>As of the Acquisition Date, the Company recognized a liability representing lease terms which are unfavorable compared with market terms of similar leases. Upon adopting ASU 2016-02, Leases (Topic 842) effective January 1, 2019, this liability was reclassified as an offset to the Operating Lease Right-of-</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left="360" w:right="59"/>
        <w:spacing w:after="0" w:line="241" w:lineRule="auto"/>
        <w:rPr>
          <w:sz w:val="20"/>
          <w:szCs w:val="20"/>
          <w:color w:val="auto"/>
        </w:rPr>
      </w:pPr>
      <w:r>
        <w:rPr>
          <w:rFonts w:ascii="Arial" w:cs="Arial" w:eastAsia="Arial" w:hAnsi="Arial"/>
          <w:sz w:val="17"/>
          <w:szCs w:val="17"/>
          <w:color w:val="auto"/>
        </w:rPr>
        <w:t>use Assets. The remaining unamortized balance of this contra-asset as of June 30, 2021 and December 31, 2020 was $11,444 and $16,501, respectively and is recorded within Operating Lease Right-of-Use Assets. During the six months ended June 30, 2021, the Company purchased six aircraft which were previously under leases with unfavorable terms, contributing to $3,765 of the decrease.</w:t>
      </w:r>
    </w:p>
    <w:p>
      <w:pPr>
        <w:spacing w:after="0" w:line="195" w:lineRule="exact"/>
        <w:rPr>
          <w:sz w:val="20"/>
          <w:szCs w:val="20"/>
          <w:color w:val="auto"/>
        </w:rPr>
      </w:pPr>
    </w:p>
    <w:p>
      <w:pPr>
        <w:jc w:val="both"/>
        <w:ind w:left="360" w:right="59"/>
        <w:spacing w:after="0" w:line="239" w:lineRule="auto"/>
        <w:rPr>
          <w:sz w:val="20"/>
          <w:szCs w:val="20"/>
          <w:color w:val="auto"/>
        </w:rPr>
      </w:pPr>
      <w:r>
        <w:rPr>
          <w:rFonts w:ascii="Arial" w:cs="Arial" w:eastAsia="Arial" w:hAnsi="Arial"/>
          <w:sz w:val="17"/>
          <w:szCs w:val="17"/>
          <w:color w:val="auto"/>
        </w:rPr>
        <w:t>As of the Acquisition Date, Sun Country’s existing leases included payments for maintenance reserves in addition to the stated aircraft lease payments. For a substantial portion of these maintenance reserve payments, the Company does not expect to be reimbursed by the lessor. Therefore, a liability was established representing over-market maintenance reserve lease terms compared to market terms of similar leases. The remaining balance of this liability at June 30, 2021 and December 31, 2020 was $16,892 and $37,409, respectively. Of the $20,517 reduction in the over-market maintenance reserve liabilities during the six months ended June 30, 2021, $17,435 related to the purchase of six aircrafts previously leased. The over-market liabilities for those aircraft are included in Aircraft lease buy-out expense in Special Items, net (see Note 11).</w:t>
      </w:r>
    </w:p>
    <w:p>
      <w:pPr>
        <w:spacing w:after="0" w:line="196" w:lineRule="exact"/>
        <w:rPr>
          <w:sz w:val="20"/>
          <w:szCs w:val="20"/>
          <w:color w:val="auto"/>
        </w:rPr>
      </w:pPr>
    </w:p>
    <w:p>
      <w:pPr>
        <w:jc w:val="both"/>
        <w:ind w:left="360" w:right="59"/>
        <w:spacing w:after="0" w:line="241" w:lineRule="auto"/>
        <w:rPr>
          <w:sz w:val="20"/>
          <w:szCs w:val="20"/>
          <w:color w:val="auto"/>
        </w:rPr>
      </w:pPr>
      <w:r>
        <w:rPr>
          <w:rFonts w:ascii="Arial" w:cs="Arial" w:eastAsia="Arial" w:hAnsi="Arial"/>
          <w:sz w:val="17"/>
          <w:szCs w:val="17"/>
          <w:color w:val="auto"/>
        </w:rPr>
        <w:t>Aircraft Rent expense for the three months ended June 30, 2021 and 2020, includes credits of $1,618 and $3,726, respectively, for the amortization of over-market liabilities established at the Acquisition Date related to lease rates and maintenance reserves. The Aircraft Rent expense credits for the six months ended June 30, 2021 and 2020 were $4,373 and $7,830, respectively.</w:t>
      </w:r>
    </w:p>
    <w:p>
      <w:pPr>
        <w:spacing w:after="0" w:line="162" w:lineRule="exact"/>
        <w:rPr>
          <w:sz w:val="20"/>
          <w:szCs w:val="20"/>
          <w:color w:val="auto"/>
        </w:rPr>
      </w:pPr>
    </w:p>
    <w:p>
      <w:pPr>
        <w:ind w:left="360" w:hanging="313"/>
        <w:spacing w:after="0"/>
        <w:tabs>
          <w:tab w:leader="none" w:pos="36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04" w:lineRule="exact"/>
        <w:rPr>
          <w:rFonts w:ascii="Arial" w:cs="Arial" w:eastAsia="Arial" w:hAnsi="Arial"/>
          <w:sz w:val="17"/>
          <w:szCs w:val="17"/>
          <w:b w:val="1"/>
          <w:bCs w:val="1"/>
          <w:color w:val="auto"/>
        </w:rPr>
      </w:pPr>
    </w:p>
    <w:p>
      <w:pPr>
        <w:jc w:val="both"/>
        <w:ind w:left="360" w:right="59"/>
        <w:spacing w:after="0" w:line="239" w:lineRule="auto"/>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Lines of Credit </w:t>
      </w:r>
      <w:r>
        <w:rPr>
          <w:rFonts w:ascii="Arial" w:cs="Arial" w:eastAsia="Arial" w:hAnsi="Arial"/>
          <w:sz w:val="17"/>
          <w:szCs w:val="17"/>
          <w:color w:val="auto"/>
        </w:rPr>
        <w:t>– On February 10, 2021, the Company executed a five-year credit agreement with a group of</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that replaced the Company’s prior $25,000 asset-based revolving credit facility (the “ABL Facility”). The agreement provides for a $25,000 Revolving Credit Facility and a $90,000 Delayed Draw Term Loan Facility, which are collectively referred to as the “Credit Facilities.” The interest rate on borrowings is determined by various alternative base rates plus an applicable margin ranging from 4% to 5%. The interest rate currently in effect on the Delayed Draw Term Loan facility is 6%, which is the minimum interest rate allowed under the Credit Facilities agreement. Borrowings on the Delayed Draw Term Loan Facility are subject to possible interest rate adjustment in February 2022. In addition, there is a commitment fee on the unused Revolving Credit Facility of 0.5%. The proceeds from the Revolving Credit Facility can be used for general corporate purposes. The proceeds from the Delayed Draw Term Loan Facility are to be used solely to finance the acquisition of aircraft or engines to be registered in the U.S. During the six months ended June 30, 2021, the Company drew $80,500 on the Delayed Draw Term Loan Facility to purchase six aircrafts, which were previously under operating leases. In June 2021, the Company made its first principal payment on this debt of $1,006, bringing the June 30, 2021 balance to $79,494. The Credit Facilities have financial covenants that require a minimum EBITDAR (ranging from $62,100 as of September 30, 2021, $78,100 as of December 31, 2021, and $87,700 as of March 31, 2022 and beyond) and a minimum liquidity of $30,000 at the close of any business day.</w:t>
      </w:r>
    </w:p>
    <w:p>
      <w:pPr>
        <w:spacing w:after="0" w:line="185" w:lineRule="exact"/>
        <w:rPr>
          <w:rFonts w:ascii="Arial" w:cs="Arial" w:eastAsia="Arial" w:hAnsi="Arial"/>
          <w:sz w:val="17"/>
          <w:szCs w:val="17"/>
          <w:b w:val="1"/>
          <w:bCs w:val="1"/>
          <w:color w:val="auto"/>
        </w:rPr>
      </w:pPr>
    </w:p>
    <w:p>
      <w:pPr>
        <w:jc w:val="both"/>
        <w:ind w:left="360" w:right="59"/>
        <w:spacing w:after="0" w:line="244" w:lineRule="auto"/>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 In December 2019, the Company arranged for the issuance of Class A, Class B and Class C</w:t>
      </w:r>
      <w:r>
        <w:rPr>
          <w:rFonts w:ascii="Arial" w:cs="Arial" w:eastAsia="Arial" w:hAnsi="Arial"/>
          <w:sz w:val="17"/>
          <w:szCs w:val="17"/>
          <w:b w:val="1"/>
          <w:bCs w:val="1"/>
          <w:color w:val="auto"/>
        </w:rPr>
        <w:t xml:space="preserve"> </w:t>
      </w:r>
      <w:r>
        <w:rPr>
          <w:rFonts w:ascii="Arial" w:cs="Arial" w:eastAsia="Arial" w:hAnsi="Arial"/>
          <w:sz w:val="17"/>
          <w:szCs w:val="17"/>
          <w:color w:val="auto"/>
        </w:rPr>
        <w:t>pass-through trust certificates Series 2019-1 (the “2019-1 EETC”), in an aggregate face amount of $248,587 for the purpose of financing or refinancing 13 used aircraft, which was completed in 2020. Payments have been made each June and December, which reduced the balance as of June 30, 2021 to $211,605. The 13 aircraft serve as security for the loan and the total appraised value of these aircraft as of December 2019 was approximately $292,450.</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ind w:left="4400" w:hanging="96"/>
        <w:spacing w:after="0"/>
        <w:tabs>
          <w:tab w:leader="none" w:pos="44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left="360" w:right="59"/>
        <w:spacing w:after="0" w:line="237" w:lineRule="auto"/>
        <w:rPr>
          <w:sz w:val="20"/>
          <w:szCs w:val="20"/>
          <w:color w:val="auto"/>
        </w:rPr>
      </w:pPr>
      <w:r>
        <w:rPr>
          <w:rFonts w:ascii="Arial" w:cs="Arial" w:eastAsia="Arial" w:hAnsi="Arial"/>
          <w:sz w:val="17"/>
          <w:szCs w:val="17"/>
          <w:color w:val="auto"/>
        </w:rPr>
        <w:t xml:space="preserve">Under the CARES Act Loan Program, on October 26, 2020, the Company was awarded a $45,000 loan, which </w:t>
      </w:r>
      <w:r>
        <w:rPr>
          <w:rFonts w:ascii="Arial" w:cs="Arial" w:eastAsia="Arial" w:hAnsi="Arial"/>
          <w:sz w:val="17"/>
          <w:szCs w:val="17"/>
          <w:color w:val="212529"/>
        </w:rPr>
        <w:t xml:space="preserve">was secured by the Company’s loyalty program and certain cash deposit accounts. </w:t>
      </w:r>
      <w:r>
        <w:rPr>
          <w:rFonts w:ascii="Arial" w:cs="Arial" w:eastAsia="Arial" w:hAnsi="Arial"/>
          <w:sz w:val="17"/>
          <w:szCs w:val="17"/>
          <w:color w:val="000000"/>
        </w:rPr>
        <w:t>The loan bore interest at a</w:t>
      </w:r>
      <w:r>
        <w:rPr>
          <w:rFonts w:ascii="Arial" w:cs="Arial" w:eastAsia="Arial" w:hAnsi="Arial"/>
          <w:sz w:val="17"/>
          <w:szCs w:val="17"/>
          <w:color w:val="212529"/>
        </w:rPr>
        <w:t xml:space="preserve"> </w:t>
      </w:r>
      <w:r>
        <w:rPr>
          <w:rFonts w:ascii="Arial" w:cs="Arial" w:eastAsia="Arial" w:hAnsi="Arial"/>
          <w:sz w:val="17"/>
          <w:szCs w:val="17"/>
          <w:color w:val="000000"/>
        </w:rPr>
        <w:t>rate per annum equal to the Adjusted LIBO Rate plus 6.50% and was due to be repaid on the earlier of</w:t>
      </w:r>
    </w:p>
    <w:p>
      <w:pPr>
        <w:spacing w:after="0" w:line="1" w:lineRule="exact"/>
        <w:rPr>
          <w:sz w:val="20"/>
          <w:szCs w:val="20"/>
          <w:color w:val="auto"/>
        </w:rPr>
      </w:pPr>
    </w:p>
    <w:p>
      <w:pPr>
        <w:jc w:val="both"/>
        <w:ind w:left="360" w:right="59" w:hanging="4"/>
        <w:spacing w:after="0" w:line="243" w:lineRule="auto"/>
        <w:tabs>
          <w:tab w:leader="none" w:pos="578" w:val="left"/>
        </w:tabs>
        <w:numPr>
          <w:ilvl w:val="0"/>
          <w:numId w:val="12"/>
        </w:numPr>
        <w:rPr>
          <w:rFonts w:ascii="Arial" w:cs="Arial" w:eastAsia="Arial" w:hAnsi="Arial"/>
          <w:sz w:val="17"/>
          <w:szCs w:val="17"/>
          <w:color w:val="auto"/>
        </w:rPr>
      </w:pPr>
      <w:r>
        <w:rPr>
          <w:rFonts w:ascii="Arial" w:cs="Arial" w:eastAsia="Arial" w:hAnsi="Arial"/>
          <w:sz w:val="17"/>
          <w:szCs w:val="17"/>
          <w:color w:val="auto"/>
        </w:rPr>
        <w:t>October 24, 2025 or (ii) six months prior to the expiration date of any material loyalty program securing the loan. On March 24, 2021, the CARES Act Loan was repaid in full, including outstanding principal and accrued interest for a total repayment amount of $46,260.</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was in compliance with all covenants in its debt agreements at June 30, 2021.</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Long-term Debt included the following:</w:t>
      </w:r>
    </w:p>
    <w:p>
      <w:pPr>
        <w:spacing w:after="0" w:line="194" w:lineRule="exact"/>
        <w:rPr>
          <w:sz w:val="20"/>
          <w:szCs w:val="20"/>
          <w:color w:val="auto"/>
        </w:rPr>
      </w:pPr>
    </w:p>
    <w:p>
      <w:pPr>
        <w:ind w:left="6260"/>
        <w:spacing w:after="0"/>
        <w:tabs>
          <w:tab w:leader="none" w:pos="7340" w:val="left"/>
        </w:tabs>
        <w:rPr>
          <w:sz w:val="20"/>
          <w:szCs w:val="20"/>
          <w:color w:val="auto"/>
        </w:rPr>
      </w:pPr>
      <w:r>
        <w:rPr>
          <w:rFonts w:ascii="Arial" w:cs="Arial" w:eastAsia="Arial" w:hAnsi="Arial"/>
          <w:sz w:val="14"/>
          <w:szCs w:val="14"/>
          <w:b w:val="1"/>
          <w:bCs w:val="1"/>
          <w:color w:val="auto"/>
        </w:rPr>
        <w:t>June 30, 2021</w:t>
      </w:r>
      <w:r>
        <w:rPr>
          <w:sz w:val="20"/>
          <w:szCs w:val="20"/>
          <w:color w:val="auto"/>
        </w:rPr>
        <w:tab/>
      </w:r>
      <w:r>
        <w:rPr>
          <w:rFonts w:ascii="Arial" w:cs="Arial" w:eastAsia="Arial" w:hAnsi="Arial"/>
          <w:sz w:val="13"/>
          <w:szCs w:val="13"/>
          <w:b w:val="1"/>
          <w:bCs w:val="1"/>
          <w:color w:val="auto"/>
        </w:rPr>
        <w:t>December 31, 2020</w:t>
      </w:r>
    </w:p>
    <w:tbl>
      <w:tblPr>
        <w:tblLayout w:type="fixed"/>
        <w:tblInd w:w="40" w:type="dxa"/>
        <w:tblCellMar>
          <w:top w:w="0" w:type="dxa"/>
          <w:left w:w="0" w:type="dxa"/>
          <w:bottom w:w="0" w:type="dxa"/>
          <w:right w:w="0" w:type="dxa"/>
        </w:tblCellMar>
      </w:tblPr>
      <w:tr>
        <w:trPr>
          <w:trHeight w:val="178"/>
        </w:trPr>
        <w:tc>
          <w:tcPr>
            <w:tcW w:w="320" w:type="dxa"/>
            <w:vAlign w:val="bottom"/>
          </w:tcPr>
          <w:p>
            <w:pPr>
              <w:spacing w:after="0"/>
              <w:rPr>
                <w:sz w:val="15"/>
                <w:szCs w:val="15"/>
                <w:color w:val="auto"/>
              </w:rPr>
            </w:pPr>
          </w:p>
        </w:tc>
        <w:tc>
          <w:tcPr>
            <w:tcW w:w="58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7"/>
                <w:szCs w:val="17"/>
                <w:color w:val="auto"/>
              </w:rPr>
              <w:t>Notes payable under the Company's 2019-1 EETC agreement dated</w:t>
            </w: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December 2019, with original loan amounts of $248,587 payable in bi-</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annual installments, in June and December, through December 2027.</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These notes bear interest at an annual rate of between 4.13% and 6.95%</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5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and the weighted average interest rate is 4.78%.</w:t>
            </w:r>
          </w:p>
        </w:tc>
        <w:tc>
          <w:tcPr>
            <w:tcW w:w="200" w:type="dxa"/>
            <w:vAlign w:val="bottom"/>
            <w:shd w:val="clear" w:color="auto" w:fill="CCEEFF"/>
          </w:tcPr>
          <w:p>
            <w:pPr>
              <w:jc w:val="right"/>
              <w:ind w:right="14"/>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211,605</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4"/>
              <w:spacing w:after="0" w:line="194" w:lineRule="exact"/>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227,347</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Delayed Draw Term Loan Facility (see terms and conditions above)</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79,494</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U. S. Department of the Treasury CARES Act Loan (see terms and</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5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conditions above)</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45,419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Notes payable to Wilmington Trust Company. Notes bear interest at an</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annual rate of 8.45% and were scheduled to mature Nov. 2023 to Feb.</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5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2024. In April 2021, these notes were repaid.</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12,506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Other Notes payable. These notes bear interest at an annual rate of</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5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approximately 5.0% and mature March 2029.</w:t>
            </w: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493</w:t>
            </w:r>
          </w:p>
        </w:tc>
        <w:tc>
          <w:tcPr>
            <w:tcW w:w="1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529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Debt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291,592</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285,801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Less: Unamortized debt issuance costs</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(4,113)</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(3,338)</w:t>
            </w: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Less: Current Maturities of Long-term Debt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(19,795)</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(26,118)</w:t>
            </w: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5860" w:type="dxa"/>
            <w:vAlign w:val="bottom"/>
          </w:tcPr>
          <w:p>
            <w:pPr>
              <w:spacing w:after="0" w:line="186" w:lineRule="exact"/>
              <w:rPr>
                <w:sz w:val="20"/>
                <w:szCs w:val="20"/>
                <w:color w:val="auto"/>
              </w:rPr>
            </w:pPr>
            <w:r>
              <w:rPr>
                <w:rFonts w:ascii="Arial" w:cs="Arial" w:eastAsia="Arial" w:hAnsi="Arial"/>
                <w:sz w:val="17"/>
                <w:szCs w:val="17"/>
                <w:color w:val="auto"/>
              </w:rPr>
              <w:t>Total Long-term Debt</w:t>
            </w:r>
          </w:p>
        </w:tc>
        <w:tc>
          <w:tcPr>
            <w:tcW w:w="200" w:type="dxa"/>
            <w:vAlign w:val="bottom"/>
            <w:tcBorders>
              <w:top w:val="single" w:sz="8" w:color="auto"/>
              <w:bottom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267,684</w:t>
            </w:r>
          </w:p>
        </w:tc>
        <w:tc>
          <w:tcPr>
            <w:tcW w:w="16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4"/>
              <w:spacing w:after="0" w:line="186" w:lineRule="exact"/>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256,345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jc w:val="right"/>
              <w:ind w:right="1434"/>
              <w:spacing w:after="0"/>
              <w:rPr>
                <w:sz w:val="20"/>
                <w:szCs w:val="20"/>
                <w:color w:val="auto"/>
              </w:rPr>
            </w:pPr>
            <w:r>
              <w:rPr>
                <w:rFonts w:ascii="Arial" w:cs="Arial" w:eastAsia="Arial" w:hAnsi="Arial"/>
                <w:sz w:val="17"/>
                <w:szCs w:val="17"/>
                <w:color w:val="auto"/>
              </w:rPr>
              <w:t>- 18 -</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61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3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Future maturities of the outstanding Debt are as follows:</w:t>
      </w:r>
    </w:p>
    <w:p>
      <w:pPr>
        <w:spacing w:after="0" w:line="18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Debt Principal</w:t>
            </w:r>
          </w:p>
        </w:tc>
        <w:tc>
          <w:tcPr>
            <w:tcW w:w="1560" w:type="dxa"/>
            <w:vAlign w:val="bottom"/>
            <w:gridSpan w:val="6"/>
          </w:tcPr>
          <w:p>
            <w:pPr>
              <w:ind w:left="20"/>
              <w:spacing w:after="0"/>
              <w:rPr>
                <w:sz w:val="20"/>
                <w:szCs w:val="20"/>
                <w:color w:val="auto"/>
              </w:rPr>
            </w:pPr>
            <w:r>
              <w:rPr>
                <w:rFonts w:ascii="Arial" w:cs="Arial" w:eastAsia="Arial" w:hAnsi="Arial"/>
                <w:sz w:val="14"/>
                <w:szCs w:val="14"/>
                <w:b w:val="1"/>
                <w:bCs w:val="1"/>
                <w:color w:val="auto"/>
              </w:rPr>
              <w:t>Amortization of Debt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Payments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7"/>
              </w:rPr>
              <w:t>Issuance Costs</w:t>
            </w:r>
          </w:p>
        </w:tc>
        <w:tc>
          <w:tcPr>
            <w:tcW w:w="120" w:type="dxa"/>
            <w:vAlign w:val="bottom"/>
          </w:tcPr>
          <w:p>
            <w:pPr>
              <w:spacing w:after="0"/>
              <w:rPr>
                <w:sz w:val="14"/>
                <w:szCs w:val="14"/>
                <w:color w:val="auto"/>
              </w:rPr>
            </w:pPr>
          </w:p>
        </w:tc>
        <w:tc>
          <w:tcPr>
            <w:tcW w:w="720" w:type="dxa"/>
            <w:vAlign w:val="bottom"/>
          </w:tcPr>
          <w:p>
            <w:pPr>
              <w:jc w:val="right"/>
              <w:ind w:right="56"/>
              <w:spacing w:after="0"/>
              <w:rPr>
                <w:sz w:val="20"/>
                <w:szCs w:val="20"/>
                <w:color w:val="auto"/>
              </w:rPr>
            </w:pPr>
            <w:r>
              <w:rPr>
                <w:rFonts w:ascii="Arial" w:cs="Arial" w:eastAsia="Arial" w:hAnsi="Arial"/>
                <w:sz w:val="14"/>
                <w:szCs w:val="14"/>
                <w:b w:val="1"/>
                <w:bCs w:val="1"/>
                <w:color w:val="auto"/>
                <w:w w:val="97"/>
              </w:rPr>
              <w:t>Net Debt</w:t>
            </w:r>
          </w:p>
        </w:tc>
      </w:tr>
      <w:tr>
        <w:trPr>
          <w:trHeight w:val="186"/>
        </w:trPr>
        <w:tc>
          <w:tcPr>
            <w:tcW w:w="470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Remainder of 2021</w:t>
            </w:r>
          </w:p>
        </w:tc>
        <w:tc>
          <w:tcPr>
            <w:tcW w:w="14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10,661</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spacing w:after="0" w:line="186"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(509)</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10,152</w:t>
            </w:r>
          </w:p>
        </w:tc>
      </w:tr>
      <w:tr>
        <w:trPr>
          <w:trHeight w:val="193"/>
        </w:trPr>
        <w:tc>
          <w:tcPr>
            <w:tcW w:w="4700" w:type="dxa"/>
            <w:vAlign w:val="bottom"/>
          </w:tcPr>
          <w:p>
            <w:pPr>
              <w:spacing w:after="0" w:line="194" w:lineRule="exact"/>
              <w:rPr>
                <w:sz w:val="20"/>
                <w:szCs w:val="20"/>
                <w:color w:val="auto"/>
              </w:rPr>
            </w:pPr>
            <w:r>
              <w:rPr>
                <w:rFonts w:ascii="Arial" w:cs="Arial" w:eastAsia="Arial" w:hAnsi="Arial"/>
                <w:sz w:val="17"/>
                <w:szCs w:val="17"/>
                <w:color w:val="auto"/>
              </w:rPr>
              <w:t>2022</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30,367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gridSpan w:val="3"/>
          </w:tcPr>
          <w:p>
            <w:pPr>
              <w:jc w:val="right"/>
              <w:ind w:right="160"/>
              <w:spacing w:after="0" w:line="194" w:lineRule="exact"/>
              <w:rPr>
                <w:sz w:val="20"/>
                <w:szCs w:val="20"/>
                <w:color w:val="auto"/>
              </w:rPr>
            </w:pPr>
            <w:r>
              <w:rPr>
                <w:rFonts w:ascii="Arial" w:cs="Arial" w:eastAsia="Arial" w:hAnsi="Arial"/>
                <w:sz w:val="17"/>
                <w:szCs w:val="17"/>
                <w:color w:val="auto"/>
              </w:rPr>
              <w:t>(983)</w:t>
            </w:r>
          </w:p>
        </w:tc>
        <w:tc>
          <w:tcPr>
            <w:tcW w:w="12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29,384</w:t>
            </w:r>
          </w:p>
        </w:tc>
      </w:tr>
      <w:tr>
        <w:trPr>
          <w:trHeight w:val="193"/>
        </w:trPr>
        <w:tc>
          <w:tcPr>
            <w:tcW w:w="47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2023</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42,358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(908)</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41,450</w:t>
            </w:r>
          </w:p>
        </w:tc>
      </w:tr>
      <w:tr>
        <w:trPr>
          <w:trHeight w:val="193"/>
        </w:trPr>
        <w:tc>
          <w:tcPr>
            <w:tcW w:w="4700" w:type="dxa"/>
            <w:vAlign w:val="bottom"/>
          </w:tcPr>
          <w:p>
            <w:pPr>
              <w:spacing w:after="0" w:line="194" w:lineRule="exact"/>
              <w:rPr>
                <w:sz w:val="20"/>
                <w:szCs w:val="20"/>
                <w:color w:val="auto"/>
              </w:rPr>
            </w:pPr>
            <w:r>
              <w:rPr>
                <w:rFonts w:ascii="Arial" w:cs="Arial" w:eastAsia="Arial" w:hAnsi="Arial"/>
                <w:sz w:val="17"/>
                <w:szCs w:val="17"/>
                <w:color w:val="auto"/>
              </w:rPr>
              <w:t>2024</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44,000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gridSpan w:val="3"/>
          </w:tcPr>
          <w:p>
            <w:pPr>
              <w:jc w:val="right"/>
              <w:ind w:right="160"/>
              <w:spacing w:after="0" w:line="194" w:lineRule="exact"/>
              <w:rPr>
                <w:sz w:val="20"/>
                <w:szCs w:val="20"/>
                <w:color w:val="auto"/>
              </w:rPr>
            </w:pPr>
            <w:r>
              <w:rPr>
                <w:rFonts w:ascii="Arial" w:cs="Arial" w:eastAsia="Arial" w:hAnsi="Arial"/>
                <w:sz w:val="17"/>
                <w:szCs w:val="17"/>
                <w:color w:val="auto"/>
              </w:rPr>
              <w:t>(785)</w:t>
            </w:r>
          </w:p>
        </w:tc>
        <w:tc>
          <w:tcPr>
            <w:tcW w:w="12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43,215</w:t>
            </w:r>
          </w:p>
        </w:tc>
      </w:tr>
      <w:tr>
        <w:trPr>
          <w:trHeight w:val="193"/>
        </w:trPr>
        <w:tc>
          <w:tcPr>
            <w:tcW w:w="47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2025</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49,087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(670)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48,417</w:t>
            </w:r>
          </w:p>
        </w:tc>
      </w:tr>
      <w:tr>
        <w:trPr>
          <w:trHeight w:val="193"/>
        </w:trPr>
        <w:tc>
          <w:tcPr>
            <w:tcW w:w="4700" w:type="dxa"/>
            <w:vAlign w:val="bottom"/>
          </w:tcPr>
          <w:p>
            <w:pPr>
              <w:spacing w:after="0" w:line="194" w:lineRule="exact"/>
              <w:rPr>
                <w:sz w:val="20"/>
                <w:szCs w:val="20"/>
                <w:color w:val="auto"/>
              </w:rPr>
            </w:pPr>
            <w:r>
              <w:rPr>
                <w:rFonts w:ascii="Arial" w:cs="Arial" w:eastAsia="Arial" w:hAnsi="Arial"/>
                <w:sz w:val="17"/>
                <w:szCs w:val="17"/>
                <w:color w:val="auto"/>
              </w:rPr>
              <w:t>Thereafter</w:t>
            </w:r>
          </w:p>
        </w:tc>
        <w:tc>
          <w:tcPr>
            <w:tcW w:w="14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115,119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gridSpan w:val="3"/>
          </w:tcPr>
          <w:p>
            <w:pPr>
              <w:jc w:val="right"/>
              <w:ind w:right="160"/>
              <w:spacing w:after="0" w:line="194" w:lineRule="exact"/>
              <w:rPr>
                <w:sz w:val="20"/>
                <w:szCs w:val="20"/>
                <w:color w:val="auto"/>
              </w:rPr>
            </w:pPr>
            <w:r>
              <w:rPr>
                <w:rFonts w:ascii="Arial" w:cs="Arial" w:eastAsia="Arial" w:hAnsi="Arial"/>
                <w:sz w:val="17"/>
                <w:szCs w:val="17"/>
                <w:color w:val="auto"/>
              </w:rPr>
              <w:t>(258)</w:t>
            </w:r>
          </w:p>
        </w:tc>
        <w:tc>
          <w:tcPr>
            <w:tcW w:w="12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114,861</w:t>
            </w:r>
          </w:p>
        </w:tc>
      </w:tr>
      <w:tr>
        <w:trPr>
          <w:trHeight w:val="186"/>
        </w:trPr>
        <w:tc>
          <w:tcPr>
            <w:tcW w:w="4700" w:type="dxa"/>
            <w:vAlign w:val="bottom"/>
            <w:tcBorders>
              <w:top w:val="single" w:sz="8" w:color="CCEEFF"/>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Total as of June 30, 2021</w:t>
            </w:r>
          </w:p>
        </w:tc>
        <w:tc>
          <w:tcPr>
            <w:tcW w:w="140" w:type="dxa"/>
            <w:vAlign w:val="bottom"/>
            <w:tcBorders>
              <w:top w:val="single" w:sz="8" w:color="auto"/>
              <w:bottom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291,592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gridSpan w:val="2"/>
            <w:shd w:val="clear" w:color="auto" w:fill="CCEEFF"/>
          </w:tcPr>
          <w:p>
            <w:pPr>
              <w:spacing w:after="0" w:line="186" w:lineRule="exact"/>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gridSpan w:val="3"/>
            <w:shd w:val="clear" w:color="auto" w:fill="CCEEFF"/>
          </w:tcPr>
          <w:p>
            <w:pPr>
              <w:jc w:val="right"/>
              <w:spacing w:after="0" w:line="186" w:lineRule="exact"/>
              <w:rPr>
                <w:sz w:val="20"/>
                <w:szCs w:val="20"/>
                <w:color w:val="auto"/>
              </w:rPr>
            </w:pPr>
            <w:r>
              <w:rPr>
                <w:rFonts w:ascii="Arial" w:cs="Arial" w:eastAsia="Arial" w:hAnsi="Arial"/>
                <w:sz w:val="17"/>
                <w:szCs w:val="17"/>
                <w:color w:val="auto"/>
              </w:rPr>
              <w:t>(4,113)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287,479</w:t>
            </w: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77"/>
        </w:trPr>
        <w:tc>
          <w:tcPr>
            <w:tcW w:w="5840" w:type="dxa"/>
            <w:vAlign w:val="bottom"/>
            <w:gridSpan w:val="4"/>
          </w:tcPr>
          <w:p>
            <w:pPr>
              <w:spacing w:after="0"/>
              <w:rPr>
                <w:sz w:val="20"/>
                <w:szCs w:val="20"/>
                <w:color w:val="auto"/>
              </w:rPr>
            </w:pPr>
            <w:r>
              <w:rPr>
                <w:rFonts w:ascii="Arial" w:cs="Arial" w:eastAsia="Arial" w:hAnsi="Arial"/>
                <w:sz w:val="17"/>
                <w:szCs w:val="17"/>
                <w:color w:val="auto"/>
              </w:rPr>
              <w:t>The table below presents the Company’s debt measured at fair value: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0"/>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7"/>
          </w:tcPr>
          <w:p>
            <w:pPr>
              <w:spacing w:after="0"/>
              <w:rPr>
                <w:sz w:val="20"/>
                <w:szCs w:val="20"/>
                <w:color w:val="auto"/>
              </w:rPr>
            </w:pPr>
            <w:r>
              <w:rPr>
                <w:rFonts w:ascii="Arial" w:cs="Arial" w:eastAsia="Arial" w:hAnsi="Arial"/>
                <w:sz w:val="14"/>
                <w:szCs w:val="14"/>
                <w:b w:val="1"/>
                <w:bCs w:val="1"/>
                <w:color w:val="auto"/>
              </w:rPr>
              <w:t>June 30, 2021   December 31, 2020</w:t>
            </w:r>
          </w:p>
        </w:tc>
      </w:tr>
      <w:tr>
        <w:trPr>
          <w:trHeight w:val="186"/>
        </w:trPr>
        <w:tc>
          <w:tcPr>
            <w:tcW w:w="4700" w:type="dxa"/>
            <w:vAlign w:val="bottom"/>
            <w:tcBorders>
              <w:top w:val="single" w:sz="8" w:color="CCEEFF"/>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Carrying Amount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291,592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74"/>
              <w:spacing w:after="0" w:line="186" w:lineRule="exact"/>
              <w:rPr>
                <w:sz w:val="20"/>
                <w:szCs w:val="20"/>
                <w:color w:val="auto"/>
              </w:rPr>
            </w:pPr>
            <w:r>
              <w:rPr>
                <w:rFonts w:ascii="Arial" w:cs="Arial" w:eastAsia="Arial" w:hAnsi="Arial"/>
                <w:sz w:val="17"/>
                <w:szCs w:val="17"/>
                <w:color w:val="auto"/>
                <w:w w:val="84"/>
              </w:rPr>
              <w:t>$</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285,801</w:t>
            </w:r>
          </w:p>
        </w:tc>
      </w:tr>
      <w:tr>
        <w:trPr>
          <w:trHeight w:val="20"/>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2"/>
        </w:trPr>
        <w:tc>
          <w:tcPr>
            <w:tcW w:w="4700" w:type="dxa"/>
            <w:vAlign w:val="bottom"/>
          </w:tcPr>
          <w:p>
            <w:pPr>
              <w:spacing w:after="0" w:line="172" w:lineRule="exact"/>
              <w:rPr>
                <w:sz w:val="20"/>
                <w:szCs w:val="20"/>
                <w:color w:val="auto"/>
              </w:rPr>
            </w:pPr>
            <w:r>
              <w:rPr>
                <w:rFonts w:ascii="Arial" w:cs="Arial" w:eastAsia="Arial" w:hAnsi="Arial"/>
                <w:sz w:val="17"/>
                <w:szCs w:val="17"/>
                <w:color w:val="auto"/>
              </w:rPr>
              <w:t>Fair Value</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72"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7"/>
                <w:szCs w:val="17"/>
                <w:color w:val="auto"/>
              </w:rPr>
              <w:t>281,640</w:t>
            </w:r>
          </w:p>
        </w:tc>
        <w:tc>
          <w:tcPr>
            <w:tcW w:w="1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74"/>
              <w:spacing w:after="0" w:line="172" w:lineRule="exact"/>
              <w:rPr>
                <w:sz w:val="20"/>
                <w:szCs w:val="20"/>
                <w:color w:val="auto"/>
              </w:rPr>
            </w:pPr>
            <w:r>
              <w:rPr>
                <w:rFonts w:ascii="Arial" w:cs="Arial" w:eastAsia="Arial" w:hAnsi="Arial"/>
                <w:sz w:val="17"/>
                <w:szCs w:val="17"/>
                <w:color w:val="auto"/>
                <w:w w:val="84"/>
              </w:rPr>
              <w:t>$</w:t>
            </w: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7"/>
                <w:szCs w:val="17"/>
                <w:color w:val="auto"/>
              </w:rPr>
              <w:t>279,119</w:t>
            </w:r>
          </w:p>
        </w:tc>
      </w:tr>
      <w:tr>
        <w:trPr>
          <w:trHeight w:val="20"/>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360" w:right="59"/>
        <w:spacing w:after="0" w:line="243" w:lineRule="auto"/>
        <w:rPr>
          <w:sz w:val="20"/>
          <w:szCs w:val="20"/>
          <w:color w:val="auto"/>
        </w:rPr>
      </w:pPr>
      <w:r>
        <w:rPr>
          <w:rFonts w:ascii="Arial" w:cs="Arial" w:eastAsia="Arial" w:hAnsi="Arial"/>
          <w:sz w:val="17"/>
          <w:szCs w:val="17"/>
          <w:color w:val="auto"/>
        </w:rPr>
        <w:t>The fair value of the Company’s debt was based on the discounted amount of future cash flows using the Company’s end-of-period incremental borrowing rate for similar obligations. The estimates were primarily based on Level 3 inputs.</w:t>
      </w:r>
    </w:p>
    <w:p>
      <w:pPr>
        <w:spacing w:after="0" w:line="160" w:lineRule="exact"/>
        <w:rPr>
          <w:sz w:val="20"/>
          <w:szCs w:val="20"/>
          <w:color w:val="auto"/>
        </w:rPr>
      </w:pPr>
    </w:p>
    <w:p>
      <w:pPr>
        <w:ind w:left="360" w:hanging="313"/>
        <w:spacing w:after="0"/>
        <w:tabs>
          <w:tab w:leader="none" w:pos="3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FUEL DERIVATIVES AND RISK MANAGEMENT</w:t>
      </w:r>
    </w:p>
    <w:p>
      <w:pPr>
        <w:spacing w:after="0" w:line="224" w:lineRule="exact"/>
        <w:rPr>
          <w:rFonts w:ascii="Arial" w:cs="Arial" w:eastAsia="Arial" w:hAnsi="Arial"/>
          <w:sz w:val="17"/>
          <w:szCs w:val="17"/>
          <w:b w:val="1"/>
          <w:bCs w:val="1"/>
          <w:color w:val="auto"/>
        </w:rPr>
      </w:pPr>
    </w:p>
    <w:p>
      <w:pPr>
        <w:jc w:val="both"/>
        <w:ind w:left="360" w:right="59"/>
        <w:spacing w:after="0" w:line="241" w:lineRule="auto"/>
        <w:rPr>
          <w:rFonts w:ascii="Arial" w:cs="Arial" w:eastAsia="Arial" w:hAnsi="Arial"/>
          <w:sz w:val="17"/>
          <w:szCs w:val="17"/>
          <w:b w:val="1"/>
          <w:bCs w:val="1"/>
          <w:color w:val="auto"/>
        </w:rPr>
      </w:pPr>
      <w:r>
        <w:rPr>
          <w:rFonts w:ascii="Arial" w:cs="Arial" w:eastAsia="Arial" w:hAnsi="Arial"/>
          <w:sz w:val="17"/>
          <w:szCs w:val="17"/>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194" w:lineRule="exact"/>
        <w:rPr>
          <w:rFonts w:ascii="Arial" w:cs="Arial" w:eastAsia="Arial" w:hAnsi="Arial"/>
          <w:sz w:val="17"/>
          <w:szCs w:val="17"/>
          <w:b w:val="1"/>
          <w:bCs w:val="1"/>
          <w:color w:val="auto"/>
        </w:rPr>
      </w:pPr>
    </w:p>
    <w:p>
      <w:pPr>
        <w:jc w:val="both"/>
        <w:ind w:left="360" w:right="59"/>
        <w:spacing w:after="0"/>
        <w:rPr>
          <w:rFonts w:ascii="Arial" w:cs="Arial" w:eastAsia="Arial" w:hAnsi="Arial"/>
          <w:sz w:val="17"/>
          <w:szCs w:val="17"/>
          <w:b w:val="1"/>
          <w:bCs w:val="1"/>
          <w:color w:val="auto"/>
        </w:rPr>
      </w:pPr>
      <w:r>
        <w:rPr>
          <w:rFonts w:ascii="Arial" w:cs="Arial" w:eastAsia="Arial" w:hAnsi="Arial"/>
          <w:sz w:val="17"/>
          <w:szCs w:val="17"/>
          <w:color w:val="auto"/>
        </w:rPr>
        <w:t>Fuel derivative contracts are recognized at fair value on the Condensed Consolidated Balance Sheets as Derivative Assets, if the fair value is in an asset position, or as Derivative Liabilities, if the fair value is in a liability position. The Company did not have any collateral held by counterparties to these agreements as of June 30, 2021 and December 31, 2020. Derivatives where the payment due date is greater than one year from the balance sheet date are classified as long-term.</w:t>
      </w:r>
    </w:p>
    <w:p>
      <w:pPr>
        <w:spacing w:after="0" w:line="195"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color w:val="auto"/>
        </w:rPr>
        <w:t>Changes in Derivative Assets (Liabilities) were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6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8"/>
              <w:spacing w:after="0" w:line="148"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8"/>
              <w:spacing w:after="0" w:line="148"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29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Balance - January 1</w:t>
            </w:r>
          </w:p>
        </w:tc>
        <w:tc>
          <w:tcPr>
            <w:tcW w:w="34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(1,174)</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2,233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2940" w:type="dxa"/>
            <w:vAlign w:val="bottom"/>
          </w:tcPr>
          <w:p>
            <w:pPr>
              <w:spacing w:after="0" w:line="194" w:lineRule="exact"/>
              <w:rPr>
                <w:sz w:val="20"/>
                <w:szCs w:val="20"/>
                <w:color w:val="auto"/>
              </w:rPr>
            </w:pPr>
            <w:r>
              <w:rPr>
                <w:rFonts w:ascii="Arial" w:cs="Arial" w:eastAsia="Arial" w:hAnsi="Arial"/>
                <w:sz w:val="17"/>
                <w:szCs w:val="17"/>
                <w:color w:val="auto"/>
              </w:rPr>
              <w:t>Non-cash Gains (Losses)</w:t>
            </w:r>
          </w:p>
        </w:tc>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auto"/>
              </w:rPr>
              <w:t>3,599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(16,056)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29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Contract Settlements</w:t>
            </w:r>
          </w:p>
        </w:tc>
        <w:tc>
          <w:tcPr>
            <w:tcW w:w="3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(827)</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4,990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2940" w:type="dxa"/>
            <w:vAlign w:val="bottom"/>
          </w:tcPr>
          <w:p>
            <w:pPr>
              <w:spacing w:after="0" w:line="186" w:lineRule="exact"/>
              <w:rPr>
                <w:sz w:val="20"/>
                <w:szCs w:val="20"/>
                <w:color w:val="auto"/>
              </w:rPr>
            </w:pPr>
            <w:r>
              <w:rPr>
                <w:rFonts w:ascii="Arial" w:cs="Arial" w:eastAsia="Arial" w:hAnsi="Arial"/>
                <w:sz w:val="17"/>
                <w:szCs w:val="17"/>
                <w:color w:val="auto"/>
              </w:rPr>
              <w:t>Balance - June 30</w:t>
            </w:r>
          </w:p>
        </w:tc>
        <w:tc>
          <w:tcPr>
            <w:tcW w:w="34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1,598</w:t>
            </w:r>
          </w:p>
        </w:tc>
        <w:tc>
          <w:tcPr>
            <w:tcW w:w="1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(8,833)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0" w:type="dxa"/>
            <w:vAlign w:val="bottom"/>
            <w:vMerge w:val="restart"/>
          </w:tcPr>
          <w:p>
            <w:pPr>
              <w:jc w:val="right"/>
              <w:ind w:right="1914"/>
              <w:spacing w:after="0"/>
              <w:rPr>
                <w:sz w:val="20"/>
                <w:szCs w:val="20"/>
                <w:color w:val="auto"/>
              </w:rPr>
            </w:pPr>
            <w:r>
              <w:rPr>
                <w:rFonts w:ascii="Arial" w:cs="Arial" w:eastAsia="Arial" w:hAnsi="Arial"/>
                <w:sz w:val="17"/>
                <w:szCs w:val="17"/>
                <w:color w:val="auto"/>
              </w:rPr>
              <w:t>- 19 -</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9" w:name="page20"/>
    <w:bookmarkEnd w:id="1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Fuel Derivative Gains (Losses) consisted of the following:</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4200" w:type="dxa"/>
            <w:vAlign w:val="bottom"/>
          </w:tcPr>
          <w:p>
            <w:pPr>
              <w:spacing w:after="0"/>
              <w:rPr>
                <w:sz w:val="14"/>
                <w:szCs w:val="14"/>
                <w:color w:val="auto"/>
              </w:rPr>
            </w:pPr>
          </w:p>
        </w:tc>
        <w:tc>
          <w:tcPr>
            <w:tcW w:w="21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86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8"/>
        </w:trPr>
        <w:tc>
          <w:tcPr>
            <w:tcW w:w="4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8"/>
              <w:spacing w:after="0" w:line="148"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8"/>
              <w:spacing w:after="0" w:line="148"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8"/>
              <w:spacing w:after="0" w:line="148"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8"/>
              <w:spacing w:after="0" w:line="148" w:lineRule="exact"/>
              <w:rPr>
                <w:sz w:val="20"/>
                <w:szCs w:val="20"/>
                <w:color w:val="auto"/>
              </w:rPr>
            </w:pPr>
            <w:r>
              <w:rPr>
                <w:rFonts w:ascii="Arial" w:cs="Arial" w:eastAsia="Arial" w:hAnsi="Arial"/>
                <w:sz w:val="14"/>
                <w:szCs w:val="14"/>
                <w:b w:val="1"/>
                <w:bCs w:val="1"/>
                <w:color w:val="auto"/>
              </w:rPr>
              <w:t>2020</w:t>
            </w:r>
          </w:p>
        </w:tc>
      </w:tr>
      <w:tr>
        <w:trPr>
          <w:trHeight w:val="186"/>
        </w:trPr>
        <w:tc>
          <w:tcPr>
            <w:tcW w:w="42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Non-cash Gains (Losses)</w:t>
            </w:r>
          </w:p>
        </w:tc>
        <w:tc>
          <w:tcPr>
            <w:tcW w:w="200" w:type="dxa"/>
            <w:vAlign w:val="bottom"/>
            <w:shd w:val="clear" w:color="auto" w:fill="CCEEFF"/>
          </w:tcPr>
          <w:p>
            <w:pPr>
              <w:jc w:val="right"/>
              <w:ind w:right="20"/>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1,213</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4"/>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5,695</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3,599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(16,056)</w:t>
            </w:r>
          </w:p>
        </w:tc>
      </w:tr>
      <w:tr>
        <w:trPr>
          <w:trHeight w:val="193"/>
        </w:trPr>
        <w:tc>
          <w:tcPr>
            <w:tcW w:w="4200" w:type="dxa"/>
            <w:vAlign w:val="bottom"/>
          </w:tcPr>
          <w:p>
            <w:pPr>
              <w:spacing w:after="0" w:line="194" w:lineRule="exact"/>
              <w:rPr>
                <w:sz w:val="20"/>
                <w:szCs w:val="20"/>
                <w:color w:val="auto"/>
              </w:rPr>
            </w:pPr>
            <w:r>
              <w:rPr>
                <w:rFonts w:ascii="Arial" w:cs="Arial" w:eastAsia="Arial" w:hAnsi="Arial"/>
                <w:sz w:val="17"/>
                <w:szCs w:val="17"/>
                <w:color w:val="auto"/>
              </w:rPr>
              <w:t>Cash Premiums Paid</w:t>
            </w:r>
          </w:p>
        </w:tc>
        <w:tc>
          <w:tcPr>
            <w:tcW w:w="200" w:type="dxa"/>
            <w:vAlign w:val="bottom"/>
          </w:tcPr>
          <w:p>
            <w:pPr>
              <w:spacing w:after="0"/>
              <w:rPr>
                <w:sz w:val="16"/>
                <w:szCs w:val="16"/>
                <w:color w:val="auto"/>
              </w:rPr>
            </w:pPr>
          </w:p>
        </w:tc>
        <w:tc>
          <w:tcPr>
            <w:tcW w:w="90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(1,617)</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(1,901)</w:t>
            </w:r>
          </w:p>
        </w:tc>
      </w:tr>
      <w:tr>
        <w:trPr>
          <w:trHeight w:val="186"/>
        </w:trPr>
        <w:tc>
          <w:tcPr>
            <w:tcW w:w="4200" w:type="dxa"/>
            <w:vAlign w:val="bottom"/>
            <w:tcBorders>
              <w:top w:val="single" w:sz="8" w:color="CCEEFF"/>
              <w:bottom w:val="single" w:sz="8" w:color="CCEEFF"/>
            </w:tcBorders>
            <w:shd w:val="clear" w:color="auto" w:fill="CCEEFF"/>
          </w:tcPr>
          <w:p>
            <w:pPr>
              <w:ind w:left="100"/>
              <w:spacing w:after="0" w:line="186" w:lineRule="exact"/>
              <w:rPr>
                <w:sz w:val="20"/>
                <w:szCs w:val="20"/>
                <w:color w:val="auto"/>
              </w:rPr>
            </w:pPr>
            <w:r>
              <w:rPr>
                <w:rFonts w:ascii="Arial" w:cs="Arial" w:eastAsia="Arial" w:hAnsi="Arial"/>
                <w:sz w:val="17"/>
                <w:szCs w:val="17"/>
                <w:color w:val="auto"/>
              </w:rPr>
              <w:t>Total Fuel Derivative Gains (Losses)</w:t>
            </w:r>
          </w:p>
        </w:tc>
        <w:tc>
          <w:tcPr>
            <w:tcW w:w="200" w:type="dxa"/>
            <w:vAlign w:val="bottom"/>
            <w:tcBorders>
              <w:top w:val="single" w:sz="8" w:color="auto"/>
              <w:bottom w:val="single" w:sz="8" w:color="auto"/>
            </w:tcBorders>
            <w:shd w:val="clear" w:color="auto" w:fill="CCEEFF"/>
          </w:tcPr>
          <w:p>
            <w:pPr>
              <w:jc w:val="right"/>
              <w:ind w:right="20"/>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1,213</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34"/>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4,078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ind w:left="20"/>
              <w:spacing w:after="0" w:line="186"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3,599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(17,957)</w:t>
            </w: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right="59"/>
        <w:spacing w:after="0" w:line="249" w:lineRule="auto"/>
        <w:rPr>
          <w:sz w:val="20"/>
          <w:szCs w:val="20"/>
          <w:color w:val="auto"/>
        </w:rPr>
      </w:pPr>
      <w:r>
        <w:rPr>
          <w:rFonts w:ascii="Arial" w:cs="Arial" w:eastAsia="Arial" w:hAnsi="Arial"/>
          <w:sz w:val="17"/>
          <w:szCs w:val="17"/>
          <w:color w:val="auto"/>
        </w:rPr>
        <w:t>Fuel derivative gains and losses are classified in Aircraft Fuel on the Condensed Consolidated Statements of Operations.</w:t>
      </w:r>
    </w:p>
    <w:p>
      <w:pPr>
        <w:spacing w:after="0" w:line="187" w:lineRule="exact"/>
        <w:rPr>
          <w:sz w:val="20"/>
          <w:szCs w:val="20"/>
          <w:color w:val="auto"/>
        </w:rPr>
      </w:pPr>
    </w:p>
    <w:p>
      <w:pPr>
        <w:ind w:left="360" w:right="59"/>
        <w:spacing w:after="0" w:line="249" w:lineRule="auto"/>
        <w:rPr>
          <w:sz w:val="20"/>
          <w:szCs w:val="20"/>
          <w:color w:val="auto"/>
        </w:rPr>
      </w:pPr>
      <w:r>
        <w:rPr>
          <w:rFonts w:ascii="Arial" w:cs="Arial" w:eastAsia="Arial" w:hAnsi="Arial"/>
          <w:sz w:val="17"/>
          <w:szCs w:val="17"/>
          <w:color w:val="auto"/>
        </w:rPr>
        <w:t>As of June 30, 2021, the Company had outstanding fuel derivative contracts covering 5.8 million gallons of crude oil and jet fuel that will settle between July 2021 and September 2021.</w:t>
      </w:r>
    </w:p>
    <w:p>
      <w:pPr>
        <w:spacing w:after="0" w:line="155" w:lineRule="exact"/>
        <w:rPr>
          <w:sz w:val="20"/>
          <w:szCs w:val="20"/>
          <w:color w:val="auto"/>
        </w:rPr>
      </w:pPr>
    </w:p>
    <w:p>
      <w:pPr>
        <w:ind w:left="360" w:hanging="313"/>
        <w:spacing w:after="0"/>
        <w:tabs>
          <w:tab w:leader="none" w:pos="3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24" w:lineRule="exact"/>
        <w:rPr>
          <w:rFonts w:ascii="Arial" w:cs="Arial" w:eastAsia="Arial" w:hAnsi="Arial"/>
          <w:sz w:val="17"/>
          <w:szCs w:val="17"/>
          <w:b w:val="1"/>
          <w:bCs w:val="1"/>
          <w:color w:val="auto"/>
        </w:rPr>
      </w:pPr>
    </w:p>
    <w:p>
      <w:pPr>
        <w:jc w:val="both"/>
        <w:ind w:left="360" w:right="59"/>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199" w:lineRule="exact"/>
        <w:rPr>
          <w:sz w:val="20"/>
          <w:szCs w:val="20"/>
          <w:color w:val="auto"/>
        </w:rPr>
      </w:pPr>
    </w:p>
    <w:p>
      <w:pPr>
        <w:ind w:left="980"/>
        <w:spacing w:after="0"/>
        <w:rPr>
          <w:sz w:val="20"/>
          <w:szCs w:val="20"/>
          <w:color w:val="auto"/>
        </w:rPr>
      </w:pPr>
      <w:r>
        <w:rPr>
          <w:rFonts w:ascii="Arial" w:cs="Arial" w:eastAsia="Arial" w:hAnsi="Arial"/>
          <w:sz w:val="17"/>
          <w:szCs w:val="17"/>
          <w:u w:val="single" w:color="auto"/>
          <w:color w:val="auto"/>
        </w:rPr>
        <w:t>Level 1</w:t>
      </w:r>
      <w:r>
        <w:rPr>
          <w:rFonts w:ascii="Arial" w:cs="Arial" w:eastAsia="Arial" w:hAnsi="Arial"/>
          <w:sz w:val="17"/>
          <w:szCs w:val="17"/>
          <w:color w:val="auto"/>
        </w:rPr>
        <w:t xml:space="preserve"> – Quoted prices for identical assets or liabilities in active markets.</w:t>
      </w:r>
    </w:p>
    <w:p>
      <w:pPr>
        <w:spacing w:after="0" w:line="204" w:lineRule="exact"/>
        <w:rPr>
          <w:sz w:val="20"/>
          <w:szCs w:val="20"/>
          <w:color w:val="auto"/>
        </w:rPr>
      </w:pPr>
    </w:p>
    <w:p>
      <w:pPr>
        <w:jc w:val="both"/>
        <w:ind w:left="1900" w:right="59" w:hanging="931"/>
        <w:spacing w:after="0" w:line="241"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195" w:lineRule="exact"/>
        <w:rPr>
          <w:sz w:val="20"/>
          <w:szCs w:val="20"/>
          <w:color w:val="auto"/>
        </w:rPr>
      </w:pPr>
    </w:p>
    <w:p>
      <w:pPr>
        <w:jc w:val="both"/>
        <w:ind w:left="1900" w:right="59" w:hanging="931"/>
        <w:spacing w:after="0" w:line="249" w:lineRule="auto"/>
        <w:rPr>
          <w:sz w:val="20"/>
          <w:szCs w:val="20"/>
          <w:color w:val="auto"/>
        </w:rPr>
      </w:pPr>
      <w:r>
        <w:rPr>
          <w:rFonts w:ascii="Arial" w:cs="Arial" w:eastAsia="Arial" w:hAnsi="Arial"/>
          <w:sz w:val="17"/>
          <w:szCs w:val="17"/>
          <w:u w:val="single" w:color="auto"/>
          <w:color w:val="auto"/>
        </w:rPr>
        <w:t>Level 3</w:t>
      </w:r>
      <w:r>
        <w:rPr>
          <w:rFonts w:ascii="Arial" w:cs="Arial" w:eastAsia="Arial" w:hAnsi="Arial"/>
          <w:sz w:val="17"/>
          <w:szCs w:val="17"/>
          <w:color w:val="auto"/>
        </w:rPr>
        <w:t xml:space="preserve"> – Unobservable inputs that are supported by little or no market activity and that are significant to the fair value of the assets or liabilities.</w:t>
      </w:r>
    </w:p>
    <w:p>
      <w:pPr>
        <w:spacing w:after="0" w:line="187" w:lineRule="exact"/>
        <w:rPr>
          <w:sz w:val="20"/>
          <w:szCs w:val="20"/>
          <w:color w:val="auto"/>
        </w:rPr>
      </w:pPr>
    </w:p>
    <w:p>
      <w:pPr>
        <w:jc w:val="both"/>
        <w:ind w:left="360" w:right="59"/>
        <w:spacing w:after="0" w:line="249" w:lineRule="auto"/>
        <w:rPr>
          <w:sz w:val="20"/>
          <w:szCs w:val="20"/>
          <w:color w:val="auto"/>
        </w:rPr>
      </w:pPr>
      <w:r>
        <w:rPr>
          <w:rFonts w:ascii="Arial" w:cs="Arial" w:eastAsia="Arial" w:hAnsi="Arial"/>
          <w:sz w:val="17"/>
          <w:szCs w:val="17"/>
          <w:color w:val="auto"/>
        </w:rPr>
        <w:t>The Company uses the following valuation methodologies for financial instruments measured at fair value on a recurring basis.</w:t>
      </w:r>
    </w:p>
    <w:p>
      <w:pPr>
        <w:spacing w:after="0" w:line="167" w:lineRule="exact"/>
        <w:rPr>
          <w:sz w:val="20"/>
          <w:szCs w:val="20"/>
          <w:color w:val="auto"/>
        </w:rPr>
      </w:pPr>
    </w:p>
    <w:p>
      <w:pPr>
        <w:jc w:val="both"/>
        <w:ind w:left="360" w:right="59"/>
        <w:spacing w:after="0" w:line="249" w:lineRule="auto"/>
        <w:rPr>
          <w:sz w:val="20"/>
          <w:szCs w:val="20"/>
          <w:color w:val="auto"/>
        </w:rPr>
      </w:pPr>
      <w:r>
        <w:rPr>
          <w:rFonts w:ascii="Arial" w:cs="Arial" w:eastAsia="Arial" w:hAnsi="Arial"/>
          <w:sz w:val="17"/>
          <w:szCs w:val="17"/>
          <w:b w:val="1"/>
          <w:bCs w:val="1"/>
          <w:color w:val="auto"/>
        </w:rPr>
        <w:t xml:space="preserve">Derivative Instruments </w:t>
      </w:r>
      <w:r>
        <w:rPr>
          <w:rFonts w:ascii="Arial" w:cs="Arial" w:eastAsia="Arial" w:hAnsi="Arial"/>
          <w:sz w:val="17"/>
          <w:szCs w:val="17"/>
          <w:color w:val="auto"/>
        </w:rPr>
        <w:t>– Derivative instruments are accounted for as either assets or liabilities and are carried</w:t>
      </w:r>
      <w:r>
        <w:rPr>
          <w:rFonts w:ascii="Arial" w:cs="Arial" w:eastAsia="Arial" w:hAnsi="Arial"/>
          <w:sz w:val="17"/>
          <w:szCs w:val="17"/>
          <w:b w:val="1"/>
          <w:bCs w:val="1"/>
          <w:color w:val="auto"/>
        </w:rPr>
        <w:t xml:space="preserve"> </w:t>
      </w:r>
      <w:r>
        <w:rPr>
          <w:rFonts w:ascii="Arial" w:cs="Arial" w:eastAsia="Arial" w:hAnsi="Arial"/>
          <w:sz w:val="17"/>
          <w:szCs w:val="17"/>
          <w:color w:val="auto"/>
        </w:rPr>
        <w:t>at fair value. The fair 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the assets and liabilities measured at fair value on a recurring basis:</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5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8"/>
              </w:rPr>
              <w:t>June 30, 2021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48"/>
        </w:trPr>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7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56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rPr>
              <w:t>Total</w:t>
            </w:r>
          </w:p>
        </w:tc>
      </w:tr>
      <w:tr>
        <w:trPr>
          <w:trHeight w:val="186"/>
        </w:trPr>
        <w:tc>
          <w:tcPr>
            <w:tcW w:w="50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r>
      <w:tr>
        <w:trPr>
          <w:trHeight w:val="193"/>
        </w:trPr>
        <w:tc>
          <w:tcPr>
            <w:tcW w:w="5020" w:type="dxa"/>
            <w:vAlign w:val="bottom"/>
          </w:tcPr>
          <w:p>
            <w:pPr>
              <w:ind w:left="100"/>
              <w:spacing w:after="0" w:line="194" w:lineRule="exact"/>
              <w:rPr>
                <w:sz w:val="20"/>
                <w:szCs w:val="20"/>
                <w:color w:val="auto"/>
              </w:rPr>
            </w:pPr>
            <w:r>
              <w:rPr>
                <w:rFonts w:ascii="Arial" w:cs="Arial" w:eastAsia="Arial" w:hAnsi="Arial"/>
                <w:sz w:val="17"/>
                <w:szCs w:val="17"/>
                <w:color w:val="auto"/>
              </w:rPr>
              <w:t>Fuel Derivative Contracts</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ind w:left="36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1,598</w:t>
            </w:r>
          </w:p>
        </w:tc>
        <w:tc>
          <w:tcPr>
            <w:tcW w:w="16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ind w:left="36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1,598</w:t>
            </w:r>
          </w:p>
        </w:tc>
      </w:tr>
      <w:tr>
        <w:trPr>
          <w:trHeight w:val="186"/>
        </w:trPr>
        <w:tc>
          <w:tcPr>
            <w:tcW w:w="5020" w:type="dxa"/>
            <w:vAlign w:val="bottom"/>
            <w:tcBorders>
              <w:top w:val="single" w:sz="8" w:color="CCEEFF"/>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Total Assets measured at fair value on a recurring basis</w:t>
            </w:r>
          </w:p>
        </w:tc>
        <w:tc>
          <w:tcPr>
            <w:tcW w:w="1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ind w:left="360"/>
              <w:spacing w:after="0" w:line="186" w:lineRule="exact"/>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1,598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ind w:left="360"/>
              <w:spacing w:after="0" w:line="186" w:lineRule="exact"/>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1,598</w:t>
            </w:r>
          </w:p>
        </w:tc>
      </w:tr>
      <w:tr>
        <w:trPr>
          <w:trHeight w:val="20"/>
        </w:trPr>
        <w:tc>
          <w:tcPr>
            <w:tcW w:w="5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40"/>
        </w:trPr>
        <w:tc>
          <w:tcPr>
            <w:tcW w:w="5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8"/>
              </w:rPr>
              <w:t>December 31, 2020</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48"/>
        </w:trPr>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7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56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rPr>
              <w:t>Total</w:t>
            </w:r>
          </w:p>
        </w:tc>
      </w:tr>
      <w:tr>
        <w:trPr>
          <w:trHeight w:val="186"/>
        </w:trPr>
        <w:tc>
          <w:tcPr>
            <w:tcW w:w="50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Liabilities</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r>
      <w:tr>
        <w:trPr>
          <w:trHeight w:val="193"/>
        </w:trPr>
        <w:tc>
          <w:tcPr>
            <w:tcW w:w="5020" w:type="dxa"/>
            <w:vAlign w:val="bottom"/>
          </w:tcPr>
          <w:p>
            <w:pPr>
              <w:ind w:left="100"/>
              <w:spacing w:after="0" w:line="194" w:lineRule="exact"/>
              <w:rPr>
                <w:sz w:val="20"/>
                <w:szCs w:val="20"/>
                <w:color w:val="auto"/>
              </w:rPr>
            </w:pPr>
            <w:r>
              <w:rPr>
                <w:rFonts w:ascii="Arial" w:cs="Arial" w:eastAsia="Arial" w:hAnsi="Arial"/>
                <w:sz w:val="17"/>
                <w:szCs w:val="17"/>
                <w:color w:val="auto"/>
              </w:rPr>
              <w:t>Fuel Derivative Contracts</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ind w:left="36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1,174</w:t>
            </w:r>
          </w:p>
        </w:tc>
        <w:tc>
          <w:tcPr>
            <w:tcW w:w="16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ind w:left="36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1,174</w:t>
            </w:r>
          </w:p>
        </w:tc>
      </w:tr>
      <w:tr>
        <w:trPr>
          <w:trHeight w:val="186"/>
        </w:trPr>
        <w:tc>
          <w:tcPr>
            <w:tcW w:w="5020" w:type="dxa"/>
            <w:vAlign w:val="bottom"/>
            <w:tcBorders>
              <w:top w:val="single" w:sz="8" w:color="CCEEFF"/>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Total Liabilities measured at fair value on a recurring basis</w:t>
            </w:r>
          </w:p>
        </w:tc>
        <w:tc>
          <w:tcPr>
            <w:tcW w:w="1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ind w:left="360"/>
              <w:spacing w:after="0" w:line="186" w:lineRule="exact"/>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1,174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ind w:left="360"/>
              <w:spacing w:after="0" w:line="186" w:lineRule="exact"/>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1,174</w:t>
            </w:r>
          </w:p>
        </w:tc>
      </w:tr>
      <w:tr>
        <w:trPr>
          <w:trHeight w:val="20"/>
        </w:trPr>
        <w:tc>
          <w:tcPr>
            <w:tcW w:w="5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360" w:right="59"/>
        <w:spacing w:after="0" w:line="239" w:lineRule="auto"/>
        <w:rPr>
          <w:sz w:val="20"/>
          <w:szCs w:val="20"/>
          <w:color w:val="auto"/>
        </w:rPr>
      </w:pPr>
      <w:r>
        <w:rPr>
          <w:rFonts w:ascii="Arial" w:cs="Arial" w:eastAsia="Arial" w:hAnsi="Arial"/>
          <w:sz w:val="17"/>
          <w:szCs w:val="17"/>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value may not be recoverable, non-financial assets are assessed for impairment and, if applicable, written down to fair value using significant unobservable inputs, classified as Level 3.</w:t>
      </w:r>
    </w:p>
    <w:p>
      <w:pPr>
        <w:spacing w:after="0" w:line="199" w:lineRule="exact"/>
        <w:rPr>
          <w:sz w:val="20"/>
          <w:szCs w:val="20"/>
          <w:color w:val="auto"/>
        </w:rPr>
      </w:pPr>
    </w:p>
    <w:p>
      <w:pPr>
        <w:jc w:val="both"/>
        <w:ind w:left="360" w:right="59"/>
        <w:spacing w:after="0" w:line="249" w:lineRule="auto"/>
        <w:rPr>
          <w:sz w:val="20"/>
          <w:szCs w:val="20"/>
          <w:color w:val="auto"/>
        </w:rPr>
      </w:pPr>
      <w:r>
        <w:rPr>
          <w:rFonts w:ascii="Arial" w:cs="Arial" w:eastAsia="Arial" w:hAnsi="Arial"/>
          <w:sz w:val="17"/>
          <w:szCs w:val="17"/>
          <w:color w:val="auto"/>
        </w:rPr>
        <w:t>The Company’s debt portfolio consists of 2019-1 EETC certificates, borrowings under the Delayed Draw Term Loan Facility, and fixed-rate notes payable. See Note 7 for debt fair values.</w:t>
      </w:r>
    </w:p>
    <w:p>
      <w:pPr>
        <w:spacing w:after="0" w:line="155" w:lineRule="exact"/>
        <w:rPr>
          <w:sz w:val="20"/>
          <w:szCs w:val="20"/>
          <w:color w:val="auto"/>
        </w:rPr>
      </w:pPr>
    </w:p>
    <w:p>
      <w:pPr>
        <w:ind w:left="360" w:hanging="313"/>
        <w:spacing w:after="0"/>
        <w:tabs>
          <w:tab w:leader="none" w:pos="36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24" w:lineRule="exact"/>
        <w:rPr>
          <w:rFonts w:ascii="Arial" w:cs="Arial" w:eastAsia="Arial" w:hAnsi="Arial"/>
          <w:sz w:val="17"/>
          <w:szCs w:val="17"/>
          <w:b w:val="1"/>
          <w:bCs w:val="1"/>
          <w:color w:val="auto"/>
        </w:rPr>
      </w:pPr>
    </w:p>
    <w:p>
      <w:pPr>
        <w:jc w:val="both"/>
        <w:ind w:left="360" w:right="59"/>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The Company’s effective tax rate for the three and six months ended June 30, 2021 was 15.5% and 18.8%, respectively. The effective tax rate for the three and six months ended June 30, 2020 was 23.9% and 31.1%, respectively. The effective tax rate represents a blend of federal and state taxes and includes the impact of certain nondeductible or nontaxable items. The decrease in the three and six month rate is primarily due to a favorable permanent difference related to the Tax Receivable Agreement partially offset by nondeductible expense related to executive compensation disallowed under Internal Revenue Code Section 162(m).</w:t>
      </w:r>
    </w:p>
    <w:p>
      <w:pPr>
        <w:spacing w:after="0" w:line="178"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Tax Receivable Agreement</w:t>
      </w:r>
    </w:p>
    <w:p>
      <w:pPr>
        <w:spacing w:after="0" w:line="224" w:lineRule="exact"/>
        <w:rPr>
          <w:rFonts w:ascii="Arial" w:cs="Arial" w:eastAsia="Arial" w:hAnsi="Arial"/>
          <w:sz w:val="17"/>
          <w:szCs w:val="17"/>
          <w:b w:val="1"/>
          <w:bCs w:val="1"/>
          <w:color w:val="auto"/>
        </w:rPr>
      </w:pPr>
    </w:p>
    <w:p>
      <w:pPr>
        <w:jc w:val="both"/>
        <w:ind w:left="360" w:right="59"/>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In connection with the Company’s IPO, we entered into an income Tax Receivable Agreement (the “Tax Receivable Agreement” or “TRA”) with our pre-IPO stockholders (the “TRA holders”). The Tax Receivable Agreement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The Company will retain the benefit of the remaining 15% of these cash savings.</w:t>
      </w:r>
    </w:p>
    <w:p>
      <w:pPr>
        <w:spacing w:after="0" w:line="198" w:lineRule="exact"/>
        <w:rPr>
          <w:rFonts w:ascii="Arial" w:cs="Arial" w:eastAsia="Arial" w:hAnsi="Arial"/>
          <w:sz w:val="17"/>
          <w:szCs w:val="17"/>
          <w:b w:val="1"/>
          <w:bCs w:val="1"/>
          <w:color w:val="auto"/>
        </w:rPr>
      </w:pPr>
    </w:p>
    <w:p>
      <w:pPr>
        <w:jc w:val="both"/>
        <w:ind w:left="360" w:right="59"/>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Payments under the Tax Receivable Agreement will not begin until at least 12 months after the closing of the Company’s IPO. In the event that the Company is prohibited from making payments under the Tax Receivable Agreement for tax benefits utilized during any periods pursuant to the CARES Act or other</w:t>
      </w:r>
    </w:p>
    <w:p>
      <w:pPr>
        <w:spacing w:after="0" w:line="398" w:lineRule="exact"/>
        <w:rPr>
          <w:rFonts w:ascii="Arial" w:cs="Arial" w:eastAsia="Arial" w:hAnsi="Arial"/>
          <w:sz w:val="17"/>
          <w:szCs w:val="17"/>
          <w:b w:val="1"/>
          <w:bCs w:val="1"/>
          <w:color w:val="auto"/>
        </w:rPr>
      </w:pPr>
    </w:p>
    <w:p>
      <w:pPr>
        <w:ind w:left="4400" w:hanging="96"/>
        <w:spacing w:after="0"/>
        <w:tabs>
          <w:tab w:leader="none" w:pos="44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left="360" w:right="59"/>
        <w:spacing w:after="0" w:line="243" w:lineRule="auto"/>
        <w:rPr>
          <w:sz w:val="20"/>
          <w:szCs w:val="20"/>
          <w:color w:val="auto"/>
        </w:rPr>
      </w:pPr>
      <w:r>
        <w:rPr>
          <w:rFonts w:ascii="Arial" w:cs="Arial" w:eastAsia="Arial" w:hAnsi="Arial"/>
          <w:sz w:val="17"/>
          <w:szCs w:val="17"/>
          <w:color w:val="auto"/>
        </w:rPr>
        <w:t>governmental programs, the Company is not required to make payments under the Tax Receivable Agreement for Pre-IPO Tax Attributes utilized in such periods. Based on our current participation in the CARES Act Program, the Company does not expect to make payments under the Tax Receivable Agreement until 2023.</w:t>
      </w:r>
    </w:p>
    <w:p>
      <w:pPr>
        <w:spacing w:after="0" w:line="193" w:lineRule="exact"/>
        <w:rPr>
          <w:sz w:val="20"/>
          <w:szCs w:val="20"/>
          <w:color w:val="auto"/>
        </w:rPr>
      </w:pPr>
    </w:p>
    <w:p>
      <w:pPr>
        <w:jc w:val="both"/>
        <w:ind w:left="360" w:right="59"/>
        <w:spacing w:after="0"/>
        <w:rPr>
          <w:sz w:val="20"/>
          <w:szCs w:val="20"/>
          <w:color w:val="auto"/>
        </w:rPr>
      </w:pPr>
      <w:r>
        <w:rPr>
          <w:rFonts w:ascii="Arial" w:cs="Arial" w:eastAsia="Arial" w:hAnsi="Arial"/>
          <w:sz w:val="17"/>
          <w:szCs w:val="17"/>
          <w:color w:val="auto"/>
        </w:rPr>
        <w:t>If we do not generate sufficient taxable income in the aggregate over the term of the Tax Receivable Agreement to utilize the tax benefits, then we would not be required to make the related TRA payments. Upon the closing of the IPO, the Company recognized a non-current liability of $115,200 which represented undiscounted aggregate payments that we expected to pay the TRA holders under the Tax Receivable Agreement, with an offset to Stockholders' Equity. Subsequent changes in the measurement of the liability are being adjusted through the Consolidated Statements of Operations. The Tax Receivable Agreement liability is an estimate and actual amounts payable under the Tax Receivable Agreement could differ from this estimate based on, among other things, (i) generation of future taxable income over the term of the Tax Receivable Agreement, (ii) the Company’s participation in future government programs, (iii) stock option activity during periods prior to the commencement of payments under the Tax Receivable Agreement and (iv) future changes in tax laws. These factors could result in an increase or decrease in the related liability which would be recognized in the Company’s earnings in the period of such change. In the second quarter of 2021, the Company reduced the TRA liability balance by $18,700, from $115,200 to $96,500. The offsetting credit was recorded in Other Non-operating Income. The decrease in the TRA liability was mainly due to the receipt of the PSP3 grant of $ 34,547, which extended the time period in which distributions made to shareholders are restricted from March 31, 2022 to September 30, 2022, and also resulted in an increase in forecasted 2021 pre-tax income. The remaining TRA liability balance of $96,500 is presented in “Long-term Liabilities” on the Condensed Consolidated Balance Sheet as of June 30, 2021.</w:t>
      </w:r>
    </w:p>
    <w:p>
      <w:pPr>
        <w:spacing w:after="0" w:line="331" w:lineRule="exact"/>
        <w:rPr>
          <w:sz w:val="20"/>
          <w:szCs w:val="20"/>
          <w:color w:val="auto"/>
        </w:rPr>
      </w:pPr>
    </w:p>
    <w:p>
      <w:pPr>
        <w:ind w:left="360" w:hanging="313"/>
        <w:spacing w:after="0"/>
        <w:tabs>
          <w:tab w:leader="none" w:pos="3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SPECIAL ITEMS, NET</w:t>
      </w:r>
    </w:p>
    <w:p>
      <w:pPr>
        <w:spacing w:after="0" w:line="224"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color w:val="auto"/>
        </w:rPr>
        <w:t>Special Items, net on the Condensed Consolidated Statements of Operations consisted of the following:</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2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86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8"/>
        </w:trPr>
        <w:tc>
          <w:tcPr>
            <w:tcW w:w="222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8"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8"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7"/>
              <w:spacing w:after="0" w:line="148"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7"/>
              <w:spacing w:after="0" w:line="148" w:lineRule="exact"/>
              <w:rPr>
                <w:sz w:val="20"/>
                <w:szCs w:val="20"/>
                <w:color w:val="auto"/>
              </w:rPr>
            </w:pPr>
            <w:r>
              <w:rPr>
                <w:rFonts w:ascii="Arial" w:cs="Arial" w:eastAsia="Arial" w:hAnsi="Arial"/>
                <w:sz w:val="14"/>
                <w:szCs w:val="14"/>
                <w:b w:val="1"/>
                <w:bCs w:val="1"/>
                <w:color w:val="auto"/>
              </w:rPr>
              <w:t>2020</w:t>
            </w:r>
          </w:p>
        </w:tc>
      </w:tr>
      <w:tr>
        <w:trPr>
          <w:trHeight w:val="186"/>
        </w:trPr>
        <w:tc>
          <w:tcPr>
            <w:tcW w:w="4200" w:type="dxa"/>
            <w:vAlign w:val="bottom"/>
            <w:gridSpan w:val="2"/>
            <w:shd w:val="clear" w:color="auto" w:fill="CCEEFF"/>
          </w:tcPr>
          <w:p>
            <w:pPr>
              <w:spacing w:after="0" w:line="187" w:lineRule="exact"/>
              <w:rPr>
                <w:sz w:val="20"/>
                <w:szCs w:val="20"/>
                <w:color w:val="auto"/>
              </w:rPr>
            </w:pPr>
            <w:r>
              <w:rPr>
                <w:rFonts w:ascii="Arial" w:cs="Arial" w:eastAsia="Arial" w:hAnsi="Arial"/>
                <w:sz w:val="15"/>
                <w:szCs w:val="15"/>
                <w:color w:val="auto"/>
              </w:rPr>
              <w:t xml:space="preserve">CARES Act grant recognition </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(39,378)</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4"/>
              <w:spacing w:after="0" w:line="186"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(31,516)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(71,587)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(31,516)</w:t>
            </w:r>
          </w:p>
        </w:tc>
      </w:tr>
      <w:tr>
        <w:trPr>
          <w:trHeight w:val="193"/>
        </w:trPr>
        <w:tc>
          <w:tcPr>
            <w:tcW w:w="4200" w:type="dxa"/>
            <w:vAlign w:val="bottom"/>
            <w:gridSpan w:val="2"/>
          </w:tcPr>
          <w:p>
            <w:pPr>
              <w:spacing w:after="0" w:line="193" w:lineRule="exact"/>
              <w:rPr>
                <w:sz w:val="20"/>
                <w:szCs w:val="20"/>
                <w:color w:val="auto"/>
              </w:rPr>
            </w:pPr>
            <w:r>
              <w:rPr>
                <w:rFonts w:ascii="Arial" w:cs="Arial" w:eastAsia="Arial" w:hAnsi="Arial"/>
                <w:sz w:val="15"/>
                <w:szCs w:val="15"/>
                <w:color w:val="auto"/>
              </w:rPr>
              <w:t xml:space="preserve">CARES Act employee retention credit </w:t>
            </w:r>
            <w:r>
              <w:rPr>
                <w:rFonts w:ascii="Arial" w:cs="Arial" w:eastAsia="Arial" w:hAnsi="Arial"/>
                <w:sz w:val="22"/>
                <w:szCs w:val="22"/>
                <w:color w:val="auto"/>
                <w:vertAlign w:val="superscript"/>
              </w:rPr>
              <w:t>(2)</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(446)</w:t>
            </w:r>
          </w:p>
        </w:tc>
        <w:tc>
          <w:tcPr>
            <w:tcW w:w="200" w:type="dxa"/>
            <w:vAlign w:val="bottom"/>
          </w:tcPr>
          <w:p>
            <w:pPr>
              <w:spacing w:after="0"/>
              <w:rPr>
                <w:sz w:val="16"/>
                <w:szCs w:val="16"/>
                <w:color w:val="auto"/>
              </w:rPr>
            </w:pPr>
          </w:p>
        </w:tc>
        <w:tc>
          <w:tcPr>
            <w:tcW w:w="8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(780)</w:t>
            </w:r>
          </w:p>
        </w:tc>
        <w:tc>
          <w:tcPr>
            <w:tcW w:w="16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r>
      <w:tr>
        <w:trPr>
          <w:trHeight w:val="193"/>
        </w:trPr>
        <w:tc>
          <w:tcPr>
            <w:tcW w:w="4200" w:type="dxa"/>
            <w:vAlign w:val="bottom"/>
            <w:gridSpan w:val="2"/>
            <w:shd w:val="clear" w:color="auto" w:fill="CCEEFF"/>
          </w:tcPr>
          <w:p>
            <w:pPr>
              <w:spacing w:after="0" w:line="193" w:lineRule="exact"/>
              <w:rPr>
                <w:sz w:val="20"/>
                <w:szCs w:val="20"/>
                <w:color w:val="auto"/>
              </w:rPr>
            </w:pPr>
            <w:r>
              <w:rPr>
                <w:rFonts w:ascii="Arial" w:cs="Arial" w:eastAsia="Arial" w:hAnsi="Arial"/>
                <w:sz w:val="15"/>
                <w:szCs w:val="15"/>
                <w:color w:val="auto"/>
              </w:rPr>
              <w:t xml:space="preserve">Aircraft lease buy-out expense </w:t>
            </w:r>
            <w:r>
              <w:rPr>
                <w:rFonts w:ascii="Arial" w:cs="Arial" w:eastAsia="Arial" w:hAnsi="Arial"/>
                <w:sz w:val="22"/>
                <w:szCs w:val="22"/>
                <w:color w:val="auto"/>
                <w:vertAlign w:val="superscript"/>
              </w:rPr>
              <w:t>(3)</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1,299</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6,963</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r>
      <w:tr>
        <w:trPr>
          <w:trHeight w:val="193"/>
        </w:trPr>
        <w:tc>
          <w:tcPr>
            <w:tcW w:w="4200" w:type="dxa"/>
            <w:vAlign w:val="bottom"/>
            <w:tcBorders>
              <w:bottom w:val="single" w:sz="8" w:color="CCEEFF"/>
            </w:tcBorders>
            <w:gridSpan w:val="2"/>
          </w:tcPr>
          <w:p>
            <w:pPr>
              <w:spacing w:after="0" w:line="194" w:lineRule="exact"/>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35</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12</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35</w:t>
            </w:r>
          </w:p>
        </w:tc>
      </w:tr>
      <w:tr>
        <w:trPr>
          <w:trHeight w:val="186"/>
        </w:trPr>
        <w:tc>
          <w:tcPr>
            <w:tcW w:w="4200" w:type="dxa"/>
            <w:vAlign w:val="bottom"/>
            <w:tcBorders>
              <w:bottom w:val="single" w:sz="8" w:color="CCEEFF"/>
            </w:tcBorders>
            <w:gridSpan w:val="2"/>
            <w:shd w:val="clear" w:color="auto" w:fill="CCEEFF"/>
          </w:tcPr>
          <w:p>
            <w:pPr>
              <w:ind w:left="100"/>
              <w:spacing w:after="0" w:line="186" w:lineRule="exact"/>
              <w:rPr>
                <w:sz w:val="20"/>
                <w:szCs w:val="20"/>
                <w:color w:val="auto"/>
              </w:rPr>
            </w:pPr>
            <w:r>
              <w:rPr>
                <w:rFonts w:ascii="Arial" w:cs="Arial" w:eastAsia="Arial" w:hAnsi="Arial"/>
                <w:sz w:val="17"/>
                <w:szCs w:val="17"/>
                <w:color w:val="auto"/>
              </w:rPr>
              <w:t>Total Special Items, net</w:t>
            </w:r>
          </w:p>
        </w:tc>
        <w:tc>
          <w:tcPr>
            <w:tcW w:w="1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(38,520)</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4"/>
              <w:spacing w:after="0" w:line="186"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(31,481)</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line="186"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(65,392)</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(31,481)</w:t>
            </w:r>
          </w:p>
        </w:tc>
      </w:tr>
      <w:tr>
        <w:trPr>
          <w:trHeight w:val="20"/>
        </w:trPr>
        <w:tc>
          <w:tcPr>
            <w:tcW w:w="2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8"/>
        </w:trPr>
        <w:tc>
          <w:tcPr>
            <w:tcW w:w="2220" w:type="dxa"/>
            <w:vAlign w:val="bottom"/>
            <w:tcBorders>
              <w:bottom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77" w:lineRule="exact"/>
        <w:rPr>
          <w:sz w:val="20"/>
          <w:szCs w:val="20"/>
          <w:color w:val="auto"/>
        </w:rPr>
      </w:pPr>
    </w:p>
    <w:p>
      <w:pPr>
        <w:jc w:val="both"/>
        <w:ind w:left="700" w:right="59" w:hanging="318"/>
        <w:spacing w:after="0" w:line="241"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the quarter ended March 31, 2021, the Treasury awarded the Company a grant of $32,208 under PSP2. On April 22, 2021, the Company received an additional $4,831 from the Treasury as a top-off grant under PSP2. Further, during the quarter ended June 30, 2021, the Company received a grant of $34,547 under PSP3.</w:t>
      </w:r>
    </w:p>
    <w:p>
      <w:pPr>
        <w:spacing w:after="0" w:line="194" w:lineRule="exact"/>
        <w:rPr>
          <w:rFonts w:ascii="Arial" w:cs="Arial" w:eastAsia="Arial" w:hAnsi="Arial"/>
          <w:sz w:val="17"/>
          <w:szCs w:val="17"/>
          <w:color w:val="auto"/>
        </w:rPr>
      </w:pPr>
    </w:p>
    <w:p>
      <w:pPr>
        <w:ind w:left="700" w:right="79" w:hanging="318"/>
        <w:spacing w:after="0" w:line="249"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CARES Act Employee Retention credit relates to a refundable tax credit against certain employment taxes.</w:t>
      </w:r>
    </w:p>
    <w:p>
      <w:pPr>
        <w:spacing w:after="0" w:line="187" w:lineRule="exact"/>
        <w:rPr>
          <w:rFonts w:ascii="Arial" w:cs="Arial" w:eastAsia="Arial" w:hAnsi="Arial"/>
          <w:sz w:val="17"/>
          <w:szCs w:val="17"/>
          <w:color w:val="auto"/>
        </w:rPr>
      </w:pPr>
    </w:p>
    <w:p>
      <w:pPr>
        <w:jc w:val="both"/>
        <w:ind w:left="700" w:right="79" w:hanging="318"/>
        <w:spacing w:after="0" w:line="243"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Five aircraft were purchased in March 2021 that were previously under operating leases. One additional aircraft was purchased in April 2021 that was previously under an operating lease. Aircraft lease buy-out expense represents the net costs incurred to terminate the leases on those six aircraft. This includes</w:t>
      </w:r>
    </w:p>
    <w:p>
      <w:pPr>
        <w:spacing w:after="0" w:line="398" w:lineRule="exact"/>
        <w:rPr>
          <w:rFonts w:ascii="Arial" w:cs="Arial" w:eastAsia="Arial" w:hAnsi="Arial"/>
          <w:sz w:val="17"/>
          <w:szCs w:val="17"/>
          <w:color w:val="auto"/>
        </w:rPr>
      </w:pPr>
    </w:p>
    <w:p>
      <w:pPr>
        <w:ind w:left="4400" w:hanging="96"/>
        <w:spacing w:after="0"/>
        <w:tabs>
          <w:tab w:leader="none" w:pos="44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700" w:right="59"/>
        <w:spacing w:after="0" w:line="249" w:lineRule="auto"/>
        <w:rPr>
          <w:sz w:val="20"/>
          <w:szCs w:val="20"/>
          <w:color w:val="auto"/>
        </w:rPr>
      </w:pPr>
      <w:r>
        <w:rPr>
          <w:rFonts w:ascii="Arial" w:cs="Arial" w:eastAsia="Arial" w:hAnsi="Arial"/>
          <w:sz w:val="17"/>
          <w:szCs w:val="17"/>
          <w:color w:val="auto"/>
        </w:rPr>
        <w:t>the associated lease termination costs, write-off of previously capitalized maintenance deposits, and the write-off of over-market liabilities (see Note 6).</w:t>
      </w:r>
    </w:p>
    <w:p>
      <w:pPr>
        <w:spacing w:after="0" w:line="155" w:lineRule="exact"/>
        <w:rPr>
          <w:sz w:val="20"/>
          <w:szCs w:val="20"/>
          <w:color w:val="auto"/>
        </w:rPr>
      </w:pPr>
    </w:p>
    <w:p>
      <w:pPr>
        <w:ind w:left="360" w:hanging="313"/>
        <w:spacing w:after="0"/>
        <w:tabs>
          <w:tab w:leader="none" w:pos="36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24" w:lineRule="exact"/>
        <w:rPr>
          <w:rFonts w:ascii="Arial" w:cs="Arial" w:eastAsia="Arial" w:hAnsi="Arial"/>
          <w:sz w:val="17"/>
          <w:szCs w:val="17"/>
          <w:b w:val="1"/>
          <w:bCs w:val="1"/>
          <w:color w:val="auto"/>
        </w:rPr>
      </w:pPr>
    </w:p>
    <w:p>
      <w:pPr>
        <w:ind w:left="360" w:right="59"/>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The Company has contractual obligations and commitments primarily with regard to lease arrangements, repayment of debt (see Note 7) and future purchases of aircraft.</w:t>
      </w:r>
    </w:p>
    <w:p>
      <w:pPr>
        <w:spacing w:after="0" w:line="187" w:lineRule="exact"/>
        <w:rPr>
          <w:rFonts w:ascii="Arial" w:cs="Arial" w:eastAsia="Arial" w:hAnsi="Arial"/>
          <w:sz w:val="17"/>
          <w:szCs w:val="17"/>
          <w:b w:val="1"/>
          <w:bCs w:val="1"/>
          <w:color w:val="auto"/>
        </w:rPr>
      </w:pPr>
    </w:p>
    <w:p>
      <w:pPr>
        <w:ind w:left="360" w:right="79"/>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The Company is subject to various legal proceedings in the normal course of business and expenses legal costs as incurred. Management believes these proceedings will not have a materially adverse effect on the Company.</w:t>
      </w:r>
    </w:p>
    <w:p>
      <w:pPr>
        <w:spacing w:after="0" w:line="154" w:lineRule="exact"/>
        <w:rPr>
          <w:rFonts w:ascii="Arial" w:cs="Arial" w:eastAsia="Arial" w:hAnsi="Arial"/>
          <w:sz w:val="17"/>
          <w:szCs w:val="17"/>
          <w:b w:val="1"/>
          <w:bCs w:val="1"/>
          <w:color w:val="auto"/>
        </w:rPr>
      </w:pPr>
    </w:p>
    <w:p>
      <w:pPr>
        <w:ind w:left="360" w:hanging="313"/>
        <w:spacing w:after="0"/>
        <w:tabs>
          <w:tab w:leader="none" w:pos="36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SEGMENTS</w:t>
      </w:r>
    </w:p>
    <w:p>
      <w:pPr>
        <w:spacing w:after="0" w:line="224" w:lineRule="exact"/>
        <w:rPr>
          <w:rFonts w:ascii="Arial" w:cs="Arial" w:eastAsia="Arial" w:hAnsi="Arial"/>
          <w:sz w:val="17"/>
          <w:szCs w:val="17"/>
          <w:b w:val="1"/>
          <w:bCs w:val="1"/>
          <w:color w:val="auto"/>
        </w:rPr>
      </w:pPr>
    </w:p>
    <w:p>
      <w:pPr>
        <w:jc w:val="both"/>
        <w:ind w:left="360" w:right="59"/>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 Company’s tangible assets are located in the U.S. or relate to flight equipment, which is mobile across geographic markets. The Company has two operating segments: Passenger and Cargo.</w:t>
      </w:r>
    </w:p>
    <w:p>
      <w:pPr>
        <w:spacing w:after="0" w:line="145" w:lineRule="exact"/>
        <w:rPr>
          <w:rFonts w:ascii="Arial" w:cs="Arial" w:eastAsia="Arial" w:hAnsi="Arial"/>
          <w:sz w:val="17"/>
          <w:szCs w:val="17"/>
          <w:b w:val="1"/>
          <w:bCs w:val="1"/>
          <w:color w:val="auto"/>
        </w:rPr>
      </w:pPr>
    </w:p>
    <w:p>
      <w:pPr>
        <w:jc w:val="both"/>
        <w:ind w:left="360" w:right="59"/>
        <w:spacing w:after="0"/>
        <w:rPr>
          <w:rFonts w:ascii="Arial" w:cs="Arial" w:eastAsia="Arial" w:hAnsi="Arial"/>
          <w:sz w:val="17"/>
          <w:szCs w:val="17"/>
          <w:b w:val="1"/>
          <w:bCs w:val="1"/>
          <w:color w:val="auto"/>
        </w:rPr>
      </w:pPr>
      <w:r>
        <w:rPr>
          <w:rFonts w:ascii="Arial" w:cs="Arial" w:eastAsia="Arial" w:hAnsi="Arial"/>
          <w:sz w:val="17"/>
          <w:szCs w:val="17"/>
          <w:color w:val="auto"/>
        </w:rPr>
        <w:t>The Company’s Passenger segment has two internal passenger groups (Scheduled and Charter), but since they share resources and expenses are combined, they are considered one Passenger operating segment. The Company’s Passenger operations are highly concentrated in the U.S. but include service to many international locations, primarily based on scheduled service to Latin America during the winter season and on military charter services. All goodwill is related to the Passenger Operating Segment.</w:t>
      </w:r>
    </w:p>
    <w:p>
      <w:pPr>
        <w:spacing w:after="0" w:line="144" w:lineRule="exact"/>
        <w:rPr>
          <w:rFonts w:ascii="Arial" w:cs="Arial" w:eastAsia="Arial" w:hAnsi="Arial"/>
          <w:sz w:val="17"/>
          <w:szCs w:val="17"/>
          <w:b w:val="1"/>
          <w:bCs w:val="1"/>
          <w:color w:val="auto"/>
        </w:rPr>
      </w:pPr>
    </w:p>
    <w:p>
      <w:pPr>
        <w:jc w:val="both"/>
        <w:ind w:left="360" w:right="59"/>
        <w:spacing w:after="0"/>
        <w:rPr>
          <w:rFonts w:ascii="Arial" w:cs="Arial" w:eastAsia="Arial" w:hAnsi="Arial"/>
          <w:sz w:val="17"/>
          <w:szCs w:val="17"/>
          <w:b w:val="1"/>
          <w:bCs w:val="1"/>
          <w:color w:val="auto"/>
        </w:rPr>
      </w:pPr>
      <w:r>
        <w:rPr>
          <w:rFonts w:ascii="Arial" w:cs="Arial" w:eastAsia="Arial" w:hAnsi="Arial"/>
          <w:sz w:val="17"/>
          <w:szCs w:val="17"/>
          <w:color w:val="auto"/>
        </w:rPr>
        <w:t>The Cargo segment began providing air cargo services under the ATSA in May 2020. Fuel consumed in Cargo operations is directly reimbursed by Amazon and therefore aircraft fuel revenue is presented net of such reimbursements on the Condensed Consolidated Statements of Operations. Fuel consumed in Cargo maintenance activities is included in the Cargo segment. Certain operating expenses are directly attributable to this operating segment.</w:t>
      </w:r>
    </w:p>
    <w:p>
      <w:pPr>
        <w:spacing w:after="0" w:line="144" w:lineRule="exact"/>
        <w:rPr>
          <w:rFonts w:ascii="Arial" w:cs="Arial" w:eastAsia="Arial" w:hAnsi="Arial"/>
          <w:sz w:val="17"/>
          <w:szCs w:val="17"/>
          <w:b w:val="1"/>
          <w:bCs w:val="1"/>
          <w:color w:val="auto"/>
        </w:rPr>
      </w:pPr>
    </w:p>
    <w:p>
      <w:pPr>
        <w:jc w:val="both"/>
        <w:ind w:left="360" w:right="59"/>
        <w:spacing w:after="0" w:line="241" w:lineRule="auto"/>
        <w:rPr>
          <w:rFonts w:ascii="Arial" w:cs="Arial" w:eastAsia="Arial" w:hAnsi="Arial"/>
          <w:sz w:val="17"/>
          <w:szCs w:val="17"/>
          <w:b w:val="1"/>
          <w:bCs w:val="1"/>
          <w:color w:val="auto"/>
        </w:rPr>
      </w:pPr>
      <w:r>
        <w:rPr>
          <w:rFonts w:ascii="Arial" w:cs="Arial" w:eastAsia="Arial" w:hAnsi="Arial"/>
          <w:sz w:val="17"/>
          <w:szCs w:val="17"/>
          <w:color w:val="auto"/>
        </w:rPr>
        <w:t>Certain operating expenses are allocated between the operating segments. Non-Fuel operating expenses are allocated based on metrics such as block hours, fleet count and departures, which best align with the nature of the respective expense. CARES Act credits, included in Special Items, net, are allocated based on the respective segment salaries, wages, and benefits.</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ind w:left="4400" w:hanging="96"/>
        <w:spacing w:after="0"/>
        <w:tabs>
          <w:tab w:leader="none" w:pos="44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right="3379"/>
        <w:spacing w:after="0" w:line="261" w:lineRule="auto"/>
        <w:rPr>
          <w:sz w:val="20"/>
          <w:szCs w:val="20"/>
          <w:color w:val="auto"/>
        </w:rPr>
      </w:pPr>
      <w:r>
        <w:rPr>
          <w:rFonts w:ascii="Arial" w:cs="Arial" w:eastAsia="Arial" w:hAnsi="Arial"/>
          <w:sz w:val="17"/>
          <w:szCs w:val="17"/>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242570</wp:posOffset>
            </wp:positionV>
            <wp:extent cx="5664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left="360" w:right="59"/>
        <w:spacing w:after="0" w:line="243" w:lineRule="auto"/>
        <w:rPr>
          <w:sz w:val="20"/>
          <w:szCs w:val="20"/>
          <w:color w:val="auto"/>
        </w:rPr>
      </w:pPr>
      <w:r>
        <w:rPr>
          <w:rFonts w:ascii="Arial" w:cs="Arial" w:eastAsia="Arial" w:hAnsi="Arial"/>
          <w:sz w:val="17"/>
          <w:szCs w:val="17"/>
          <w:color w:val="auto"/>
        </w:rPr>
        <w:t>The following tables present financial information for the Company’s two operating segments: Passenger and Cargo. Assets by segment are not reviewed by the Chief Operating Decision Maker and have not been presented herein.</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12"/>
          </w:tcPr>
          <w:p>
            <w:pPr>
              <w:ind w:left="140"/>
              <w:spacing w:after="0"/>
              <w:rPr>
                <w:sz w:val="20"/>
                <w:szCs w:val="20"/>
                <w:color w:val="auto"/>
              </w:rPr>
            </w:pPr>
            <w:r>
              <w:rPr>
                <w:rFonts w:ascii="Arial" w:cs="Arial" w:eastAsia="Arial" w:hAnsi="Arial"/>
                <w:sz w:val="14"/>
                <w:szCs w:val="14"/>
                <w:b w:val="1"/>
                <w:bCs w:val="1"/>
                <w:color w:val="auto"/>
              </w:rPr>
              <w:t>Three Months Ended June 30, 2021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rPr>
              <w:t>Three Months Ended June 30, 2020</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gridSpan w:val="4"/>
          </w:tcPr>
          <w:p>
            <w:pPr>
              <w:ind w:left="80"/>
              <w:spacing w:after="0" w:line="148" w:lineRule="exact"/>
              <w:rPr>
                <w:sz w:val="20"/>
                <w:szCs w:val="20"/>
                <w:color w:val="auto"/>
              </w:rPr>
            </w:pPr>
            <w:r>
              <w:rPr>
                <w:rFonts w:ascii="Arial" w:cs="Arial" w:eastAsia="Arial" w:hAnsi="Arial"/>
                <w:sz w:val="14"/>
                <w:szCs w:val="14"/>
                <w:b w:val="1"/>
                <w:bCs w:val="1"/>
                <w:color w:val="auto"/>
              </w:rPr>
              <w:t>Passenger</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280"/>
              <w:spacing w:after="0" w:line="148" w:lineRule="exact"/>
              <w:rPr>
                <w:sz w:val="20"/>
                <w:szCs w:val="20"/>
                <w:color w:val="auto"/>
              </w:rPr>
            </w:pPr>
            <w:r>
              <w:rPr>
                <w:rFonts w:ascii="Arial" w:cs="Arial" w:eastAsia="Arial" w:hAnsi="Arial"/>
                <w:sz w:val="14"/>
                <w:szCs w:val="14"/>
                <w:b w:val="1"/>
                <w:bCs w:val="1"/>
                <w:color w:val="auto"/>
              </w:rPr>
              <w:t>Cargo</w:t>
            </w: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spacing w:after="0" w:line="148" w:lineRule="exact"/>
              <w:rPr>
                <w:sz w:val="20"/>
                <w:szCs w:val="20"/>
                <w:color w:val="auto"/>
              </w:rPr>
            </w:pPr>
            <w:r>
              <w:rPr>
                <w:rFonts w:ascii="Arial" w:cs="Arial" w:eastAsia="Arial" w:hAnsi="Arial"/>
                <w:sz w:val="14"/>
                <w:szCs w:val="14"/>
                <w:b w:val="1"/>
                <w:bCs w:val="1"/>
                <w:color w:val="auto"/>
                <w:w w:val="96"/>
              </w:rPr>
              <w:t>Consolidated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top w:val="single" w:sz="8" w:color="auto"/>
            </w:tcBorders>
            <w:gridSpan w:val="3"/>
          </w:tcPr>
          <w:p>
            <w:pPr>
              <w:jc w:val="right"/>
              <w:ind w:right="220"/>
              <w:spacing w:after="0" w:line="148" w:lineRule="exact"/>
              <w:rPr>
                <w:sz w:val="20"/>
                <w:szCs w:val="20"/>
                <w:color w:val="auto"/>
              </w:rPr>
            </w:pPr>
            <w:r>
              <w:rPr>
                <w:rFonts w:ascii="Arial" w:cs="Arial" w:eastAsia="Arial" w:hAnsi="Arial"/>
                <w:sz w:val="14"/>
                <w:szCs w:val="14"/>
                <w:b w:val="1"/>
                <w:bCs w:val="1"/>
                <w:color w:val="auto"/>
              </w:rPr>
              <w:t>Passenger</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2"/>
                <w:szCs w:val="12"/>
                <w:b w:val="1"/>
                <w:bCs w:val="1"/>
                <w:color w:val="auto"/>
              </w:rPr>
              <w:t>Cargo</w:t>
            </w:r>
            <w:r>
              <w:rPr>
                <w:rFonts w:ascii="Arial" w:cs="Arial" w:eastAsia="Arial" w:hAnsi="Arial"/>
                <w:sz w:val="17"/>
                <w:szCs w:val="17"/>
                <w:b w:val="1"/>
                <w:bCs w:val="1"/>
                <w:color w:val="auto"/>
                <w:vertAlign w:val="superscript"/>
              </w:rPr>
              <w:t>(1)</w:t>
            </w:r>
          </w:p>
        </w:tc>
        <w:tc>
          <w:tcPr>
            <w:tcW w:w="920" w:type="dxa"/>
            <w:vAlign w:val="bottom"/>
            <w:tcBorders>
              <w:top w:val="single" w:sz="8" w:color="auto"/>
            </w:tcBorders>
            <w:gridSpan w:val="2"/>
          </w:tcPr>
          <w:p>
            <w:pPr>
              <w:ind w:left="40"/>
              <w:spacing w:after="0" w:line="148" w:lineRule="exact"/>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60" w:type="dxa"/>
            <w:vAlign w:val="bottom"/>
            <w:tcBorders>
              <w:top w:val="single" w:sz="8" w:color="CCEEFF"/>
            </w:tcBorders>
            <w:gridSpan w:val="2"/>
            <w:shd w:val="clear" w:color="auto" w:fill="CCEEFF"/>
          </w:tcPr>
          <w:p>
            <w:pPr>
              <w:spacing w:after="0" w:line="186" w:lineRule="exact"/>
              <w:rPr>
                <w:sz w:val="20"/>
                <w:szCs w:val="20"/>
                <w:color w:val="auto"/>
              </w:rPr>
            </w:pPr>
            <w:r>
              <w:rPr>
                <w:rFonts w:ascii="Arial" w:cs="Arial" w:eastAsia="Arial" w:hAnsi="Arial"/>
                <w:sz w:val="17"/>
                <w:szCs w:val="17"/>
                <w:color w:val="auto"/>
              </w:rPr>
              <w:t>Operating Revenues</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gridSpan w:val="3"/>
            <w:shd w:val="clear" w:color="auto" w:fill="CCEEFF"/>
          </w:tcPr>
          <w:p>
            <w:pPr>
              <w:jc w:val="right"/>
              <w:ind w:right="60"/>
              <w:spacing w:after="0" w:line="186" w:lineRule="exact"/>
              <w:rPr>
                <w:sz w:val="20"/>
                <w:szCs w:val="20"/>
                <w:color w:val="auto"/>
              </w:rPr>
            </w:pPr>
            <w:r>
              <w:rPr>
                <w:rFonts w:ascii="Arial" w:cs="Arial" w:eastAsia="Arial" w:hAnsi="Arial"/>
                <w:sz w:val="17"/>
                <w:szCs w:val="17"/>
                <w:color w:val="auto"/>
              </w:rPr>
              <w:t>$ 127,091</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gridSpan w:val="2"/>
            <w:shd w:val="clear" w:color="auto" w:fill="CCEEFF"/>
          </w:tcPr>
          <w:p>
            <w:pPr>
              <w:jc w:val="right"/>
              <w:ind w:right="40"/>
              <w:spacing w:after="0" w:line="186" w:lineRule="exact"/>
              <w:rPr>
                <w:sz w:val="20"/>
                <w:szCs w:val="20"/>
                <w:color w:val="auto"/>
              </w:rPr>
            </w:pPr>
            <w:r>
              <w:rPr>
                <w:rFonts w:ascii="Arial" w:cs="Arial" w:eastAsia="Arial" w:hAnsi="Arial"/>
                <w:sz w:val="17"/>
                <w:szCs w:val="17"/>
                <w:color w:val="auto"/>
              </w:rPr>
              <w:t>$ 22,098</w:t>
            </w: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gridSpan w:val="2"/>
            <w:shd w:val="clear" w:color="auto" w:fill="CCEEFF"/>
          </w:tcPr>
          <w:p>
            <w:pPr>
              <w:jc w:val="right"/>
              <w:ind w:right="40"/>
              <w:spacing w:after="0" w:line="186" w:lineRule="exact"/>
              <w:rPr>
                <w:sz w:val="20"/>
                <w:szCs w:val="20"/>
                <w:color w:val="auto"/>
              </w:rPr>
            </w:pPr>
            <w:r>
              <w:rPr>
                <w:rFonts w:ascii="Arial" w:cs="Arial" w:eastAsia="Arial" w:hAnsi="Arial"/>
                <w:sz w:val="17"/>
                <w:szCs w:val="17"/>
                <w:color w:val="auto"/>
              </w:rPr>
              <w:t>149,189</w:t>
            </w: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32,157</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3,219</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line="186"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35,376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460" w:type="dxa"/>
            <w:vAlign w:val="bottom"/>
            <w:gridSpan w:val="2"/>
          </w:tcPr>
          <w:p>
            <w:pPr>
              <w:ind w:left="200"/>
              <w:spacing w:after="0" w:line="172" w:lineRule="exact"/>
              <w:rPr>
                <w:sz w:val="20"/>
                <w:szCs w:val="20"/>
                <w:color w:val="auto"/>
              </w:rPr>
            </w:pPr>
            <w:r>
              <w:rPr>
                <w:rFonts w:ascii="Arial" w:cs="Arial" w:eastAsia="Arial" w:hAnsi="Arial"/>
                <w:sz w:val="17"/>
                <w:szCs w:val="17"/>
                <w:color w:val="auto"/>
              </w:rPr>
              <w:t>Non-Fuel Operating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46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Expenses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92,361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16,401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108,762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63,507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4,907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68,414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6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Aircraft Fuel</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29,657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29,709</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677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6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Special Items, 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auto"/>
              </w:rPr>
              <w:t>(28,784)</w:t>
            </w:r>
          </w:p>
        </w:tc>
        <w:tc>
          <w:tcPr>
            <w:tcW w:w="120" w:type="dxa"/>
            <w:vAlign w:val="bottom"/>
          </w:tcPr>
          <w:p>
            <w:pPr>
              <w:spacing w:after="0"/>
              <w:rPr>
                <w:sz w:val="16"/>
                <w:szCs w:val="16"/>
                <w:color w:val="auto"/>
              </w:rPr>
            </w:pPr>
          </w:p>
        </w:tc>
        <w:tc>
          <w:tcPr>
            <w:tcW w:w="84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(9,736)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(38,520)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(28,111)</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(3,370)</w:t>
            </w:r>
          </w:p>
        </w:tc>
        <w:tc>
          <w:tcPr>
            <w:tcW w:w="18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(31,481)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Borders>
              <w:top w:val="single" w:sz="8" w:color="CCEEFF"/>
            </w:tcBorders>
            <w:gridSpan w:val="2"/>
            <w:shd w:val="clear" w:color="auto" w:fill="CCEEFF"/>
          </w:tcPr>
          <w:p>
            <w:pPr>
              <w:spacing w:after="0" w:line="186" w:lineRule="exact"/>
              <w:rPr>
                <w:sz w:val="20"/>
                <w:szCs w:val="20"/>
                <w:color w:val="auto"/>
              </w:rPr>
            </w:pPr>
            <w:r>
              <w:rPr>
                <w:rFonts w:ascii="Arial" w:cs="Arial" w:eastAsia="Arial" w:hAnsi="Arial"/>
                <w:sz w:val="17"/>
                <w:szCs w:val="17"/>
                <w:color w:val="auto"/>
              </w:rPr>
              <w:t>Total Operating Expenses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line="186" w:lineRule="exact"/>
              <w:rPr>
                <w:sz w:val="20"/>
                <w:szCs w:val="20"/>
                <w:color w:val="auto"/>
              </w:rPr>
            </w:pPr>
            <w:r>
              <w:rPr>
                <w:rFonts w:ascii="Arial" w:cs="Arial" w:eastAsia="Arial" w:hAnsi="Arial"/>
                <w:sz w:val="17"/>
                <w:szCs w:val="17"/>
                <w:color w:val="auto"/>
              </w:rPr>
              <w:t>93,234</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gridSpan w:val="2"/>
            <w:shd w:val="clear" w:color="auto" w:fill="CCEEFF"/>
          </w:tcPr>
          <w:p>
            <w:pPr>
              <w:jc w:val="right"/>
              <w:ind w:right="40"/>
              <w:spacing w:after="0" w:line="186" w:lineRule="exact"/>
              <w:rPr>
                <w:sz w:val="20"/>
                <w:szCs w:val="20"/>
                <w:color w:val="auto"/>
              </w:rPr>
            </w:pPr>
            <w:r>
              <w:rPr>
                <w:rFonts w:ascii="Arial" w:cs="Arial" w:eastAsia="Arial" w:hAnsi="Arial"/>
                <w:sz w:val="17"/>
                <w:szCs w:val="17"/>
                <w:color w:val="auto"/>
              </w:rPr>
              <w:t>6,717</w:t>
            </w: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gridSpan w:val="2"/>
            <w:shd w:val="clear" w:color="auto" w:fill="CCEEFF"/>
          </w:tcPr>
          <w:p>
            <w:pPr>
              <w:jc w:val="right"/>
              <w:ind w:right="40"/>
              <w:spacing w:after="0" w:line="186" w:lineRule="exact"/>
              <w:rPr>
                <w:sz w:val="20"/>
                <w:szCs w:val="20"/>
                <w:color w:val="auto"/>
              </w:rPr>
            </w:pPr>
            <w:r>
              <w:rPr>
                <w:rFonts w:ascii="Arial" w:cs="Arial" w:eastAsia="Arial" w:hAnsi="Arial"/>
                <w:sz w:val="17"/>
                <w:szCs w:val="17"/>
                <w:color w:val="auto"/>
              </w:rPr>
              <w:t>99,951</w:t>
            </w: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36,073</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1,537</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37,610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60" w:type="dxa"/>
            <w:vAlign w:val="bottom"/>
            <w:tcBorders>
              <w:bottom w:val="single" w:sz="8" w:color="CCEEFF"/>
            </w:tcBorders>
            <w:gridSpan w:val="2"/>
          </w:tcPr>
          <w:p>
            <w:pPr>
              <w:spacing w:after="0" w:line="186" w:lineRule="exact"/>
              <w:rPr>
                <w:sz w:val="20"/>
                <w:szCs w:val="20"/>
                <w:color w:val="auto"/>
              </w:rPr>
            </w:pPr>
            <w:r>
              <w:rPr>
                <w:rFonts w:ascii="Arial" w:cs="Arial" w:eastAsia="Arial" w:hAnsi="Arial"/>
                <w:sz w:val="17"/>
                <w:szCs w:val="17"/>
                <w:color w:val="auto"/>
              </w:rPr>
              <w:t>Operating Income (Loss)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gridSpan w:val="2"/>
          </w:tcPr>
          <w:p>
            <w:pPr>
              <w:jc w:val="right"/>
              <w:ind w:right="60"/>
              <w:spacing w:after="0" w:line="186" w:lineRule="exact"/>
              <w:rPr>
                <w:sz w:val="20"/>
                <w:szCs w:val="20"/>
                <w:color w:val="auto"/>
              </w:rPr>
            </w:pPr>
            <w:r>
              <w:rPr>
                <w:rFonts w:ascii="Arial" w:cs="Arial" w:eastAsia="Arial" w:hAnsi="Arial"/>
                <w:sz w:val="17"/>
                <w:szCs w:val="17"/>
                <w:color w:val="auto"/>
              </w:rPr>
              <w:t>33,857</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gridSpan w:val="2"/>
          </w:tcPr>
          <w:p>
            <w:pPr>
              <w:jc w:val="right"/>
              <w:ind w:right="40"/>
              <w:spacing w:after="0" w:line="186" w:lineRule="exact"/>
              <w:rPr>
                <w:sz w:val="20"/>
                <w:szCs w:val="20"/>
                <w:color w:val="auto"/>
              </w:rPr>
            </w:pPr>
            <w:r>
              <w:rPr>
                <w:rFonts w:ascii="Arial" w:cs="Arial" w:eastAsia="Arial" w:hAnsi="Arial"/>
                <w:sz w:val="17"/>
                <w:szCs w:val="17"/>
                <w:color w:val="auto"/>
              </w:rPr>
              <w:t>$ 15,381</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40"/>
              <w:spacing w:after="0" w:line="186" w:lineRule="exact"/>
              <w:rPr>
                <w:sz w:val="20"/>
                <w:szCs w:val="20"/>
                <w:color w:val="auto"/>
              </w:rPr>
            </w:pPr>
            <w:r>
              <w:rPr>
                <w:rFonts w:ascii="Arial" w:cs="Arial" w:eastAsia="Arial" w:hAnsi="Arial"/>
                <w:sz w:val="17"/>
                <w:szCs w:val="17"/>
                <w:color w:val="auto"/>
              </w:rPr>
              <w:t>49,238</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(3,916)</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1,682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460" w:type="dxa"/>
            <w:vAlign w:val="bottom"/>
            <w:gridSpan w:val="2"/>
            <w:shd w:val="clear" w:color="auto" w:fill="CCEEFF"/>
          </w:tcPr>
          <w:p>
            <w:pPr>
              <w:ind w:left="200"/>
              <w:spacing w:after="0" w:line="172" w:lineRule="exact"/>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line="172" w:lineRule="exact"/>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46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(6,080)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(5,442)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6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Other, net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18,054</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460" w:type="dxa"/>
            <w:vAlign w:val="bottom"/>
            <w:gridSpan w:val="2"/>
          </w:tcPr>
          <w:p>
            <w:pPr>
              <w:spacing w:after="0" w:line="172" w:lineRule="exact"/>
              <w:rPr>
                <w:sz w:val="20"/>
                <w:szCs w:val="20"/>
                <w:color w:val="auto"/>
              </w:rPr>
            </w:pPr>
            <w:r>
              <w:rPr>
                <w:rFonts w:ascii="Arial" w:cs="Arial" w:eastAsia="Arial" w:hAnsi="Arial"/>
                <w:sz w:val="17"/>
                <w:szCs w:val="17"/>
                <w:color w:val="auto"/>
              </w:rPr>
              <w:t>Income (Loss) before Income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7"/>
                <w:szCs w:val="17"/>
                <w:color w:val="auto"/>
              </w:rPr>
              <w:t>$</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61,221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(7,938)</w:t>
            </w:r>
          </w:p>
        </w:tc>
        <w:tc>
          <w:tcPr>
            <w:tcW w:w="0" w:type="dxa"/>
            <w:vAlign w:val="bottom"/>
          </w:tcPr>
          <w:p>
            <w:pPr>
              <w:spacing w:after="0"/>
              <w:rPr>
                <w:sz w:val="1"/>
                <w:szCs w:val="1"/>
                <w:color w:val="auto"/>
              </w:rPr>
            </w:pPr>
          </w:p>
        </w:tc>
      </w:tr>
      <w:tr>
        <w:trPr>
          <w:trHeight w:val="181"/>
        </w:trPr>
        <w:tc>
          <w:tcPr>
            <w:tcW w:w="2460" w:type="dxa"/>
            <w:vAlign w:val="bottom"/>
            <w:gridSpan w:val="2"/>
          </w:tcPr>
          <w:p>
            <w:pPr>
              <w:spacing w:after="0" w:line="181" w:lineRule="exact"/>
              <w:rPr>
                <w:sz w:val="20"/>
                <w:szCs w:val="20"/>
                <w:color w:val="auto"/>
              </w:rPr>
            </w:pPr>
            <w:r>
              <w:rPr>
                <w:rFonts w:ascii="Arial" w:cs="Arial" w:eastAsia="Arial" w:hAnsi="Arial"/>
                <w:sz w:val="17"/>
                <w:szCs w:val="17"/>
                <w:color w:val="auto"/>
              </w:rPr>
              <w:t>Tax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12"/>
          </w:tcPr>
          <w:p>
            <w:pPr>
              <w:ind w:left="160"/>
              <w:spacing w:after="0"/>
              <w:rPr>
                <w:sz w:val="20"/>
                <w:szCs w:val="20"/>
                <w:color w:val="auto"/>
              </w:rPr>
            </w:pPr>
            <w:r>
              <w:rPr>
                <w:rFonts w:ascii="Arial" w:cs="Arial" w:eastAsia="Arial" w:hAnsi="Arial"/>
                <w:sz w:val="14"/>
                <w:szCs w:val="14"/>
                <w:b w:val="1"/>
                <w:bCs w:val="1"/>
                <w:color w:val="auto"/>
              </w:rPr>
              <w:t>Six Months Ended June 30, 2021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rPr>
              <w:t>Six Months Ended June 30, 2020</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5"/>
          </w:tcPr>
          <w:p>
            <w:pPr>
              <w:ind w:left="60"/>
              <w:spacing w:after="0" w:line="148" w:lineRule="exact"/>
              <w:rPr>
                <w:sz w:val="20"/>
                <w:szCs w:val="20"/>
                <w:color w:val="auto"/>
              </w:rPr>
            </w:pPr>
            <w:r>
              <w:rPr>
                <w:rFonts w:ascii="Arial" w:cs="Arial" w:eastAsia="Arial" w:hAnsi="Arial"/>
                <w:sz w:val="14"/>
                <w:szCs w:val="14"/>
                <w:b w:val="1"/>
                <w:bCs w:val="1"/>
                <w:color w:val="auto"/>
              </w:rPr>
              <w:t>Passenger</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360"/>
              <w:spacing w:after="0" w:line="148" w:lineRule="exact"/>
              <w:rPr>
                <w:sz w:val="20"/>
                <w:szCs w:val="20"/>
                <w:color w:val="auto"/>
              </w:rPr>
            </w:pPr>
            <w:r>
              <w:rPr>
                <w:rFonts w:ascii="Arial" w:cs="Arial" w:eastAsia="Arial" w:hAnsi="Arial"/>
                <w:sz w:val="14"/>
                <w:szCs w:val="14"/>
                <w:b w:val="1"/>
                <w:bCs w:val="1"/>
                <w:color w:val="auto"/>
              </w:rPr>
              <w:t>Cargo</w:t>
            </w:r>
          </w:p>
        </w:tc>
        <w:tc>
          <w:tcPr>
            <w:tcW w:w="900" w:type="dxa"/>
            <w:vAlign w:val="bottom"/>
            <w:tcBorders>
              <w:top w:val="single" w:sz="8" w:color="auto"/>
            </w:tcBorders>
            <w:gridSpan w:val="3"/>
          </w:tcPr>
          <w:p>
            <w:pPr>
              <w:ind w:left="20"/>
              <w:spacing w:after="0" w:line="148" w:lineRule="exact"/>
              <w:rPr>
                <w:sz w:val="20"/>
                <w:szCs w:val="20"/>
                <w:color w:val="auto"/>
              </w:rPr>
            </w:pPr>
            <w:r>
              <w:rPr>
                <w:rFonts w:ascii="Arial" w:cs="Arial" w:eastAsia="Arial" w:hAnsi="Arial"/>
                <w:sz w:val="14"/>
                <w:szCs w:val="14"/>
                <w:b w:val="1"/>
                <w:bCs w:val="1"/>
                <w:color w:val="auto"/>
                <w:w w:val="96"/>
              </w:rPr>
              <w:t>Consolidated</w:t>
            </w:r>
          </w:p>
        </w:tc>
        <w:tc>
          <w:tcPr>
            <w:tcW w:w="140" w:type="dxa"/>
            <w:vAlign w:val="bottom"/>
            <w:gridSpan w:val="2"/>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240"/>
              <w:spacing w:after="0" w:line="148" w:lineRule="exact"/>
              <w:rPr>
                <w:sz w:val="20"/>
                <w:szCs w:val="20"/>
                <w:color w:val="auto"/>
              </w:rPr>
            </w:pPr>
            <w:r>
              <w:rPr>
                <w:rFonts w:ascii="Arial" w:cs="Arial" w:eastAsia="Arial" w:hAnsi="Arial"/>
                <w:sz w:val="14"/>
                <w:szCs w:val="14"/>
                <w:b w:val="1"/>
                <w:bCs w:val="1"/>
                <w:color w:val="auto"/>
                <w:w w:val="98"/>
              </w:rPr>
              <w:t>Passenger</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2"/>
                <w:szCs w:val="12"/>
                <w:b w:val="1"/>
                <w:bCs w:val="1"/>
                <w:color w:val="auto"/>
              </w:rPr>
              <w:t>Cargo</w:t>
            </w:r>
            <w:r>
              <w:rPr>
                <w:rFonts w:ascii="Arial" w:cs="Arial" w:eastAsia="Arial" w:hAnsi="Arial"/>
                <w:sz w:val="17"/>
                <w:szCs w:val="17"/>
                <w:b w:val="1"/>
                <w:bCs w:val="1"/>
                <w:color w:val="auto"/>
                <w:vertAlign w:val="superscript"/>
              </w:rPr>
              <w:t>(1)</w:t>
            </w:r>
          </w:p>
        </w:tc>
        <w:tc>
          <w:tcPr>
            <w:tcW w:w="920" w:type="dxa"/>
            <w:vAlign w:val="bottom"/>
            <w:tcBorders>
              <w:top w:val="single" w:sz="8" w:color="auto"/>
            </w:tcBorders>
            <w:gridSpan w:val="2"/>
          </w:tcPr>
          <w:p>
            <w:pPr>
              <w:ind w:left="40"/>
              <w:spacing w:after="0" w:line="148" w:lineRule="exact"/>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60" w:type="dxa"/>
            <w:vAlign w:val="bottom"/>
            <w:tcBorders>
              <w:top w:val="single" w:sz="8" w:color="CCEEFF"/>
            </w:tcBorders>
            <w:gridSpan w:val="2"/>
            <w:shd w:val="clear" w:color="auto" w:fill="CCEEFF"/>
          </w:tcPr>
          <w:p>
            <w:pPr>
              <w:spacing w:after="0" w:line="186" w:lineRule="exact"/>
              <w:rPr>
                <w:sz w:val="20"/>
                <w:szCs w:val="20"/>
                <w:color w:val="auto"/>
              </w:rPr>
            </w:pPr>
            <w:r>
              <w:rPr>
                <w:rFonts w:ascii="Arial" w:cs="Arial" w:eastAsia="Arial" w:hAnsi="Arial"/>
                <w:sz w:val="17"/>
                <w:szCs w:val="17"/>
                <w:color w:val="auto"/>
              </w:rPr>
              <w:t>Operating Revenues</w:t>
            </w:r>
          </w:p>
        </w:tc>
        <w:tc>
          <w:tcPr>
            <w:tcW w:w="840" w:type="dxa"/>
            <w:vAlign w:val="bottom"/>
            <w:tcBorders>
              <w:top w:val="single" w:sz="8" w:color="auto"/>
              <w:bottom w:val="single" w:sz="8" w:color="auto"/>
            </w:tcBorders>
            <w:gridSpan w:val="3"/>
            <w:shd w:val="clear" w:color="auto" w:fill="CCEEFF"/>
          </w:tcPr>
          <w:p>
            <w:pPr>
              <w:jc w:val="right"/>
              <w:spacing w:after="0" w:line="186" w:lineRule="exact"/>
              <w:rPr>
                <w:sz w:val="20"/>
                <w:szCs w:val="20"/>
                <w:color w:val="auto"/>
              </w:rPr>
            </w:pPr>
            <w:r>
              <w:rPr>
                <w:rFonts w:ascii="Arial" w:cs="Arial" w:eastAsia="Arial" w:hAnsi="Arial"/>
                <w:sz w:val="17"/>
                <w:szCs w:val="17"/>
                <w:color w:val="auto"/>
              </w:rPr>
              <w:t>$ 233,118</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43,684</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spacing w:after="0" w:line="186" w:lineRule="exact"/>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276,802</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gridSpan w:val="3"/>
            <w:shd w:val="clear" w:color="auto" w:fill="CCEEFF"/>
          </w:tcPr>
          <w:p>
            <w:pPr>
              <w:jc w:val="right"/>
              <w:spacing w:after="0" w:line="186" w:lineRule="exact"/>
              <w:rPr>
                <w:sz w:val="20"/>
                <w:szCs w:val="20"/>
                <w:color w:val="auto"/>
              </w:rPr>
            </w:pPr>
            <w:r>
              <w:rPr>
                <w:rFonts w:ascii="Arial" w:cs="Arial" w:eastAsia="Arial" w:hAnsi="Arial"/>
                <w:sz w:val="17"/>
                <w:szCs w:val="17"/>
                <w:color w:val="auto"/>
              </w:rPr>
              <w:t>$ 212,487</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3,219</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line="186"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215,706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460" w:type="dxa"/>
            <w:vAlign w:val="bottom"/>
            <w:gridSpan w:val="2"/>
          </w:tcPr>
          <w:p>
            <w:pPr>
              <w:ind w:left="200"/>
              <w:spacing w:after="0" w:line="172" w:lineRule="exact"/>
              <w:rPr>
                <w:sz w:val="20"/>
                <w:szCs w:val="20"/>
                <w:color w:val="auto"/>
              </w:rPr>
            </w:pPr>
            <w:r>
              <w:rPr>
                <w:rFonts w:ascii="Arial" w:cs="Arial" w:eastAsia="Arial" w:hAnsi="Arial"/>
                <w:sz w:val="17"/>
                <w:szCs w:val="17"/>
                <w:color w:val="auto"/>
              </w:rPr>
              <w:t>Non-Fuel Operating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46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Expenses</w:t>
            </w:r>
          </w:p>
        </w:tc>
        <w:tc>
          <w:tcPr>
            <w:tcW w:w="84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179,566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34,472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214,038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w w:val="97"/>
              </w:rPr>
              <w:t>173,046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4,907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177,953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6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Aircraft Fuel</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53,912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53,984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56,238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56,238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6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Special Items, 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w w:val="97"/>
              </w:rPr>
              <w:t>(46,991)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(18,401)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(65,392)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(28,111)</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(3,370)</w:t>
            </w:r>
          </w:p>
        </w:tc>
        <w:tc>
          <w:tcPr>
            <w:tcW w:w="18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(31,481)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Borders>
              <w:top w:val="single" w:sz="8" w:color="CCEEFF"/>
            </w:tcBorders>
            <w:gridSpan w:val="2"/>
            <w:shd w:val="clear" w:color="auto" w:fill="CCEEFF"/>
          </w:tcPr>
          <w:p>
            <w:pPr>
              <w:spacing w:after="0" w:line="186" w:lineRule="exact"/>
              <w:rPr>
                <w:sz w:val="20"/>
                <w:szCs w:val="20"/>
                <w:color w:val="auto"/>
              </w:rPr>
            </w:pPr>
            <w:r>
              <w:rPr>
                <w:rFonts w:ascii="Arial" w:cs="Arial" w:eastAsia="Arial" w:hAnsi="Arial"/>
                <w:sz w:val="17"/>
                <w:szCs w:val="17"/>
                <w:color w:val="auto"/>
              </w:rPr>
              <w:t>Total Operating Expenses</w:t>
            </w:r>
          </w:p>
        </w:tc>
        <w:tc>
          <w:tcPr>
            <w:tcW w:w="840" w:type="dxa"/>
            <w:vAlign w:val="bottom"/>
            <w:tcBorders>
              <w:top w:val="single" w:sz="8" w:color="auto"/>
              <w:bottom w:val="single" w:sz="8" w:color="auto"/>
            </w:tcBorders>
            <w:gridSpan w:val="3"/>
            <w:shd w:val="clear" w:color="auto" w:fill="CCEEFF"/>
          </w:tcPr>
          <w:p>
            <w:pPr>
              <w:jc w:val="right"/>
              <w:spacing w:after="0" w:line="186" w:lineRule="exact"/>
              <w:rPr>
                <w:sz w:val="20"/>
                <w:szCs w:val="20"/>
                <w:color w:val="auto"/>
              </w:rPr>
            </w:pPr>
            <w:r>
              <w:rPr>
                <w:rFonts w:ascii="Arial" w:cs="Arial" w:eastAsia="Arial" w:hAnsi="Arial"/>
                <w:sz w:val="17"/>
                <w:szCs w:val="17"/>
                <w:color w:val="auto"/>
              </w:rPr>
              <w:t>186,487</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16,143</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202,630</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7"/>
              </w:rPr>
              <w:t>201,173</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1,537</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202,710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60" w:type="dxa"/>
            <w:vAlign w:val="bottom"/>
            <w:tcBorders>
              <w:bottom w:val="single" w:sz="8" w:color="CCEEFF"/>
            </w:tcBorders>
            <w:gridSpan w:val="2"/>
          </w:tcPr>
          <w:p>
            <w:pPr>
              <w:spacing w:after="0" w:line="186" w:lineRule="exact"/>
              <w:rPr>
                <w:sz w:val="20"/>
                <w:szCs w:val="20"/>
                <w:color w:val="auto"/>
              </w:rPr>
            </w:pPr>
            <w:r>
              <w:rPr>
                <w:rFonts w:ascii="Arial" w:cs="Arial" w:eastAsia="Arial" w:hAnsi="Arial"/>
                <w:sz w:val="17"/>
                <w:szCs w:val="17"/>
                <w:color w:val="auto"/>
              </w:rPr>
              <w:t>Operating Income</w:t>
            </w:r>
          </w:p>
        </w:tc>
        <w:tc>
          <w:tcPr>
            <w:tcW w:w="1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46,631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27,541</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74,172</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gridSpan w:val="2"/>
          </w:tcPr>
          <w:p>
            <w:pPr>
              <w:jc w:val="right"/>
              <w:ind w:right="3"/>
              <w:spacing w:after="0" w:line="186" w:lineRule="exact"/>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11,314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1,682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12,996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460" w:type="dxa"/>
            <w:vAlign w:val="bottom"/>
            <w:gridSpan w:val="2"/>
            <w:shd w:val="clear" w:color="auto" w:fill="CCEEFF"/>
          </w:tcPr>
          <w:p>
            <w:pPr>
              <w:ind w:left="200"/>
              <w:spacing w:after="0" w:line="172" w:lineRule="exact"/>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24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314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460" w:type="dxa"/>
            <w:vAlign w:val="bottom"/>
            <w:gridSpan w:val="2"/>
          </w:tcPr>
          <w:p>
            <w:pPr>
              <w:ind w:left="20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(13,201)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(11,058)</w:t>
            </w:r>
          </w:p>
        </w:tc>
        <w:tc>
          <w:tcPr>
            <w:tcW w:w="0" w:type="dxa"/>
            <w:vAlign w:val="bottom"/>
          </w:tcPr>
          <w:p>
            <w:pPr>
              <w:spacing w:after="0"/>
              <w:rPr>
                <w:sz w:val="1"/>
                <w:szCs w:val="1"/>
                <w:color w:val="auto"/>
              </w:rPr>
            </w:pPr>
          </w:p>
        </w:tc>
      </w:tr>
      <w:tr>
        <w:trPr>
          <w:trHeight w:val="206"/>
        </w:trPr>
        <w:tc>
          <w:tcPr>
            <w:tcW w:w="24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Other,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18,049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460" w:type="dxa"/>
            <w:vAlign w:val="bottom"/>
            <w:gridSpan w:val="2"/>
          </w:tcPr>
          <w:p>
            <w:pPr>
              <w:spacing w:after="0" w:line="186" w:lineRule="exact"/>
              <w:rPr>
                <w:sz w:val="20"/>
                <w:szCs w:val="20"/>
                <w:color w:val="auto"/>
              </w:rPr>
            </w:pPr>
            <w:r>
              <w:rPr>
                <w:rFonts w:ascii="Arial" w:cs="Arial" w:eastAsia="Arial" w:hAnsi="Arial"/>
                <w:sz w:val="17"/>
                <w:szCs w:val="17"/>
                <w:color w:val="auto"/>
              </w:rPr>
              <w:t>Income before Income Tax</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gridSpan w:val="2"/>
          </w:tcPr>
          <w:p>
            <w:pPr>
              <w:spacing w:after="0" w:line="186"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79,044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ind w:left="20"/>
              <w:spacing w:after="0" w:line="186"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1,758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660" w:right="79" w:hanging="304"/>
        <w:spacing w:after="0" w:line="249"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As air cargo operations commenced in May 2020, there are limited Cargo amounts included in the three and six month periods ended June 30, 2020.</w:t>
      </w:r>
    </w:p>
    <w:p>
      <w:pPr>
        <w:spacing w:after="0" w:line="167" w:lineRule="exact"/>
        <w:rPr>
          <w:rFonts w:ascii="Arial" w:cs="Arial" w:eastAsia="Arial" w:hAnsi="Arial"/>
          <w:sz w:val="17"/>
          <w:szCs w:val="17"/>
          <w:color w:val="auto"/>
        </w:rPr>
      </w:pPr>
    </w:p>
    <w:p>
      <w:pPr>
        <w:ind w:left="360" w:hanging="313"/>
        <w:spacing w:after="0"/>
        <w:tabs>
          <w:tab w:leader="none" w:pos="36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72" w:lineRule="exact"/>
        <w:rPr>
          <w:rFonts w:ascii="Arial" w:cs="Arial" w:eastAsia="Arial" w:hAnsi="Arial"/>
          <w:sz w:val="17"/>
          <w:szCs w:val="17"/>
          <w:b w:val="1"/>
          <w:bCs w:val="1"/>
          <w:color w:val="auto"/>
        </w:rPr>
      </w:pPr>
    </w:p>
    <w:p>
      <w:pPr>
        <w:ind w:left="360" w:right="59"/>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The Company evaluated subsequent events for the period from the Balance Sheet date through July 28, 2021, the date that the Condensed Consolidated Financial Statements were available to be issued.</w:t>
      </w:r>
    </w:p>
    <w:p>
      <w:pPr>
        <w:spacing w:after="0" w:line="135" w:lineRule="exact"/>
        <w:rPr>
          <w:rFonts w:ascii="Arial" w:cs="Arial" w:eastAsia="Arial" w:hAnsi="Arial"/>
          <w:sz w:val="17"/>
          <w:szCs w:val="17"/>
          <w:b w:val="1"/>
          <w:bCs w:val="1"/>
          <w:color w:val="auto"/>
        </w:rPr>
      </w:pPr>
    </w:p>
    <w:p>
      <w:pPr>
        <w:ind w:left="4180"/>
        <w:spacing w:after="0"/>
        <w:rPr>
          <w:rFonts w:ascii="Arial" w:cs="Arial" w:eastAsia="Arial" w:hAnsi="Arial"/>
          <w:sz w:val="17"/>
          <w:szCs w:val="17"/>
          <w:b w:val="1"/>
          <w:bCs w:val="1"/>
          <w:color w:val="auto"/>
        </w:rPr>
      </w:pPr>
      <w:r>
        <w:rPr>
          <w:rFonts w:ascii="Arial" w:cs="Arial" w:eastAsia="Arial" w:hAnsi="Arial"/>
          <w:sz w:val="17"/>
          <w:szCs w:val="17"/>
          <w:color w:val="auto"/>
        </w:rPr>
        <w:t>* * * * * *</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3" w:lineRule="exact"/>
        <w:rPr>
          <w:rFonts w:ascii="Arial" w:cs="Arial" w:eastAsia="Arial" w:hAnsi="Arial"/>
          <w:sz w:val="17"/>
          <w:szCs w:val="17"/>
          <w:b w:val="1"/>
          <w:bCs w:val="1"/>
          <w:color w:val="auto"/>
        </w:rPr>
      </w:pPr>
    </w:p>
    <w:p>
      <w:pPr>
        <w:ind w:left="4300"/>
        <w:spacing w:after="0"/>
        <w:rPr>
          <w:rFonts w:ascii="Arial" w:cs="Arial" w:eastAsia="Arial" w:hAnsi="Arial"/>
          <w:sz w:val="17"/>
          <w:szCs w:val="17"/>
          <w:b w:val="1"/>
          <w:bCs w:val="1"/>
          <w:color w:val="auto"/>
        </w:rPr>
      </w:pPr>
      <w:r>
        <w:rPr>
          <w:rFonts w:ascii="Arial" w:cs="Arial" w:eastAsia="Arial" w:hAnsi="Arial"/>
          <w:sz w:val="17"/>
          <w:szCs w:val="17"/>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83"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67"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7"/>
          <w:szCs w:val="17"/>
          <w:color w:val="auto"/>
        </w:rPr>
        <w:t>Unless otherwise indicated, the terms "Sun Country," "we," "us" and "our" refer to Sun Country Airlines Holdings, Inc., and its subsidiaries.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4"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Our unaudited condensed consolidated financial statements and the accompanying notes thereto included elsewhere in this Quarterly Report on Form 10-Q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97"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7"/>
          <w:szCs w:val="17"/>
          <w:color w:val="auto"/>
        </w:rPr>
        <w:t>There have been no material changes to our critical accounting policies and estimates as compared to the critical accounting policies and estimates discussed in our Final Prospectus dated March 16, 2021.</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24"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7"/>
          <w:szCs w:val="17"/>
          <w:color w:val="auto"/>
        </w:rPr>
        <w:t>See Note 2 to our Condensed Consolidated Financial Statements included elsewhere in this Quarterly Report on Form 10-Q for more information regarding recently adopted accounting pronouncements.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Forward-Looking Statements</w:t>
      </w:r>
    </w:p>
    <w:p>
      <w:pPr>
        <w:spacing w:after="0" w:line="206" w:lineRule="exact"/>
        <w:rPr>
          <w:sz w:val="20"/>
          <w:szCs w:val="20"/>
          <w:color w:val="auto"/>
        </w:rPr>
      </w:pPr>
    </w:p>
    <w:p>
      <w:pPr>
        <w:jc w:val="both"/>
        <w:ind w:left="40" w:right="59"/>
        <w:spacing w:after="0"/>
        <w:rPr>
          <w:sz w:val="20"/>
          <w:szCs w:val="20"/>
          <w:color w:val="auto"/>
        </w:rPr>
      </w:pPr>
      <w:r>
        <w:rPr>
          <w:rFonts w:ascii="Arial" w:cs="Arial" w:eastAsia="Arial" w:hAnsi="Arial"/>
          <w:sz w:val="17"/>
          <w:szCs w:val="17"/>
          <w:i w:val="1"/>
          <w:iCs w:val="1"/>
          <w:color w:val="auto"/>
        </w:rPr>
        <w:t>The following discussion and analysis presents factors that had a material effect on our results of operations during the three and six months ended June 30, 2021 and 2020. Also discussed is our financial position as of June 30, 2021 and December 31, 2020. This section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for the fiscal year ended December 31, 2020 included in our Registration Statement on Form S-1 (File No. 333-252858), as amended, including the final prospectus dated March 16, 2021 included therein (the “Final Prospectus”).This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“Risk Factors” to gain an understanding of the important factors that could cause actual results to differ materially from our forward-looking statements.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w:t>
      </w:r>
    </w:p>
    <w:p>
      <w:pPr>
        <w:spacing w:after="0" w:line="224"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7"/>
          <w:szCs w:val="17"/>
          <w:color w:val="auto"/>
        </w:rPr>
        <w:t>Sun Country is a new breed of hybrid low-cost air carrier that dynamically deploys shared resources across our synergistic scheduled service, charter and cargo businesses. By doing so, we believe we are able to generate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7"/>
          <w:szCs w:val="17"/>
          <w:color w:val="auto"/>
        </w:rPr>
        <w:t>high growth, high margins and strong cash flows with greater resilience than other passenger airlines. We focus on serving leisure and visiting friends and relatives (“VFR”) passengers and charter customers and providing crew, maintenance and insurance (“CMI”) services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201"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7"/>
          <w:szCs w:val="17"/>
          <w:color w:val="auto"/>
        </w:rPr>
        <w:t>Our scheduled service business combines low costs with a high quality product to generate higher Total Revenue per Available Seat Mile (“TRASM”) than Ultra Low-Cost Carriers (“ULCCs”) while maintaining lower Adjusted Cost per Available Seat Mile (“CASM”) than Low Cost Carriers (“LCCs”), resulting in best-in-class unit profitability. Our business includes many cost characteristics of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LCCs (which include Southwest Airlines and JetBlue Airways). For example, our product includes more legroom than ULCCs, complimentary beverages, in-flight entertainment and in-seat power, none of which are offered by ULCCs.</w:t>
      </w:r>
    </w:p>
    <w:p>
      <w:pPr>
        <w:spacing w:after="0" w:line="202"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7"/>
          <w:szCs w:val="17"/>
          <w:color w:val="auto"/>
        </w:rPr>
        <w:t>Our charter business, which is one of the largest narrow body charter operations in the United States, is a key component of our strategy both because it provides inherent diversification and downside protection as well as because it is synergistic with our other businesses.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National Collegiate Athletic Association (“NCAA”) Division I National Basketball Tournament (known as “March Madness”), and we flew over 100 college sports teams during 2019, but 2020 was lower due to the pandemic.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w:t>
      </w:r>
    </w:p>
    <w:p>
      <w:pPr>
        <w:spacing w:after="0" w:line="201"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On December 13, 2019, we signed the ATSA with Amazon to provide air cargo services. Flying under the ATSA began in May 2020 and, as of the date of this filing, we are flying 12 Boeing 737-800 cargo aircraft for Amazon.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Our cargo business also enables us to leverage certain assets, capabilities and fixed costs to enhance profitability and promote growth across our Company.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Operations in Review</w:t>
      </w:r>
    </w:p>
    <w:p>
      <w:pPr>
        <w:spacing w:after="0" w:line="224" w:lineRule="exact"/>
        <w:rPr>
          <w:sz w:val="20"/>
          <w:szCs w:val="20"/>
          <w:color w:val="auto"/>
        </w:rPr>
      </w:pPr>
    </w:p>
    <w:p>
      <w:pPr>
        <w:jc w:val="both"/>
        <w:ind w:left="40" w:right="59"/>
        <w:spacing w:after="0" w:line="241" w:lineRule="auto"/>
        <w:rPr>
          <w:sz w:val="20"/>
          <w:szCs w:val="20"/>
          <w:color w:val="auto"/>
        </w:rPr>
      </w:pPr>
      <w:r>
        <w:rPr>
          <w:rFonts w:ascii="Arial" w:cs="Arial" w:eastAsia="Arial" w:hAnsi="Arial"/>
          <w:sz w:val="17"/>
          <w:szCs w:val="17"/>
          <w:color w:val="auto"/>
        </w:rPr>
        <w:t>We believe a key component of our success is establishing Sun Country as a high growth, low-cost carrier in the United States by attracting customers with low fares and garnering repeat business by delivering a high quality passenger experience, offering state-of-the-art interiors, free streaming in-flight entertainment to passenger devices, seat recline and seat-back power in all of our aircraft.</w:t>
      </w:r>
    </w:p>
    <w:p>
      <w:pPr>
        <w:spacing w:after="0" w:line="195" w:lineRule="exact"/>
        <w:rPr>
          <w:sz w:val="20"/>
          <w:szCs w:val="20"/>
          <w:color w:val="auto"/>
        </w:rPr>
      </w:pPr>
    </w:p>
    <w:p>
      <w:pPr>
        <w:jc w:val="both"/>
        <w:ind w:left="40" w:right="59"/>
        <w:spacing w:after="0"/>
        <w:rPr>
          <w:sz w:val="20"/>
          <w:szCs w:val="20"/>
          <w:color w:val="auto"/>
        </w:rPr>
      </w:pPr>
      <w:r>
        <w:rPr>
          <w:rFonts w:ascii="Arial" w:cs="Arial" w:eastAsia="Arial" w:hAnsi="Arial"/>
          <w:sz w:val="17"/>
          <w:szCs w:val="17"/>
          <w:color w:val="auto"/>
        </w:rPr>
        <w:t>The COVID-19 pandemic resulted in a dramatic decline in passenger demand across the U.S. airline industry. We have experienced a significant decline in demand related to the COVID-19 pandemic, which has caused a material decline in our 2020 and first half 2021 revenues and negatively impacted our financial condition and operating results. With the expectation that COVID-19 vaccines continue to become more widely distributed in 2021, we believe the airline industry will continue to rebound in the back half of 2021 and normalize in 2022.</w:t>
      </w:r>
    </w:p>
    <w:p>
      <w:pPr>
        <w:spacing w:after="0" w:line="196"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On February 10, 2021, Sun Country, Inc., our wholly-owned subsidiary (the “Borrower”), entered into a new Credit Agreement which provides for a $25,000 Revolving Credit Facility and a $90,000 Delayed Draw Term Loan Facility. We received CARES Act grants totaling $62,312 during 2020, and a CARES Act loan of $45,000 in October 2020. During the quarter ended March 31, 2021, we received a grant of $32,208 under the Payroll Support Program Extension under the Consolidated Appropriations Act of 2021. On April 22, 2021, we received $4,831 from the Treasury as a top-off grant under Payroll Support Program Extension (“PSP2”). Further, during the quarter ended June 30, 2021, the Company received a grant of $34,547 under the American Rescue Plan Act of 2021 (“PSP3”).</w:t>
      </w:r>
    </w:p>
    <w:p>
      <w:pPr>
        <w:spacing w:after="0" w:line="197"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color w:val="auto"/>
        </w:rPr>
        <w:t>While the COVID-19 induced industry downturn has delayed our growth in 2020 and 2021 to date, we believe that our investments have positioned us to profitably grow our business in the long term following a rebound in the U.S. airline industry.</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Components of Operations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Operating Revenues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Scheduled service</w:t>
      </w:r>
      <w:r>
        <w:rPr>
          <w:rFonts w:ascii="Arial" w:cs="Arial" w:eastAsia="Arial" w:hAnsi="Arial"/>
          <w:sz w:val="17"/>
          <w:szCs w:val="17"/>
          <w:color w:val="auto"/>
        </w:rPr>
        <w:t>. Scheduled service revenue consists of base fares and expired passenger travel credits.</w:t>
      </w:r>
    </w:p>
    <w:p>
      <w:pPr>
        <w:spacing w:after="0" w:line="204"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i w:val="1"/>
          <w:iCs w:val="1"/>
          <w:color w:val="auto"/>
        </w:rPr>
        <w:t>Charter service</w:t>
      </w:r>
      <w:r>
        <w:rPr>
          <w:rFonts w:ascii="Arial" w:cs="Arial" w:eastAsia="Arial" w:hAnsi="Arial"/>
          <w:sz w:val="17"/>
          <w:szCs w:val="17"/>
          <w:color w:val="auto"/>
        </w:rPr>
        <w:t>. Charter service revenue consists of revenue earned from our charter operations, primarily generated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our service to the U.S. Department of Defense, collegiate and professional sports teams, and casinos.</w:t>
      </w:r>
    </w:p>
    <w:p>
      <w:pPr>
        <w:spacing w:after="0" w:line="152"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i w:val="1"/>
          <w:iCs w:val="1"/>
          <w:color w:val="auto"/>
        </w:rPr>
        <w:t>Ancillary</w:t>
      </w:r>
      <w:r>
        <w:rPr>
          <w:rFonts w:ascii="Arial" w:cs="Arial" w:eastAsia="Arial" w:hAnsi="Arial"/>
          <w:sz w:val="17"/>
          <w:szCs w:val="17"/>
          <w:color w:val="auto"/>
        </w:rPr>
        <w:t>. Ancillary revenue consists of revenue generated from air travel-related services such as baggage fees,</w:t>
      </w:r>
      <w:r>
        <w:rPr>
          <w:rFonts w:ascii="Arial" w:cs="Arial" w:eastAsia="Arial" w:hAnsi="Arial"/>
          <w:sz w:val="17"/>
          <w:szCs w:val="17"/>
          <w:i w:val="1"/>
          <w:iCs w:val="1"/>
          <w:color w:val="auto"/>
        </w:rPr>
        <w:t xml:space="preserve"> </w:t>
      </w:r>
      <w:r>
        <w:rPr>
          <w:rFonts w:ascii="Arial" w:cs="Arial" w:eastAsia="Arial" w:hAnsi="Arial"/>
          <w:sz w:val="17"/>
          <w:szCs w:val="17"/>
          <w:color w:val="auto"/>
        </w:rPr>
        <w:t>seat selection and upgrade fees, itinerary service fees and on-board sales.</w:t>
      </w:r>
    </w:p>
    <w:p>
      <w:pPr>
        <w:spacing w:after="0" w:line="152"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i w:val="1"/>
          <w:iCs w:val="1"/>
          <w:color w:val="auto"/>
        </w:rPr>
        <w:t>Cargo</w:t>
      </w:r>
      <w:r>
        <w:rPr>
          <w:rFonts w:ascii="Arial" w:cs="Arial" w:eastAsia="Arial" w:hAnsi="Arial"/>
          <w:sz w:val="17"/>
          <w:szCs w:val="17"/>
          <w:color w:val="auto"/>
        </w:rPr>
        <w:t>. Cargo revenue consists of air cargo transportation services under the ATSA with Amazon, primarily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e-commerce delivery services.</w:t>
      </w:r>
    </w:p>
    <w:p>
      <w:pPr>
        <w:spacing w:after="0" w:line="152"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Other revenue consists primarily of revenue from services in connection with our Sun Country Vacations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including organizing ground services, such as hotel, car and transfers. Other revenue also includes services not directly related to providing passenger services such as the advertising, marketing and brand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7"/>
          <w:szCs w:val="17"/>
          <w:color w:val="auto"/>
        </w:rPr>
        <w:t>elements resulting from our co-branded credit card program. This component of our revenues also includes revenue from mail on regularly scheduled passenger aircraft.</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0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Aircraft fuel expense includes jet fuel, federal and state taxes, other fees and the mark-to-market gains</w:t>
      </w:r>
      <w:r>
        <w:rPr>
          <w:rFonts w:ascii="Arial" w:cs="Arial" w:eastAsia="Arial" w:hAnsi="Arial"/>
          <w:sz w:val="17"/>
          <w:szCs w:val="17"/>
          <w:i w:val="1"/>
          <w:iCs w:val="1"/>
          <w:color w:val="auto"/>
        </w:rPr>
        <w:t xml:space="preserve"> </w:t>
      </w:r>
      <w:r>
        <w:rPr>
          <w:rFonts w:ascii="Arial" w:cs="Arial" w:eastAsia="Arial" w:hAnsi="Arial"/>
          <w:sz w:val="17"/>
          <w:szCs w:val="17"/>
          <w:color w:val="auto"/>
        </w:rPr>
        <w:t>and losses associated with our fuel derivative contracts as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172"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7"/>
          <w:szCs w:val="17"/>
          <w:i w:val="1"/>
          <w:iCs w:val="1"/>
          <w:color w:val="auto"/>
        </w:rPr>
        <w:t>Salaries, Wages, and Benefits</w:t>
      </w:r>
      <w:r>
        <w:rPr>
          <w:rFonts w:ascii="Arial" w:cs="Arial" w:eastAsia="Arial" w:hAnsi="Arial"/>
          <w:sz w:val="17"/>
          <w:szCs w:val="17"/>
          <w:color w:val="auto"/>
        </w:rPr>
        <w:t>. Salaries, wages, and benefits expense includes salaries, hourly wages, bonuses,</w:t>
      </w:r>
      <w:r>
        <w:rPr>
          <w:rFonts w:ascii="Arial" w:cs="Arial" w:eastAsia="Arial" w:hAnsi="Arial"/>
          <w:sz w:val="17"/>
          <w:szCs w:val="17"/>
          <w:i w:val="1"/>
          <w:iCs w:val="1"/>
          <w:color w:val="auto"/>
        </w:rPr>
        <w:t xml:space="preserve"> </w:t>
      </w:r>
      <w:r>
        <w:rPr>
          <w:rFonts w:ascii="Arial" w:cs="Arial" w:eastAsia="Arial" w:hAnsi="Arial"/>
          <w:sz w:val="17"/>
          <w:szCs w:val="17"/>
          <w:color w:val="auto"/>
        </w:rPr>
        <w:t>equity-based compensation, and profit sharing paid to employees for their services, as well as related expenses associated with medical benefits, employee benefit plans, employer payroll taxes and other employee related costs.</w:t>
      </w:r>
    </w:p>
    <w:p>
      <w:pPr>
        <w:spacing w:after="0" w:line="166" w:lineRule="exact"/>
        <w:rPr>
          <w:sz w:val="20"/>
          <w:szCs w:val="20"/>
          <w:color w:val="auto"/>
        </w:rPr>
      </w:pPr>
    </w:p>
    <w:p>
      <w:pPr>
        <w:jc w:val="both"/>
        <w:ind w:left="40" w:right="59"/>
        <w:spacing w:after="0" w:line="241" w:lineRule="auto"/>
        <w:rPr>
          <w:sz w:val="20"/>
          <w:szCs w:val="20"/>
          <w:color w:val="auto"/>
        </w:rPr>
      </w:pPr>
      <w:r>
        <w:rPr>
          <w:rFonts w:ascii="Arial" w:cs="Arial" w:eastAsia="Arial" w:hAnsi="Arial"/>
          <w:sz w:val="17"/>
          <w:szCs w:val="17"/>
          <w:i w:val="1"/>
          <w:iCs w:val="1"/>
          <w:color w:val="auto"/>
        </w:rPr>
        <w:t>Aircraft Rent</w:t>
      </w:r>
      <w:r>
        <w:rPr>
          <w:rFonts w:ascii="Arial" w:cs="Arial" w:eastAsia="Arial" w:hAnsi="Arial"/>
          <w:sz w:val="17"/>
          <w:szCs w:val="17"/>
          <w:color w:val="auto"/>
        </w:rPr>
        <w:t>. Aircraft rent expense consists of monthly lease charges for aircraft and spare engines under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related operating leases 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certain investment funds (the “Apollo Funds”) managed by affiliates of Apollo Global Management, Inc., which were established as part of the acquisition. See Note 6 to our Condensed Consolidated Financial Statements for further information on the over-market liabilities.</w:t>
      </w:r>
    </w:p>
    <w:p>
      <w:pPr>
        <w:spacing w:after="0" w:line="177" w:lineRule="exact"/>
        <w:rPr>
          <w:sz w:val="20"/>
          <w:szCs w:val="20"/>
          <w:color w:val="auto"/>
        </w:rPr>
      </w:pPr>
    </w:p>
    <w:p>
      <w:pPr>
        <w:jc w:val="both"/>
        <w:ind w:left="40" w:right="59"/>
        <w:spacing w:after="0" w:line="242" w:lineRule="auto"/>
        <w:rPr>
          <w:sz w:val="20"/>
          <w:szCs w:val="20"/>
          <w:color w:val="auto"/>
        </w:rPr>
      </w:pPr>
      <w:r>
        <w:rPr>
          <w:rFonts w:ascii="Arial" w:cs="Arial" w:eastAsia="Arial" w:hAnsi="Arial"/>
          <w:sz w:val="17"/>
          <w:szCs w:val="17"/>
          <w:i w:val="1"/>
          <w:iCs w:val="1"/>
          <w:color w:val="auto"/>
        </w:rPr>
        <w:t>Maintenance</w:t>
      </w:r>
      <w:r>
        <w:rPr>
          <w:rFonts w:ascii="Arial" w:cs="Arial" w:eastAsia="Arial" w:hAnsi="Arial"/>
          <w:sz w:val="17"/>
          <w:szCs w:val="17"/>
          <w:color w:val="auto"/>
        </w:rPr>
        <w:t>. Maintenance expense includes the cost of all parts, materials and fees for repairs performed by us and</w:t>
      </w:r>
      <w:r>
        <w:rPr>
          <w:rFonts w:ascii="Arial" w:cs="Arial" w:eastAsia="Arial" w:hAnsi="Arial"/>
          <w:sz w:val="17"/>
          <w:szCs w:val="17"/>
          <w:i w:val="1"/>
          <w:iCs w:val="1"/>
          <w:color w:val="auto"/>
        </w:rPr>
        <w:t xml:space="preserve"> </w:t>
      </w:r>
      <w:r>
        <w:rPr>
          <w:rFonts w:ascii="Arial" w:cs="Arial" w:eastAsia="Arial" w:hAnsi="Arial"/>
          <w:sz w:val="17"/>
          <w:szCs w:val="17"/>
          <w:color w:val="auto"/>
        </w:rPr>
        <w:t>our third-party vendors to maintain our fleet. It excludes direct labor cost related to our own mechanics, which are included in salaries, wages, and benefits expense. It also excludes maintenance expenses, which are deferred based on the built-in overhaul method for owned aircraft and subsequently amortized as a component of depreciation and amortization expense. Our maintenance expense is reduced due to recognizing a liability (or contra-asset) that offsets expenses for maintenance events incurred by the new owners of Sun Country but paid for by the previous owners. For more information on these maintenance expense credits, see Note 6 to our Condensed Consolidated Financial Statements.</w:t>
      </w:r>
    </w:p>
    <w:p>
      <w:pPr>
        <w:spacing w:after="0" w:line="17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includes credit card processing fees, travel agent commissions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related global distribution systems fees, advertising, sponsorship and distribution costs, such as the costs of our call centers, and costs associated with our loyalty program. It excludes related salary and wages of personnel, which are included in salaries, wages, and benefits expense.</w:t>
      </w:r>
    </w:p>
    <w:p>
      <w:pPr>
        <w:spacing w:after="0" w:line="172"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includes depreciation of fixed assets we own</w:t>
      </w:r>
      <w:r>
        <w:rPr>
          <w:rFonts w:ascii="Arial" w:cs="Arial" w:eastAsia="Arial" w:hAnsi="Arial"/>
          <w:sz w:val="17"/>
          <w:szCs w:val="17"/>
          <w:i w:val="1"/>
          <w:iCs w:val="1"/>
          <w:color w:val="auto"/>
        </w:rPr>
        <w:t xml:space="preserve"> </w:t>
      </w:r>
      <w:r>
        <w:rPr>
          <w:rFonts w:ascii="Arial" w:cs="Arial" w:eastAsia="Arial" w:hAnsi="Arial"/>
          <w:sz w:val="17"/>
          <w:szCs w:val="17"/>
          <w:color w:val="auto"/>
        </w:rPr>
        <w:t>and leasehold improvements, amortization of finance leased assets, as well as the amortization of finite-lived intangible assets. It also includes the depreciation of significant maintenance expenses we deferred under the built-in overhaul method for owned and certain finance leased aircraft.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85"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i w:val="1"/>
          <w:iCs w:val="1"/>
          <w:color w:val="auto"/>
        </w:rPr>
        <w:t xml:space="preserve">Ground Handling. </w:t>
      </w:r>
      <w:r>
        <w:rPr>
          <w:rFonts w:ascii="Arial" w:cs="Arial" w:eastAsia="Arial" w:hAnsi="Arial"/>
          <w:sz w:val="17"/>
          <w:szCs w:val="17"/>
          <w:color w:val="auto"/>
        </w:rPr>
        <w:t>Ground handling includes ground services at airports including baggage handling, ticket counter</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ground services.</w:t>
      </w:r>
    </w:p>
    <w:p>
      <w:pPr>
        <w:spacing w:after="0" w:line="152" w:lineRule="exact"/>
        <w:rPr>
          <w:sz w:val="20"/>
          <w:szCs w:val="20"/>
          <w:color w:val="auto"/>
        </w:rPr>
      </w:pPr>
    </w:p>
    <w:p>
      <w:pPr>
        <w:jc w:val="both"/>
        <w:ind w:left="40" w:right="79"/>
        <w:spacing w:after="0" w:line="271" w:lineRule="auto"/>
        <w:rPr>
          <w:sz w:val="20"/>
          <w:szCs w:val="20"/>
          <w:color w:val="auto"/>
        </w:rPr>
      </w:pPr>
      <w:r>
        <w:rPr>
          <w:rFonts w:ascii="Arial" w:cs="Arial" w:eastAsia="Arial" w:hAnsi="Arial"/>
          <w:sz w:val="17"/>
          <w:szCs w:val="17"/>
          <w:i w:val="1"/>
          <w:iCs w:val="1"/>
          <w:color w:val="auto"/>
        </w:rPr>
        <w:t xml:space="preserve">Landing Fees and Airport Rent. </w:t>
      </w:r>
      <w:r>
        <w:rPr>
          <w:rFonts w:ascii="Arial" w:cs="Arial" w:eastAsia="Arial" w:hAnsi="Arial"/>
          <w:sz w:val="17"/>
          <w:szCs w:val="17"/>
          <w:color w:val="auto"/>
        </w:rPr>
        <w:t>Landing fees and airport rent includes aircraft landing fees and charges for the use of</w:t>
      </w:r>
      <w:r>
        <w:rPr>
          <w:rFonts w:ascii="Arial" w:cs="Arial" w:eastAsia="Arial" w:hAnsi="Arial"/>
          <w:sz w:val="17"/>
          <w:szCs w:val="17"/>
          <w:i w:val="1"/>
          <w:iCs w:val="1"/>
          <w:color w:val="auto"/>
        </w:rPr>
        <w:t xml:space="preserve"> </w:t>
      </w:r>
      <w:r>
        <w:rPr>
          <w:rFonts w:ascii="Arial" w:cs="Arial" w:eastAsia="Arial" w:hAnsi="Arial"/>
          <w:sz w:val="17"/>
          <w:szCs w:val="17"/>
          <w:color w:val="auto"/>
        </w:rPr>
        <w:t>airport facilities.</w:t>
      </w:r>
    </w:p>
    <w:p>
      <w:pPr>
        <w:spacing w:after="0" w:line="152"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i w:val="1"/>
          <w:iCs w:val="1"/>
          <w:color w:val="auto"/>
        </w:rPr>
        <w:t xml:space="preserve">Special Items, net. </w:t>
      </w:r>
      <w:r>
        <w:rPr>
          <w:rFonts w:ascii="Arial" w:cs="Arial" w:eastAsia="Arial" w:hAnsi="Arial"/>
          <w:sz w:val="17"/>
          <w:szCs w:val="17"/>
          <w:color w:val="auto"/>
        </w:rPr>
        <w:t>Special items, net reflects expenses, or credits to expense, that are not representative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ongoing costs for the period presented and may vary from period to period in nature, frequency and amount.</w:t>
      </w:r>
    </w:p>
    <w:p>
      <w:pPr>
        <w:spacing w:after="0" w:line="152"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7"/>
          <w:szCs w:val="17"/>
          <w:i w:val="1"/>
          <w:iCs w:val="1"/>
          <w:color w:val="auto"/>
        </w:rPr>
        <w:t xml:space="preserve">Other Operating. </w:t>
      </w:r>
      <w:r>
        <w:rPr>
          <w:rFonts w:ascii="Arial" w:cs="Arial" w:eastAsia="Arial" w:hAnsi="Arial"/>
          <w:sz w:val="17"/>
          <w:szCs w:val="17"/>
          <w:color w:val="auto"/>
        </w:rPr>
        <w:t>Other operating expenses include crew and other employee travel, interrupted trip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technology, property taxes and insurance, including hull-liability insurance, supplies, legal and other professional fees, facilities and all other administrative and operational overhead expenses.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Non-operating Income (Expense)</w:t>
      </w:r>
    </w:p>
    <w:p>
      <w:pPr>
        <w:spacing w:after="0" w:line="206"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includes interest on our cash and equivalent and investment balances.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is generally immaterial to our results of operations, reflecting the current low interest rate environment and our unrestricted cash balances.</w:t>
      </w:r>
    </w:p>
    <w:p>
      <w:pPr>
        <w:spacing w:after="0" w:line="166"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includes interest and fees related to our outstanding debt and our finance/capital</w:t>
      </w:r>
      <w:r>
        <w:rPr>
          <w:rFonts w:ascii="Arial" w:cs="Arial" w:eastAsia="Arial" w:hAnsi="Arial"/>
          <w:sz w:val="17"/>
          <w:szCs w:val="17"/>
          <w:i w:val="1"/>
          <w:iCs w:val="1"/>
          <w:color w:val="auto"/>
        </w:rPr>
        <w:t xml:space="preserve"> </w:t>
      </w:r>
      <w:r>
        <w:rPr>
          <w:rFonts w:ascii="Arial" w:cs="Arial" w:eastAsia="Arial" w:hAnsi="Arial"/>
          <w:sz w:val="17"/>
          <w:szCs w:val="17"/>
          <w:color w:val="auto"/>
        </w:rPr>
        <w:t>leases, as well as the amortization of debt financing costs.</w:t>
      </w:r>
    </w:p>
    <w:p>
      <w:pPr>
        <w:spacing w:after="0" w:line="152"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7"/>
          <w:szCs w:val="17"/>
          <w:i w:val="1"/>
          <w:iCs w:val="1"/>
          <w:color w:val="auto"/>
        </w:rPr>
        <w:t>Other, net</w:t>
      </w:r>
      <w:r>
        <w:rPr>
          <w:rFonts w:ascii="Arial" w:cs="Arial" w:eastAsia="Arial" w:hAnsi="Arial"/>
          <w:sz w:val="17"/>
          <w:szCs w:val="17"/>
          <w:color w:val="auto"/>
        </w:rPr>
        <w:t>. Other expenses include activities not classified in any other area of the Condensed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of Operations, such as gain or loss on sale or retirement of assets and certain consulting expenses. The change in the TRA liability is also included here.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We account for income taxes using the asset and liability method. We record a valuation allowance to reduce the deferred tax assets reported if, based on the weight of the evidence, it is more likely than not that some portion or all of the deferred tax assets will not be realized. We record deferred taxes based on differences between the financial statement basis and tax basis of assets and liabilities and available tax loss and credit carryforwards. In assessing our ability to utilize our deferred tax assets, we consider whether it is more likely than not that some or all of the deferred tax assets will be realized. We consider all available evidence, both positive and negative, in determining future taxable income on a jurisdiction by jurisdiction basis.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Operating Statistics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Key Operating Statistics and Metrics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900" w:type="dxa"/>
            <w:vAlign w:val="bottom"/>
            <w:tcBorders>
              <w:top w:val="single" w:sz="8" w:color="auto"/>
              <w:bottom w:val="single" w:sz="8" w:color="auto"/>
            </w:tcBorders>
            <w:gridSpan w:val="9"/>
          </w:tcPr>
          <w:p>
            <w:pPr>
              <w:jc w:val="right"/>
              <w:ind w:right="508"/>
              <w:spacing w:after="0"/>
              <w:rPr>
                <w:sz w:val="20"/>
                <w:szCs w:val="20"/>
                <w:color w:val="auto"/>
              </w:rPr>
            </w:pPr>
            <w:r>
              <w:rPr>
                <w:rFonts w:ascii="Arial" w:cs="Arial" w:eastAsia="Arial" w:hAnsi="Arial"/>
                <w:sz w:val="10"/>
                <w:szCs w:val="10"/>
                <w:b w:val="1"/>
                <w:bCs w:val="1"/>
                <w:color w:val="auto"/>
              </w:rPr>
              <w:t>Three Months Ended June 30, 2021 (1)</w:t>
            </w:r>
          </w:p>
        </w:tc>
        <w:tc>
          <w:tcPr>
            <w:tcW w:w="14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2380" w:type="dxa"/>
            <w:vAlign w:val="bottom"/>
            <w:tcBorders>
              <w:top w:val="single" w:sz="8" w:color="auto"/>
              <w:bottom w:val="single" w:sz="8" w:color="auto"/>
            </w:tcBorders>
            <w:gridSpan w:val="8"/>
          </w:tcPr>
          <w:p>
            <w:pPr>
              <w:jc w:val="right"/>
              <w:ind w:right="20"/>
              <w:spacing w:after="0"/>
              <w:rPr>
                <w:sz w:val="20"/>
                <w:szCs w:val="20"/>
                <w:color w:val="auto"/>
              </w:rPr>
            </w:pPr>
            <w:r>
              <w:rPr>
                <w:rFonts w:ascii="Arial" w:cs="Arial" w:eastAsia="Arial" w:hAnsi="Arial"/>
                <w:sz w:val="10"/>
                <w:szCs w:val="10"/>
                <w:b w:val="1"/>
                <w:bCs w:val="1"/>
                <w:color w:val="auto"/>
              </w:rPr>
              <w:t>Three Months Ended June 30, 2020 (1)</w:t>
            </w:r>
          </w:p>
        </w:tc>
        <w:tc>
          <w:tcPr>
            <w:tcW w:w="520" w:type="dxa"/>
            <w:vAlign w:val="bottom"/>
            <w:tcBorders>
              <w:top w:val="single" w:sz="8" w:color="auto"/>
              <w:bottom w:val="single" w:sz="8" w:color="auto"/>
            </w:tcBorders>
          </w:tcPr>
          <w:p>
            <w:pPr>
              <w:spacing w:after="0"/>
              <w:rPr>
                <w:sz w:val="11"/>
                <w:szCs w:val="11"/>
                <w:color w:val="auto"/>
              </w:rPr>
            </w:pPr>
          </w:p>
        </w:tc>
      </w:tr>
      <w:tr>
        <w:trPr>
          <w:trHeight w:val="94"/>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gridSpan w:val="4"/>
          </w:tcPr>
          <w:p>
            <w:pPr>
              <w:jc w:val="center"/>
              <w:ind w:right="260"/>
              <w:spacing w:after="0" w:line="94" w:lineRule="exact"/>
              <w:rPr>
                <w:sz w:val="20"/>
                <w:szCs w:val="20"/>
                <w:color w:val="auto"/>
              </w:rPr>
            </w:pPr>
            <w:r>
              <w:rPr>
                <w:rFonts w:ascii="Arial" w:cs="Arial" w:eastAsia="Arial" w:hAnsi="Arial"/>
                <w:sz w:val="10"/>
                <w:szCs w:val="10"/>
                <w:b w:val="1"/>
                <w:bCs w:val="1"/>
                <w:color w:val="auto"/>
              </w:rPr>
              <w:t>Scheduled</w:t>
            </w: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3"/>
          </w:tcPr>
          <w:p>
            <w:pPr>
              <w:jc w:val="center"/>
              <w:ind w:right="320"/>
              <w:spacing w:after="0" w:line="94" w:lineRule="exact"/>
              <w:rPr>
                <w:sz w:val="20"/>
                <w:szCs w:val="20"/>
                <w:color w:val="auto"/>
              </w:rPr>
            </w:pPr>
            <w:r>
              <w:rPr>
                <w:rFonts w:ascii="Arial" w:cs="Arial" w:eastAsia="Arial" w:hAnsi="Arial"/>
                <w:sz w:val="10"/>
                <w:szCs w:val="10"/>
                <w:b w:val="1"/>
                <w:bCs w:val="1"/>
                <w:color w:val="auto"/>
              </w:rPr>
              <w:t>Scheduled</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rPr>
              <w:t>Service</w:t>
            </w:r>
          </w:p>
        </w:tc>
        <w:tc>
          <w:tcPr>
            <w:tcW w:w="700" w:type="dxa"/>
            <w:vAlign w:val="bottom"/>
            <w:gridSpan w:val="2"/>
          </w:tcPr>
          <w:p>
            <w:pPr>
              <w:ind w:left="40"/>
              <w:spacing w:after="0"/>
              <w:rPr>
                <w:sz w:val="20"/>
                <w:szCs w:val="20"/>
                <w:color w:val="auto"/>
              </w:rPr>
            </w:pPr>
            <w:r>
              <w:rPr>
                <w:rFonts w:ascii="Arial" w:cs="Arial" w:eastAsia="Arial" w:hAnsi="Arial"/>
                <w:sz w:val="10"/>
                <w:szCs w:val="10"/>
                <w:b w:val="1"/>
                <w:bCs w:val="1"/>
                <w:color w:val="auto"/>
              </w:rPr>
              <w:t>Charter</w:t>
            </w:r>
          </w:p>
        </w:tc>
        <w:tc>
          <w:tcPr>
            <w:tcW w:w="800" w:type="dxa"/>
            <w:vAlign w:val="bottom"/>
            <w:gridSpan w:val="3"/>
          </w:tcPr>
          <w:p>
            <w:pPr>
              <w:jc w:val="right"/>
              <w:ind w:right="380"/>
              <w:spacing w:after="0"/>
              <w:rPr>
                <w:sz w:val="20"/>
                <w:szCs w:val="20"/>
                <w:color w:val="auto"/>
              </w:rPr>
            </w:pPr>
            <w:r>
              <w:rPr>
                <w:rFonts w:ascii="Arial" w:cs="Arial" w:eastAsia="Arial" w:hAnsi="Arial"/>
                <w:sz w:val="10"/>
                <w:szCs w:val="10"/>
                <w:b w:val="1"/>
                <w:bCs w:val="1"/>
                <w:color w:val="auto"/>
              </w:rPr>
              <w:t>Cargo</w:t>
            </w:r>
          </w:p>
        </w:tc>
        <w:tc>
          <w:tcPr>
            <w:tcW w:w="620" w:type="dxa"/>
            <w:vAlign w:val="bottom"/>
          </w:tcPr>
          <w:p>
            <w:pPr>
              <w:jc w:val="right"/>
              <w:ind w:right="208"/>
              <w:spacing w:after="0"/>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rPr>
              <w:t>Service</w:t>
            </w:r>
          </w:p>
        </w:tc>
        <w:tc>
          <w:tcPr>
            <w:tcW w:w="680" w:type="dxa"/>
            <w:vAlign w:val="bottom"/>
            <w:gridSpan w:val="2"/>
          </w:tcPr>
          <w:p>
            <w:pPr>
              <w:ind w:left="40"/>
              <w:spacing w:after="0"/>
              <w:rPr>
                <w:sz w:val="20"/>
                <w:szCs w:val="20"/>
                <w:color w:val="auto"/>
              </w:rPr>
            </w:pPr>
            <w:r>
              <w:rPr>
                <w:rFonts w:ascii="Arial" w:cs="Arial" w:eastAsia="Arial" w:hAnsi="Arial"/>
                <w:sz w:val="10"/>
                <w:szCs w:val="10"/>
                <w:b w:val="1"/>
                <w:bCs w:val="1"/>
                <w:color w:val="auto"/>
              </w:rPr>
              <w:t>Charter</w:t>
            </w:r>
          </w:p>
        </w:tc>
        <w:tc>
          <w:tcPr>
            <w:tcW w:w="860" w:type="dxa"/>
            <w:vAlign w:val="bottom"/>
            <w:gridSpan w:val="3"/>
          </w:tcPr>
          <w:p>
            <w:pPr>
              <w:jc w:val="right"/>
              <w:ind w:right="420"/>
              <w:spacing w:after="0"/>
              <w:rPr>
                <w:sz w:val="20"/>
                <w:szCs w:val="20"/>
                <w:color w:val="auto"/>
              </w:rPr>
            </w:pPr>
            <w:r>
              <w:rPr>
                <w:rFonts w:ascii="Arial" w:cs="Arial" w:eastAsia="Arial" w:hAnsi="Arial"/>
                <w:sz w:val="10"/>
                <w:szCs w:val="10"/>
                <w:b w:val="1"/>
                <w:bCs w:val="1"/>
                <w:color w:val="auto"/>
              </w:rPr>
              <w:t>Cargo</w:t>
            </w:r>
          </w:p>
        </w:tc>
        <w:tc>
          <w:tcPr>
            <w:tcW w:w="520" w:type="dxa"/>
            <w:vAlign w:val="bottom"/>
          </w:tcPr>
          <w:p>
            <w:pPr>
              <w:jc w:val="right"/>
              <w:ind w:right="168"/>
              <w:spacing w:after="0"/>
              <w:rPr>
                <w:sz w:val="20"/>
                <w:szCs w:val="20"/>
                <w:color w:val="auto"/>
              </w:rPr>
            </w:pPr>
            <w:r>
              <w:rPr>
                <w:rFonts w:ascii="Arial" w:cs="Arial" w:eastAsia="Arial" w:hAnsi="Arial"/>
                <w:sz w:val="10"/>
                <w:szCs w:val="10"/>
                <w:b w:val="1"/>
                <w:bCs w:val="1"/>
                <w:color w:val="auto"/>
              </w:rPr>
              <w:t>Total</w:t>
            </w:r>
          </w:p>
        </w:tc>
      </w:tr>
      <w:tr>
        <w:trPr>
          <w:trHeight w:val="109"/>
        </w:trPr>
        <w:tc>
          <w:tcPr>
            <w:tcW w:w="20" w:type="dxa"/>
            <w:vAlign w:val="bottom"/>
          </w:tcPr>
          <w:p>
            <w:pPr>
              <w:spacing w:after="0"/>
              <w:rPr>
                <w:sz w:val="9"/>
                <w:szCs w:val="9"/>
                <w:color w:val="auto"/>
              </w:rPr>
            </w:pPr>
          </w:p>
        </w:tc>
        <w:tc>
          <w:tcPr>
            <w:tcW w:w="2540" w:type="dxa"/>
            <w:vAlign w:val="bottom"/>
            <w:tcBorders>
              <w:top w:val="single" w:sz="8" w:color="CCEEFF"/>
            </w:tcBorders>
            <w:shd w:val="clear" w:color="auto" w:fill="CCEEFF"/>
          </w:tcPr>
          <w:p>
            <w:pPr>
              <w:spacing w:after="0" w:line="109" w:lineRule="exact"/>
              <w:rPr>
                <w:sz w:val="20"/>
                <w:szCs w:val="20"/>
                <w:color w:val="auto"/>
              </w:rPr>
            </w:pPr>
            <w:r>
              <w:rPr>
                <w:rFonts w:ascii="Arial" w:cs="Arial" w:eastAsia="Arial" w:hAnsi="Arial"/>
                <w:sz w:val="8"/>
                <w:szCs w:val="8"/>
                <w:color w:val="auto"/>
              </w:rPr>
              <w:t xml:space="preserve">Departures </w:t>
            </w:r>
            <w:r>
              <w:rPr>
                <w:rFonts w:ascii="Arial" w:cs="Arial" w:eastAsia="Arial" w:hAnsi="Arial"/>
                <w:sz w:val="12"/>
                <w:szCs w:val="12"/>
                <w:color w:val="auto"/>
                <w:vertAlign w:val="superscript"/>
              </w:rPr>
              <w:t>(2)</w:t>
            </w:r>
          </w:p>
        </w:tc>
        <w:tc>
          <w:tcPr>
            <w:tcW w:w="3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4,921</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ind w:right="8"/>
              <w:spacing w:after="0" w:line="109" w:lineRule="exact"/>
              <w:rPr>
                <w:sz w:val="20"/>
                <w:szCs w:val="20"/>
                <w:color w:val="auto"/>
              </w:rPr>
            </w:pPr>
            <w:r>
              <w:rPr>
                <w:rFonts w:ascii="Arial" w:cs="Arial" w:eastAsia="Arial" w:hAnsi="Arial"/>
                <w:sz w:val="10"/>
                <w:szCs w:val="10"/>
                <w:color w:val="auto"/>
              </w:rPr>
              <w:t>1,727</w:t>
            </w: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2,752</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ind w:right="8"/>
              <w:spacing w:after="0" w:line="109" w:lineRule="exact"/>
              <w:rPr>
                <w:sz w:val="20"/>
                <w:szCs w:val="20"/>
                <w:color w:val="auto"/>
              </w:rPr>
            </w:pPr>
            <w:r>
              <w:rPr>
                <w:rFonts w:ascii="Arial" w:cs="Arial" w:eastAsia="Arial" w:hAnsi="Arial"/>
                <w:sz w:val="10"/>
                <w:szCs w:val="10"/>
                <w:color w:val="auto"/>
              </w:rPr>
              <w:t>9,445</w:t>
            </w: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1,376</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520</w:t>
            </w: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413</w:t>
            </w: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2,324</w:t>
            </w:r>
          </w:p>
        </w:tc>
      </w:tr>
      <w:tr>
        <w:trPr>
          <w:trHeight w:val="116"/>
        </w:trPr>
        <w:tc>
          <w:tcPr>
            <w:tcW w:w="20" w:type="dxa"/>
            <w:vAlign w:val="bottom"/>
          </w:tcPr>
          <w:p>
            <w:pPr>
              <w:spacing w:after="0"/>
              <w:rPr>
                <w:sz w:val="10"/>
                <w:szCs w:val="10"/>
                <w:color w:val="auto"/>
              </w:rPr>
            </w:pPr>
          </w:p>
        </w:tc>
        <w:tc>
          <w:tcPr>
            <w:tcW w:w="2540" w:type="dxa"/>
            <w:vAlign w:val="bottom"/>
          </w:tcPr>
          <w:p>
            <w:pPr>
              <w:spacing w:after="0" w:line="116" w:lineRule="exact"/>
              <w:rPr>
                <w:sz w:val="20"/>
                <w:szCs w:val="20"/>
                <w:color w:val="auto"/>
              </w:rPr>
            </w:pPr>
            <w:r>
              <w:rPr>
                <w:rFonts w:ascii="Arial" w:cs="Arial" w:eastAsia="Arial" w:hAnsi="Arial"/>
                <w:sz w:val="9"/>
                <w:szCs w:val="9"/>
                <w:color w:val="auto"/>
              </w:rPr>
              <w:t xml:space="preserve">Block hours </w:t>
            </w:r>
            <w:r>
              <w:rPr>
                <w:rFonts w:ascii="Arial" w:cs="Arial" w:eastAsia="Arial" w:hAnsi="Arial"/>
                <w:sz w:val="13"/>
                <w:szCs w:val="13"/>
                <w:color w:val="auto"/>
                <w:vertAlign w:val="superscript"/>
              </w:rPr>
              <w:t>(2)</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15,900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color w:val="auto"/>
              </w:rPr>
              <w:t>3,656</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8,198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27,874</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4,177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1,321</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1,076</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6,604</w:t>
            </w:r>
          </w:p>
        </w:tc>
      </w:tr>
      <w:tr>
        <w:trPr>
          <w:trHeight w:val="116"/>
        </w:trPr>
        <w:tc>
          <w:tcPr>
            <w:tcW w:w="20" w:type="dxa"/>
            <w:vAlign w:val="bottom"/>
          </w:tcPr>
          <w:p>
            <w:pPr>
              <w:spacing w:after="0"/>
              <w:rPr>
                <w:sz w:val="10"/>
                <w:szCs w:val="10"/>
                <w:color w:val="auto"/>
              </w:rPr>
            </w:pPr>
          </w:p>
        </w:tc>
        <w:tc>
          <w:tcPr>
            <w:tcW w:w="254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Aircraft miles </w:t>
            </w:r>
            <w:r>
              <w:rPr>
                <w:rFonts w:ascii="Arial" w:cs="Arial" w:eastAsia="Arial" w:hAnsi="Arial"/>
                <w:sz w:val="13"/>
                <w:szCs w:val="13"/>
                <w:color w:val="auto"/>
                <w:vertAlign w:val="superscript"/>
              </w:rPr>
              <w:t>(2)</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6,478,328</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1,360,043</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3,222,967</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11,098,716</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1,710,153</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526,261</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454,980</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2,700,328</w:t>
            </w:r>
          </w:p>
        </w:tc>
      </w:tr>
      <w:tr>
        <w:trPr>
          <w:trHeight w:val="116"/>
        </w:trPr>
        <w:tc>
          <w:tcPr>
            <w:tcW w:w="20" w:type="dxa"/>
            <w:vAlign w:val="bottom"/>
          </w:tcPr>
          <w:p>
            <w:pPr>
              <w:spacing w:after="0"/>
              <w:rPr>
                <w:sz w:val="10"/>
                <w:szCs w:val="10"/>
                <w:color w:val="auto"/>
              </w:rPr>
            </w:pPr>
          </w:p>
        </w:tc>
        <w:tc>
          <w:tcPr>
            <w:tcW w:w="2540" w:type="dxa"/>
            <w:vAlign w:val="bottom"/>
          </w:tcPr>
          <w:p>
            <w:pPr>
              <w:spacing w:after="0" w:line="116" w:lineRule="exact"/>
              <w:rPr>
                <w:sz w:val="20"/>
                <w:szCs w:val="20"/>
                <w:color w:val="auto"/>
              </w:rPr>
            </w:pPr>
            <w:r>
              <w:rPr>
                <w:rFonts w:ascii="Arial" w:cs="Arial" w:eastAsia="Arial" w:hAnsi="Arial"/>
                <w:sz w:val="9"/>
                <w:szCs w:val="9"/>
                <w:color w:val="auto"/>
              </w:rPr>
              <w:t xml:space="preserve">Available seat miles (ASMs) (thousands) </w:t>
            </w:r>
            <w:r>
              <w:rPr>
                <w:rFonts w:ascii="Arial" w:cs="Arial" w:eastAsia="Arial" w:hAnsi="Arial"/>
                <w:sz w:val="13"/>
                <w:szCs w:val="13"/>
                <w:color w:val="auto"/>
                <w:vertAlign w:val="superscript"/>
              </w:rPr>
              <w:t>(2)</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1,198,768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color w:val="auto"/>
              </w:rPr>
              <w:t>237,723</w:t>
            </w:r>
          </w:p>
        </w:tc>
        <w:tc>
          <w:tcPr>
            <w:tcW w:w="140" w:type="dxa"/>
            <w:vAlign w:val="bottom"/>
          </w:tcPr>
          <w:p>
            <w:pPr>
              <w:spacing w:after="0"/>
              <w:rPr>
                <w:sz w:val="10"/>
                <w:szCs w:val="10"/>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1,442,744</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318,049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97,827</w:t>
            </w:r>
          </w:p>
        </w:tc>
        <w:tc>
          <w:tcPr>
            <w:tcW w:w="140" w:type="dxa"/>
            <w:vAlign w:val="bottom"/>
          </w:tcPr>
          <w:p>
            <w:pPr>
              <w:spacing w:after="0"/>
              <w:rPr>
                <w:sz w:val="10"/>
                <w:szCs w:val="10"/>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417,538</w:t>
            </w:r>
          </w:p>
        </w:tc>
      </w:tr>
      <w:tr>
        <w:trPr>
          <w:trHeight w:val="116"/>
        </w:trPr>
        <w:tc>
          <w:tcPr>
            <w:tcW w:w="20" w:type="dxa"/>
            <w:vAlign w:val="bottom"/>
          </w:tcPr>
          <w:p>
            <w:pPr>
              <w:spacing w:after="0"/>
              <w:rPr>
                <w:sz w:val="10"/>
                <w:szCs w:val="10"/>
                <w:color w:val="auto"/>
              </w:rPr>
            </w:pPr>
          </w:p>
        </w:tc>
        <w:tc>
          <w:tcPr>
            <w:tcW w:w="254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Total revenue per ASM (TRASM) (cents) </w:t>
            </w:r>
            <w:r>
              <w:rPr>
                <w:rFonts w:ascii="Arial" w:cs="Arial" w:eastAsia="Arial" w:hAnsi="Arial"/>
                <w:sz w:val="13"/>
                <w:szCs w:val="13"/>
                <w:color w:val="auto"/>
                <w:vertAlign w:val="superscript"/>
              </w:rPr>
              <w:t>(3)</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8.81</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7.70</w:t>
            </w:r>
          </w:p>
        </w:tc>
      </w:tr>
      <w:tr>
        <w:trPr>
          <w:trHeight w:val="116"/>
        </w:trPr>
        <w:tc>
          <w:tcPr>
            <w:tcW w:w="20" w:type="dxa"/>
            <w:vAlign w:val="bottom"/>
          </w:tcPr>
          <w:p>
            <w:pPr>
              <w:spacing w:after="0"/>
              <w:rPr>
                <w:sz w:val="10"/>
                <w:szCs w:val="10"/>
                <w:color w:val="auto"/>
              </w:rPr>
            </w:pPr>
          </w:p>
        </w:tc>
        <w:tc>
          <w:tcPr>
            <w:tcW w:w="2540" w:type="dxa"/>
            <w:vAlign w:val="bottom"/>
          </w:tcPr>
          <w:p>
            <w:pPr>
              <w:spacing w:after="0" w:line="116" w:lineRule="exact"/>
              <w:rPr>
                <w:sz w:val="20"/>
                <w:szCs w:val="20"/>
                <w:color w:val="auto"/>
              </w:rPr>
            </w:pPr>
            <w:r>
              <w:rPr>
                <w:rFonts w:ascii="Arial" w:cs="Arial" w:eastAsia="Arial" w:hAnsi="Arial"/>
                <w:sz w:val="9"/>
                <w:szCs w:val="9"/>
                <w:color w:val="auto"/>
              </w:rPr>
              <w:t xml:space="preserve">Average passenger aircraft during the period </w:t>
            </w:r>
            <w:r>
              <w:rPr>
                <w:rFonts w:ascii="Arial" w:cs="Arial" w:eastAsia="Arial" w:hAnsi="Arial"/>
                <w:sz w:val="13"/>
                <w:szCs w:val="13"/>
                <w:color w:val="auto"/>
                <w:vertAlign w:val="superscript"/>
              </w:rPr>
              <w:t>(3)</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31.0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31.0</w:t>
            </w:r>
          </w:p>
        </w:tc>
      </w:tr>
      <w:tr>
        <w:trPr>
          <w:trHeight w:val="116"/>
        </w:trPr>
        <w:tc>
          <w:tcPr>
            <w:tcW w:w="20" w:type="dxa"/>
            <w:vAlign w:val="bottom"/>
          </w:tcPr>
          <w:p>
            <w:pPr>
              <w:spacing w:after="0"/>
              <w:rPr>
                <w:sz w:val="10"/>
                <w:szCs w:val="10"/>
                <w:color w:val="auto"/>
              </w:rPr>
            </w:pPr>
          </w:p>
        </w:tc>
        <w:tc>
          <w:tcPr>
            <w:tcW w:w="254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Passenger aircraft at end of period </w:t>
            </w:r>
            <w:r>
              <w:rPr>
                <w:rFonts w:ascii="Arial" w:cs="Arial" w:eastAsia="Arial" w:hAnsi="Arial"/>
                <w:sz w:val="13"/>
                <w:szCs w:val="13"/>
                <w:color w:val="auto"/>
                <w:vertAlign w:val="superscript"/>
              </w:rPr>
              <w:t>(3)</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33</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w:t>
            </w:r>
          </w:p>
        </w:tc>
      </w:tr>
      <w:tr>
        <w:trPr>
          <w:trHeight w:val="116"/>
        </w:trPr>
        <w:tc>
          <w:tcPr>
            <w:tcW w:w="20" w:type="dxa"/>
            <w:vAlign w:val="bottom"/>
          </w:tcPr>
          <w:p>
            <w:pPr>
              <w:spacing w:after="0"/>
              <w:rPr>
                <w:sz w:val="10"/>
                <w:szCs w:val="10"/>
                <w:color w:val="auto"/>
              </w:rPr>
            </w:pPr>
          </w:p>
        </w:tc>
        <w:tc>
          <w:tcPr>
            <w:tcW w:w="2540" w:type="dxa"/>
            <w:vAlign w:val="bottom"/>
          </w:tcPr>
          <w:p>
            <w:pPr>
              <w:spacing w:after="0"/>
              <w:rPr>
                <w:sz w:val="20"/>
                <w:szCs w:val="20"/>
                <w:color w:val="auto"/>
              </w:rPr>
            </w:pPr>
            <w:r>
              <w:rPr>
                <w:rFonts w:ascii="Arial" w:cs="Arial" w:eastAsia="Arial" w:hAnsi="Arial"/>
                <w:sz w:val="10"/>
                <w:szCs w:val="10"/>
                <w:color w:val="auto"/>
              </w:rPr>
              <w:t>Cargo aircraft at end of period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12</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7</w:t>
            </w:r>
          </w:p>
        </w:tc>
      </w:tr>
      <w:tr>
        <w:trPr>
          <w:trHeight w:val="116"/>
        </w:trPr>
        <w:tc>
          <w:tcPr>
            <w:tcW w:w="20" w:type="dxa"/>
            <w:vAlign w:val="bottom"/>
          </w:tcPr>
          <w:p>
            <w:pPr>
              <w:spacing w:after="0"/>
              <w:rPr>
                <w:sz w:val="10"/>
                <w:szCs w:val="10"/>
                <w:color w:val="auto"/>
              </w:rPr>
            </w:pPr>
          </w:p>
        </w:tc>
        <w:tc>
          <w:tcPr>
            <w:tcW w:w="254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Average daily aircraft utilization (hours) </w:t>
            </w:r>
            <w:r>
              <w:rPr>
                <w:rFonts w:ascii="Arial" w:cs="Arial" w:eastAsia="Arial" w:hAnsi="Arial"/>
                <w:sz w:val="13"/>
                <w:szCs w:val="13"/>
                <w:color w:val="auto"/>
                <w:vertAlign w:val="superscript"/>
              </w:rPr>
              <w:t>(3)</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7.0</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w:t>
            </w:r>
          </w:p>
        </w:tc>
      </w:tr>
      <w:tr>
        <w:trPr>
          <w:trHeight w:val="116"/>
        </w:trPr>
        <w:tc>
          <w:tcPr>
            <w:tcW w:w="20" w:type="dxa"/>
            <w:vAlign w:val="bottom"/>
          </w:tcPr>
          <w:p>
            <w:pPr>
              <w:spacing w:after="0"/>
              <w:rPr>
                <w:sz w:val="10"/>
                <w:szCs w:val="10"/>
                <w:color w:val="auto"/>
              </w:rPr>
            </w:pPr>
          </w:p>
        </w:tc>
        <w:tc>
          <w:tcPr>
            <w:tcW w:w="2540" w:type="dxa"/>
            <w:vAlign w:val="bottom"/>
          </w:tcPr>
          <w:p>
            <w:pPr>
              <w:spacing w:after="0"/>
              <w:rPr>
                <w:sz w:val="20"/>
                <w:szCs w:val="20"/>
                <w:color w:val="auto"/>
              </w:rPr>
            </w:pPr>
            <w:r>
              <w:rPr>
                <w:rFonts w:ascii="Arial" w:cs="Arial" w:eastAsia="Arial" w:hAnsi="Arial"/>
                <w:sz w:val="10"/>
                <w:szCs w:val="10"/>
                <w:color w:val="auto"/>
              </w:rPr>
              <w:t>Average stage length (miles)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1,179</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1,180</w:t>
            </w:r>
          </w:p>
        </w:tc>
      </w:tr>
      <w:tr>
        <w:trPr>
          <w:trHeight w:val="116"/>
        </w:trPr>
        <w:tc>
          <w:tcPr>
            <w:tcW w:w="20" w:type="dxa"/>
            <w:vAlign w:val="bottom"/>
          </w:tcPr>
          <w:p>
            <w:pPr>
              <w:spacing w:after="0"/>
              <w:rPr>
                <w:sz w:val="10"/>
                <w:szCs w:val="10"/>
                <w:color w:val="auto"/>
              </w:rPr>
            </w:pPr>
          </w:p>
        </w:tc>
        <w:tc>
          <w:tcPr>
            <w:tcW w:w="254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Revenue passengers carried </w:t>
            </w:r>
            <w:r>
              <w:rPr>
                <w:rFonts w:ascii="Arial" w:cs="Arial" w:eastAsia="Arial" w:hAnsi="Arial"/>
                <w:sz w:val="13"/>
                <w:szCs w:val="13"/>
                <w:color w:val="auto"/>
                <w:vertAlign w:val="superscript"/>
              </w:rPr>
              <w:t>(4)</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700,019</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121,922</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2540" w:type="dxa"/>
            <w:vAlign w:val="bottom"/>
          </w:tcPr>
          <w:p>
            <w:pPr>
              <w:spacing w:after="0" w:line="116" w:lineRule="exact"/>
              <w:rPr>
                <w:sz w:val="20"/>
                <w:szCs w:val="20"/>
                <w:color w:val="auto"/>
              </w:rPr>
            </w:pPr>
            <w:r>
              <w:rPr>
                <w:rFonts w:ascii="Arial" w:cs="Arial" w:eastAsia="Arial" w:hAnsi="Arial"/>
                <w:sz w:val="9"/>
                <w:szCs w:val="9"/>
                <w:color w:val="auto"/>
              </w:rPr>
              <w:t xml:space="preserve">Revenue passenger miles (RPMs) (thousands) </w:t>
            </w:r>
            <w:r>
              <w:rPr>
                <w:rFonts w:ascii="Arial" w:cs="Arial" w:eastAsia="Arial" w:hAnsi="Arial"/>
                <w:sz w:val="13"/>
                <w:szCs w:val="13"/>
                <w:color w:val="auto"/>
                <w:vertAlign w:val="superscript"/>
              </w:rPr>
              <w:t>(4)</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919,034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153,098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254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Passenger revenue per ASM (PRASM) (cents) </w:t>
            </w:r>
            <w:r>
              <w:rPr>
                <w:rFonts w:ascii="Arial" w:cs="Arial" w:eastAsia="Arial" w:hAnsi="Arial"/>
                <w:sz w:val="13"/>
                <w:szCs w:val="13"/>
                <w:color w:val="auto"/>
                <w:vertAlign w:val="superscript"/>
              </w:rPr>
              <w:t>(4)</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5.62</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2540" w:type="dxa"/>
            <w:vAlign w:val="bottom"/>
          </w:tcPr>
          <w:p>
            <w:pPr>
              <w:spacing w:after="0" w:line="116" w:lineRule="exact"/>
              <w:rPr>
                <w:sz w:val="20"/>
                <w:szCs w:val="20"/>
                <w:color w:val="auto"/>
              </w:rPr>
            </w:pPr>
            <w:r>
              <w:rPr>
                <w:rFonts w:ascii="Arial" w:cs="Arial" w:eastAsia="Arial" w:hAnsi="Arial"/>
                <w:sz w:val="9"/>
                <w:szCs w:val="9"/>
                <w:color w:val="auto"/>
              </w:rPr>
              <w:t xml:space="preserve">Load factor </w:t>
            </w:r>
            <w:r>
              <w:rPr>
                <w:rFonts w:ascii="Arial" w:cs="Arial" w:eastAsia="Arial" w:hAnsi="Arial"/>
                <w:sz w:val="13"/>
                <w:szCs w:val="13"/>
                <w:color w:val="auto"/>
                <w:vertAlign w:val="superscript"/>
              </w:rPr>
              <w:t>(4)</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76.7 %</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0"/>
                <w:szCs w:val="10"/>
                <w:color w:val="auto"/>
              </w:rPr>
              <w:t>48.1 %</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254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Average base fare per passenger </w:t>
            </w:r>
            <w:r>
              <w:rPr>
                <w:rFonts w:ascii="Arial" w:cs="Arial" w:eastAsia="Arial" w:hAnsi="Arial"/>
                <w:sz w:val="13"/>
                <w:szCs w:val="13"/>
                <w:color w:val="auto"/>
                <w:vertAlign w:val="superscript"/>
              </w:rPr>
              <w:t>(4)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95.81</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146.66</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2540" w:type="dxa"/>
            <w:vAlign w:val="bottom"/>
          </w:tcPr>
          <w:p>
            <w:pPr>
              <w:spacing w:after="0" w:line="116" w:lineRule="exact"/>
              <w:rPr>
                <w:sz w:val="20"/>
                <w:szCs w:val="20"/>
                <w:color w:val="auto"/>
              </w:rPr>
            </w:pPr>
            <w:r>
              <w:rPr>
                <w:rFonts w:ascii="Arial" w:cs="Arial" w:eastAsia="Arial" w:hAnsi="Arial"/>
                <w:sz w:val="9"/>
                <w:szCs w:val="9"/>
                <w:color w:val="auto"/>
              </w:rPr>
              <w:t xml:space="preserve">Ancillary revenue per passenger </w:t>
            </w:r>
            <w:r>
              <w:rPr>
                <w:rFonts w:ascii="Arial" w:cs="Arial" w:eastAsia="Arial" w:hAnsi="Arial"/>
                <w:sz w:val="13"/>
                <w:szCs w:val="13"/>
                <w:color w:val="auto"/>
                <w:vertAlign w:val="superscript"/>
              </w:rPr>
              <w:t>(4)</w:t>
            </w: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41.66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40.74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0"/>
                <w:szCs w:val="10"/>
                <w:color w:val="auto"/>
              </w:rPr>
              <w:t>Charter revenue per block hour</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7,904</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6,426</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2540" w:type="dxa"/>
            <w:vAlign w:val="bottom"/>
          </w:tcPr>
          <w:p>
            <w:pPr>
              <w:spacing w:after="0" w:line="116" w:lineRule="exact"/>
              <w:rPr>
                <w:sz w:val="20"/>
                <w:szCs w:val="20"/>
                <w:color w:val="auto"/>
              </w:rPr>
            </w:pPr>
            <w:r>
              <w:rPr>
                <w:rFonts w:ascii="Arial" w:cs="Arial" w:eastAsia="Arial" w:hAnsi="Arial"/>
                <w:sz w:val="9"/>
                <w:szCs w:val="9"/>
                <w:color w:val="auto"/>
              </w:rPr>
              <w:t xml:space="preserve">Fuel gallons consumed (thousands) </w:t>
            </w:r>
            <w:r>
              <w:rPr>
                <w:rFonts w:ascii="Arial" w:cs="Arial" w:eastAsia="Arial" w:hAnsi="Arial"/>
                <w:sz w:val="13"/>
                <w:szCs w:val="13"/>
                <w:color w:val="auto"/>
                <w:vertAlign w:val="superscript"/>
              </w:rPr>
              <w:t>(2)</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12,267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color w:val="auto"/>
              </w:rPr>
              <w:t>2,622</w:t>
            </w:r>
          </w:p>
        </w:tc>
        <w:tc>
          <w:tcPr>
            <w:tcW w:w="140" w:type="dxa"/>
            <w:vAlign w:val="bottom"/>
          </w:tcPr>
          <w:p>
            <w:pPr>
              <w:spacing w:after="0"/>
              <w:rPr>
                <w:sz w:val="10"/>
                <w:szCs w:val="10"/>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14,955</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3,028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946</w:t>
            </w:r>
          </w:p>
        </w:tc>
        <w:tc>
          <w:tcPr>
            <w:tcW w:w="140" w:type="dxa"/>
            <w:vAlign w:val="bottom"/>
          </w:tcPr>
          <w:p>
            <w:pPr>
              <w:spacing w:after="0"/>
              <w:rPr>
                <w:sz w:val="10"/>
                <w:szCs w:val="10"/>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3,991</w:t>
            </w:r>
          </w:p>
        </w:tc>
      </w:tr>
      <w:tr>
        <w:trPr>
          <w:trHeight w:val="116"/>
        </w:trPr>
        <w:tc>
          <w:tcPr>
            <w:tcW w:w="20" w:type="dxa"/>
            <w:vAlign w:val="bottom"/>
          </w:tcPr>
          <w:p>
            <w:pPr>
              <w:spacing w:after="0"/>
              <w:rPr>
                <w:sz w:val="10"/>
                <w:szCs w:val="10"/>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0"/>
                <w:szCs w:val="10"/>
                <w:color w:val="auto"/>
              </w:rPr>
              <w:t>Fuel cost per gallon, excluding derivatives</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2.07</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w:t>
            </w:r>
          </w:p>
        </w:tc>
      </w:tr>
      <w:tr>
        <w:trPr>
          <w:trHeight w:val="116"/>
        </w:trPr>
        <w:tc>
          <w:tcPr>
            <w:tcW w:w="20" w:type="dxa"/>
            <w:vAlign w:val="bottom"/>
          </w:tcPr>
          <w:p>
            <w:pPr>
              <w:spacing w:after="0"/>
              <w:rPr>
                <w:sz w:val="10"/>
                <w:szCs w:val="10"/>
                <w:color w:val="auto"/>
              </w:rPr>
            </w:pPr>
          </w:p>
        </w:tc>
        <w:tc>
          <w:tcPr>
            <w:tcW w:w="2540" w:type="dxa"/>
            <w:vAlign w:val="bottom"/>
          </w:tcPr>
          <w:p>
            <w:pPr>
              <w:spacing w:after="0"/>
              <w:rPr>
                <w:sz w:val="20"/>
                <w:szCs w:val="20"/>
                <w:color w:val="auto"/>
              </w:rPr>
            </w:pPr>
            <w:r>
              <w:rPr>
                <w:rFonts w:ascii="Arial" w:cs="Arial" w:eastAsia="Arial" w:hAnsi="Arial"/>
                <w:sz w:val="10"/>
                <w:szCs w:val="10"/>
                <w:color w:val="auto"/>
              </w:rPr>
              <w:t>Employees at end of period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1,815</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1,660</w:t>
            </w:r>
          </w:p>
        </w:tc>
      </w:tr>
      <w:tr>
        <w:trPr>
          <w:trHeight w:val="116"/>
        </w:trPr>
        <w:tc>
          <w:tcPr>
            <w:tcW w:w="20" w:type="dxa"/>
            <w:vAlign w:val="bottom"/>
          </w:tcPr>
          <w:p>
            <w:pPr>
              <w:spacing w:after="0"/>
              <w:rPr>
                <w:sz w:val="10"/>
                <w:szCs w:val="10"/>
                <w:color w:val="auto"/>
              </w:rPr>
            </w:pPr>
          </w:p>
        </w:tc>
        <w:tc>
          <w:tcPr>
            <w:tcW w:w="254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Cost per available seat mile (CASM) (cents) </w:t>
            </w:r>
            <w:r>
              <w:rPr>
                <w:rFonts w:ascii="Arial" w:cs="Arial" w:eastAsia="Arial" w:hAnsi="Arial"/>
                <w:sz w:val="13"/>
                <w:szCs w:val="13"/>
                <w:color w:val="auto"/>
                <w:vertAlign w:val="superscript"/>
              </w:rPr>
              <w:t>(5)</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6.93</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9.01</w:t>
            </w:r>
          </w:p>
        </w:tc>
      </w:tr>
      <w:tr>
        <w:trPr>
          <w:trHeight w:val="197"/>
        </w:trPr>
        <w:tc>
          <w:tcPr>
            <w:tcW w:w="2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0"/>
                <w:szCs w:val="10"/>
                <w:color w:val="auto"/>
              </w:rPr>
              <w:t xml:space="preserve">Adjusted CASM (cents) </w:t>
            </w:r>
            <w:r>
              <w:rPr>
                <w:rFonts w:ascii="Arial" w:cs="Arial" w:eastAsia="Arial" w:hAnsi="Arial"/>
                <w:sz w:val="15"/>
                <w:szCs w:val="15"/>
                <w:color w:val="auto"/>
                <w:vertAlign w:val="superscript"/>
              </w:rPr>
              <w:t>(6)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6.35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14.57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13970</wp:posOffset>
            </wp:positionV>
            <wp:extent cx="141605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16050" cy="16510"/>
                    </a:xfrm>
                    <a:prstGeom prst="rect">
                      <a:avLst/>
                    </a:prstGeom>
                    <a:noFill/>
                  </pic:spPr>
                </pic:pic>
              </a:graphicData>
            </a:graphic>
          </wp:anchor>
        </w:drawing>
      </w:r>
    </w:p>
    <w:p>
      <w:pPr>
        <w:spacing w:after="0" w:line="104" w:lineRule="exact"/>
        <w:rPr>
          <w:sz w:val="20"/>
          <w:szCs w:val="20"/>
          <w:color w:val="auto"/>
        </w:rPr>
      </w:pPr>
    </w:p>
    <w:p>
      <w:pPr>
        <w:ind w:left="360" w:right="79" w:hanging="313"/>
        <w:spacing w:after="0" w:line="249" w:lineRule="auto"/>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Certain operating statistics and metrics are not presented as they are not calculable or are not utilized by management.</w:t>
      </w:r>
    </w:p>
    <w:p>
      <w:pPr>
        <w:spacing w:after="0" w:line="187" w:lineRule="exact"/>
        <w:rPr>
          <w:rFonts w:ascii="Arial" w:cs="Arial" w:eastAsia="Arial" w:hAnsi="Arial"/>
          <w:sz w:val="17"/>
          <w:szCs w:val="17"/>
          <w:color w:val="auto"/>
        </w:rPr>
      </w:pPr>
    </w:p>
    <w:p>
      <w:pPr>
        <w:jc w:val="both"/>
        <w:ind w:left="360" w:right="79" w:hanging="313"/>
        <w:spacing w:after="0" w:line="243" w:lineRule="auto"/>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spacing w:after="0" w:line="192" w:lineRule="exact"/>
        <w:rPr>
          <w:rFonts w:ascii="Arial" w:cs="Arial" w:eastAsia="Arial" w:hAnsi="Arial"/>
          <w:sz w:val="17"/>
          <w:szCs w:val="17"/>
          <w:color w:val="auto"/>
        </w:rPr>
      </w:pPr>
    </w:p>
    <w:p>
      <w:pPr>
        <w:ind w:left="360" w:right="59" w:hanging="313"/>
        <w:spacing w:after="0" w:line="249" w:lineRule="auto"/>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Scheduled service and charter service utilize the same fleet of aircraft. Aircraft counts and utilization metrics are shown on a system basis only.</w:t>
      </w:r>
    </w:p>
    <w:p>
      <w:pPr>
        <w:spacing w:after="0" w:line="187" w:lineRule="exact"/>
        <w:rPr>
          <w:rFonts w:ascii="Arial" w:cs="Arial" w:eastAsia="Arial" w:hAnsi="Arial"/>
          <w:sz w:val="17"/>
          <w:szCs w:val="17"/>
          <w:color w:val="auto"/>
        </w:rPr>
      </w:pPr>
    </w:p>
    <w:p>
      <w:pPr>
        <w:ind w:left="360" w:right="79" w:hanging="313"/>
        <w:spacing w:after="0" w:line="249" w:lineRule="auto"/>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Passenger-related statistics and metrics are shown only for scheduled service. Charter service revenue is driven by flight statistics.</w:t>
      </w:r>
    </w:p>
    <w:p>
      <w:pPr>
        <w:spacing w:after="0" w:line="187" w:lineRule="exact"/>
        <w:rPr>
          <w:rFonts w:ascii="Arial" w:cs="Arial" w:eastAsia="Arial" w:hAnsi="Arial"/>
          <w:sz w:val="17"/>
          <w:szCs w:val="17"/>
          <w:color w:val="auto"/>
        </w:rPr>
      </w:pPr>
    </w:p>
    <w:p>
      <w:pPr>
        <w:ind w:left="360" w:hanging="313"/>
        <w:spacing w:after="0"/>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CASM is a key airline cost metric. CASM is defined as operating expenses divided by total available seat miles.</w:t>
      </w:r>
    </w:p>
    <w:p>
      <w:pPr>
        <w:spacing w:after="0" w:line="204" w:lineRule="exact"/>
        <w:rPr>
          <w:rFonts w:ascii="Arial" w:cs="Arial" w:eastAsia="Arial" w:hAnsi="Arial"/>
          <w:sz w:val="17"/>
          <w:szCs w:val="17"/>
          <w:color w:val="auto"/>
        </w:rPr>
      </w:pPr>
    </w:p>
    <w:p>
      <w:pPr>
        <w:ind w:left="360" w:right="79" w:hanging="313"/>
        <w:spacing w:after="0" w:line="249" w:lineRule="auto"/>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CASM is a non-GAAP measure derived from CASM by excluding fuel costs, costs related to our cargo operations, special items, and certain other costs.</w:t>
      </w:r>
    </w:p>
    <w:p>
      <w:pPr>
        <w:spacing w:after="0" w:line="393" w:lineRule="exact"/>
        <w:rPr>
          <w:rFonts w:ascii="Arial" w:cs="Arial" w:eastAsia="Arial" w:hAnsi="Arial"/>
          <w:sz w:val="17"/>
          <w:szCs w:val="17"/>
          <w:color w:val="auto"/>
        </w:rPr>
      </w:pPr>
    </w:p>
    <w:p>
      <w:pPr>
        <w:ind w:left="4400" w:hanging="96"/>
        <w:spacing w:after="0"/>
        <w:tabs>
          <w:tab w:leader="none" w:pos="44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Key Operating Statistics and Metrics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340" w:type="dxa"/>
            <w:vAlign w:val="bottom"/>
            <w:tcBorders>
              <w:top w:val="single" w:sz="8" w:color="auto"/>
              <w:bottom w:val="single" w:sz="8" w:color="auto"/>
            </w:tcBorders>
            <w:gridSpan w:val="8"/>
          </w:tcPr>
          <w:p>
            <w:pPr>
              <w:jc w:val="right"/>
              <w:ind w:right="40"/>
              <w:spacing w:after="0"/>
              <w:rPr>
                <w:sz w:val="20"/>
                <w:szCs w:val="20"/>
                <w:color w:val="auto"/>
              </w:rPr>
            </w:pPr>
            <w:r>
              <w:rPr>
                <w:rFonts w:ascii="Arial" w:cs="Arial" w:eastAsia="Arial" w:hAnsi="Arial"/>
                <w:sz w:val="10"/>
                <w:szCs w:val="10"/>
                <w:b w:val="1"/>
                <w:bCs w:val="1"/>
                <w:color w:val="auto"/>
              </w:rPr>
              <w:t>Six Months Ended June 30, 2021 (1)</w:t>
            </w:r>
          </w:p>
        </w:tc>
        <w:tc>
          <w:tcPr>
            <w:tcW w:w="60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320" w:type="dxa"/>
            <w:vAlign w:val="bottom"/>
            <w:tcBorders>
              <w:top w:val="single" w:sz="8" w:color="auto"/>
              <w:bottom w:val="single" w:sz="8" w:color="auto"/>
            </w:tcBorders>
            <w:gridSpan w:val="8"/>
          </w:tcPr>
          <w:p>
            <w:pPr>
              <w:jc w:val="right"/>
              <w:ind w:right="40"/>
              <w:spacing w:after="0"/>
              <w:rPr>
                <w:sz w:val="20"/>
                <w:szCs w:val="20"/>
                <w:color w:val="auto"/>
              </w:rPr>
            </w:pPr>
            <w:r>
              <w:rPr>
                <w:rFonts w:ascii="Arial" w:cs="Arial" w:eastAsia="Arial" w:hAnsi="Arial"/>
                <w:sz w:val="10"/>
                <w:szCs w:val="10"/>
                <w:b w:val="1"/>
                <w:bCs w:val="1"/>
                <w:color w:val="auto"/>
              </w:rPr>
              <w:t>Six Months Ended June 30, 2020 (1)</w:t>
            </w:r>
          </w:p>
        </w:tc>
        <w:tc>
          <w:tcPr>
            <w:tcW w:w="580" w:type="dxa"/>
            <w:vAlign w:val="bottom"/>
            <w:tcBorders>
              <w:top w:val="single" w:sz="8" w:color="auto"/>
              <w:bottom w:val="single" w:sz="8" w:color="auto"/>
            </w:tcBorders>
          </w:tcPr>
          <w:p>
            <w:pPr>
              <w:spacing w:after="0"/>
              <w:rPr>
                <w:sz w:val="11"/>
                <w:szCs w:val="11"/>
                <w:color w:val="auto"/>
              </w:rPr>
            </w:pPr>
          </w:p>
        </w:tc>
      </w:tr>
      <w:tr>
        <w:trPr>
          <w:trHeight w:val="94"/>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3"/>
          </w:tcPr>
          <w:p>
            <w:pPr>
              <w:jc w:val="center"/>
              <w:ind w:right="300"/>
              <w:spacing w:after="0" w:line="94" w:lineRule="exact"/>
              <w:rPr>
                <w:sz w:val="20"/>
                <w:szCs w:val="20"/>
                <w:color w:val="auto"/>
              </w:rPr>
            </w:pPr>
            <w:r>
              <w:rPr>
                <w:rFonts w:ascii="Arial" w:cs="Arial" w:eastAsia="Arial" w:hAnsi="Arial"/>
                <w:sz w:val="10"/>
                <w:szCs w:val="10"/>
                <w:b w:val="1"/>
                <w:bCs w:val="1"/>
                <w:color w:val="auto"/>
              </w:rPr>
              <w:t>Scheduled</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center"/>
              <w:ind w:right="280"/>
              <w:spacing w:after="0" w:line="94" w:lineRule="exact"/>
              <w:rPr>
                <w:sz w:val="20"/>
                <w:szCs w:val="20"/>
                <w:color w:val="auto"/>
              </w:rPr>
            </w:pPr>
            <w:r>
              <w:rPr>
                <w:rFonts w:ascii="Arial" w:cs="Arial" w:eastAsia="Arial" w:hAnsi="Arial"/>
                <w:sz w:val="10"/>
                <w:szCs w:val="10"/>
                <w:b w:val="1"/>
                <w:bCs w:val="1"/>
                <w:color w:val="auto"/>
              </w:rPr>
              <w:t>Scheduled</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31"/>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rPr>
              <w:t>Service</w:t>
            </w:r>
          </w:p>
        </w:tc>
        <w:tc>
          <w:tcPr>
            <w:tcW w:w="660" w:type="dxa"/>
            <w:vAlign w:val="bottom"/>
            <w:gridSpan w:val="2"/>
          </w:tcPr>
          <w:p>
            <w:pPr>
              <w:ind w:left="40"/>
              <w:spacing w:after="0"/>
              <w:rPr>
                <w:sz w:val="20"/>
                <w:szCs w:val="20"/>
                <w:color w:val="auto"/>
              </w:rPr>
            </w:pPr>
            <w:r>
              <w:rPr>
                <w:rFonts w:ascii="Arial" w:cs="Arial" w:eastAsia="Arial" w:hAnsi="Arial"/>
                <w:sz w:val="10"/>
                <w:szCs w:val="10"/>
                <w:b w:val="1"/>
                <w:bCs w:val="1"/>
                <w:color w:val="auto"/>
              </w:rPr>
              <w:t>Charter</w:t>
            </w:r>
          </w:p>
        </w:tc>
        <w:tc>
          <w:tcPr>
            <w:tcW w:w="820" w:type="dxa"/>
            <w:vAlign w:val="bottom"/>
            <w:gridSpan w:val="3"/>
          </w:tcPr>
          <w:p>
            <w:pPr>
              <w:jc w:val="right"/>
              <w:ind w:right="380"/>
              <w:spacing w:after="0"/>
              <w:rPr>
                <w:sz w:val="20"/>
                <w:szCs w:val="20"/>
                <w:color w:val="auto"/>
              </w:rPr>
            </w:pPr>
            <w:r>
              <w:rPr>
                <w:rFonts w:ascii="Arial" w:cs="Arial" w:eastAsia="Arial" w:hAnsi="Arial"/>
                <w:sz w:val="10"/>
                <w:szCs w:val="10"/>
                <w:b w:val="1"/>
                <w:bCs w:val="1"/>
                <w:color w:val="auto"/>
              </w:rPr>
              <w:t>Cargo</w:t>
            </w:r>
          </w:p>
        </w:tc>
        <w:tc>
          <w:tcPr>
            <w:tcW w:w="78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Total</w:t>
            </w: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rPr>
              <w:t>Service</w:t>
            </w:r>
          </w:p>
        </w:tc>
        <w:tc>
          <w:tcPr>
            <w:tcW w:w="680" w:type="dxa"/>
            <w:vAlign w:val="bottom"/>
            <w:gridSpan w:val="2"/>
          </w:tcPr>
          <w:p>
            <w:pPr>
              <w:ind w:left="40"/>
              <w:spacing w:after="0"/>
              <w:rPr>
                <w:sz w:val="20"/>
                <w:szCs w:val="20"/>
                <w:color w:val="auto"/>
              </w:rPr>
            </w:pPr>
            <w:r>
              <w:rPr>
                <w:rFonts w:ascii="Arial" w:cs="Arial" w:eastAsia="Arial" w:hAnsi="Arial"/>
                <w:sz w:val="10"/>
                <w:szCs w:val="10"/>
                <w:b w:val="1"/>
                <w:bCs w:val="1"/>
                <w:color w:val="auto"/>
              </w:rPr>
              <w:t>Charter</w:t>
            </w:r>
          </w:p>
        </w:tc>
        <w:tc>
          <w:tcPr>
            <w:tcW w:w="840" w:type="dxa"/>
            <w:vAlign w:val="bottom"/>
            <w:gridSpan w:val="3"/>
          </w:tcPr>
          <w:p>
            <w:pPr>
              <w:jc w:val="right"/>
              <w:ind w:right="420"/>
              <w:spacing w:after="0"/>
              <w:rPr>
                <w:sz w:val="20"/>
                <w:szCs w:val="20"/>
                <w:color w:val="auto"/>
              </w:rPr>
            </w:pPr>
            <w:r>
              <w:rPr>
                <w:rFonts w:ascii="Arial" w:cs="Arial" w:eastAsia="Arial" w:hAnsi="Arial"/>
                <w:sz w:val="10"/>
                <w:szCs w:val="10"/>
                <w:b w:val="1"/>
                <w:bCs w:val="1"/>
                <w:color w:val="auto"/>
              </w:rPr>
              <w:t>Cargo</w:t>
            </w:r>
          </w:p>
        </w:tc>
        <w:tc>
          <w:tcPr>
            <w:tcW w:w="580" w:type="dxa"/>
            <w:vAlign w:val="bottom"/>
          </w:tcPr>
          <w:p>
            <w:pPr>
              <w:jc w:val="right"/>
              <w:ind w:right="188"/>
              <w:spacing w:after="0"/>
              <w:rPr>
                <w:sz w:val="20"/>
                <w:szCs w:val="20"/>
                <w:color w:val="auto"/>
              </w:rPr>
            </w:pPr>
            <w:r>
              <w:rPr>
                <w:rFonts w:ascii="Arial" w:cs="Arial" w:eastAsia="Arial" w:hAnsi="Arial"/>
                <w:sz w:val="10"/>
                <w:szCs w:val="10"/>
                <w:b w:val="1"/>
                <w:bCs w:val="1"/>
                <w:color w:val="auto"/>
              </w:rPr>
              <w:t>Total</w:t>
            </w:r>
          </w:p>
        </w:tc>
      </w:tr>
      <w:tr>
        <w:trPr>
          <w:trHeight w:val="109"/>
        </w:trPr>
        <w:tc>
          <w:tcPr>
            <w:tcW w:w="20" w:type="dxa"/>
            <w:vAlign w:val="bottom"/>
          </w:tcPr>
          <w:p>
            <w:pPr>
              <w:spacing w:after="0"/>
              <w:rPr>
                <w:sz w:val="9"/>
                <w:szCs w:val="9"/>
                <w:color w:val="auto"/>
              </w:rPr>
            </w:pPr>
          </w:p>
        </w:tc>
        <w:tc>
          <w:tcPr>
            <w:tcW w:w="2520" w:type="dxa"/>
            <w:vAlign w:val="bottom"/>
            <w:tcBorders>
              <w:top w:val="single" w:sz="8" w:color="CCEEFF"/>
            </w:tcBorders>
            <w:shd w:val="clear" w:color="auto" w:fill="CCEEFF"/>
          </w:tcPr>
          <w:p>
            <w:pPr>
              <w:spacing w:after="0" w:line="109" w:lineRule="exact"/>
              <w:rPr>
                <w:sz w:val="20"/>
                <w:szCs w:val="20"/>
                <w:color w:val="auto"/>
              </w:rPr>
            </w:pPr>
            <w:r>
              <w:rPr>
                <w:rFonts w:ascii="Arial" w:cs="Arial" w:eastAsia="Arial" w:hAnsi="Arial"/>
                <w:sz w:val="8"/>
                <w:szCs w:val="8"/>
                <w:color w:val="auto"/>
              </w:rPr>
              <w:t xml:space="preserve">Departures </w:t>
            </w:r>
            <w:r>
              <w:rPr>
                <w:rFonts w:ascii="Arial" w:cs="Arial" w:eastAsia="Arial" w:hAnsi="Arial"/>
                <w:sz w:val="12"/>
                <w:szCs w:val="12"/>
                <w:color w:val="auto"/>
                <w:vertAlign w:val="superscript"/>
              </w:rPr>
              <w:t>(2)</w:t>
            </w:r>
          </w:p>
        </w:tc>
        <w:tc>
          <w:tcPr>
            <w:tcW w:w="2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9,244</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3,238</w:t>
            </w: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ind w:right="8"/>
              <w:spacing w:after="0" w:line="109" w:lineRule="exact"/>
              <w:rPr>
                <w:sz w:val="20"/>
                <w:szCs w:val="20"/>
                <w:color w:val="auto"/>
              </w:rPr>
            </w:pPr>
            <w:r>
              <w:rPr>
                <w:rFonts w:ascii="Arial" w:cs="Arial" w:eastAsia="Arial" w:hAnsi="Arial"/>
                <w:sz w:val="10"/>
                <w:szCs w:val="10"/>
                <w:color w:val="auto"/>
              </w:rPr>
              <w:t>5,317</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ind w:right="8"/>
              <w:spacing w:after="0" w:line="109" w:lineRule="exact"/>
              <w:rPr>
                <w:sz w:val="20"/>
                <w:szCs w:val="20"/>
                <w:color w:val="auto"/>
              </w:rPr>
            </w:pPr>
            <w:r>
              <w:rPr>
                <w:rFonts w:ascii="Arial" w:cs="Arial" w:eastAsia="Arial" w:hAnsi="Arial"/>
                <w:sz w:val="10"/>
                <w:szCs w:val="10"/>
                <w:color w:val="auto"/>
              </w:rPr>
              <w:t>17,897</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7,182</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2,156</w:t>
            </w:r>
          </w:p>
        </w:tc>
        <w:tc>
          <w:tcPr>
            <w:tcW w:w="1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413</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9,847</w:t>
            </w:r>
          </w:p>
        </w:tc>
      </w:tr>
      <w:tr>
        <w:trPr>
          <w:trHeight w:val="116"/>
        </w:trPr>
        <w:tc>
          <w:tcPr>
            <w:tcW w:w="20" w:type="dxa"/>
            <w:vAlign w:val="bottom"/>
          </w:tcPr>
          <w:p>
            <w:pPr>
              <w:spacing w:after="0"/>
              <w:rPr>
                <w:sz w:val="10"/>
                <w:szCs w:val="10"/>
                <w:color w:val="auto"/>
              </w:rPr>
            </w:pPr>
          </w:p>
        </w:tc>
        <w:tc>
          <w:tcPr>
            <w:tcW w:w="2520" w:type="dxa"/>
            <w:vAlign w:val="bottom"/>
          </w:tcPr>
          <w:p>
            <w:pPr>
              <w:spacing w:after="0" w:line="116" w:lineRule="exact"/>
              <w:rPr>
                <w:sz w:val="20"/>
                <w:szCs w:val="20"/>
                <w:color w:val="auto"/>
              </w:rPr>
            </w:pPr>
            <w:r>
              <w:rPr>
                <w:rFonts w:ascii="Arial" w:cs="Arial" w:eastAsia="Arial" w:hAnsi="Arial"/>
                <w:sz w:val="9"/>
                <w:szCs w:val="9"/>
                <w:color w:val="auto"/>
              </w:rPr>
              <w:t xml:space="preserve">Block hours </w:t>
            </w:r>
            <w:r>
              <w:rPr>
                <w:rFonts w:ascii="Arial" w:cs="Arial" w:eastAsia="Arial" w:hAnsi="Arial"/>
                <w:sz w:val="13"/>
                <w:szCs w:val="13"/>
                <w:color w:val="auto"/>
                <w:vertAlign w:val="superscript"/>
              </w:rPr>
              <w:t>(2)</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31,107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6,987</w:t>
            </w:r>
          </w:p>
        </w:tc>
        <w:tc>
          <w:tcPr>
            <w:tcW w:w="120" w:type="dxa"/>
            <w:vAlign w:val="bottom"/>
          </w:tcPr>
          <w:p>
            <w:pPr>
              <w:spacing w:after="0"/>
              <w:rPr>
                <w:sz w:val="10"/>
                <w:szCs w:val="10"/>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16,440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54,806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24,419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4,933</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1,076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30,691</w:t>
            </w:r>
          </w:p>
        </w:tc>
      </w:tr>
      <w:tr>
        <w:trPr>
          <w:trHeight w:val="116"/>
        </w:trPr>
        <w:tc>
          <w:tcPr>
            <w:tcW w:w="20" w:type="dxa"/>
            <w:vAlign w:val="bottom"/>
          </w:tcPr>
          <w:p>
            <w:pPr>
              <w:spacing w:after="0"/>
              <w:rPr>
                <w:sz w:val="10"/>
                <w:szCs w:val="10"/>
                <w:color w:val="auto"/>
              </w:rPr>
            </w:pPr>
          </w:p>
        </w:tc>
        <w:tc>
          <w:tcPr>
            <w:tcW w:w="252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Aircraft miles </w:t>
            </w:r>
            <w:r>
              <w:rPr>
                <w:rFonts w:ascii="Arial" w:cs="Arial" w:eastAsia="Arial" w:hAnsi="Arial"/>
                <w:sz w:val="13"/>
                <w:szCs w:val="13"/>
                <w:color w:val="auto"/>
                <w:vertAlign w:val="superscript"/>
              </w:rPr>
              <w:t>(2)</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12,711,512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2,582,494</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6,508,492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21,883,259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9,867,739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1,837,794</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454,980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12,234,888</w:t>
            </w:r>
          </w:p>
        </w:tc>
      </w:tr>
      <w:tr>
        <w:trPr>
          <w:trHeight w:val="116"/>
        </w:trPr>
        <w:tc>
          <w:tcPr>
            <w:tcW w:w="20" w:type="dxa"/>
            <w:vAlign w:val="bottom"/>
          </w:tcPr>
          <w:p>
            <w:pPr>
              <w:spacing w:after="0"/>
              <w:rPr>
                <w:sz w:val="10"/>
                <w:szCs w:val="10"/>
                <w:color w:val="auto"/>
              </w:rPr>
            </w:pPr>
          </w:p>
        </w:tc>
        <w:tc>
          <w:tcPr>
            <w:tcW w:w="2520" w:type="dxa"/>
            <w:vAlign w:val="bottom"/>
          </w:tcPr>
          <w:p>
            <w:pPr>
              <w:spacing w:after="0" w:line="116" w:lineRule="exact"/>
              <w:rPr>
                <w:sz w:val="20"/>
                <w:szCs w:val="20"/>
                <w:color w:val="auto"/>
              </w:rPr>
            </w:pPr>
            <w:r>
              <w:rPr>
                <w:rFonts w:ascii="Arial" w:cs="Arial" w:eastAsia="Arial" w:hAnsi="Arial"/>
                <w:sz w:val="9"/>
                <w:szCs w:val="9"/>
                <w:color w:val="auto"/>
              </w:rPr>
              <w:t xml:space="preserve">Available seat miles (ASMs) (thousands) </w:t>
            </w:r>
            <w:r>
              <w:rPr>
                <w:rFonts w:ascii="Arial" w:cs="Arial" w:eastAsia="Arial" w:hAnsi="Arial"/>
                <w:sz w:val="13"/>
                <w:szCs w:val="13"/>
                <w:color w:val="auto"/>
                <w:vertAlign w:val="superscript"/>
              </w:rPr>
              <w:t>(2)</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2,356,780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449,444</w:t>
            </w:r>
          </w:p>
        </w:tc>
        <w:tc>
          <w:tcPr>
            <w:tcW w:w="120" w:type="dxa"/>
            <w:vAlign w:val="bottom"/>
          </w:tcPr>
          <w:p>
            <w:pPr>
              <w:spacing w:after="0"/>
              <w:rPr>
                <w:sz w:val="10"/>
                <w:szCs w:val="10"/>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2,819,540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1,826,245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334,690</w:t>
            </w:r>
          </w:p>
        </w:tc>
        <w:tc>
          <w:tcPr>
            <w:tcW w:w="120" w:type="dxa"/>
            <w:vAlign w:val="bottom"/>
          </w:tcPr>
          <w:p>
            <w:pPr>
              <w:spacing w:after="0"/>
              <w:rPr>
                <w:sz w:val="10"/>
                <w:szCs w:val="10"/>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2,174,605</w:t>
            </w:r>
          </w:p>
        </w:tc>
      </w:tr>
      <w:tr>
        <w:trPr>
          <w:trHeight w:val="116"/>
        </w:trPr>
        <w:tc>
          <w:tcPr>
            <w:tcW w:w="20" w:type="dxa"/>
            <w:vAlign w:val="bottom"/>
          </w:tcPr>
          <w:p>
            <w:pPr>
              <w:spacing w:after="0"/>
              <w:rPr>
                <w:sz w:val="10"/>
                <w:szCs w:val="10"/>
                <w:color w:val="auto"/>
              </w:rPr>
            </w:pPr>
          </w:p>
        </w:tc>
        <w:tc>
          <w:tcPr>
            <w:tcW w:w="252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Total revenue per ASM (TRASM) (cents) </w:t>
            </w:r>
            <w:r>
              <w:rPr>
                <w:rFonts w:ascii="Arial" w:cs="Arial" w:eastAsia="Arial" w:hAnsi="Arial"/>
                <w:sz w:val="13"/>
                <w:szCs w:val="13"/>
                <w:color w:val="auto"/>
                <w:vertAlign w:val="superscript"/>
              </w:rPr>
              <w:t>(3)</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8.27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9.77</w:t>
            </w:r>
          </w:p>
        </w:tc>
      </w:tr>
      <w:tr>
        <w:trPr>
          <w:trHeight w:val="116"/>
        </w:trPr>
        <w:tc>
          <w:tcPr>
            <w:tcW w:w="20" w:type="dxa"/>
            <w:vAlign w:val="bottom"/>
          </w:tcPr>
          <w:p>
            <w:pPr>
              <w:spacing w:after="0"/>
              <w:rPr>
                <w:sz w:val="10"/>
                <w:szCs w:val="10"/>
                <w:color w:val="auto"/>
              </w:rPr>
            </w:pPr>
          </w:p>
        </w:tc>
        <w:tc>
          <w:tcPr>
            <w:tcW w:w="2520" w:type="dxa"/>
            <w:vAlign w:val="bottom"/>
          </w:tcPr>
          <w:p>
            <w:pPr>
              <w:spacing w:after="0" w:line="116" w:lineRule="exact"/>
              <w:rPr>
                <w:sz w:val="20"/>
                <w:szCs w:val="20"/>
                <w:color w:val="auto"/>
              </w:rPr>
            </w:pPr>
            <w:r>
              <w:rPr>
                <w:rFonts w:ascii="Arial" w:cs="Arial" w:eastAsia="Arial" w:hAnsi="Arial"/>
                <w:sz w:val="9"/>
                <w:szCs w:val="9"/>
                <w:color w:val="auto"/>
              </w:rPr>
              <w:t xml:space="preserve">Average passenger aircraft during the period </w:t>
            </w:r>
            <w:r>
              <w:rPr>
                <w:rFonts w:ascii="Arial" w:cs="Arial" w:eastAsia="Arial" w:hAnsi="Arial"/>
                <w:sz w:val="13"/>
                <w:szCs w:val="13"/>
                <w:color w:val="auto"/>
                <w:vertAlign w:val="superscript"/>
              </w:rPr>
              <w:t>(3)</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31.0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31.5</w:t>
            </w:r>
          </w:p>
        </w:tc>
      </w:tr>
      <w:tr>
        <w:trPr>
          <w:trHeight w:val="116"/>
        </w:trPr>
        <w:tc>
          <w:tcPr>
            <w:tcW w:w="20" w:type="dxa"/>
            <w:vAlign w:val="bottom"/>
          </w:tcPr>
          <w:p>
            <w:pPr>
              <w:spacing w:after="0"/>
              <w:rPr>
                <w:sz w:val="10"/>
                <w:szCs w:val="10"/>
                <w:color w:val="auto"/>
              </w:rPr>
            </w:pPr>
          </w:p>
        </w:tc>
        <w:tc>
          <w:tcPr>
            <w:tcW w:w="252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Passenger aircraft at end of period </w:t>
            </w:r>
            <w:r>
              <w:rPr>
                <w:rFonts w:ascii="Arial" w:cs="Arial" w:eastAsia="Arial" w:hAnsi="Arial"/>
                <w:sz w:val="13"/>
                <w:szCs w:val="13"/>
                <w:color w:val="auto"/>
                <w:vertAlign w:val="superscript"/>
              </w:rPr>
              <w:t>(3)</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33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w:t>
            </w:r>
          </w:p>
        </w:tc>
      </w:tr>
      <w:tr>
        <w:trPr>
          <w:trHeight w:val="116"/>
        </w:trPr>
        <w:tc>
          <w:tcPr>
            <w:tcW w:w="20" w:type="dxa"/>
            <w:vAlign w:val="bottom"/>
          </w:tcPr>
          <w:p>
            <w:pPr>
              <w:spacing w:after="0"/>
              <w:rPr>
                <w:sz w:val="10"/>
                <w:szCs w:val="10"/>
                <w:color w:val="auto"/>
              </w:rPr>
            </w:pPr>
          </w:p>
        </w:tc>
        <w:tc>
          <w:tcPr>
            <w:tcW w:w="2520" w:type="dxa"/>
            <w:vAlign w:val="bottom"/>
          </w:tcPr>
          <w:p>
            <w:pPr>
              <w:spacing w:after="0"/>
              <w:rPr>
                <w:sz w:val="20"/>
                <w:szCs w:val="20"/>
                <w:color w:val="auto"/>
              </w:rPr>
            </w:pPr>
            <w:r>
              <w:rPr>
                <w:rFonts w:ascii="Arial" w:cs="Arial" w:eastAsia="Arial" w:hAnsi="Arial"/>
                <w:sz w:val="10"/>
                <w:szCs w:val="10"/>
                <w:color w:val="auto"/>
              </w:rPr>
              <w:t>Cargo aircraft at end of period</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w:t>
            </w:r>
          </w:p>
        </w:tc>
      </w:tr>
      <w:tr>
        <w:trPr>
          <w:trHeight w:val="116"/>
        </w:trPr>
        <w:tc>
          <w:tcPr>
            <w:tcW w:w="20" w:type="dxa"/>
            <w:vAlign w:val="bottom"/>
          </w:tcPr>
          <w:p>
            <w:pPr>
              <w:spacing w:after="0"/>
              <w:rPr>
                <w:sz w:val="10"/>
                <w:szCs w:val="10"/>
                <w:color w:val="auto"/>
              </w:rPr>
            </w:pPr>
          </w:p>
        </w:tc>
        <w:tc>
          <w:tcPr>
            <w:tcW w:w="252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Average daily aircraft utilization (hours) </w:t>
            </w:r>
            <w:r>
              <w:rPr>
                <w:rFonts w:ascii="Arial" w:cs="Arial" w:eastAsia="Arial" w:hAnsi="Arial"/>
                <w:sz w:val="13"/>
                <w:szCs w:val="13"/>
                <w:color w:val="auto"/>
                <w:vertAlign w:val="superscript"/>
              </w:rPr>
              <w:t>(3)</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6.8</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w:t>
            </w:r>
          </w:p>
        </w:tc>
      </w:tr>
      <w:tr>
        <w:trPr>
          <w:trHeight w:val="116"/>
        </w:trPr>
        <w:tc>
          <w:tcPr>
            <w:tcW w:w="20" w:type="dxa"/>
            <w:vAlign w:val="bottom"/>
          </w:tcPr>
          <w:p>
            <w:pPr>
              <w:spacing w:after="0"/>
              <w:rPr>
                <w:sz w:val="10"/>
                <w:szCs w:val="10"/>
                <w:color w:val="auto"/>
              </w:rPr>
            </w:pPr>
          </w:p>
        </w:tc>
        <w:tc>
          <w:tcPr>
            <w:tcW w:w="2520" w:type="dxa"/>
            <w:vAlign w:val="bottom"/>
          </w:tcPr>
          <w:p>
            <w:pPr>
              <w:spacing w:after="0"/>
              <w:rPr>
                <w:sz w:val="20"/>
                <w:szCs w:val="20"/>
                <w:color w:val="auto"/>
              </w:rPr>
            </w:pPr>
            <w:r>
              <w:rPr>
                <w:rFonts w:ascii="Arial" w:cs="Arial" w:eastAsia="Arial" w:hAnsi="Arial"/>
                <w:sz w:val="10"/>
                <w:szCs w:val="10"/>
                <w:color w:val="auto"/>
              </w:rPr>
              <w:t>Average stage length (miles)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1,225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1,254</w:t>
            </w:r>
          </w:p>
        </w:tc>
      </w:tr>
      <w:tr>
        <w:trPr>
          <w:trHeight w:val="116"/>
        </w:trPr>
        <w:tc>
          <w:tcPr>
            <w:tcW w:w="20" w:type="dxa"/>
            <w:vAlign w:val="bottom"/>
          </w:tcPr>
          <w:p>
            <w:pPr>
              <w:spacing w:after="0"/>
              <w:rPr>
                <w:sz w:val="10"/>
                <w:szCs w:val="10"/>
                <w:color w:val="auto"/>
              </w:rPr>
            </w:pPr>
          </w:p>
        </w:tc>
        <w:tc>
          <w:tcPr>
            <w:tcW w:w="252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Revenue passengers carried </w:t>
            </w:r>
            <w:r>
              <w:rPr>
                <w:rFonts w:ascii="Arial" w:cs="Arial" w:eastAsia="Arial" w:hAnsi="Arial"/>
                <w:sz w:val="13"/>
                <w:szCs w:val="13"/>
                <w:color w:val="auto"/>
                <w:vertAlign w:val="superscript"/>
              </w:rPr>
              <w:t>(4)</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1,253,051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935,860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2520" w:type="dxa"/>
            <w:vAlign w:val="bottom"/>
          </w:tcPr>
          <w:p>
            <w:pPr>
              <w:spacing w:after="0" w:line="116" w:lineRule="exact"/>
              <w:rPr>
                <w:sz w:val="20"/>
                <w:szCs w:val="20"/>
                <w:color w:val="auto"/>
              </w:rPr>
            </w:pPr>
            <w:r>
              <w:rPr>
                <w:rFonts w:ascii="Arial" w:cs="Arial" w:eastAsia="Arial" w:hAnsi="Arial"/>
                <w:sz w:val="9"/>
                <w:szCs w:val="9"/>
                <w:color w:val="auto"/>
              </w:rPr>
              <w:t xml:space="preserve">Revenue passenger miles (RPMs) (thousands) </w:t>
            </w:r>
            <w:r>
              <w:rPr>
                <w:rFonts w:ascii="Arial" w:cs="Arial" w:eastAsia="Arial" w:hAnsi="Arial"/>
                <w:sz w:val="13"/>
                <w:szCs w:val="13"/>
                <w:color w:val="auto"/>
                <w:vertAlign w:val="superscript"/>
              </w:rPr>
              <w:t>(4)</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1,694,033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1,303,004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252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Passenger revenue per ASM (PRASM) (cents) </w:t>
            </w:r>
            <w:r>
              <w:rPr>
                <w:rFonts w:ascii="Arial" w:cs="Arial" w:eastAsia="Arial" w:hAnsi="Arial"/>
                <w:sz w:val="13"/>
                <w:szCs w:val="13"/>
                <w:color w:val="auto"/>
                <w:vertAlign w:val="superscript"/>
              </w:rPr>
              <w:t>(4)</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2520" w:type="dxa"/>
            <w:vAlign w:val="bottom"/>
          </w:tcPr>
          <w:p>
            <w:pPr>
              <w:spacing w:after="0" w:line="116" w:lineRule="exact"/>
              <w:rPr>
                <w:sz w:val="20"/>
                <w:szCs w:val="20"/>
                <w:color w:val="auto"/>
              </w:rPr>
            </w:pPr>
            <w:r>
              <w:rPr>
                <w:rFonts w:ascii="Arial" w:cs="Arial" w:eastAsia="Arial" w:hAnsi="Arial"/>
                <w:sz w:val="9"/>
                <w:szCs w:val="9"/>
                <w:color w:val="auto"/>
              </w:rPr>
              <w:t xml:space="preserve">Load factor </w:t>
            </w:r>
            <w:r>
              <w:rPr>
                <w:rFonts w:ascii="Arial" w:cs="Arial" w:eastAsia="Arial" w:hAnsi="Arial"/>
                <w:sz w:val="13"/>
                <w:szCs w:val="13"/>
                <w:color w:val="auto"/>
                <w:vertAlign w:val="superscript"/>
              </w:rPr>
              <w:t>(4)</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0"/>
                <w:szCs w:val="10"/>
                <w:color w:val="auto"/>
              </w:rPr>
              <w:t>71.9 %</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0"/>
                <w:szCs w:val="10"/>
                <w:color w:val="auto"/>
              </w:rPr>
              <w:t>71.3 %</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252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Average base fare per passenger </w:t>
            </w:r>
            <w:r>
              <w:rPr>
                <w:rFonts w:ascii="Arial" w:cs="Arial" w:eastAsia="Arial" w:hAnsi="Arial"/>
                <w:sz w:val="13"/>
                <w:szCs w:val="13"/>
                <w:color w:val="auto"/>
                <w:vertAlign w:val="superscript"/>
              </w:rPr>
              <w:t>(4)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97.12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141.16</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2520" w:type="dxa"/>
            <w:vAlign w:val="bottom"/>
          </w:tcPr>
          <w:p>
            <w:pPr>
              <w:spacing w:after="0" w:line="116" w:lineRule="exact"/>
              <w:rPr>
                <w:sz w:val="20"/>
                <w:szCs w:val="20"/>
                <w:color w:val="auto"/>
              </w:rPr>
            </w:pPr>
            <w:r>
              <w:rPr>
                <w:rFonts w:ascii="Arial" w:cs="Arial" w:eastAsia="Arial" w:hAnsi="Arial"/>
                <w:sz w:val="9"/>
                <w:szCs w:val="9"/>
                <w:color w:val="auto"/>
              </w:rPr>
              <w:t xml:space="preserve">Ancillary revenue per passenger </w:t>
            </w:r>
            <w:r>
              <w:rPr>
                <w:rFonts w:ascii="Arial" w:cs="Arial" w:eastAsia="Arial" w:hAnsi="Arial"/>
                <w:sz w:val="13"/>
                <w:szCs w:val="13"/>
                <w:color w:val="auto"/>
                <w:vertAlign w:val="superscript"/>
              </w:rPr>
              <w:t>(4)</w:t>
            </w:r>
          </w:p>
        </w:tc>
        <w:tc>
          <w:tcPr>
            <w:tcW w:w="3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42.24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42.74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0"/>
                <w:szCs w:val="10"/>
                <w:color w:val="auto"/>
              </w:rPr>
              <w:t>Charter revenue per block hour</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7,829</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7,646</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2520" w:type="dxa"/>
            <w:vAlign w:val="bottom"/>
          </w:tcPr>
          <w:p>
            <w:pPr>
              <w:spacing w:after="0" w:line="116" w:lineRule="exact"/>
              <w:rPr>
                <w:sz w:val="20"/>
                <w:szCs w:val="20"/>
                <w:color w:val="auto"/>
              </w:rPr>
            </w:pPr>
            <w:r>
              <w:rPr>
                <w:rFonts w:ascii="Arial" w:cs="Arial" w:eastAsia="Arial" w:hAnsi="Arial"/>
                <w:sz w:val="9"/>
                <w:szCs w:val="9"/>
                <w:color w:val="auto"/>
              </w:rPr>
              <w:t xml:space="preserve">Fuel gallons consumed (thousands) </w:t>
            </w:r>
            <w:r>
              <w:rPr>
                <w:rFonts w:ascii="Arial" w:cs="Arial" w:eastAsia="Arial" w:hAnsi="Arial"/>
                <w:sz w:val="13"/>
                <w:szCs w:val="13"/>
                <w:color w:val="auto"/>
                <w:vertAlign w:val="superscript"/>
              </w:rPr>
              <w:t>(2)</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23,824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4,979</w:t>
            </w:r>
          </w:p>
        </w:tc>
        <w:tc>
          <w:tcPr>
            <w:tcW w:w="120" w:type="dxa"/>
            <w:vAlign w:val="bottom"/>
          </w:tcPr>
          <w:p>
            <w:pPr>
              <w:spacing w:after="0"/>
              <w:rPr>
                <w:sz w:val="10"/>
                <w:szCs w:val="10"/>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28,948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18,779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3,646</w:t>
            </w:r>
          </w:p>
        </w:tc>
        <w:tc>
          <w:tcPr>
            <w:tcW w:w="120" w:type="dxa"/>
            <w:vAlign w:val="bottom"/>
          </w:tcPr>
          <w:p>
            <w:pPr>
              <w:spacing w:after="0"/>
              <w:rPr>
                <w:sz w:val="10"/>
                <w:szCs w:val="10"/>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22,562</w:t>
            </w:r>
          </w:p>
        </w:tc>
      </w:tr>
      <w:tr>
        <w:trPr>
          <w:trHeight w:val="116"/>
        </w:trPr>
        <w:tc>
          <w:tcPr>
            <w:tcW w:w="20" w:type="dxa"/>
            <w:vAlign w:val="bottom"/>
          </w:tcPr>
          <w:p>
            <w:pPr>
              <w:spacing w:after="0"/>
              <w:rPr>
                <w:sz w:val="10"/>
                <w:szCs w:val="10"/>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0"/>
                <w:szCs w:val="10"/>
                <w:color w:val="auto"/>
              </w:rPr>
              <w:t>Fuel cost per gallon, excluding derivatives</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1.99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1.71</w:t>
            </w:r>
          </w:p>
        </w:tc>
      </w:tr>
      <w:tr>
        <w:trPr>
          <w:trHeight w:val="116"/>
        </w:trPr>
        <w:tc>
          <w:tcPr>
            <w:tcW w:w="20" w:type="dxa"/>
            <w:vAlign w:val="bottom"/>
          </w:tcPr>
          <w:p>
            <w:pPr>
              <w:spacing w:after="0"/>
              <w:rPr>
                <w:sz w:val="10"/>
                <w:szCs w:val="10"/>
                <w:color w:val="auto"/>
              </w:rPr>
            </w:pPr>
          </w:p>
        </w:tc>
        <w:tc>
          <w:tcPr>
            <w:tcW w:w="2520" w:type="dxa"/>
            <w:vAlign w:val="bottom"/>
          </w:tcPr>
          <w:p>
            <w:pPr>
              <w:spacing w:after="0"/>
              <w:rPr>
                <w:sz w:val="20"/>
                <w:szCs w:val="20"/>
                <w:color w:val="auto"/>
              </w:rPr>
            </w:pPr>
            <w:r>
              <w:rPr>
                <w:rFonts w:ascii="Arial" w:cs="Arial" w:eastAsia="Arial" w:hAnsi="Arial"/>
                <w:sz w:val="10"/>
                <w:szCs w:val="10"/>
                <w:color w:val="auto"/>
              </w:rPr>
              <w:t>Employees at end of period</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1,815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1,660</w:t>
            </w:r>
          </w:p>
        </w:tc>
      </w:tr>
      <w:tr>
        <w:trPr>
          <w:trHeight w:val="116"/>
        </w:trPr>
        <w:tc>
          <w:tcPr>
            <w:tcW w:w="20" w:type="dxa"/>
            <w:vAlign w:val="bottom"/>
          </w:tcPr>
          <w:p>
            <w:pPr>
              <w:spacing w:after="0"/>
              <w:rPr>
                <w:sz w:val="10"/>
                <w:szCs w:val="10"/>
                <w:color w:val="auto"/>
              </w:rPr>
            </w:pPr>
          </w:p>
        </w:tc>
        <w:tc>
          <w:tcPr>
            <w:tcW w:w="2520" w:type="dxa"/>
            <w:vAlign w:val="bottom"/>
            <w:shd w:val="clear" w:color="auto" w:fill="CCEEFF"/>
          </w:tcPr>
          <w:p>
            <w:pPr>
              <w:spacing w:after="0" w:line="116" w:lineRule="exact"/>
              <w:rPr>
                <w:sz w:val="20"/>
                <w:szCs w:val="20"/>
                <w:color w:val="auto"/>
              </w:rPr>
            </w:pPr>
            <w:r>
              <w:rPr>
                <w:rFonts w:ascii="Arial" w:cs="Arial" w:eastAsia="Arial" w:hAnsi="Arial"/>
                <w:sz w:val="9"/>
                <w:szCs w:val="9"/>
                <w:color w:val="auto"/>
              </w:rPr>
              <w:t xml:space="preserve">Cost per available seat mile (CASM) (cents) </w:t>
            </w:r>
            <w:r>
              <w:rPr>
                <w:rFonts w:ascii="Arial" w:cs="Arial" w:eastAsia="Arial" w:hAnsi="Arial"/>
                <w:sz w:val="13"/>
                <w:szCs w:val="13"/>
                <w:color w:val="auto"/>
                <w:vertAlign w:val="superscript"/>
              </w:rPr>
              <w:t>(5)</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7.19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9.32</w:t>
            </w:r>
          </w:p>
        </w:tc>
      </w:tr>
      <w:tr>
        <w:trPr>
          <w:trHeight w:val="197"/>
        </w:trPr>
        <w:tc>
          <w:tcPr>
            <w:tcW w:w="2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0"/>
                <w:szCs w:val="10"/>
                <w:color w:val="auto"/>
              </w:rPr>
              <w:t xml:space="preserve">Adjusted CASM (cents) </w:t>
            </w:r>
            <w:r>
              <w:rPr>
                <w:rFonts w:ascii="Arial" w:cs="Arial" w:eastAsia="Arial" w:hAnsi="Arial"/>
                <w:sz w:val="15"/>
                <w:szCs w:val="15"/>
                <w:color w:val="auto"/>
                <w:vertAlign w:val="superscript"/>
              </w:rPr>
              <w:t>(6)</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6.25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13970</wp:posOffset>
            </wp:positionV>
            <wp:extent cx="141605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16050" cy="16510"/>
                    </a:xfrm>
                    <a:prstGeom prst="rect">
                      <a:avLst/>
                    </a:prstGeom>
                    <a:noFill/>
                  </pic:spPr>
                </pic:pic>
              </a:graphicData>
            </a:graphic>
          </wp:anchor>
        </w:drawing>
      </w:r>
    </w:p>
    <w:p>
      <w:pPr>
        <w:spacing w:after="0" w:line="104" w:lineRule="exact"/>
        <w:rPr>
          <w:sz w:val="20"/>
          <w:szCs w:val="20"/>
          <w:color w:val="auto"/>
        </w:rPr>
      </w:pPr>
    </w:p>
    <w:p>
      <w:pPr>
        <w:ind w:left="360" w:right="79" w:hanging="313"/>
        <w:spacing w:after="0" w:line="249" w:lineRule="auto"/>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Certain operating statistics and metrics are not presented as they are not calculable or are not utilized by management.</w:t>
      </w:r>
    </w:p>
    <w:p>
      <w:pPr>
        <w:spacing w:after="0" w:line="187" w:lineRule="exact"/>
        <w:rPr>
          <w:rFonts w:ascii="Arial" w:cs="Arial" w:eastAsia="Arial" w:hAnsi="Arial"/>
          <w:sz w:val="17"/>
          <w:szCs w:val="17"/>
          <w:color w:val="auto"/>
        </w:rPr>
      </w:pPr>
    </w:p>
    <w:p>
      <w:pPr>
        <w:jc w:val="both"/>
        <w:ind w:left="360" w:right="79" w:hanging="313"/>
        <w:spacing w:after="0" w:line="243" w:lineRule="auto"/>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spacing w:after="0" w:line="192" w:lineRule="exact"/>
        <w:rPr>
          <w:rFonts w:ascii="Arial" w:cs="Arial" w:eastAsia="Arial" w:hAnsi="Arial"/>
          <w:sz w:val="17"/>
          <w:szCs w:val="17"/>
          <w:color w:val="auto"/>
        </w:rPr>
      </w:pPr>
    </w:p>
    <w:p>
      <w:pPr>
        <w:ind w:left="360" w:right="59" w:hanging="313"/>
        <w:spacing w:after="0" w:line="249" w:lineRule="auto"/>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Scheduled service and charter service utilize the same fleet of aircraft. Aircraft counts and utilization metrics are shown on a system basis only.</w:t>
      </w:r>
    </w:p>
    <w:p>
      <w:pPr>
        <w:spacing w:after="0" w:line="187" w:lineRule="exact"/>
        <w:rPr>
          <w:rFonts w:ascii="Arial" w:cs="Arial" w:eastAsia="Arial" w:hAnsi="Arial"/>
          <w:sz w:val="17"/>
          <w:szCs w:val="17"/>
          <w:color w:val="auto"/>
        </w:rPr>
      </w:pPr>
    </w:p>
    <w:p>
      <w:pPr>
        <w:ind w:left="360" w:right="79" w:hanging="313"/>
        <w:spacing w:after="0" w:line="249" w:lineRule="auto"/>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Passenger-related statistics and metrics are shown only for scheduled service. Charter service revenue is driven by flight statistics.</w:t>
      </w:r>
    </w:p>
    <w:p>
      <w:pPr>
        <w:spacing w:after="0" w:line="187" w:lineRule="exact"/>
        <w:rPr>
          <w:rFonts w:ascii="Arial" w:cs="Arial" w:eastAsia="Arial" w:hAnsi="Arial"/>
          <w:sz w:val="17"/>
          <w:szCs w:val="17"/>
          <w:color w:val="auto"/>
        </w:rPr>
      </w:pPr>
    </w:p>
    <w:p>
      <w:pPr>
        <w:ind w:left="360" w:hanging="313"/>
        <w:spacing w:after="0"/>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CASM is a key airline cost metric. CASM is defined as operating expenses divided by total available seat miles.</w:t>
      </w:r>
    </w:p>
    <w:p>
      <w:pPr>
        <w:spacing w:after="0" w:line="204" w:lineRule="exact"/>
        <w:rPr>
          <w:rFonts w:ascii="Arial" w:cs="Arial" w:eastAsia="Arial" w:hAnsi="Arial"/>
          <w:sz w:val="17"/>
          <w:szCs w:val="17"/>
          <w:color w:val="auto"/>
        </w:rPr>
      </w:pPr>
    </w:p>
    <w:p>
      <w:pPr>
        <w:ind w:left="360" w:right="79" w:hanging="313"/>
        <w:spacing w:after="0" w:line="249" w:lineRule="auto"/>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Adjusted CASM is a non-GAAP measure derived from CASM by excluding fuel costs, costs related to our cargo operations, special items, and certain other costs.</w:t>
      </w:r>
    </w:p>
    <w:p>
      <w:pPr>
        <w:spacing w:after="0" w:line="200" w:lineRule="exact"/>
        <w:rPr>
          <w:rFonts w:ascii="Arial" w:cs="Arial" w:eastAsia="Arial" w:hAnsi="Arial"/>
          <w:sz w:val="17"/>
          <w:szCs w:val="17"/>
          <w:color w:val="auto"/>
        </w:rPr>
      </w:pPr>
    </w:p>
    <w:p>
      <w:pPr>
        <w:spacing w:after="0" w:line="387" w:lineRule="exact"/>
        <w:rPr>
          <w:rFonts w:ascii="Arial" w:cs="Arial" w:eastAsia="Arial" w:hAnsi="Arial"/>
          <w:sz w:val="17"/>
          <w:szCs w:val="17"/>
          <w:color w:val="auto"/>
        </w:rPr>
      </w:pPr>
    </w:p>
    <w:p>
      <w:pPr>
        <w:ind w:left="4400" w:hanging="96"/>
        <w:spacing w:after="0"/>
        <w:tabs>
          <w:tab w:leader="none" w:pos="44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Statement of Operations Analysis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Results of Operations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For the Three Months Ended June 30, 2021 and 2020</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8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4"/>
                <w:szCs w:val="14"/>
                <w:b w:val="1"/>
                <w:bCs w:val="1"/>
                <w:color w:val="auto"/>
                <w:w w:val="98"/>
              </w:rPr>
              <w:t>Three Months Ended 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335"/>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55"/>
              <w:spacing w:after="0" w:line="148"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5"/>
              <w:spacing w:after="0" w:line="148"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Change</w:t>
            </w:r>
          </w:p>
        </w:tc>
        <w:tc>
          <w:tcPr>
            <w:tcW w:w="800" w:type="dxa"/>
            <w:vAlign w:val="bottom"/>
            <w:gridSpan w:val="2"/>
          </w:tcPr>
          <w:p>
            <w:pPr>
              <w:jc w:val="right"/>
              <w:ind w:right="134"/>
              <w:spacing w:after="0" w:line="14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Operating Revenues:</w:t>
            </w: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tcPr>
          <w:p>
            <w:pPr>
              <w:spacing w:after="0" w:line="194" w:lineRule="exact"/>
              <w:rPr>
                <w:sz w:val="20"/>
                <w:szCs w:val="20"/>
                <w:color w:val="auto"/>
              </w:rPr>
            </w:pPr>
            <w:r>
              <w:rPr>
                <w:rFonts w:ascii="Arial" w:cs="Arial" w:eastAsia="Arial" w:hAnsi="Arial"/>
                <w:sz w:val="17"/>
                <w:szCs w:val="17"/>
                <w:color w:val="auto"/>
              </w:rPr>
              <w:t>Scheduled Service</w:t>
            </w:r>
          </w:p>
        </w:tc>
        <w:tc>
          <w:tcPr>
            <w:tcW w:w="860" w:type="dxa"/>
            <w:vAlign w:val="bottom"/>
            <w:gridSpan w:val="2"/>
          </w:tcPr>
          <w:p>
            <w:pPr>
              <w:jc w:val="right"/>
              <w:ind w:right="8"/>
              <w:spacing w:after="0" w:line="194"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67,073</w:t>
            </w:r>
          </w:p>
        </w:tc>
        <w:tc>
          <w:tcPr>
            <w:tcW w:w="38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17,882</w:t>
            </w:r>
          </w:p>
        </w:tc>
        <w:tc>
          <w:tcPr>
            <w:tcW w:w="2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49,191</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275 %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Charter Service</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28,898</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8,491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20,407</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240 %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tcPr>
          <w:p>
            <w:pPr>
              <w:spacing w:after="0" w:line="194" w:lineRule="exact"/>
              <w:rPr>
                <w:sz w:val="20"/>
                <w:szCs w:val="20"/>
                <w:color w:val="auto"/>
              </w:rPr>
            </w:pPr>
            <w:r>
              <w:rPr>
                <w:rFonts w:ascii="Arial" w:cs="Arial" w:eastAsia="Arial" w:hAnsi="Arial"/>
                <w:sz w:val="17"/>
                <w:szCs w:val="17"/>
                <w:color w:val="auto"/>
              </w:rPr>
              <w:t>Ancillary</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29,159</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4,968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24,191</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487 %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tcBorders>
              <w:top w:val="single" w:sz="8" w:color="CCEEFF"/>
            </w:tcBorders>
            <w:shd w:val="clear" w:color="auto" w:fill="CCEEFF"/>
          </w:tcPr>
          <w:p>
            <w:pPr>
              <w:ind w:left="100"/>
              <w:spacing w:after="0" w:line="185" w:lineRule="exact"/>
              <w:rPr>
                <w:sz w:val="20"/>
                <w:szCs w:val="20"/>
                <w:color w:val="auto"/>
              </w:rPr>
            </w:pPr>
            <w:r>
              <w:rPr>
                <w:rFonts w:ascii="Arial" w:cs="Arial" w:eastAsia="Arial" w:hAnsi="Arial"/>
                <w:sz w:val="17"/>
                <w:szCs w:val="17"/>
                <w:color w:val="auto"/>
              </w:rPr>
              <w:t>Passenger</w:t>
            </w: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125,130</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31,341</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93,789</w:t>
            </w: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299</w:t>
            </w:r>
          </w:p>
        </w:tc>
        <w:tc>
          <w:tcPr>
            <w:tcW w:w="160" w:type="dxa"/>
            <w:vAlign w:val="bottom"/>
            <w:tcBorders>
              <w:top w:val="single" w:sz="8" w:color="CCEEFF"/>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tcPr>
          <w:p>
            <w:pPr>
              <w:ind w:left="100"/>
              <w:spacing w:after="0" w:line="194" w:lineRule="exact"/>
              <w:rPr>
                <w:sz w:val="20"/>
                <w:szCs w:val="20"/>
                <w:color w:val="auto"/>
              </w:rPr>
            </w:pPr>
            <w:r>
              <w:rPr>
                <w:rFonts w:ascii="Arial" w:cs="Arial" w:eastAsia="Arial" w:hAnsi="Arial"/>
                <w:sz w:val="17"/>
                <w:szCs w:val="17"/>
                <w:color w:val="auto"/>
              </w:rPr>
              <w:t>Cargo</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22,098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3,219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18,879</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586 %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Other</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1,961</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816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1,145</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140 %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tcBorders>
              <w:bottom w:val="single" w:sz="8" w:color="CCEEFF"/>
            </w:tcBorders>
          </w:tcPr>
          <w:p>
            <w:pPr>
              <w:ind w:left="200"/>
              <w:spacing w:after="0" w:line="185" w:lineRule="exact"/>
              <w:rPr>
                <w:sz w:val="20"/>
                <w:szCs w:val="20"/>
                <w:color w:val="auto"/>
              </w:rPr>
            </w:pPr>
            <w:r>
              <w:rPr>
                <w:rFonts w:ascii="Arial" w:cs="Arial" w:eastAsia="Arial" w:hAnsi="Arial"/>
                <w:sz w:val="17"/>
                <w:szCs w:val="17"/>
                <w:color w:val="auto"/>
              </w:rPr>
              <w:t>Total Operating Revenue</w:t>
            </w:r>
          </w:p>
        </w:tc>
        <w:tc>
          <w:tcPr>
            <w:tcW w:w="7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149,189</w:t>
            </w:r>
          </w:p>
        </w:tc>
        <w:tc>
          <w:tcPr>
            <w:tcW w:w="1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35,376</w:t>
            </w:r>
          </w:p>
        </w:tc>
        <w:tc>
          <w:tcPr>
            <w:tcW w:w="16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113,813</w:t>
            </w:r>
          </w:p>
        </w:tc>
        <w:tc>
          <w:tcPr>
            <w:tcW w:w="14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322</w:t>
            </w:r>
          </w:p>
        </w:tc>
        <w:tc>
          <w:tcPr>
            <w:tcW w:w="160" w:type="dxa"/>
            <w:vAlign w:val="bottom"/>
            <w:tcBorders>
              <w:bottom w:val="single" w:sz="8" w:color="CCEEFF"/>
            </w:tcBorders>
          </w:tcPr>
          <w:p>
            <w:pPr>
              <w:jc w:val="right"/>
              <w:spacing w:after="0" w:line="186"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4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140" w:type="dxa"/>
            <w:vAlign w:val="bottom"/>
          </w:tcPr>
          <w:p>
            <w:pPr>
              <w:spacing w:after="0" w:line="194" w:lineRule="exact"/>
              <w:rPr>
                <w:sz w:val="20"/>
                <w:szCs w:val="20"/>
                <w:color w:val="auto"/>
              </w:rPr>
            </w:pPr>
            <w:r>
              <w:rPr>
                <w:rFonts w:ascii="Arial" w:cs="Arial" w:eastAsia="Arial" w:hAnsi="Arial"/>
                <w:sz w:val="17"/>
                <w:szCs w:val="17"/>
                <w:b w:val="1"/>
                <w:bCs w:val="1"/>
                <w:color w:val="auto"/>
              </w:rPr>
              <w:t>Operating Expenses:</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Aircraft Fuel</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29,709</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677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29,032</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4,288 %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tcPr>
          <w:p>
            <w:pPr>
              <w:ind w:left="100"/>
              <w:spacing w:after="0" w:line="194" w:lineRule="exact"/>
              <w:rPr>
                <w:sz w:val="20"/>
                <w:szCs w:val="20"/>
                <w:color w:val="auto"/>
              </w:rPr>
            </w:pPr>
            <w:r>
              <w:rPr>
                <w:rFonts w:ascii="Arial" w:cs="Arial" w:eastAsia="Arial" w:hAnsi="Arial"/>
                <w:sz w:val="17"/>
                <w:szCs w:val="17"/>
                <w:color w:val="auto"/>
              </w:rPr>
              <w:t>Salaries, Wages, and Benefits</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42,316</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32,484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9,832</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30 %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Aircraft Rent</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3,815</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5,934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(2,119)</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tcPr>
          <w:p>
            <w:pPr>
              <w:ind w:left="100"/>
              <w:spacing w:after="0" w:line="194" w:lineRule="exact"/>
              <w:rPr>
                <w:sz w:val="20"/>
                <w:szCs w:val="20"/>
                <w:color w:val="auto"/>
              </w:rPr>
            </w:pPr>
            <w:r>
              <w:rPr>
                <w:rFonts w:ascii="Arial" w:cs="Arial" w:eastAsia="Arial" w:hAnsi="Arial"/>
                <w:sz w:val="17"/>
                <w:szCs w:val="17"/>
                <w:color w:val="auto"/>
              </w:rPr>
              <w:t>Maintenance</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11,300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2,426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8,874</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366 %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Sales and Marketing</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5,822</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1,630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4,192</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257 %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tcPr>
          <w:p>
            <w:pPr>
              <w:ind w:left="100"/>
              <w:spacing w:after="0" w:line="194" w:lineRule="exact"/>
              <w:rPr>
                <w:sz w:val="20"/>
                <w:szCs w:val="20"/>
                <w:color w:val="auto"/>
              </w:rPr>
            </w:pPr>
            <w:r>
              <w:rPr>
                <w:rFonts w:ascii="Arial" w:cs="Arial" w:eastAsia="Arial" w:hAnsi="Arial"/>
                <w:sz w:val="17"/>
                <w:szCs w:val="17"/>
                <w:color w:val="auto"/>
              </w:rPr>
              <w:t>Depreciation and Amortization</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13,460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12,175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1,285</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Ground Handling</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6,551</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1,614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4,937</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306 %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tcPr>
          <w:p>
            <w:pPr>
              <w:ind w:left="100"/>
              <w:spacing w:after="0" w:line="194" w:lineRule="exact"/>
              <w:rPr>
                <w:sz w:val="20"/>
                <w:szCs w:val="20"/>
                <w:color w:val="auto"/>
              </w:rPr>
            </w:pPr>
            <w:r>
              <w:rPr>
                <w:rFonts w:ascii="Arial" w:cs="Arial" w:eastAsia="Arial" w:hAnsi="Arial"/>
                <w:sz w:val="17"/>
                <w:szCs w:val="17"/>
                <w:color w:val="auto"/>
              </w:rPr>
              <w:t>Landing Fees and Airport Rent</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8,752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2,667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6,085</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228 %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Special Items, net</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(38,520)</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(31,481)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(7,039)</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tcPr>
          <w:p>
            <w:pPr>
              <w:ind w:left="100"/>
              <w:spacing w:after="0" w:line="194" w:lineRule="exact"/>
              <w:rPr>
                <w:sz w:val="20"/>
                <w:szCs w:val="20"/>
                <w:color w:val="auto"/>
              </w:rPr>
            </w:pPr>
            <w:r>
              <w:rPr>
                <w:rFonts w:ascii="Arial" w:cs="Arial" w:eastAsia="Arial" w:hAnsi="Arial"/>
                <w:sz w:val="17"/>
                <w:szCs w:val="17"/>
                <w:color w:val="auto"/>
              </w:rPr>
              <w:t>Other Operating, net</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16,746</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9,484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7,262</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77 %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tcBorders>
              <w:top w:val="single" w:sz="8" w:color="CCEEFF"/>
            </w:tcBorders>
            <w:shd w:val="clear" w:color="auto" w:fill="CCEEFF"/>
          </w:tcPr>
          <w:p>
            <w:pPr>
              <w:ind w:left="200"/>
              <w:spacing w:after="0" w:line="185" w:lineRule="exact"/>
              <w:rPr>
                <w:sz w:val="20"/>
                <w:szCs w:val="20"/>
                <w:color w:val="auto"/>
              </w:rPr>
            </w:pPr>
            <w:r>
              <w:rPr>
                <w:rFonts w:ascii="Arial" w:cs="Arial" w:eastAsia="Arial" w:hAnsi="Arial"/>
                <w:sz w:val="17"/>
                <w:szCs w:val="17"/>
                <w:color w:val="auto"/>
              </w:rPr>
              <w:t>Total Operating Expenses</w:t>
            </w: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99,951</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37,610</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62,341</w:t>
            </w: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166</w:t>
            </w:r>
          </w:p>
        </w:tc>
        <w:tc>
          <w:tcPr>
            <w:tcW w:w="160" w:type="dxa"/>
            <w:vAlign w:val="bottom"/>
            <w:tcBorders>
              <w:top w:val="single" w:sz="8" w:color="CCEEFF"/>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tcBorders>
              <w:bottom w:val="single" w:sz="8" w:color="CCEEFF"/>
            </w:tcBorders>
          </w:tcPr>
          <w:p>
            <w:pPr>
              <w:spacing w:after="0" w:line="185" w:lineRule="exact"/>
              <w:rPr>
                <w:sz w:val="20"/>
                <w:szCs w:val="20"/>
                <w:color w:val="auto"/>
              </w:rPr>
            </w:pPr>
            <w:r>
              <w:rPr>
                <w:rFonts w:ascii="Arial" w:cs="Arial" w:eastAsia="Arial" w:hAnsi="Arial"/>
                <w:sz w:val="17"/>
                <w:szCs w:val="17"/>
                <w:color w:val="auto"/>
              </w:rPr>
              <w:t>Operating Income (Loss)</w:t>
            </w:r>
          </w:p>
        </w:tc>
        <w:tc>
          <w:tcPr>
            <w:tcW w:w="7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49,238</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(2,234)</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51,472</w:t>
            </w:r>
          </w:p>
        </w:tc>
        <w:tc>
          <w:tcPr>
            <w:tcW w:w="1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(2,304)</w:t>
            </w:r>
          </w:p>
        </w:tc>
        <w:tc>
          <w:tcPr>
            <w:tcW w:w="160" w:type="dxa"/>
            <w:vAlign w:val="bottom"/>
            <w:tcBorders>
              <w:bottom w:val="single" w:sz="8" w:color="CCEEFF"/>
            </w:tcBorders>
          </w:tcPr>
          <w:p>
            <w:pPr>
              <w:jc w:val="right"/>
              <w:spacing w:after="0" w:line="186"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4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140" w:type="dxa"/>
            <w:vAlign w:val="bottom"/>
          </w:tcPr>
          <w:p>
            <w:pPr>
              <w:spacing w:after="0" w:line="194" w:lineRule="exact"/>
              <w:rPr>
                <w:sz w:val="20"/>
                <w:szCs w:val="20"/>
                <w:color w:val="auto"/>
              </w:rPr>
            </w:pPr>
            <w:r>
              <w:rPr>
                <w:rFonts w:ascii="Arial" w:cs="Arial" w:eastAsia="Arial" w:hAnsi="Arial"/>
                <w:sz w:val="17"/>
                <w:szCs w:val="17"/>
                <w:b w:val="1"/>
                <w:bCs w:val="1"/>
                <w:color w:val="auto"/>
              </w:rPr>
              <w:t>Non-operating Income (Expense):</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Interest Income</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(54)</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tcPr>
          <w:p>
            <w:pPr>
              <w:ind w:left="100"/>
              <w:spacing w:after="0" w:line="194" w:lineRule="exact"/>
              <w:rPr>
                <w:sz w:val="20"/>
                <w:szCs w:val="20"/>
                <w:color w:val="auto"/>
              </w:rPr>
            </w:pPr>
            <w:r>
              <w:rPr>
                <w:rFonts w:ascii="Arial" w:cs="Arial" w:eastAsia="Arial" w:hAnsi="Arial"/>
                <w:sz w:val="17"/>
                <w:szCs w:val="17"/>
                <w:color w:val="auto"/>
              </w:rPr>
              <w:t>Interest Expense</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(6,080)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(5,442)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(638)</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Other, net</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18,054</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(325)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18,379</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(5,655)%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tcPr>
          <w:p>
            <w:pPr>
              <w:ind w:left="200"/>
              <w:spacing w:after="0" w:line="185" w:lineRule="exact"/>
              <w:rPr>
                <w:sz w:val="20"/>
                <w:szCs w:val="20"/>
                <w:color w:val="auto"/>
              </w:rPr>
            </w:pPr>
            <w:r>
              <w:rPr>
                <w:rFonts w:ascii="Arial" w:cs="Arial" w:eastAsia="Arial" w:hAnsi="Arial"/>
                <w:sz w:val="17"/>
                <w:szCs w:val="17"/>
                <w:color w:val="auto"/>
              </w:rPr>
              <w:t>Total Non-operating Income (Expense), net</w:t>
            </w:r>
          </w:p>
        </w:tc>
        <w:tc>
          <w:tcPr>
            <w:tcW w:w="7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11,983</w:t>
            </w: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(5,704)</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17,687</w:t>
            </w:r>
          </w:p>
        </w:tc>
        <w:tc>
          <w:tcPr>
            <w:tcW w:w="140" w:type="dxa"/>
            <w:vAlign w:val="bottom"/>
          </w:tcPr>
          <w:p>
            <w:pPr>
              <w:spacing w:after="0"/>
              <w:rPr>
                <w:sz w:val="16"/>
                <w:szCs w:val="16"/>
                <w:color w:val="auto"/>
              </w:rPr>
            </w:pPr>
          </w:p>
        </w:tc>
        <w:tc>
          <w:tcPr>
            <w:tcW w:w="64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(310)</w:t>
            </w:r>
          </w:p>
        </w:tc>
        <w:tc>
          <w:tcPr>
            <w:tcW w:w="160" w:type="dxa"/>
            <w:vAlign w:val="bottom"/>
          </w:tcPr>
          <w:p>
            <w:pPr>
              <w:jc w:val="right"/>
              <w:spacing w:after="0" w:line="186"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140" w:type="dxa"/>
            <w:vAlign w:val="bottom"/>
          </w:tcPr>
          <w:p>
            <w:pPr>
              <w:spacing w:after="0" w:line="194" w:lineRule="exact"/>
              <w:rPr>
                <w:sz w:val="20"/>
                <w:szCs w:val="20"/>
                <w:color w:val="auto"/>
              </w:rPr>
            </w:pPr>
            <w:r>
              <w:rPr>
                <w:rFonts w:ascii="Arial" w:cs="Arial" w:eastAsia="Arial" w:hAnsi="Arial"/>
                <w:sz w:val="17"/>
                <w:szCs w:val="17"/>
                <w:color w:val="auto"/>
              </w:rPr>
              <w:t>Income (Loss) before Income Tax</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61,221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(7,938)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69,159</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shd w:val="clear" w:color="auto" w:fill="CCEEFF"/>
          </w:tcPr>
          <w:p>
            <w:pPr>
              <w:ind w:left="100"/>
              <w:spacing w:after="0"/>
              <w:rPr>
                <w:sz w:val="20"/>
                <w:szCs w:val="20"/>
                <w:color w:val="auto"/>
              </w:rPr>
            </w:pPr>
            <w:r>
              <w:rPr>
                <w:rFonts w:ascii="Arial" w:cs="Arial" w:eastAsia="Arial" w:hAnsi="Arial"/>
                <w:sz w:val="17"/>
                <w:szCs w:val="17"/>
                <w:color w:val="auto"/>
              </w:rPr>
              <w:t>Income Tax Expense (Benefit)</w:t>
            </w: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9,468</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(1,898)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11,366</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(599)%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tcPr>
          <w:p>
            <w:pPr>
              <w:spacing w:after="0" w:line="185" w:lineRule="exact"/>
              <w:rPr>
                <w:sz w:val="20"/>
                <w:szCs w:val="20"/>
                <w:color w:val="auto"/>
              </w:rPr>
            </w:pPr>
            <w:r>
              <w:rPr>
                <w:rFonts w:ascii="Arial" w:cs="Arial" w:eastAsia="Arial" w:hAnsi="Arial"/>
                <w:sz w:val="17"/>
                <w:szCs w:val="17"/>
                <w:color w:val="auto"/>
              </w:rPr>
              <w:t>Net Income (Loss)</w:t>
            </w:r>
          </w:p>
        </w:tc>
        <w:tc>
          <w:tcPr>
            <w:tcW w:w="7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51,753</w:t>
            </w:r>
          </w:p>
        </w:tc>
        <w:tc>
          <w:tcPr>
            <w:tcW w:w="1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(6,040)</w:t>
            </w: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57,793</w:t>
            </w:r>
          </w:p>
        </w:tc>
        <w:tc>
          <w:tcPr>
            <w:tcW w:w="14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(957)</w:t>
            </w:r>
          </w:p>
        </w:tc>
        <w:tc>
          <w:tcPr>
            <w:tcW w:w="160" w:type="dxa"/>
            <w:vAlign w:val="bottom"/>
          </w:tcPr>
          <w:p>
            <w:pPr>
              <w:jc w:val="right"/>
              <w:spacing w:after="0" w:line="186"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color w:val="auto"/>
        </w:rPr>
        <w:t>Total operating revenues increased by $113,813, or 322%, to $149,189 for the three months ended June 30, 2021 from $35,376 for the three months ended June 30, 2020. The increase is due to a significant decline in passenger service in 2020 as a result of the COVID-19 pandemic.</w:t>
      </w:r>
    </w:p>
    <w:p>
      <w:pPr>
        <w:spacing w:after="0" w:line="175"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i w:val="1"/>
          <w:iCs w:val="1"/>
          <w:color w:val="auto"/>
        </w:rPr>
        <w:t xml:space="preserve">Scheduled Service. </w:t>
      </w:r>
      <w:r>
        <w:rPr>
          <w:rFonts w:ascii="Arial" w:cs="Arial" w:eastAsia="Arial" w:hAnsi="Arial"/>
          <w:sz w:val="17"/>
          <w:szCs w:val="17"/>
          <w:color w:val="auto"/>
        </w:rPr>
        <w:t>Scheduled service revenue increased by $49,191, or 275%, to $67,073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2021 from $17,882 for the three months ended June 30, 2020. The increase in</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color w:val="auto"/>
        </w:rPr>
        <w:t>scheduled service revenue was largely driven by a decline in passenger service demand for the three months ended June 30, 2020 due to government travel restrictions and quarantine requirements related to the COVID-19 pandemic. Departures increased 258% in the second quarter of 2021, as compared to the second quarter of 2020.</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table below presents select operating data for scheduled service, expressed as quarter-over-quarter changes: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Increase</w:t>
            </w:r>
          </w:p>
        </w:tc>
        <w:tc>
          <w:tcPr>
            <w:tcW w:w="540" w:type="dxa"/>
            <w:vAlign w:val="bottom"/>
          </w:tcPr>
          <w:p>
            <w:pPr>
              <w:jc w:val="right"/>
              <w:ind w:right="13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77"/>
              <w:spacing w:after="0" w:line="148"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94"/>
              <w:spacing w:after="0" w:line="148"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9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700" w:type="dxa"/>
            <w:vAlign w:val="bottom"/>
            <w:gridSpan w:val="2"/>
          </w:tcPr>
          <w:p>
            <w:pPr>
              <w:jc w:val="right"/>
              <w:ind w:right="94"/>
              <w:spacing w:after="0" w:line="148" w:lineRule="exact"/>
              <w:rPr>
                <w:sz w:val="20"/>
                <w:szCs w:val="20"/>
                <w:color w:val="auto"/>
              </w:rPr>
            </w:pPr>
            <w:r>
              <w:rPr>
                <w:rFonts w:ascii="Arial" w:cs="Arial" w:eastAsia="Arial" w:hAnsi="Arial"/>
                <w:sz w:val="14"/>
                <w:szCs w:val="14"/>
                <w:b w:val="1"/>
                <w:bCs w:val="1"/>
                <w:color w:val="auto"/>
                <w:w w:val="97"/>
              </w:rPr>
              <w:t>Change</w:t>
            </w:r>
          </w:p>
        </w:tc>
      </w:tr>
      <w:tr>
        <w:trPr>
          <w:trHeight w:val="186"/>
        </w:trPr>
        <w:tc>
          <w:tcPr>
            <w:tcW w:w="20" w:type="dxa"/>
            <w:vAlign w:val="bottom"/>
          </w:tcPr>
          <w:p>
            <w:pPr>
              <w:spacing w:after="0"/>
              <w:rPr>
                <w:sz w:val="16"/>
                <w:szCs w:val="16"/>
                <w:color w:val="auto"/>
              </w:rPr>
            </w:pPr>
          </w:p>
        </w:tc>
        <w:tc>
          <w:tcPr>
            <w:tcW w:w="3700" w:type="dxa"/>
            <w:vAlign w:val="bottom"/>
            <w:tcBorders>
              <w:top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Passengers</w:t>
            </w:r>
          </w:p>
        </w:tc>
        <w:tc>
          <w:tcPr>
            <w:tcW w:w="1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700,019</w:t>
            </w: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121,922</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578,097</w:t>
            </w: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474</w:t>
            </w:r>
          </w:p>
        </w:tc>
        <w:tc>
          <w:tcPr>
            <w:tcW w:w="160" w:type="dxa"/>
            <w:vAlign w:val="bottom"/>
            <w:tcBorders>
              <w:top w:val="single" w:sz="8" w:color="CCEEFF"/>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2"/>
              </w:rPr>
              <w:t>%</w:t>
            </w:r>
          </w:p>
        </w:tc>
      </w:tr>
      <w:tr>
        <w:trPr>
          <w:trHeight w:val="193"/>
        </w:trPr>
        <w:tc>
          <w:tcPr>
            <w:tcW w:w="20" w:type="dxa"/>
            <w:vAlign w:val="bottom"/>
          </w:tcPr>
          <w:p>
            <w:pPr>
              <w:spacing w:after="0"/>
              <w:rPr>
                <w:sz w:val="16"/>
                <w:szCs w:val="16"/>
                <w:color w:val="auto"/>
              </w:rPr>
            </w:pPr>
          </w:p>
        </w:tc>
        <w:tc>
          <w:tcPr>
            <w:tcW w:w="3700" w:type="dxa"/>
            <w:vAlign w:val="bottom"/>
          </w:tcPr>
          <w:p>
            <w:pPr>
              <w:spacing w:after="0" w:line="194" w:lineRule="exact"/>
              <w:rPr>
                <w:sz w:val="20"/>
                <w:szCs w:val="20"/>
                <w:color w:val="auto"/>
              </w:rPr>
            </w:pPr>
            <w:r>
              <w:rPr>
                <w:rFonts w:ascii="Arial" w:cs="Arial" w:eastAsia="Arial" w:hAnsi="Arial"/>
                <w:sz w:val="17"/>
                <w:szCs w:val="17"/>
                <w:color w:val="auto"/>
              </w:rPr>
              <w:t>Average base fare per passenger</w:t>
            </w:r>
          </w:p>
        </w:tc>
        <w:tc>
          <w:tcPr>
            <w:tcW w:w="13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95.81</w:t>
            </w:r>
          </w:p>
        </w:tc>
        <w:tc>
          <w:tcPr>
            <w:tcW w:w="200" w:type="dxa"/>
            <w:vAlign w:val="bottom"/>
          </w:tcPr>
          <w:p>
            <w:pPr>
              <w:spacing w:after="0"/>
              <w:rPr>
                <w:sz w:val="16"/>
                <w:szCs w:val="16"/>
                <w:color w:val="auto"/>
              </w:rPr>
            </w:pPr>
          </w:p>
        </w:tc>
        <w:tc>
          <w:tcPr>
            <w:tcW w:w="9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  146.66</w:t>
            </w:r>
          </w:p>
        </w:tc>
        <w:tc>
          <w:tcPr>
            <w:tcW w:w="26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(50.85)</w:t>
            </w:r>
          </w:p>
        </w:tc>
        <w:tc>
          <w:tcPr>
            <w:tcW w:w="160" w:type="dxa"/>
            <w:vAlign w:val="bottom"/>
          </w:tcPr>
          <w:p>
            <w:pPr>
              <w:spacing w:after="0"/>
              <w:rPr>
                <w:sz w:val="16"/>
                <w:szCs w:val="16"/>
                <w:color w:val="auto"/>
              </w:rPr>
            </w:pP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(35)%</w:t>
            </w:r>
          </w:p>
        </w:tc>
      </w:tr>
      <w:tr>
        <w:trPr>
          <w:trHeight w:val="193"/>
        </w:trPr>
        <w:tc>
          <w:tcPr>
            <w:tcW w:w="20" w:type="dxa"/>
            <w:vAlign w:val="bottom"/>
          </w:tcPr>
          <w:p>
            <w:pPr>
              <w:spacing w:after="0"/>
              <w:rPr>
                <w:sz w:val="16"/>
                <w:szCs w:val="16"/>
                <w:color w:val="auto"/>
              </w:rPr>
            </w:pPr>
          </w:p>
        </w:tc>
        <w:tc>
          <w:tcPr>
            <w:tcW w:w="37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RPMs (thousands)</w:t>
            </w: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919,034</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153,098</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765,936</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500 %</w:t>
            </w:r>
          </w:p>
        </w:tc>
      </w:tr>
      <w:tr>
        <w:trPr>
          <w:trHeight w:val="193"/>
        </w:trPr>
        <w:tc>
          <w:tcPr>
            <w:tcW w:w="20" w:type="dxa"/>
            <w:vAlign w:val="bottom"/>
          </w:tcPr>
          <w:p>
            <w:pPr>
              <w:spacing w:after="0"/>
              <w:rPr>
                <w:sz w:val="16"/>
                <w:szCs w:val="16"/>
                <w:color w:val="auto"/>
              </w:rPr>
            </w:pPr>
          </w:p>
        </w:tc>
        <w:tc>
          <w:tcPr>
            <w:tcW w:w="3700" w:type="dxa"/>
            <w:vAlign w:val="bottom"/>
          </w:tcPr>
          <w:p>
            <w:pPr>
              <w:spacing w:after="0" w:line="194" w:lineRule="exact"/>
              <w:rPr>
                <w:sz w:val="20"/>
                <w:szCs w:val="20"/>
                <w:color w:val="auto"/>
              </w:rPr>
            </w:pPr>
            <w:r>
              <w:rPr>
                <w:rFonts w:ascii="Arial" w:cs="Arial" w:eastAsia="Arial" w:hAnsi="Arial"/>
                <w:sz w:val="17"/>
                <w:szCs w:val="17"/>
                <w:color w:val="auto"/>
              </w:rPr>
              <w:t>ASMs (thousands)</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1,198,768</w:t>
            </w:r>
          </w:p>
        </w:tc>
        <w:tc>
          <w:tcPr>
            <w:tcW w:w="200" w:type="dxa"/>
            <w:vAlign w:val="bottom"/>
          </w:tcPr>
          <w:p>
            <w:pPr>
              <w:spacing w:after="0"/>
              <w:rPr>
                <w:sz w:val="16"/>
                <w:szCs w:val="16"/>
                <w:color w:val="auto"/>
              </w:rPr>
            </w:pPr>
          </w:p>
        </w:tc>
        <w:tc>
          <w:tcPr>
            <w:tcW w:w="9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318,049</w:t>
            </w:r>
          </w:p>
        </w:tc>
        <w:tc>
          <w:tcPr>
            <w:tcW w:w="26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880,719</w:t>
            </w:r>
          </w:p>
        </w:tc>
        <w:tc>
          <w:tcPr>
            <w:tcW w:w="160" w:type="dxa"/>
            <w:vAlign w:val="bottom"/>
          </w:tcPr>
          <w:p>
            <w:pPr>
              <w:spacing w:after="0"/>
              <w:rPr>
                <w:sz w:val="16"/>
                <w:szCs w:val="16"/>
                <w:color w:val="auto"/>
              </w:rPr>
            </w:pP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277 %</w:t>
            </w:r>
          </w:p>
        </w:tc>
      </w:tr>
      <w:tr>
        <w:trPr>
          <w:trHeight w:val="193"/>
        </w:trPr>
        <w:tc>
          <w:tcPr>
            <w:tcW w:w="20" w:type="dxa"/>
            <w:vAlign w:val="bottom"/>
          </w:tcPr>
          <w:p>
            <w:pPr>
              <w:spacing w:after="0"/>
              <w:rPr>
                <w:sz w:val="16"/>
                <w:szCs w:val="16"/>
                <w:color w:val="auto"/>
              </w:rPr>
            </w:pPr>
          </w:p>
        </w:tc>
        <w:tc>
          <w:tcPr>
            <w:tcW w:w="37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PRASM (cents)</w:t>
            </w: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5.60</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5.62</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(0.02)</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(0)%</w:t>
            </w:r>
          </w:p>
        </w:tc>
      </w:tr>
      <w:tr>
        <w:trPr>
          <w:trHeight w:val="206"/>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Passenger load factor</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76.7 %</w:t>
            </w:r>
          </w:p>
        </w:tc>
        <w:tc>
          <w:tcPr>
            <w:tcW w:w="1180" w:type="dxa"/>
            <w:vAlign w:val="bottom"/>
            <w:gridSpan w:val="3"/>
          </w:tcPr>
          <w:p>
            <w:pPr>
              <w:jc w:val="right"/>
              <w:ind w:right="100"/>
              <w:spacing w:after="0"/>
              <w:rPr>
                <w:sz w:val="20"/>
                <w:szCs w:val="20"/>
                <w:color w:val="auto"/>
              </w:rPr>
            </w:pPr>
            <w:r>
              <w:rPr>
                <w:rFonts w:ascii="Arial" w:cs="Arial" w:eastAsia="Arial" w:hAnsi="Arial"/>
                <w:sz w:val="17"/>
                <w:szCs w:val="17"/>
                <w:color w:val="auto"/>
              </w:rPr>
              <w:t>48.1 %</w:t>
            </w:r>
          </w:p>
        </w:tc>
        <w:tc>
          <w:tcPr>
            <w:tcW w:w="940" w:type="dxa"/>
            <w:vAlign w:val="bottom"/>
            <w:gridSpan w:val="2"/>
          </w:tcPr>
          <w:p>
            <w:pPr>
              <w:ind w:left="120"/>
              <w:spacing w:after="0"/>
              <w:rPr>
                <w:sz w:val="20"/>
                <w:szCs w:val="20"/>
                <w:color w:val="auto"/>
              </w:rPr>
            </w:pPr>
            <w:r>
              <w:rPr>
                <w:rFonts w:ascii="Arial" w:cs="Arial" w:eastAsia="Arial" w:hAnsi="Arial"/>
                <w:sz w:val="17"/>
                <w:szCs w:val="17"/>
                <w:color w:val="auto"/>
              </w:rPr>
              <w:t>28.6 pts</w:t>
            </w:r>
          </w:p>
        </w:tc>
        <w:tc>
          <w:tcPr>
            <w:tcW w:w="700" w:type="dxa"/>
            <w:vAlign w:val="bottom"/>
            <w:gridSpan w:val="2"/>
          </w:tcPr>
          <w:p>
            <w:pPr>
              <w:jc w:val="right"/>
              <w:ind w:right="114"/>
              <w:spacing w:after="0"/>
              <w:rPr>
                <w:sz w:val="20"/>
                <w:szCs w:val="20"/>
                <w:color w:val="auto"/>
              </w:rPr>
            </w:pPr>
            <w:r>
              <w:rPr>
                <w:rFonts w:ascii="Arial" w:cs="Arial" w:eastAsia="Arial" w:hAnsi="Arial"/>
                <w:sz w:val="17"/>
                <w:szCs w:val="17"/>
                <w:color w:val="auto"/>
              </w:rPr>
              <w:t>na</w:t>
            </w:r>
          </w:p>
        </w:tc>
      </w:tr>
    </w:tbl>
    <w:p>
      <w:pPr>
        <w:spacing w:after="0" w:line="180"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The 474% increase in the number of scheduled service passengers in the three months ended June 30, 2021, as compared to the three months ended June 30, 2020, was primarily due to COVID-19 pandemic related demand reductions in the prior year period. For the three months ended June 30, 2021, our average base fare was $95.81, compared to $146.66 for the three months ended June 30, 2020. The net change is the result of the impact of indirect revenue related transactions (such as deferred revenue breakage) spread over significantly fewer passengers during 2020.</w:t>
      </w:r>
    </w:p>
    <w:p>
      <w:pPr>
        <w:spacing w:after="0" w:line="181"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7"/>
          <w:szCs w:val="17"/>
          <w:i w:val="1"/>
          <w:iCs w:val="1"/>
          <w:color w:val="auto"/>
        </w:rPr>
        <w:t xml:space="preserve">Charter Service. </w:t>
      </w:r>
      <w:r>
        <w:rPr>
          <w:rFonts w:ascii="Arial" w:cs="Arial" w:eastAsia="Arial" w:hAnsi="Arial"/>
          <w:sz w:val="17"/>
          <w:szCs w:val="17"/>
          <w:color w:val="auto"/>
        </w:rPr>
        <w:t>Charter service revenue increased by $20,407, or 240%, to $28,898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 from $8,491 for the three months ended June 30, 2020. The COVID-19 pandemic drove a decrease in our 2020 quarter casino charter service revenue. There was a 177% increase in block hours for the 2021 quarter as compared to the 2020 quarter. Charter revenue per block hour was $7,904 for the three months ended June 30, 2021, as compared to $6,426 for the three months ended June 30, 2020, for an increase of 23%. This revenue per block hour increase is due to the ongoing recovery from the impacts of COVID-19.</w:t>
      </w:r>
    </w:p>
    <w:p>
      <w:pPr>
        <w:spacing w:after="0" w:line="174"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i w:val="1"/>
          <w:iCs w:val="1"/>
          <w:color w:val="auto"/>
        </w:rPr>
        <w:t xml:space="preserve">Ancillary. </w:t>
      </w:r>
      <w:r>
        <w:rPr>
          <w:rFonts w:ascii="Arial" w:cs="Arial" w:eastAsia="Arial" w:hAnsi="Arial"/>
          <w:sz w:val="17"/>
          <w:szCs w:val="17"/>
          <w:color w:val="auto"/>
        </w:rPr>
        <w:t>Ancillary revenue increased by $24,191, or 487%, to $29,159 for the three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from $4,968 for the three months ended June 30, 2020. The number of scheduled service passengers was 700 thousand in the three months ended June 30, 2021, up 474% from 122 thousand in the three months ended June 30, 2020. The decline in passenger demand in 2020 due to the COVID-19 pandemic drove a decrease in capacity, which resulted in a corresponding decline in sales of air travel-related services such as baggage fees, seat selection and upgrade fees, and on-board sales. Ancillary revenue was $41.66 per passenger in the three months ended June 30, 2021, up from $40.74 per passenger in the three months ended June 30, 2020.</w:t>
      </w:r>
    </w:p>
    <w:p>
      <w:pPr>
        <w:spacing w:after="0" w:line="175"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7"/>
          <w:szCs w:val="17"/>
          <w:i w:val="1"/>
          <w:iCs w:val="1"/>
          <w:color w:val="auto"/>
        </w:rPr>
        <w:t xml:space="preserve">Cargo. </w:t>
      </w:r>
      <w:r>
        <w:rPr>
          <w:rFonts w:ascii="Arial" w:cs="Arial" w:eastAsia="Arial" w:hAnsi="Arial"/>
          <w:sz w:val="17"/>
          <w:szCs w:val="17"/>
          <w:color w:val="auto"/>
        </w:rPr>
        <w:t>Revenue from cargo services was $22,098 for the three months ended June 30, 2021, with $3,219</w:t>
      </w:r>
      <w:r>
        <w:rPr>
          <w:rFonts w:ascii="Arial" w:cs="Arial" w:eastAsia="Arial" w:hAnsi="Arial"/>
          <w:sz w:val="17"/>
          <w:szCs w:val="17"/>
          <w:i w:val="1"/>
          <w:iCs w:val="1"/>
          <w:color w:val="auto"/>
        </w:rPr>
        <w:t xml:space="preserve"> </w:t>
      </w:r>
      <w:r>
        <w:rPr>
          <w:rFonts w:ascii="Arial" w:cs="Arial" w:eastAsia="Arial" w:hAnsi="Arial"/>
          <w:sz w:val="17"/>
          <w:szCs w:val="17"/>
          <w:color w:val="auto"/>
        </w:rPr>
        <w:t>comparative revenue for the three months ended June 30, 2020. All of our cargo service revenue related to the air cargo transportation services under the ATSA with Amazon that commenced in May 2020. For the three months ended June 30, 2021, departures increased to 2,752, as compared to 413 for the three months ended June 30, 2020.</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85"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Other revenue was $1,961 for the three months ended June 30, 2021 compared to $816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2020. This was mainly the result of an increase in revenue from Sun Country Vacations due to improved bookings and an increase in mail revenue due to increased departures.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color w:val="auto"/>
        </w:rPr>
        <w:t>Operating Expenses</w:t>
      </w:r>
    </w:p>
    <w:p>
      <w:pPr>
        <w:spacing w:after="0" w:line="186"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Aircraft fuel expense was $29,709 for the three months ended June 30, 2021, as compared to $677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June 30, 2020. The increase was mainly driven by a 275% increase in fuel gallons consumed resulting from a recovery in demand as demonstrated by a 281% increase in passenger service block hours. The increase was also partly driven by a $2,865 lower net gain from our fuel derivative contracts, consisting of a $ 1,213 gain in the three months ended June 30, 2021, compared to a $4,078 gain in the three months ended June 30, 2020. There was also a 77% increase in the average price per gallon of fuel.</w:t>
      </w:r>
    </w:p>
    <w:p>
      <w:pPr>
        <w:spacing w:after="0" w:line="174"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i w:val="1"/>
          <w:iCs w:val="1"/>
          <w:color w:val="auto"/>
        </w:rPr>
        <w:t>Salaries</w:t>
      </w:r>
      <w:r>
        <w:rPr>
          <w:rFonts w:ascii="Arial" w:cs="Arial" w:eastAsia="Arial" w:hAnsi="Arial"/>
          <w:sz w:val="17"/>
          <w:szCs w:val="17"/>
          <w:color w:val="auto"/>
        </w:rPr>
        <w:t>,</w:t>
      </w:r>
      <w:r>
        <w:rPr>
          <w:rFonts w:ascii="Arial" w:cs="Arial" w:eastAsia="Arial" w:hAnsi="Arial"/>
          <w:sz w:val="17"/>
          <w:szCs w:val="17"/>
          <w:i w:val="1"/>
          <w:iCs w:val="1"/>
          <w:color w:val="auto"/>
        </w:rPr>
        <w:t xml:space="preserve"> Wages, and Benefits</w:t>
      </w:r>
      <w:r>
        <w:rPr>
          <w:rFonts w:ascii="Arial" w:cs="Arial" w:eastAsia="Arial" w:hAnsi="Arial"/>
          <w:sz w:val="17"/>
          <w:szCs w:val="17"/>
          <w:color w:val="auto"/>
        </w:rPr>
        <w:t>. Salaries, wages, and benefits expense increased by $9,832, or 30%, to $42,316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June 30, 2021, as compared to $32,484 for the three months ended June 30, 2020. A portion of the increase was due to insourcing MSP ground handling. Our cargo segment was responsible for $10,159 of the consolidated salaries, wages, and benefits expense for the three months ended June 30, 2021, compared to a $3,367 in the three months ended June 30, 2020. The $6,792 increase over prior year quarter is driven by additional headcount to support the operations and aircraft associated with the ATSA with Amazon, which commenced in May 2020.</w:t>
      </w:r>
    </w:p>
    <w:p>
      <w:pPr>
        <w:spacing w:after="0" w:line="175"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i w:val="1"/>
          <w:iCs w:val="1"/>
          <w:color w:val="auto"/>
        </w:rPr>
        <w:t>Aircraft Rent</w:t>
      </w:r>
      <w:r>
        <w:rPr>
          <w:rFonts w:ascii="Arial" w:cs="Arial" w:eastAsia="Arial" w:hAnsi="Arial"/>
          <w:sz w:val="17"/>
          <w:szCs w:val="17"/>
          <w:color w:val="auto"/>
        </w:rPr>
        <w:t>. Aircraft rent expense decreased by $2,119, or 36%, to $3,815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as compared to $5,934 for the three months ended June 30, 2020. Aircraft rent expense decreased primarily due to the composition of our aircraft fleet shifting from aircraft under operating leases (for which expense is recorded within aircraft rent) to owned aircraft. Specifically, in late first quarter 2021 to early second quarter, we purchased six aircraft previously under operating leases. During the three months ended June 30, 2020, one aircraft was purchased that was previously under an operating lease. For the three months ended June 30, 2021 and 2020, there was an average of seven and twelve aircraft under operating leases, respectively.</w:t>
      </w:r>
    </w:p>
    <w:p>
      <w:pPr>
        <w:spacing w:after="0" w:line="175" w:lineRule="exact"/>
        <w:rPr>
          <w:sz w:val="20"/>
          <w:szCs w:val="20"/>
          <w:color w:val="auto"/>
        </w:rPr>
      </w:pPr>
    </w:p>
    <w:p>
      <w:pPr>
        <w:jc w:val="both"/>
        <w:ind w:left="40" w:right="59"/>
        <w:spacing w:after="0" w:line="242" w:lineRule="auto"/>
        <w:rPr>
          <w:sz w:val="20"/>
          <w:szCs w:val="20"/>
          <w:color w:val="auto"/>
        </w:rPr>
      </w:pPr>
      <w:r>
        <w:rPr>
          <w:rFonts w:ascii="Arial" w:cs="Arial" w:eastAsia="Arial" w:hAnsi="Arial"/>
          <w:sz w:val="17"/>
          <w:szCs w:val="17"/>
          <w:i w:val="1"/>
          <w:iCs w:val="1"/>
          <w:color w:val="auto"/>
        </w:rPr>
        <w:t>Maintenance</w:t>
      </w:r>
      <w:r>
        <w:rPr>
          <w:rFonts w:ascii="Arial" w:cs="Arial" w:eastAsia="Arial" w:hAnsi="Arial"/>
          <w:sz w:val="17"/>
          <w:szCs w:val="17"/>
          <w:color w:val="auto"/>
        </w:rPr>
        <w:t>. Maintenance materials and repair expense increased by $8,874, or 366%, to $11,300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2021, as compared to $2,426 for the three months ended June 30, 2020. The cost of heavy checks increased $2,583, due to six heavy checks performed in the three months ended June 30, 2021, as compared to one for the three months ended June 30, 2020. There was a $1,662 increase in costs driven by increased departures. Our cargo segment was responsible for $2,662 of the consolidated maintenance expense for the three months ended June 30, 2021, as compared to $509 for the prior year quarter since cargo segment shipments did not begin until May 2020. The cargo segment expense primarily relates to line maintenance, since heavy maintenance is reimbursed under the ATSA.</w:t>
      </w:r>
    </w:p>
    <w:p>
      <w:pPr>
        <w:spacing w:after="0" w:line="176"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increased by $4,192, or 257%, to $5,822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2021, as compared to $1,630 for the three months ended June 30, 2020. The passenger revenue increase between these two periods was 299%, and was primarily responsible for a $1,666 increase in credit card processing fees and $1,567 in global distribution system fees. The remaining increase primarily relates to higher advertising costs and travel agent commissions. Also, the 2020 costs were unusually low due to the COVID-19 pandemic.</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85"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increased by $1,285, or 11%, to $13,460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June 30, 2021, as compared to $12,175 for the three months ended June 30, 2020. The increase was primarily due to the impact of a change in the composition of our aircraft fleet to an increased number of owned aircraft in connection with our 2019-1 EETC and aircraft under finance leases (for which expense is recorded within depreciation and amortization). For the three months ended June 30, 2021 and 2020, there was an average of 20 and 11 owned aircraft, respectively.</w:t>
      </w:r>
    </w:p>
    <w:p>
      <w:pPr>
        <w:spacing w:after="0" w:line="174"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7"/>
          <w:szCs w:val="17"/>
          <w:i w:val="1"/>
          <w:iCs w:val="1"/>
          <w:color w:val="auto"/>
        </w:rPr>
        <w:t>Ground Handling</w:t>
      </w:r>
      <w:r>
        <w:rPr>
          <w:rFonts w:ascii="Arial" w:cs="Arial" w:eastAsia="Arial" w:hAnsi="Arial"/>
          <w:sz w:val="17"/>
          <w:szCs w:val="17"/>
          <w:color w:val="auto"/>
        </w:rPr>
        <w:t>. Ground handling expense increased by $4,937, or 306%, to $ 6,551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 as compared to $ 1,614 for the three months ended June 30, 2020. The increase was primarily due to the 258% increase in scheduled departures during the same time periods. Additionally, a minor increase in rates in the 2021 quarter as compared to the 2020 quarter contributed $302 to the increase.</w:t>
      </w:r>
    </w:p>
    <w:p>
      <w:pPr>
        <w:spacing w:after="0" w:line="172"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7"/>
          <w:szCs w:val="17"/>
          <w:i w:val="1"/>
          <w:iCs w:val="1"/>
          <w:color w:val="auto"/>
        </w:rPr>
        <w:t>Landing Fees and Airport Rent</w:t>
      </w:r>
      <w:r>
        <w:rPr>
          <w:rFonts w:ascii="Arial" w:cs="Arial" w:eastAsia="Arial" w:hAnsi="Arial"/>
          <w:sz w:val="17"/>
          <w:szCs w:val="17"/>
          <w:color w:val="auto"/>
        </w:rPr>
        <w:t>. Landing fees and airport rent increased by $6,085, or 228%, to $8,752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2021, as compared to $2,667 for the three months ended June 30, 2020. The increase was driven by the 258% increase in scheduled departures for the three months ended June 30, 2021. During the three months ended June 30, 2021, we received a $1,416 MSP terminal user fee airline relief credit, which partially offset the increase. Additionally, a minor decrease in rates in the 2021 quarter as compared to the 2020 quarter offset $570 against the increase.</w:t>
      </w:r>
    </w:p>
    <w:p>
      <w:pPr>
        <w:spacing w:after="0" w:line="174" w:lineRule="exact"/>
        <w:rPr>
          <w:sz w:val="20"/>
          <w:szCs w:val="20"/>
          <w:color w:val="auto"/>
        </w:rPr>
      </w:pPr>
    </w:p>
    <w:p>
      <w:pPr>
        <w:jc w:val="both"/>
        <w:ind w:left="40" w:right="59"/>
        <w:spacing w:after="0"/>
        <w:rPr>
          <w:sz w:val="20"/>
          <w:szCs w:val="20"/>
          <w:color w:val="auto"/>
        </w:rPr>
      </w:pPr>
      <w:r>
        <w:rPr>
          <w:rFonts w:ascii="Arial" w:cs="Arial" w:eastAsia="Arial" w:hAnsi="Arial"/>
          <w:sz w:val="17"/>
          <w:szCs w:val="17"/>
          <w:i w:val="1"/>
          <w:iCs w:val="1"/>
          <w:color w:val="auto"/>
        </w:rPr>
        <w:t>Special Items, net</w:t>
      </w:r>
      <w:r>
        <w:rPr>
          <w:rFonts w:ascii="Arial" w:cs="Arial" w:eastAsia="Arial" w:hAnsi="Arial"/>
          <w:sz w:val="17"/>
          <w:szCs w:val="17"/>
          <w:color w:val="auto"/>
        </w:rPr>
        <w:t>. Special items, net was a contra-expense of $38,520 for the three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and $31,481 for the three months ended June 30, 2020. For the three months ended June 30, 2021, Special items, net included $39,378 of contra-expense related to funds received under PSP2 and PSP3 of the CARES Act, to be used exclusively for the continuation of payments for salaries, wages, and benefits, and $446 in refundable tax credits related to employee retention under the CARES Act. This was partially offset by a $1,299 net charge relating to the purchase of an aircraft during the quarter that was previously under an operating lease. For the three months ended June 30, 2020, Special items, net included $31,516 of contra-expense related to funds received under the CARES Act, to be used exclusively for the continuation of payments for salaries, wages, and benefits. Our cargo segment was responsible for $9,736 of the consolidated income from Special items, net for the three months ended June 30, 2021 and $3,370 for the three months ended June 30, 2020. These credits were driven by allocated amounts received under the CARES Act, based on the respective segment salaries, wages, and benefits.</w:t>
      </w:r>
    </w:p>
    <w:p>
      <w:pPr>
        <w:spacing w:after="0" w:line="183"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i w:val="1"/>
          <w:iCs w:val="1"/>
          <w:color w:val="auto"/>
        </w:rPr>
        <w:t>Other Operating, net</w:t>
      </w:r>
      <w:r>
        <w:rPr>
          <w:rFonts w:ascii="Arial" w:cs="Arial" w:eastAsia="Arial" w:hAnsi="Arial"/>
          <w:sz w:val="17"/>
          <w:szCs w:val="17"/>
          <w:color w:val="auto"/>
        </w:rPr>
        <w:t>. Other operating, net expense increased by $7,262, or 77%, to $16,746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2021, as compared to $9,484 for the three months ended June 30, 2020, mainly due to increased departures. The passenger segment increase of $4,803 was primarily driven by the higher level of operations which resulted in higher crew and other employee travel costs, catering expenses, and other operational overhead costs. Our cargo segment was responsible for $ 3,426 and $967 of our consolidated other operating, net expense for the three months ended June 30, 2021 and 2020, respectively, driven by overhead expenses as well as crew and employee travel costs.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Non-operating Income (Expense)</w:t>
      </w:r>
    </w:p>
    <w:p>
      <w:pPr>
        <w:spacing w:after="0" w:line="204"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by $638, or 12%, to $6,080 for the three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$ 5,442 for the three months ended June 30, 2020. The increase was primarily due to debt issued for the acquisition of new aircraft and spare engines, including new debt incurred in connection with the 2019-1 EETC, and the Delayed Draw Term Loan Facility.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85"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7"/>
          <w:szCs w:val="17"/>
          <w:i w:val="1"/>
          <w:iCs w:val="1"/>
          <w:color w:val="auto"/>
        </w:rPr>
        <w:t>Other, net</w:t>
      </w:r>
      <w:r>
        <w:rPr>
          <w:rFonts w:ascii="Arial" w:cs="Arial" w:eastAsia="Arial" w:hAnsi="Arial"/>
          <w:sz w:val="17"/>
          <w:szCs w:val="17"/>
          <w:color w:val="auto"/>
        </w:rPr>
        <w:t>. Other, net for the three months ended June 30, 2021 was a net income of $18,054 primarily due to a</w:t>
      </w:r>
      <w:r>
        <w:rPr>
          <w:rFonts w:ascii="Arial" w:cs="Arial" w:eastAsia="Arial" w:hAnsi="Arial"/>
          <w:sz w:val="17"/>
          <w:szCs w:val="17"/>
          <w:i w:val="1"/>
          <w:iCs w:val="1"/>
          <w:color w:val="auto"/>
        </w:rPr>
        <w:t xml:space="preserve"> </w:t>
      </w:r>
      <w:r>
        <w:rPr>
          <w:rFonts w:ascii="Arial" w:cs="Arial" w:eastAsia="Arial" w:hAnsi="Arial"/>
          <w:sz w:val="17"/>
          <w:szCs w:val="17"/>
          <w:color w:val="auto"/>
        </w:rPr>
        <w:t>credit of $18,700 for the adjustment of our Tax Receivable Agreement liability. The decrease in the TRA liability was mainly due to the receipt of the PSP3 grant of $34,547, which extended the time period in which distributions made to shareholders are restricted from March 31, 2022 to September 30, 2022, and also resulted in an increase in forecasted 2021 pre-tax income.</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Results of Operations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For the Six Months Ended June 30, 2021 and 2020</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60" w:type="dxa"/>
            <w:vAlign w:val="bottom"/>
            <w:tcBorders>
              <w:bottom w:val="single" w:sz="8" w:color="auto"/>
            </w:tcBorders>
            <w:gridSpan w:val="5"/>
          </w:tcPr>
          <w:p>
            <w:pPr>
              <w:jc w:val="right"/>
              <w:ind w:right="35"/>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15"/>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95"/>
              <w:spacing w:after="0" w:line="148"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15"/>
              <w:spacing w:after="0" w:line="148"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Change</w:t>
            </w:r>
          </w:p>
        </w:tc>
        <w:tc>
          <w:tcPr>
            <w:tcW w:w="800" w:type="dxa"/>
            <w:vAlign w:val="bottom"/>
            <w:gridSpan w:val="2"/>
          </w:tcPr>
          <w:p>
            <w:pPr>
              <w:jc w:val="right"/>
              <w:ind w:right="134"/>
              <w:spacing w:after="0" w:line="14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6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Operating Revenues:</w:t>
            </w:r>
          </w:p>
        </w:tc>
        <w:tc>
          <w:tcPr>
            <w:tcW w:w="1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tcPr>
          <w:p>
            <w:pPr>
              <w:spacing w:after="0" w:line="194" w:lineRule="exact"/>
              <w:rPr>
                <w:sz w:val="20"/>
                <w:szCs w:val="20"/>
                <w:color w:val="auto"/>
              </w:rPr>
            </w:pPr>
            <w:r>
              <w:rPr>
                <w:rFonts w:ascii="Arial" w:cs="Arial" w:eastAsia="Arial" w:hAnsi="Arial"/>
                <w:sz w:val="17"/>
                <w:szCs w:val="17"/>
                <w:color w:val="auto"/>
              </w:rPr>
              <w:t>Scheduled Service</w:t>
            </w:r>
          </w:p>
        </w:tc>
        <w:tc>
          <w:tcPr>
            <w:tcW w:w="12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121,693</w:t>
            </w:r>
          </w:p>
        </w:tc>
        <w:tc>
          <w:tcPr>
            <w:tcW w:w="3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132,110</w:t>
            </w:r>
          </w:p>
        </w:tc>
        <w:tc>
          <w:tcPr>
            <w:tcW w:w="2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(10,417)</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Charter Service</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54,703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37,718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16,985</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45 %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tcPr>
          <w:p>
            <w:pPr>
              <w:spacing w:after="0" w:line="194" w:lineRule="exact"/>
              <w:rPr>
                <w:sz w:val="20"/>
                <w:szCs w:val="20"/>
                <w:color w:val="auto"/>
              </w:rPr>
            </w:pPr>
            <w:r>
              <w:rPr>
                <w:rFonts w:ascii="Arial" w:cs="Arial" w:eastAsia="Arial" w:hAnsi="Arial"/>
                <w:sz w:val="17"/>
                <w:szCs w:val="17"/>
                <w:color w:val="auto"/>
              </w:rPr>
              <w:t>Ancillary</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52,929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39,999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12,930</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60" w:type="dxa"/>
            <w:vAlign w:val="bottom"/>
            <w:tcBorders>
              <w:top w:val="single" w:sz="8" w:color="CCEEFF"/>
            </w:tcBorders>
            <w:shd w:val="clear" w:color="auto" w:fill="CCEEFF"/>
          </w:tcPr>
          <w:p>
            <w:pPr>
              <w:ind w:left="100"/>
              <w:spacing w:after="0" w:line="185" w:lineRule="exact"/>
              <w:rPr>
                <w:sz w:val="20"/>
                <w:szCs w:val="20"/>
                <w:color w:val="auto"/>
              </w:rPr>
            </w:pPr>
            <w:r>
              <w:rPr>
                <w:rFonts w:ascii="Arial" w:cs="Arial" w:eastAsia="Arial" w:hAnsi="Arial"/>
                <w:sz w:val="17"/>
                <w:szCs w:val="17"/>
                <w:color w:val="auto"/>
              </w:rPr>
              <w:t>Passenger</w:t>
            </w:r>
          </w:p>
        </w:tc>
        <w:tc>
          <w:tcPr>
            <w:tcW w:w="1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229,325</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209,827</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19,498</w:t>
            </w: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9</w:t>
            </w:r>
          </w:p>
        </w:tc>
        <w:tc>
          <w:tcPr>
            <w:tcW w:w="160" w:type="dxa"/>
            <w:vAlign w:val="bottom"/>
            <w:tcBorders>
              <w:top w:val="single" w:sz="8" w:color="CCEEFF"/>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Arial" w:cs="Arial" w:eastAsia="Arial" w:hAnsi="Arial"/>
                <w:sz w:val="17"/>
                <w:szCs w:val="17"/>
                <w:color w:val="auto"/>
              </w:rPr>
              <w:t>Cargo</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43,684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3,219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40,465</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1,257 %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Other</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3,793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2,660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1,133</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43 %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60" w:type="dxa"/>
            <w:vAlign w:val="bottom"/>
            <w:tcBorders>
              <w:bottom w:val="single" w:sz="8" w:color="CCEEFF"/>
            </w:tcBorders>
          </w:tcPr>
          <w:p>
            <w:pPr>
              <w:ind w:left="200"/>
              <w:spacing w:after="0" w:line="185" w:lineRule="exact"/>
              <w:rPr>
                <w:sz w:val="20"/>
                <w:szCs w:val="20"/>
                <w:color w:val="auto"/>
              </w:rPr>
            </w:pPr>
            <w:r>
              <w:rPr>
                <w:rFonts w:ascii="Arial" w:cs="Arial" w:eastAsia="Arial" w:hAnsi="Arial"/>
                <w:sz w:val="17"/>
                <w:szCs w:val="17"/>
                <w:color w:val="auto"/>
              </w:rPr>
              <w:t>Total Operating Revenue</w:t>
            </w:r>
          </w:p>
        </w:tc>
        <w:tc>
          <w:tcPr>
            <w:tcW w:w="1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276,802</w:t>
            </w:r>
          </w:p>
        </w:tc>
        <w:tc>
          <w:tcPr>
            <w:tcW w:w="2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215,706</w:t>
            </w:r>
          </w:p>
        </w:tc>
        <w:tc>
          <w:tcPr>
            <w:tcW w:w="16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61,096</w:t>
            </w:r>
          </w:p>
        </w:tc>
        <w:tc>
          <w:tcPr>
            <w:tcW w:w="14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28</w:t>
            </w:r>
          </w:p>
        </w:tc>
        <w:tc>
          <w:tcPr>
            <w:tcW w:w="160" w:type="dxa"/>
            <w:vAlign w:val="bottom"/>
            <w:tcBorders>
              <w:bottom w:val="single" w:sz="8" w:color="CCEEFF"/>
            </w:tcBorders>
          </w:tcPr>
          <w:p>
            <w:pPr>
              <w:jc w:val="right"/>
              <w:spacing w:after="0" w:line="186"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860" w:type="dxa"/>
            <w:vAlign w:val="bottom"/>
          </w:tcPr>
          <w:p>
            <w:pPr>
              <w:spacing w:after="0" w:line="194" w:lineRule="exact"/>
              <w:rPr>
                <w:sz w:val="20"/>
                <w:szCs w:val="20"/>
                <w:color w:val="auto"/>
              </w:rPr>
            </w:pPr>
            <w:r>
              <w:rPr>
                <w:rFonts w:ascii="Arial" w:cs="Arial" w:eastAsia="Arial" w:hAnsi="Arial"/>
                <w:sz w:val="17"/>
                <w:szCs w:val="17"/>
                <w:b w:val="1"/>
                <w:bCs w:val="1"/>
                <w:color w:val="auto"/>
              </w:rPr>
              <w:t>Operating Expenses:</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Aircraft Fuel</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53,984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56,238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(2,254)</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Arial" w:cs="Arial" w:eastAsia="Arial" w:hAnsi="Arial"/>
                <w:sz w:val="17"/>
                <w:szCs w:val="17"/>
                <w:color w:val="auto"/>
              </w:rPr>
              <w:t>Salaries, Wages, and Benefits</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86,392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70,575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15,817</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Aircraft Rent</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9,414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16,966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(7,552)</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Arial" w:cs="Arial" w:eastAsia="Arial" w:hAnsi="Arial"/>
                <w:sz w:val="17"/>
                <w:szCs w:val="17"/>
                <w:color w:val="auto"/>
              </w:rPr>
              <w:t>Maintenance</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20,510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8,904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11,606</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130 %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Sales and Marketing</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10,932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10,202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730</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Arial" w:cs="Arial" w:eastAsia="Arial" w:hAnsi="Arial"/>
                <w:sz w:val="17"/>
                <w:szCs w:val="17"/>
                <w:color w:val="auto"/>
              </w:rPr>
              <w:t>Depreciation and Amortization</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26,075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22,702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3,373</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Ground Handling</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11,781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10,906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875</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Arial" w:cs="Arial" w:eastAsia="Arial" w:hAnsi="Arial"/>
                <w:sz w:val="17"/>
                <w:szCs w:val="17"/>
                <w:color w:val="auto"/>
              </w:rPr>
              <w:t>Landing Fees and Airport Rent</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17,537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13,781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3,756</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27 %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Special Items, net</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(65,392)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(31,481)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(33,911)</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108 %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Arial" w:cs="Arial" w:eastAsia="Arial" w:hAnsi="Arial"/>
                <w:sz w:val="17"/>
                <w:szCs w:val="17"/>
                <w:color w:val="auto"/>
              </w:rPr>
              <w:t>Other Operating, net</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31,397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23,917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7,480</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31 %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60" w:type="dxa"/>
            <w:vAlign w:val="bottom"/>
            <w:tcBorders>
              <w:top w:val="single" w:sz="8" w:color="CCEEFF"/>
            </w:tcBorders>
            <w:shd w:val="clear" w:color="auto" w:fill="CCEEFF"/>
          </w:tcPr>
          <w:p>
            <w:pPr>
              <w:ind w:left="200"/>
              <w:spacing w:after="0" w:line="185" w:lineRule="exact"/>
              <w:rPr>
                <w:sz w:val="20"/>
                <w:szCs w:val="20"/>
                <w:color w:val="auto"/>
              </w:rPr>
            </w:pPr>
            <w:r>
              <w:rPr>
                <w:rFonts w:ascii="Arial" w:cs="Arial" w:eastAsia="Arial" w:hAnsi="Arial"/>
                <w:sz w:val="17"/>
                <w:szCs w:val="17"/>
                <w:color w:val="auto"/>
              </w:rPr>
              <w:t>Total Operating Expenses</w:t>
            </w:r>
          </w:p>
        </w:tc>
        <w:tc>
          <w:tcPr>
            <w:tcW w:w="1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202,630</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202,710</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(80)</w:t>
            </w: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(0)</w:t>
            </w:r>
          </w:p>
        </w:tc>
        <w:tc>
          <w:tcPr>
            <w:tcW w:w="160" w:type="dxa"/>
            <w:vAlign w:val="bottom"/>
            <w:tcBorders>
              <w:top w:val="single" w:sz="8" w:color="CCEEFF"/>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line="185" w:lineRule="exact"/>
              <w:rPr>
                <w:sz w:val="20"/>
                <w:szCs w:val="20"/>
                <w:color w:val="auto"/>
              </w:rPr>
            </w:pPr>
            <w:r>
              <w:rPr>
                <w:rFonts w:ascii="Arial" w:cs="Arial" w:eastAsia="Arial" w:hAnsi="Arial"/>
                <w:sz w:val="17"/>
                <w:szCs w:val="17"/>
                <w:color w:val="auto"/>
              </w:rPr>
              <w:t>Operating Income</w:t>
            </w:r>
          </w:p>
        </w:tc>
        <w:tc>
          <w:tcPr>
            <w:tcW w:w="1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74,172</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12,996</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61,176</w:t>
            </w:r>
          </w:p>
        </w:tc>
        <w:tc>
          <w:tcPr>
            <w:tcW w:w="1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471</w:t>
            </w:r>
          </w:p>
        </w:tc>
        <w:tc>
          <w:tcPr>
            <w:tcW w:w="160" w:type="dxa"/>
            <w:vAlign w:val="bottom"/>
            <w:tcBorders>
              <w:bottom w:val="single" w:sz="8" w:color="CCEEFF"/>
            </w:tcBorders>
          </w:tcPr>
          <w:p>
            <w:pPr>
              <w:jc w:val="right"/>
              <w:spacing w:after="0" w:line="186"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860" w:type="dxa"/>
            <w:vAlign w:val="bottom"/>
          </w:tcPr>
          <w:p>
            <w:pPr>
              <w:spacing w:after="0" w:line="194" w:lineRule="exact"/>
              <w:rPr>
                <w:sz w:val="20"/>
                <w:szCs w:val="20"/>
                <w:color w:val="auto"/>
              </w:rPr>
            </w:pPr>
            <w:r>
              <w:rPr>
                <w:rFonts w:ascii="Arial" w:cs="Arial" w:eastAsia="Arial" w:hAnsi="Arial"/>
                <w:sz w:val="17"/>
                <w:szCs w:val="17"/>
                <w:b w:val="1"/>
                <w:bCs w:val="1"/>
                <w:color w:val="auto"/>
              </w:rPr>
              <w:t>Non-operating Income (Expense):</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Interest Income</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(290)</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Arial" w:cs="Arial" w:eastAsia="Arial" w:hAnsi="Arial"/>
                <w:sz w:val="17"/>
                <w:szCs w:val="17"/>
                <w:color w:val="auto"/>
              </w:rPr>
              <w:t>Interest Expense</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(13,201)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(11,058)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(2,143)</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Other, net</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18,049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(494)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18,543</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(3,754)%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60" w:type="dxa"/>
            <w:vAlign w:val="bottom"/>
          </w:tcPr>
          <w:p>
            <w:pPr>
              <w:ind w:left="200"/>
              <w:spacing w:after="0" w:line="185" w:lineRule="exact"/>
              <w:rPr>
                <w:sz w:val="20"/>
                <w:szCs w:val="20"/>
                <w:color w:val="auto"/>
              </w:rPr>
            </w:pPr>
            <w:r>
              <w:rPr>
                <w:rFonts w:ascii="Arial" w:cs="Arial" w:eastAsia="Arial" w:hAnsi="Arial"/>
                <w:sz w:val="17"/>
                <w:szCs w:val="17"/>
                <w:color w:val="auto"/>
              </w:rPr>
              <w:t>Total Non-operating Income (Expense), net</w:t>
            </w:r>
          </w:p>
        </w:tc>
        <w:tc>
          <w:tcPr>
            <w:tcW w:w="1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4,872</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(11,238)</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16,110</w:t>
            </w:r>
          </w:p>
        </w:tc>
        <w:tc>
          <w:tcPr>
            <w:tcW w:w="140" w:type="dxa"/>
            <w:vAlign w:val="bottom"/>
          </w:tcPr>
          <w:p>
            <w:pPr>
              <w:spacing w:after="0"/>
              <w:rPr>
                <w:sz w:val="16"/>
                <w:szCs w:val="16"/>
                <w:color w:val="auto"/>
              </w:rPr>
            </w:pPr>
          </w:p>
        </w:tc>
        <w:tc>
          <w:tcPr>
            <w:tcW w:w="64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(143)</w:t>
            </w:r>
          </w:p>
        </w:tc>
        <w:tc>
          <w:tcPr>
            <w:tcW w:w="160" w:type="dxa"/>
            <w:vAlign w:val="bottom"/>
          </w:tcPr>
          <w:p>
            <w:pPr>
              <w:jc w:val="right"/>
              <w:spacing w:after="0" w:line="186"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860" w:type="dxa"/>
            <w:vAlign w:val="bottom"/>
          </w:tcPr>
          <w:p>
            <w:pPr>
              <w:spacing w:after="0" w:line="194" w:lineRule="exact"/>
              <w:rPr>
                <w:sz w:val="20"/>
                <w:szCs w:val="20"/>
                <w:color w:val="auto"/>
              </w:rPr>
            </w:pPr>
            <w:r>
              <w:rPr>
                <w:rFonts w:ascii="Arial" w:cs="Arial" w:eastAsia="Arial" w:hAnsi="Arial"/>
                <w:sz w:val="17"/>
                <w:szCs w:val="17"/>
                <w:color w:val="auto"/>
              </w:rPr>
              <w:t>Income before Income Tax</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79,044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1,758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77,286</w:t>
            </w:r>
          </w:p>
        </w:tc>
        <w:tc>
          <w:tcPr>
            <w:tcW w:w="140" w:type="dxa"/>
            <w:vAlign w:val="bottom"/>
          </w:tcPr>
          <w:p>
            <w:pPr>
              <w:spacing w:after="0"/>
              <w:rPr>
                <w:sz w:val="16"/>
                <w:szCs w:val="16"/>
                <w:color w:val="auto"/>
              </w:rPr>
            </w:pP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4,396 %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60" w:type="dxa"/>
            <w:vAlign w:val="bottom"/>
            <w:tcBorders>
              <w:top w:val="single" w:sz="8" w:color="CCEEFF"/>
            </w:tcBorders>
            <w:shd w:val="clear" w:color="auto" w:fill="CCEEFF"/>
          </w:tcPr>
          <w:p>
            <w:pPr>
              <w:ind w:left="100"/>
              <w:spacing w:after="0" w:line="185" w:lineRule="exact"/>
              <w:rPr>
                <w:sz w:val="20"/>
                <w:szCs w:val="20"/>
                <w:color w:val="auto"/>
              </w:rPr>
            </w:pPr>
            <w:r>
              <w:rPr>
                <w:rFonts w:ascii="Arial" w:cs="Arial" w:eastAsia="Arial" w:hAnsi="Arial"/>
                <w:sz w:val="17"/>
                <w:szCs w:val="17"/>
                <w:color w:val="auto"/>
              </w:rPr>
              <w:t>Income Tax Expense</w:t>
            </w:r>
          </w:p>
        </w:tc>
        <w:tc>
          <w:tcPr>
            <w:tcW w:w="1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14,875</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547</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14,328</w:t>
            </w: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2,619</w:t>
            </w:r>
          </w:p>
        </w:tc>
        <w:tc>
          <w:tcPr>
            <w:tcW w:w="160" w:type="dxa"/>
            <w:vAlign w:val="bottom"/>
            <w:tcBorders>
              <w:top w:val="single" w:sz="8" w:color="CCEEFF"/>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60" w:type="dxa"/>
            <w:vAlign w:val="bottom"/>
          </w:tcPr>
          <w:p>
            <w:pPr>
              <w:spacing w:after="0" w:line="185" w:lineRule="exact"/>
              <w:rPr>
                <w:sz w:val="20"/>
                <w:szCs w:val="20"/>
                <w:color w:val="auto"/>
              </w:rPr>
            </w:pPr>
            <w:r>
              <w:rPr>
                <w:rFonts w:ascii="Arial" w:cs="Arial" w:eastAsia="Arial" w:hAnsi="Arial"/>
                <w:sz w:val="17"/>
                <w:szCs w:val="17"/>
                <w:color w:val="auto"/>
              </w:rPr>
              <w:t>Net Income</w:t>
            </w:r>
          </w:p>
        </w:tc>
        <w:tc>
          <w:tcPr>
            <w:tcW w:w="112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64,169</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1,211</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62,958</w:t>
            </w:r>
          </w:p>
        </w:tc>
        <w:tc>
          <w:tcPr>
            <w:tcW w:w="140" w:type="dxa"/>
            <w:vAlign w:val="bottom"/>
          </w:tcPr>
          <w:p>
            <w:pPr>
              <w:spacing w:after="0"/>
              <w:rPr>
                <w:sz w:val="16"/>
                <w:szCs w:val="16"/>
                <w:color w:val="auto"/>
              </w:rPr>
            </w:pPr>
          </w:p>
        </w:tc>
        <w:tc>
          <w:tcPr>
            <w:tcW w:w="6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5,199</w:t>
            </w:r>
          </w:p>
        </w:tc>
        <w:tc>
          <w:tcPr>
            <w:tcW w:w="160" w:type="dxa"/>
            <w:vAlign w:val="bottom"/>
          </w:tcPr>
          <w:p>
            <w:pPr>
              <w:jc w:val="right"/>
              <w:spacing w:after="0" w:line="186"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vMerge w:val="restart"/>
          </w:tcPr>
          <w:p>
            <w:pPr>
              <w:jc w:val="right"/>
              <w:ind w:right="254"/>
              <w:spacing w:after="0"/>
              <w:rPr>
                <w:sz w:val="20"/>
                <w:szCs w:val="20"/>
                <w:color w:val="auto"/>
              </w:rPr>
            </w:pPr>
            <w:r>
              <w:rPr>
                <w:rFonts w:ascii="Arial" w:cs="Arial" w:eastAsia="Arial" w:hAnsi="Arial"/>
                <w:sz w:val="17"/>
                <w:szCs w:val="17"/>
                <w:color w:val="auto"/>
              </w:rPr>
              <w:t>- 36 -</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6" w:name="page37"/>
    <w:bookmarkEnd w:id="3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color w:val="auto"/>
        </w:rPr>
        <w:t>Total operating revenues increased by $61,096, or 28%, to $276,802 for the six months ended June 30, 2021, from $215,706 for the six months ended June 30, 2020. The increase is primarily due to $40,465 increase in cargo revenue and a $16,985 increase in charter service revenue.</w:t>
      </w:r>
    </w:p>
    <w:p>
      <w:pPr>
        <w:spacing w:after="0" w:line="175"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7"/>
          <w:szCs w:val="17"/>
          <w:i w:val="1"/>
          <w:iCs w:val="1"/>
          <w:color w:val="auto"/>
        </w:rPr>
        <w:t xml:space="preserve">Scheduled Service. </w:t>
      </w:r>
      <w:r>
        <w:rPr>
          <w:rFonts w:ascii="Arial" w:cs="Arial" w:eastAsia="Arial" w:hAnsi="Arial"/>
          <w:sz w:val="17"/>
          <w:szCs w:val="17"/>
          <w:color w:val="auto"/>
        </w:rPr>
        <w:t>Scheduled service revenue decreased by $10,417, or 8%, to $121,693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 from $132,110 for the six months ended June 30, 2020. The decrease in scheduled service revenue was driven by a decline in passenger demand due to government travel restrictions and quarantine requirements related to the COVID-19 pandemic.</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table below presents select operating data for scheduled service:</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Increase</w:t>
            </w:r>
          </w:p>
        </w:tc>
        <w:tc>
          <w:tcPr>
            <w:tcW w:w="540" w:type="dxa"/>
            <w:vAlign w:val="bottom"/>
          </w:tcPr>
          <w:p>
            <w:pPr>
              <w:jc w:val="right"/>
              <w:ind w:right="15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8"/>
              <w:spacing w:after="0" w:line="148"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97"/>
              <w:spacing w:after="0" w:line="148"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0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7"/>
              </w:rPr>
              <w:t>(Decrease)</w:t>
            </w:r>
          </w:p>
        </w:tc>
        <w:tc>
          <w:tcPr>
            <w:tcW w:w="700" w:type="dxa"/>
            <w:vAlign w:val="bottom"/>
            <w:gridSpan w:val="2"/>
          </w:tcPr>
          <w:p>
            <w:pPr>
              <w:jc w:val="right"/>
              <w:ind w:right="94"/>
              <w:spacing w:after="0" w:line="148" w:lineRule="exact"/>
              <w:rPr>
                <w:sz w:val="20"/>
                <w:szCs w:val="20"/>
                <w:color w:val="auto"/>
              </w:rPr>
            </w:pPr>
            <w:r>
              <w:rPr>
                <w:rFonts w:ascii="Arial" w:cs="Arial" w:eastAsia="Arial" w:hAnsi="Arial"/>
                <w:sz w:val="14"/>
                <w:szCs w:val="14"/>
                <w:b w:val="1"/>
                <w:bCs w:val="1"/>
                <w:color w:val="auto"/>
                <w:w w:val="97"/>
              </w:rPr>
              <w:t>Change</w:t>
            </w:r>
          </w:p>
        </w:tc>
      </w:tr>
      <w:tr>
        <w:trPr>
          <w:trHeight w:val="186"/>
        </w:trPr>
        <w:tc>
          <w:tcPr>
            <w:tcW w:w="20" w:type="dxa"/>
            <w:vAlign w:val="bottom"/>
          </w:tcPr>
          <w:p>
            <w:pPr>
              <w:spacing w:after="0"/>
              <w:rPr>
                <w:sz w:val="16"/>
                <w:szCs w:val="16"/>
                <w:color w:val="auto"/>
              </w:rPr>
            </w:pPr>
          </w:p>
        </w:tc>
        <w:tc>
          <w:tcPr>
            <w:tcW w:w="358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Passengers</w:t>
            </w: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1,253,051</w:t>
            </w: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935,860</w:t>
            </w: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317,191</w:t>
            </w: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34</w:t>
            </w:r>
          </w:p>
        </w:tc>
        <w:tc>
          <w:tcPr>
            <w:tcW w:w="160" w:type="dxa"/>
            <w:vAlign w:val="bottom"/>
            <w:tcBorders>
              <w:top w:val="single" w:sz="8" w:color="CCEEFF"/>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2"/>
              </w:rPr>
              <w:t>%</w:t>
            </w:r>
          </w:p>
        </w:tc>
      </w:tr>
      <w:tr>
        <w:trPr>
          <w:trHeight w:val="193"/>
        </w:trPr>
        <w:tc>
          <w:tcPr>
            <w:tcW w:w="20" w:type="dxa"/>
            <w:vAlign w:val="bottom"/>
          </w:tcPr>
          <w:p>
            <w:pPr>
              <w:spacing w:after="0"/>
              <w:rPr>
                <w:sz w:val="16"/>
                <w:szCs w:val="16"/>
                <w:color w:val="auto"/>
              </w:rPr>
            </w:pPr>
          </w:p>
        </w:tc>
        <w:tc>
          <w:tcPr>
            <w:tcW w:w="3580" w:type="dxa"/>
            <w:vAlign w:val="bottom"/>
          </w:tcPr>
          <w:p>
            <w:pPr>
              <w:spacing w:after="0" w:line="194" w:lineRule="exact"/>
              <w:rPr>
                <w:sz w:val="20"/>
                <w:szCs w:val="20"/>
                <w:color w:val="auto"/>
              </w:rPr>
            </w:pPr>
            <w:r>
              <w:rPr>
                <w:rFonts w:ascii="Arial" w:cs="Arial" w:eastAsia="Arial" w:hAnsi="Arial"/>
                <w:sz w:val="17"/>
                <w:szCs w:val="17"/>
                <w:color w:val="auto"/>
              </w:rPr>
              <w:t>Average base fare per passenger</w:t>
            </w:r>
          </w:p>
        </w:tc>
        <w:tc>
          <w:tcPr>
            <w:tcW w:w="11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97.12</w:t>
            </w:r>
          </w:p>
        </w:tc>
        <w:tc>
          <w:tcPr>
            <w:tcW w:w="200" w:type="dxa"/>
            <w:vAlign w:val="bottom"/>
          </w:tcPr>
          <w:p>
            <w:pPr>
              <w:spacing w:after="0"/>
              <w:rPr>
                <w:sz w:val="16"/>
                <w:szCs w:val="16"/>
                <w:color w:val="auto"/>
              </w:rPr>
            </w:pPr>
          </w:p>
        </w:tc>
        <w:tc>
          <w:tcPr>
            <w:tcW w:w="2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141.16</w:t>
            </w:r>
          </w:p>
        </w:tc>
        <w:tc>
          <w:tcPr>
            <w:tcW w:w="24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(44.04)</w:t>
            </w:r>
          </w:p>
        </w:tc>
        <w:tc>
          <w:tcPr>
            <w:tcW w:w="240" w:type="dxa"/>
            <w:vAlign w:val="bottom"/>
          </w:tcPr>
          <w:p>
            <w:pPr>
              <w:spacing w:after="0"/>
              <w:rPr>
                <w:sz w:val="16"/>
                <w:szCs w:val="16"/>
                <w:color w:val="auto"/>
              </w:rPr>
            </w:pP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(31)%</w:t>
            </w:r>
          </w:p>
        </w:tc>
      </w:tr>
      <w:tr>
        <w:trPr>
          <w:trHeight w:val="193"/>
        </w:trPr>
        <w:tc>
          <w:tcPr>
            <w:tcW w:w="20" w:type="dxa"/>
            <w:vAlign w:val="bottom"/>
          </w:tcPr>
          <w:p>
            <w:pPr>
              <w:spacing w:after="0"/>
              <w:rPr>
                <w:sz w:val="16"/>
                <w:szCs w:val="16"/>
                <w:color w:val="auto"/>
              </w:rPr>
            </w:pPr>
          </w:p>
        </w:tc>
        <w:tc>
          <w:tcPr>
            <w:tcW w:w="3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RPMs (thousands)</w:t>
            </w: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1,694,033</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1,303,004</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391,029</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30 %</w:t>
            </w:r>
          </w:p>
        </w:tc>
      </w:tr>
      <w:tr>
        <w:trPr>
          <w:trHeight w:val="193"/>
        </w:trPr>
        <w:tc>
          <w:tcPr>
            <w:tcW w:w="20" w:type="dxa"/>
            <w:vAlign w:val="bottom"/>
          </w:tcPr>
          <w:p>
            <w:pPr>
              <w:spacing w:after="0"/>
              <w:rPr>
                <w:sz w:val="16"/>
                <w:szCs w:val="16"/>
                <w:color w:val="auto"/>
              </w:rPr>
            </w:pPr>
          </w:p>
        </w:tc>
        <w:tc>
          <w:tcPr>
            <w:tcW w:w="3580" w:type="dxa"/>
            <w:vAlign w:val="bottom"/>
          </w:tcPr>
          <w:p>
            <w:pPr>
              <w:spacing w:after="0" w:line="194" w:lineRule="exact"/>
              <w:rPr>
                <w:sz w:val="20"/>
                <w:szCs w:val="20"/>
                <w:color w:val="auto"/>
              </w:rPr>
            </w:pPr>
            <w:r>
              <w:rPr>
                <w:rFonts w:ascii="Arial" w:cs="Arial" w:eastAsia="Arial" w:hAnsi="Arial"/>
                <w:sz w:val="17"/>
                <w:szCs w:val="17"/>
                <w:color w:val="auto"/>
              </w:rPr>
              <w:t>ASMs (thousands)</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2,356,780</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1,826,245</w:t>
            </w:r>
          </w:p>
        </w:tc>
        <w:tc>
          <w:tcPr>
            <w:tcW w:w="24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530,535</w:t>
            </w:r>
          </w:p>
        </w:tc>
        <w:tc>
          <w:tcPr>
            <w:tcW w:w="240" w:type="dxa"/>
            <w:vAlign w:val="bottom"/>
          </w:tcPr>
          <w:p>
            <w:pPr>
              <w:spacing w:after="0"/>
              <w:rPr>
                <w:sz w:val="16"/>
                <w:szCs w:val="16"/>
                <w:color w:val="auto"/>
              </w:rPr>
            </w:pP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29 %</w:t>
            </w:r>
          </w:p>
        </w:tc>
      </w:tr>
      <w:tr>
        <w:trPr>
          <w:trHeight w:val="193"/>
        </w:trPr>
        <w:tc>
          <w:tcPr>
            <w:tcW w:w="20" w:type="dxa"/>
            <w:vAlign w:val="bottom"/>
          </w:tcPr>
          <w:p>
            <w:pPr>
              <w:spacing w:after="0"/>
              <w:rPr>
                <w:sz w:val="16"/>
                <w:szCs w:val="16"/>
                <w:color w:val="auto"/>
              </w:rPr>
            </w:pPr>
          </w:p>
        </w:tc>
        <w:tc>
          <w:tcPr>
            <w:tcW w:w="3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PRASM (cents)</w:t>
            </w: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5.16</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7.23</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(2.07)</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(29)%</w:t>
            </w:r>
          </w:p>
        </w:tc>
      </w:tr>
      <w:tr>
        <w:trPr>
          <w:trHeight w:val="206"/>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Passenger load factor</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71.9 %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71.3 %</w:t>
            </w:r>
          </w:p>
        </w:tc>
        <w:tc>
          <w:tcPr>
            <w:tcW w:w="1020" w:type="dxa"/>
            <w:vAlign w:val="bottom"/>
            <w:gridSpan w:val="2"/>
          </w:tcPr>
          <w:p>
            <w:pPr>
              <w:ind w:left="480"/>
              <w:spacing w:after="0"/>
              <w:rPr>
                <w:sz w:val="20"/>
                <w:szCs w:val="20"/>
                <w:color w:val="auto"/>
              </w:rPr>
            </w:pPr>
            <w:r>
              <w:rPr>
                <w:rFonts w:ascii="Arial" w:cs="Arial" w:eastAsia="Arial" w:hAnsi="Arial"/>
                <w:sz w:val="17"/>
                <w:szCs w:val="17"/>
                <w:color w:val="auto"/>
              </w:rPr>
              <w:t>0.6 pts</w:t>
            </w:r>
          </w:p>
        </w:tc>
        <w:tc>
          <w:tcPr>
            <w:tcW w:w="700" w:type="dxa"/>
            <w:vAlign w:val="bottom"/>
            <w:gridSpan w:val="2"/>
          </w:tcPr>
          <w:p>
            <w:pPr>
              <w:jc w:val="right"/>
              <w:ind w:right="114"/>
              <w:spacing w:after="0"/>
              <w:rPr>
                <w:sz w:val="20"/>
                <w:szCs w:val="20"/>
                <w:color w:val="auto"/>
              </w:rPr>
            </w:pPr>
            <w:r>
              <w:rPr>
                <w:rFonts w:ascii="Arial" w:cs="Arial" w:eastAsia="Arial" w:hAnsi="Arial"/>
                <w:sz w:val="17"/>
                <w:szCs w:val="17"/>
                <w:color w:val="auto"/>
              </w:rPr>
              <w:t>na</w:t>
            </w:r>
          </w:p>
        </w:tc>
      </w:tr>
    </w:tbl>
    <w:p>
      <w:pPr>
        <w:spacing w:after="0" w:line="180" w:lineRule="exact"/>
        <w:rPr>
          <w:sz w:val="20"/>
          <w:szCs w:val="20"/>
          <w:color w:val="auto"/>
        </w:rPr>
      </w:pPr>
    </w:p>
    <w:p>
      <w:pPr>
        <w:jc w:val="both"/>
        <w:ind w:left="40" w:right="59"/>
        <w:spacing w:after="0"/>
        <w:rPr>
          <w:sz w:val="20"/>
          <w:szCs w:val="20"/>
          <w:color w:val="auto"/>
        </w:rPr>
      </w:pPr>
      <w:r>
        <w:rPr>
          <w:rFonts w:ascii="Arial" w:cs="Arial" w:eastAsia="Arial" w:hAnsi="Arial"/>
          <w:sz w:val="17"/>
          <w:szCs w:val="17"/>
          <w:color w:val="auto"/>
        </w:rPr>
        <w:t>The 34% increase in the number of scheduled service passengers in the six months ended June 30, 2021, as compared to the six months ended June 30, 2020, was primarily due to 2020 COVID-19 pandemic related demand reductions. For the six months ended June 30, 2021, our average base fare was $97.12, compared to $141.16 for the six months ended June 30, 2020. The net change is the result of the impact of indirect revenue related transactions (such as deferred revenue breakage) spread over significantly fewer passengers during 2020.</w:t>
      </w:r>
    </w:p>
    <w:p>
      <w:pPr>
        <w:spacing w:after="0" w:line="178"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7"/>
          <w:szCs w:val="17"/>
          <w:i w:val="1"/>
          <w:iCs w:val="1"/>
          <w:color w:val="auto"/>
        </w:rPr>
        <w:t xml:space="preserve">Charter Service. </w:t>
      </w:r>
      <w:r>
        <w:rPr>
          <w:rFonts w:ascii="Arial" w:cs="Arial" w:eastAsia="Arial" w:hAnsi="Arial"/>
          <w:sz w:val="17"/>
          <w:szCs w:val="17"/>
          <w:color w:val="auto"/>
        </w:rPr>
        <w:t>Charter service revenue increased by $16,985, or 45%, to $54,703 for the six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2021, from $ 37,718 for the six months ended June 30, 2020. There was a 42% increase in charter service block hours for the six months ended June 30, 2021 vs 2020. This block hour increase is due to the ongoing recovery from the impacts of COVID-19. Charter revenue per block hour was $7,829 for the six months ended June 30, 2021, as compared to $7,646 for the six months ended June 30, 2020, for an increase of 2%.</w:t>
      </w:r>
    </w:p>
    <w:p>
      <w:pPr>
        <w:spacing w:after="0" w:line="171"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i w:val="1"/>
          <w:iCs w:val="1"/>
          <w:color w:val="auto"/>
        </w:rPr>
        <w:t xml:space="preserve">Ancillary. </w:t>
      </w:r>
      <w:r>
        <w:rPr>
          <w:rFonts w:ascii="Arial" w:cs="Arial" w:eastAsia="Arial" w:hAnsi="Arial"/>
          <w:sz w:val="17"/>
          <w:szCs w:val="17"/>
          <w:color w:val="auto"/>
        </w:rPr>
        <w:t>Ancillary revenue increased by $12,930, or 32%, to $52,929 for the six months ended June 30, 2021, from</w:t>
      </w:r>
      <w:r>
        <w:rPr>
          <w:rFonts w:ascii="Arial" w:cs="Arial" w:eastAsia="Arial" w:hAnsi="Arial"/>
          <w:sz w:val="17"/>
          <w:szCs w:val="17"/>
          <w:i w:val="1"/>
          <w:iCs w:val="1"/>
          <w:color w:val="auto"/>
        </w:rPr>
        <w:t xml:space="preserve"> </w:t>
      </w:r>
      <w:r>
        <w:rPr>
          <w:rFonts w:ascii="Arial" w:cs="Arial" w:eastAsia="Arial" w:hAnsi="Arial"/>
          <w:sz w:val="17"/>
          <w:szCs w:val="17"/>
          <w:color w:val="auto"/>
        </w:rPr>
        <w:t>$39,999 for the six months ended June 30, 2020. The number of scheduled service passengers was 1.3 million in the six months ended June 30, 2021, up 34% from 936 thousand in the six months ended June 30, 2020. There was a small decline in ancillary revenue per passenger due to reductions in sales of air travel-related services such as baggage fees, seat selection and upgrade fees, and on-board sales. Specifically, ancillary revenue was $42.24 per passenger in the six months ended June 30, 2021, down from $42.74 per passenger in the six months ended June 30, 2020.</w:t>
      </w:r>
    </w:p>
    <w:p>
      <w:pPr>
        <w:spacing w:after="0" w:line="175"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7"/>
          <w:szCs w:val="17"/>
          <w:i w:val="1"/>
          <w:iCs w:val="1"/>
          <w:color w:val="auto"/>
        </w:rPr>
        <w:t xml:space="preserve">Cargo. </w:t>
      </w:r>
      <w:r>
        <w:rPr>
          <w:rFonts w:ascii="Arial" w:cs="Arial" w:eastAsia="Arial" w:hAnsi="Arial"/>
          <w:sz w:val="17"/>
          <w:szCs w:val="17"/>
          <w:color w:val="auto"/>
        </w:rPr>
        <w:t>Revenue from cargo services was $43,684 for the six months ended June 30, 2021, compared with $3,219</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30, 2020. All of our 2021 and 2020 cargo service revenue is related to flights operated under the ATSA with Amazon. Cargo service began in May of 2020, so the increase is due to the year-over-year ramp up of operations . Cargo service departures were 5,317 in the six months ended June 30, 2021, as compared to 413 for the six months ended June 30, 2020.</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85"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Other revenue was $ 3,793 for the six months ended June 30, 2021 compared to $2,660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2020. This was mainly the result of an increase in revenue from Sun Country Vacations due to improved bookings and an increase in mail revenue due to increased departures.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color w:val="auto"/>
        </w:rPr>
        <w:t>Operating Expenses</w:t>
      </w:r>
    </w:p>
    <w:p>
      <w:pPr>
        <w:spacing w:after="0" w:line="186"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Aircraft fuel expense decreased by $2,254, or 4%, to $ 53,984 for the six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$56,238 for the six months ended June 30, 2020. The decrease was largely driven by a $ 21,556 change in the mark-to-market gains/losses from our fuel derivative contracts, consisting of a $ 3,599 gain in the six months ended June 30, 2021 compared to a $17,957 loss in the six months ended June 30, 2020. Offsetting this derivative gain 2021 vs 2020 was a 28% increase in fuel gallons consumed, due to our increased level of operations as demonstrated by a 27% increase in passenger service block hours and a 17 % increase in the average price per gallon of fuel.</w:t>
      </w:r>
    </w:p>
    <w:p>
      <w:pPr>
        <w:spacing w:after="0" w:line="174" w:lineRule="exact"/>
        <w:rPr>
          <w:sz w:val="20"/>
          <w:szCs w:val="20"/>
          <w:color w:val="auto"/>
        </w:rPr>
      </w:pPr>
    </w:p>
    <w:p>
      <w:pPr>
        <w:jc w:val="both"/>
        <w:ind w:left="40" w:right="59"/>
        <w:spacing w:after="0"/>
        <w:rPr>
          <w:sz w:val="20"/>
          <w:szCs w:val="20"/>
          <w:color w:val="auto"/>
        </w:rPr>
      </w:pPr>
      <w:r>
        <w:rPr>
          <w:rFonts w:ascii="Arial" w:cs="Arial" w:eastAsia="Arial" w:hAnsi="Arial"/>
          <w:sz w:val="17"/>
          <w:szCs w:val="17"/>
          <w:i w:val="1"/>
          <w:iCs w:val="1"/>
          <w:color w:val="auto"/>
        </w:rPr>
        <w:t>Salaries</w:t>
      </w:r>
      <w:r>
        <w:rPr>
          <w:rFonts w:ascii="Arial" w:cs="Arial" w:eastAsia="Arial" w:hAnsi="Arial"/>
          <w:sz w:val="17"/>
          <w:szCs w:val="17"/>
          <w:color w:val="auto"/>
        </w:rPr>
        <w:t>,</w:t>
      </w:r>
      <w:r>
        <w:rPr>
          <w:rFonts w:ascii="Arial" w:cs="Arial" w:eastAsia="Arial" w:hAnsi="Arial"/>
          <w:sz w:val="17"/>
          <w:szCs w:val="17"/>
          <w:i w:val="1"/>
          <w:iCs w:val="1"/>
          <w:color w:val="auto"/>
        </w:rPr>
        <w:t xml:space="preserve"> Wages, and Benefits</w:t>
      </w:r>
      <w:r>
        <w:rPr>
          <w:rFonts w:ascii="Arial" w:cs="Arial" w:eastAsia="Arial" w:hAnsi="Arial"/>
          <w:sz w:val="17"/>
          <w:szCs w:val="17"/>
          <w:color w:val="auto"/>
        </w:rPr>
        <w:t>. Salaries, wages, and benefits expense increased by $15,817, or 22%, to $86,392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2021, as compared to $70,575 for the six months ended June 30, 2020. Approximately $2,100 of the increase relates to insourcing MSP ground handling operations starting in April 2020. The increase was also the result of increased stock-compensation expense. Our IPO made it probable that a portion of our performance-based stock options would vest over a specific timeframe. Therefore, we expensed $2,496 related to these options for the three months ended March 31, 2021, plus an additional $320 for the three months ended June 30, 2021. No expense was recorded in the six months ended June 30, 2020 for performance-based stock options. Our cargo segment was responsible for $21,395 of the consolidated salaries, wages, and benefits expense for the six months ended June 30, 2021, compared to a $3,367 in the six months ended June 30, 2020. There has been increased pilot pay and per diems to support operations under the ATSA. The Cargo segment began in May 2020, driving additional headcount required to support the operations and aircraft under the ATSA.</w:t>
      </w:r>
    </w:p>
    <w:p>
      <w:pPr>
        <w:spacing w:after="0" w:line="183" w:lineRule="exact"/>
        <w:rPr>
          <w:sz w:val="20"/>
          <w:szCs w:val="20"/>
          <w:color w:val="auto"/>
        </w:rPr>
      </w:pPr>
    </w:p>
    <w:p>
      <w:pPr>
        <w:jc w:val="both"/>
        <w:ind w:left="40" w:right="59"/>
        <w:spacing w:after="0" w:line="242" w:lineRule="auto"/>
        <w:rPr>
          <w:sz w:val="20"/>
          <w:szCs w:val="20"/>
          <w:color w:val="auto"/>
        </w:rPr>
      </w:pPr>
      <w:r>
        <w:rPr>
          <w:rFonts w:ascii="Arial" w:cs="Arial" w:eastAsia="Arial" w:hAnsi="Arial"/>
          <w:sz w:val="17"/>
          <w:szCs w:val="17"/>
          <w:i w:val="1"/>
          <w:iCs w:val="1"/>
          <w:color w:val="auto"/>
        </w:rPr>
        <w:t>Aircraft Rent</w:t>
      </w:r>
      <w:r>
        <w:rPr>
          <w:rFonts w:ascii="Arial" w:cs="Arial" w:eastAsia="Arial" w:hAnsi="Arial"/>
          <w:sz w:val="17"/>
          <w:szCs w:val="17"/>
          <w:color w:val="auto"/>
        </w:rPr>
        <w:t>. Aircraft rent expense decreased by $7,552, or 45%, to $9,414 for the six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$16,966 for the six months ended June 30, 2020. Aircraft rent expense decreased primarily due to the composition of our aircraft fleet shifting from aircraft under operating leases (for which expense is recorded within aircraft rent) to owned aircraft. Specifically, in late first quarter 2021 and early second quarter 2021, we purchased six aircraft previously under operating leases. There were also aircraft acquisitions completed in 2020 that reduced aircraft rent by $3,431 in the six months ended June 30, 2021 as compared to the six months ended June 30, 2020. For the six months ended June 30, 2021 and 2020, there was an average of nine and thirteen aircraft under operating leases, respectively.</w:t>
      </w:r>
    </w:p>
    <w:p>
      <w:pPr>
        <w:spacing w:after="0" w:line="176" w:lineRule="exact"/>
        <w:rPr>
          <w:sz w:val="20"/>
          <w:szCs w:val="20"/>
          <w:color w:val="auto"/>
        </w:rPr>
      </w:pPr>
    </w:p>
    <w:p>
      <w:pPr>
        <w:jc w:val="both"/>
        <w:ind w:left="40" w:right="59"/>
        <w:spacing w:after="0" w:line="242" w:lineRule="auto"/>
        <w:rPr>
          <w:sz w:val="20"/>
          <w:szCs w:val="20"/>
          <w:color w:val="auto"/>
        </w:rPr>
      </w:pPr>
      <w:r>
        <w:rPr>
          <w:rFonts w:ascii="Arial" w:cs="Arial" w:eastAsia="Arial" w:hAnsi="Arial"/>
          <w:sz w:val="17"/>
          <w:szCs w:val="17"/>
          <w:i w:val="1"/>
          <w:iCs w:val="1"/>
          <w:color w:val="auto"/>
        </w:rPr>
        <w:t>Maintenance</w:t>
      </w:r>
      <w:r>
        <w:rPr>
          <w:rFonts w:ascii="Arial" w:cs="Arial" w:eastAsia="Arial" w:hAnsi="Arial"/>
          <w:sz w:val="17"/>
          <w:szCs w:val="17"/>
          <w:color w:val="auto"/>
        </w:rPr>
        <w:t>. Maintenance materials and repair expense increased by $11,606, or 130%, to $20,510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2021, as compared to $8,904 for the six months ended June 30, 2020. The cost of heavy checks increased $4,030 due to ten heavy checks performed in the six months ended June 30, 2021, as compared to two for the six months ended June 30, 2020. There was a $1,344 increase in costs, including wheels, brakes, consumables, and expendables, driven by increased departures. Our cargo segment was responsible for $5,268 of the consolidated maintenance expense for the six months ended June 30, 2021, as compared to $509 for the prior year six-month period since cargo segment service did not begin until May 2020. The cargo segment expense primarily relates to line maintenance, since heavy maintenance is reimbursed under the ATSA.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85"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increased by $730, or 7%, to $10,932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 as compared to $10,202 for the six months ended June 30, 2020. The passenger revenue increase between these two periods was 9%, which drove a $1,300 increase in global distribution system fees, partially offset by $700 lower interchange rates.</w:t>
      </w:r>
    </w:p>
    <w:p>
      <w:pPr>
        <w:spacing w:after="0" w:line="172"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increased by $3,373, or 15%, to $26,075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2021, as compared to $22,702 for the six months ended June 30, 2020. The increase was primarily due to the impact of a change in the composition of our aircraft fleet to an increased number of owned aircraft in connection with our 2019-1 EETC, Delayed Draw Term Loan Facility, and aircraft under finance leases (for which expense is recorded within depreciation and amortization). For the six months ended June 30, 2021 and 2020, there was an average of 17 and 10 owned aircraft, respectively.</w:t>
      </w:r>
    </w:p>
    <w:p>
      <w:pPr>
        <w:spacing w:after="0" w:line="174"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7"/>
          <w:szCs w:val="17"/>
          <w:i w:val="1"/>
          <w:iCs w:val="1"/>
          <w:color w:val="auto"/>
        </w:rPr>
        <w:t>Ground Handling</w:t>
      </w:r>
      <w:r>
        <w:rPr>
          <w:rFonts w:ascii="Arial" w:cs="Arial" w:eastAsia="Arial" w:hAnsi="Arial"/>
          <w:sz w:val="17"/>
          <w:szCs w:val="17"/>
          <w:color w:val="auto"/>
        </w:rPr>
        <w:t>. Ground handling expense increased by $875, or 8%, to $11,781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as compared to $10,906 for the six months ended June 30, 2020. There was an increase of $3,100, primarily due to the 29% increase in scheduled departures during the same time periods. However, we insourced our MSP operations in April 2020, contributing to a reduction of $2,200 in ground handling expenses for the six months ended June 30, 2021, compared to June 30, 2020, but resulting in higher salaries, wages, and benefits.</w:t>
      </w:r>
    </w:p>
    <w:p>
      <w:pPr>
        <w:spacing w:after="0" w:line="171"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7"/>
          <w:szCs w:val="17"/>
          <w:i w:val="1"/>
          <w:iCs w:val="1"/>
          <w:color w:val="auto"/>
        </w:rPr>
        <w:t>Landing Fees and Airport Rent</w:t>
      </w:r>
      <w:r>
        <w:rPr>
          <w:rFonts w:ascii="Arial" w:cs="Arial" w:eastAsia="Arial" w:hAnsi="Arial"/>
          <w:sz w:val="17"/>
          <w:szCs w:val="17"/>
          <w:color w:val="auto"/>
        </w:rPr>
        <w:t>. Landing fees and airport rent increased by $3,756, or 27%, to $17,537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2021, as compared to $13,781 for the six months ended June 30, 2020. There was a $4,700 increase driven by the 29% increase in scheduled departures for the six months ended June 30, 2021, over 2020. During the six months ended June 30, 2021, we also received a $1,416 MSP terminal user fee airline relief credit, which partially offset the increase discussed above.</w:t>
      </w:r>
    </w:p>
    <w:p>
      <w:pPr>
        <w:spacing w:after="0" w:line="171" w:lineRule="exact"/>
        <w:rPr>
          <w:sz w:val="20"/>
          <w:szCs w:val="20"/>
          <w:color w:val="auto"/>
        </w:rPr>
      </w:pPr>
    </w:p>
    <w:p>
      <w:pPr>
        <w:jc w:val="both"/>
        <w:ind w:left="40" w:right="59"/>
        <w:spacing w:after="0"/>
        <w:rPr>
          <w:sz w:val="20"/>
          <w:szCs w:val="20"/>
          <w:color w:val="auto"/>
        </w:rPr>
      </w:pPr>
      <w:r>
        <w:rPr>
          <w:rFonts w:ascii="Arial" w:cs="Arial" w:eastAsia="Arial" w:hAnsi="Arial"/>
          <w:sz w:val="17"/>
          <w:szCs w:val="17"/>
          <w:i w:val="1"/>
          <w:iCs w:val="1"/>
          <w:color w:val="auto"/>
        </w:rPr>
        <w:t>Special Items, net</w:t>
      </w:r>
      <w:r>
        <w:rPr>
          <w:rFonts w:ascii="Arial" w:cs="Arial" w:eastAsia="Arial" w:hAnsi="Arial"/>
          <w:sz w:val="17"/>
          <w:szCs w:val="17"/>
          <w:color w:val="auto"/>
        </w:rPr>
        <w:t>. Special items, net was a contra-expense of $ 65,392 for the six months ended June 30, 2021 and</w:t>
      </w:r>
      <w:r>
        <w:rPr>
          <w:rFonts w:ascii="Arial" w:cs="Arial" w:eastAsia="Arial" w:hAnsi="Arial"/>
          <w:sz w:val="17"/>
          <w:szCs w:val="17"/>
          <w:i w:val="1"/>
          <w:iCs w:val="1"/>
          <w:color w:val="auto"/>
        </w:rPr>
        <w:t xml:space="preserve"> </w:t>
      </w:r>
      <w:r>
        <w:rPr>
          <w:rFonts w:ascii="Arial" w:cs="Arial" w:eastAsia="Arial" w:hAnsi="Arial"/>
          <w:sz w:val="17"/>
          <w:szCs w:val="17"/>
          <w:color w:val="auto"/>
        </w:rPr>
        <w:t>$31,481 for the six months ended June 30, 2020. For the six months ended June 30, 2021, Special items, net included $71,587 of contra-expense related to funds received under PSP2 and PSP3 of the CARES Act, to be used exclusively for the continuation of payments for salaries, wages, and benefits, and $780 in refundable tax credits related to employee retention under the CARES Act. This was partially offset by a $6,963 net charge relating to the purchase of six aircraft during the six months that were previously under operating leases. For the six months ended June 30, 2020, Special items, net included $31,516 of contra-expense related to funds received under PSP2 of the CARES Act, to be used exclusively for the continuation of payments for salaries, wages, and benefits. Our cargo segment was responsible for $18,401 of the consolidated income from Special items, net for the six months ended June 30, 2021, and $3,370 for the six months ended June 30, 2020. The segment allocation of these credits is based on the respective segment salaries, wages, and benefits.</w:t>
      </w:r>
    </w:p>
    <w:p>
      <w:pPr>
        <w:spacing w:after="0" w:line="183"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7"/>
          <w:szCs w:val="17"/>
          <w:i w:val="1"/>
          <w:iCs w:val="1"/>
          <w:color w:val="auto"/>
        </w:rPr>
        <w:t>Other Operating, net</w:t>
      </w:r>
      <w:r>
        <w:rPr>
          <w:rFonts w:ascii="Arial" w:cs="Arial" w:eastAsia="Arial" w:hAnsi="Arial"/>
          <w:sz w:val="17"/>
          <w:szCs w:val="17"/>
          <w:color w:val="auto"/>
        </w:rPr>
        <w:t>. Other operating, net expense increased by $ 7,480, or 31%, to $31,397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2021, as compared to $23,917 for the six months ended June 30, 2020. A passenger segment increase of $949 was primarily driven by our higher level of operations for 2021, which resulted in increased crew and other employee travel costs, catering expenses, and other operational overhead costs. Our cargo segment was responsible for $7,498 and $967 of our consolidated Other Operating, net expense for the six months ended June 30, 2021 and 2020, respectively, driven by overhead expenses as well as crew and employee travel costs.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Non-operating Income (Expense)</w:t>
      </w:r>
    </w:p>
    <w:p>
      <w:pPr>
        <w:spacing w:after="0" w:line="153"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by $2,143, or 19%, to $13,201 for the six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$ 11,058 for the six months ended June 30, 2020. The increase was primarily due to debt issued for the acquisition of new aircraft and spare engines, including new debt incurred in connection with the 2019-1 EETC, and the Delayed Draw Term Loan Facility. During the six months ended June 30, 2021, the Company expensed $1,224 of debt financing costs due to the $46,260 pay-off of the CARES Act Loan and the replacement of the $25,000 ABL Facility.</w:t>
      </w:r>
    </w:p>
    <w:p>
      <w:pPr>
        <w:spacing w:after="0" w:line="123"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7"/>
          <w:szCs w:val="17"/>
          <w:i w:val="1"/>
          <w:iCs w:val="1"/>
          <w:color w:val="auto"/>
        </w:rPr>
        <w:t>Other, net</w:t>
      </w:r>
      <w:r>
        <w:rPr>
          <w:rFonts w:ascii="Arial" w:cs="Arial" w:eastAsia="Arial" w:hAnsi="Arial"/>
          <w:sz w:val="17"/>
          <w:szCs w:val="17"/>
          <w:color w:val="auto"/>
        </w:rPr>
        <w:t>. Other, net for the six months ended June 30, 2021 was $18,049 and includes a credit of $18,700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of our Tax Receivable Agreement liability. The decrease in the TRA liability was mainly due to the receipt of the PSP3 grant of $34,547, which extended the time period in which distributions made to shareholders are restricted from March 31, 2022 to September 30, 2022, and also resulted in an increase in forecasted 2021 pre-tax income.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Segment Information</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For the Three Months Ended June 30, 2021 and 2020</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Three Months Ended June 30, 2021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rPr>
              <w:t>Three Months Ended June 30, 2020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280"/>
              <w:spacing w:after="0" w:line="148" w:lineRule="exact"/>
              <w:rPr>
                <w:sz w:val="20"/>
                <w:szCs w:val="20"/>
                <w:color w:val="auto"/>
              </w:rPr>
            </w:pPr>
            <w:r>
              <w:rPr>
                <w:rFonts w:ascii="Arial" w:cs="Arial" w:eastAsia="Arial" w:hAnsi="Arial"/>
                <w:sz w:val="14"/>
                <w:szCs w:val="14"/>
                <w:b w:val="1"/>
                <w:bCs w:val="1"/>
                <w:color w:val="auto"/>
              </w:rPr>
              <w:t>Passenger</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Cargo</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5"/>
              <w:spacing w:after="0" w:line="148"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Borders>
              <w:top w:val="single" w:sz="8" w:color="auto"/>
            </w:tcBorders>
            <w:gridSpan w:val="3"/>
          </w:tcPr>
          <w:p>
            <w:pPr>
              <w:jc w:val="right"/>
              <w:ind w:right="280"/>
              <w:spacing w:after="0" w:line="148" w:lineRule="exact"/>
              <w:rPr>
                <w:sz w:val="20"/>
                <w:szCs w:val="20"/>
                <w:color w:val="auto"/>
              </w:rPr>
            </w:pPr>
            <w:r>
              <w:rPr>
                <w:rFonts w:ascii="Arial" w:cs="Arial" w:eastAsia="Arial" w:hAnsi="Arial"/>
                <w:sz w:val="14"/>
                <w:szCs w:val="14"/>
                <w:b w:val="1"/>
                <w:bCs w:val="1"/>
                <w:color w:val="auto"/>
              </w:rPr>
              <w:t>Passenger</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Cargo</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5"/>
              <w:spacing w:after="0" w:line="148"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Operating Revenues</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127,091</w:t>
            </w: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22,098</w:t>
            </w: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149,189</w:t>
            </w: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32,157</w:t>
            </w: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3,219</w:t>
            </w: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35,376</w:t>
            </w: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tcPr>
          <w:p>
            <w:pPr>
              <w:ind w:left="100"/>
              <w:spacing w:after="0" w:line="194" w:lineRule="exact"/>
              <w:rPr>
                <w:sz w:val="20"/>
                <w:szCs w:val="20"/>
                <w:color w:val="auto"/>
              </w:rPr>
            </w:pPr>
            <w:r>
              <w:rPr>
                <w:rFonts w:ascii="Arial" w:cs="Arial" w:eastAsia="Arial" w:hAnsi="Arial"/>
                <w:sz w:val="17"/>
                <w:szCs w:val="17"/>
                <w:color w:val="auto"/>
              </w:rPr>
              <w:t>Aircraft Fuel</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29,657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52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29,709</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677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677</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Salaries, Wages, and</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Benefits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32,157</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10,159</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42,316</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29,117</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3,367</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32,484</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tcPr>
          <w:p>
            <w:pPr>
              <w:ind w:left="100"/>
              <w:spacing w:after="0" w:line="194" w:lineRule="exact"/>
              <w:rPr>
                <w:sz w:val="20"/>
                <w:szCs w:val="20"/>
                <w:color w:val="auto"/>
              </w:rPr>
            </w:pPr>
            <w:r>
              <w:rPr>
                <w:rFonts w:ascii="Arial" w:cs="Arial" w:eastAsia="Arial" w:hAnsi="Arial"/>
                <w:sz w:val="17"/>
                <w:szCs w:val="17"/>
                <w:color w:val="auto"/>
              </w:rPr>
              <w:t>Aircraft Rent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3,815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3,815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5,934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5,934</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Maintenance</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8,638</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2,662</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11,300</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1,917</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509</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2,426</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tcPr>
          <w:p>
            <w:pPr>
              <w:ind w:left="100"/>
              <w:spacing w:after="0" w:line="194" w:lineRule="exact"/>
              <w:rPr>
                <w:sz w:val="20"/>
                <w:szCs w:val="20"/>
                <w:color w:val="auto"/>
              </w:rPr>
            </w:pPr>
            <w:r>
              <w:rPr>
                <w:rFonts w:ascii="Arial" w:cs="Arial" w:eastAsia="Arial" w:hAnsi="Arial"/>
                <w:sz w:val="17"/>
                <w:szCs w:val="17"/>
                <w:color w:val="auto"/>
              </w:rPr>
              <w:t>Sales and Marketing</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5,822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5,822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1,630</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1,630</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Depreciation and</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Amortization</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13,434</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13,460</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12,154</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12,175</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tcPr>
          <w:p>
            <w:pPr>
              <w:ind w:left="100"/>
              <w:spacing w:after="0" w:line="194" w:lineRule="exact"/>
              <w:rPr>
                <w:sz w:val="20"/>
                <w:szCs w:val="20"/>
                <w:color w:val="auto"/>
              </w:rPr>
            </w:pPr>
            <w:r>
              <w:rPr>
                <w:rFonts w:ascii="Arial" w:cs="Arial" w:eastAsia="Arial" w:hAnsi="Arial"/>
                <w:sz w:val="17"/>
                <w:szCs w:val="17"/>
                <w:color w:val="auto"/>
              </w:rPr>
              <w:t>Ground Handling</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6,551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6,551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1,614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1,614</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Landing Fees and Airport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Rent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8,624</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128</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8,752</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2,624</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43</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2,667</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tcPr>
          <w:p>
            <w:pPr>
              <w:ind w:left="100"/>
              <w:spacing w:after="0" w:line="194" w:lineRule="exact"/>
              <w:rPr>
                <w:sz w:val="20"/>
                <w:szCs w:val="20"/>
                <w:color w:val="auto"/>
              </w:rPr>
            </w:pPr>
            <w:r>
              <w:rPr>
                <w:rFonts w:ascii="Arial" w:cs="Arial" w:eastAsia="Arial" w:hAnsi="Arial"/>
                <w:sz w:val="17"/>
                <w:szCs w:val="17"/>
                <w:color w:val="auto"/>
              </w:rPr>
              <w:t>Special Items, net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(28,784)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(9,736)</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(38,520)</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(28,111)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(3,370)</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(31,481)</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Other Operating, net</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13,320</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3,426</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16,746</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8,517</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967</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9,484</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20" w:type="dxa"/>
            <w:vAlign w:val="bottom"/>
            <w:tcBorders>
              <w:bottom w:val="single" w:sz="8" w:color="CCEEFF"/>
            </w:tcBorders>
          </w:tcPr>
          <w:p>
            <w:pPr>
              <w:ind w:left="200"/>
              <w:spacing w:after="0" w:line="186" w:lineRule="exact"/>
              <w:rPr>
                <w:sz w:val="20"/>
                <w:szCs w:val="20"/>
                <w:color w:val="auto"/>
              </w:rPr>
            </w:pPr>
            <w:r>
              <w:rPr>
                <w:rFonts w:ascii="Arial" w:cs="Arial" w:eastAsia="Arial" w:hAnsi="Arial"/>
                <w:sz w:val="17"/>
                <w:szCs w:val="17"/>
                <w:color w:val="auto"/>
              </w:rPr>
              <w:t>Total Operating Expenses</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93,234</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6,717</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99,951</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36,073</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1,537</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37,610</w:t>
            </w:r>
          </w:p>
        </w:tc>
        <w:tc>
          <w:tcPr>
            <w:tcW w:w="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20" w:type="dxa"/>
            <w:vAlign w:val="bottom"/>
            <w:tcBorders>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Operating Income (Loss)</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33,857</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15,381</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49,238</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(3,916)</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1,682</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(2,234)</w:t>
            </w:r>
          </w:p>
        </w:tc>
        <w:tc>
          <w:tcPr>
            <w:tcW w:w="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Adjustment for Special Items</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(28,784)</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(9,736)</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(38,520)</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(28,111)</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(3,370)</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(31,481)</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2220" w:type="dxa"/>
            <w:vAlign w:val="bottom"/>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Operating Income (Loss),</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5,073</w:t>
            </w:r>
          </w:p>
        </w:tc>
        <w:tc>
          <w:tcPr>
            <w:tcW w:w="20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5,645</w:t>
            </w:r>
          </w:p>
        </w:tc>
        <w:tc>
          <w:tcPr>
            <w:tcW w:w="20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10,718</w:t>
            </w:r>
          </w:p>
        </w:tc>
        <w:tc>
          <w:tcPr>
            <w:tcW w:w="20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(32,027)</w:t>
            </w:r>
          </w:p>
        </w:tc>
        <w:tc>
          <w:tcPr>
            <w:tcW w:w="20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(1,688)</w:t>
            </w:r>
          </w:p>
        </w:tc>
        <w:tc>
          <w:tcPr>
            <w:tcW w:w="20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(33,715)</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Excluding Special Items</w:t>
            </w:r>
          </w:p>
        </w:tc>
        <w:tc>
          <w:tcPr>
            <w:tcW w:w="3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2220" w:type="dxa"/>
            <w:vAlign w:val="bottom"/>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Operating Margin %,</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4 %</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26 %</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7 %</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(100)%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(52)%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Excluding Special Items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 Air cargo operations with Amazon commenced in May 2020.</w:t>
      </w:r>
    </w:p>
    <w:p>
      <w:pPr>
        <w:spacing w:after="0" w:line="18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7"/>
          <w:szCs w:val="17"/>
          <w:i w:val="1"/>
          <w:iCs w:val="1"/>
          <w:color w:val="auto"/>
        </w:rPr>
        <w:t xml:space="preserve">Passenger. </w:t>
      </w:r>
      <w:r>
        <w:rPr>
          <w:rFonts w:ascii="Arial" w:cs="Arial" w:eastAsia="Arial" w:hAnsi="Arial"/>
          <w:sz w:val="17"/>
          <w:szCs w:val="17"/>
          <w:color w:val="auto"/>
        </w:rPr>
        <w:t>Passenger operating income increased by $37,773 to $33,857 for the three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from a loss of $3,916 for the three months ended June 30, 2020. For more information on the changes in the components of operating income for the passenger segment, refer to the consolidated results of operations discussion above.</w:t>
      </w:r>
    </w:p>
    <w:p>
      <w:pPr>
        <w:spacing w:after="0" w:line="172"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7"/>
          <w:szCs w:val="17"/>
          <w:i w:val="1"/>
          <w:iCs w:val="1"/>
          <w:color w:val="auto"/>
        </w:rPr>
        <w:t xml:space="preserve">Cargo. </w:t>
      </w:r>
      <w:r>
        <w:rPr>
          <w:rFonts w:ascii="Arial" w:cs="Arial" w:eastAsia="Arial" w:hAnsi="Arial"/>
          <w:sz w:val="17"/>
          <w:szCs w:val="17"/>
          <w:color w:val="auto"/>
        </w:rPr>
        <w:t>Cargo operating income was $15,381 for the three months ended June 30, 2021, as compared to $1,682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June 30, 2020. As air cargo operations commenced in May 2020, the cargo segment had limited comparable operations for the three months ended June 30, 2020. For more information on the components of operating income for the cargo segment, refer to the consolidated results of operations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7"/>
          <w:szCs w:val="17"/>
          <w:color w:val="auto"/>
        </w:rPr>
        <w:t>discussion above, where we more fully describe the cargo expenses embedded within each financial statement line item.</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For the Six Months Ended June 30, 2021 and 2020</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auto"/>
              </w:rPr>
              <w:t>Six Months Ended June 30, 2021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rPr>
              <w:t>Six Months Ended June 30, 2020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280"/>
              <w:spacing w:after="0" w:line="148" w:lineRule="exact"/>
              <w:rPr>
                <w:sz w:val="20"/>
                <w:szCs w:val="20"/>
                <w:color w:val="auto"/>
              </w:rPr>
            </w:pPr>
            <w:r>
              <w:rPr>
                <w:rFonts w:ascii="Arial" w:cs="Arial" w:eastAsia="Arial" w:hAnsi="Arial"/>
                <w:sz w:val="14"/>
                <w:szCs w:val="14"/>
                <w:b w:val="1"/>
                <w:bCs w:val="1"/>
                <w:color w:val="auto"/>
              </w:rPr>
              <w:t>Passenger</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Cargo</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5"/>
              <w:spacing w:after="0" w:line="148"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300"/>
              <w:spacing w:after="0" w:line="148" w:lineRule="exact"/>
              <w:rPr>
                <w:sz w:val="20"/>
                <w:szCs w:val="20"/>
                <w:color w:val="auto"/>
              </w:rPr>
            </w:pPr>
            <w:r>
              <w:rPr>
                <w:rFonts w:ascii="Arial" w:cs="Arial" w:eastAsia="Arial" w:hAnsi="Arial"/>
                <w:sz w:val="14"/>
                <w:szCs w:val="14"/>
                <w:b w:val="1"/>
                <w:bCs w:val="1"/>
                <w:color w:val="auto"/>
              </w:rPr>
              <w:t>Passenger</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Cargo</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5"/>
              <w:spacing w:after="0" w:line="148"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Operating Revenues</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233,118</w:t>
            </w: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43,684</w:t>
            </w: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276,802</w:t>
            </w: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212,487</w:t>
            </w: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3,219</w:t>
            </w: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215,706</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tcPr>
          <w:p>
            <w:pPr>
              <w:spacing w:after="0" w:line="194" w:lineRule="exact"/>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Aircraft Fuel</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53,912</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72</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53,984</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56,238</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56,238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tcPr>
          <w:p>
            <w:pPr>
              <w:ind w:left="100"/>
              <w:spacing w:after="0" w:line="193" w:lineRule="exact"/>
              <w:rPr>
                <w:sz w:val="20"/>
                <w:szCs w:val="20"/>
                <w:color w:val="auto"/>
              </w:rPr>
            </w:pPr>
            <w:r>
              <w:rPr>
                <w:rFonts w:ascii="Arial" w:cs="Arial" w:eastAsia="Arial" w:hAnsi="Arial"/>
                <w:sz w:val="17"/>
                <w:szCs w:val="17"/>
                <w:color w:val="auto"/>
              </w:rPr>
              <w:t>Salaries, Wages, and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tcPr>
          <w:p>
            <w:pPr>
              <w:ind w:left="100"/>
              <w:spacing w:after="0" w:line="194" w:lineRule="exact"/>
              <w:rPr>
                <w:sz w:val="20"/>
                <w:szCs w:val="20"/>
                <w:color w:val="auto"/>
              </w:rPr>
            </w:pPr>
            <w:r>
              <w:rPr>
                <w:rFonts w:ascii="Arial" w:cs="Arial" w:eastAsia="Arial" w:hAnsi="Arial"/>
                <w:sz w:val="17"/>
                <w:szCs w:val="17"/>
                <w:color w:val="auto"/>
              </w:rPr>
              <w:t>Benefits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64,997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21,395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86,392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67,208</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3,367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70,575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Aircraft Rent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9,414</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9,414</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16,966</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16,966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tcPr>
          <w:p>
            <w:pPr>
              <w:ind w:left="100"/>
              <w:spacing w:after="0" w:line="194" w:lineRule="exact"/>
              <w:rPr>
                <w:sz w:val="20"/>
                <w:szCs w:val="20"/>
                <w:color w:val="auto"/>
              </w:rPr>
            </w:pPr>
            <w:r>
              <w:rPr>
                <w:rFonts w:ascii="Arial" w:cs="Arial" w:eastAsia="Arial" w:hAnsi="Arial"/>
                <w:sz w:val="17"/>
                <w:szCs w:val="17"/>
                <w:color w:val="auto"/>
              </w:rPr>
              <w:t>Maintenance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15,242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5,268</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20,510</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8,395</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509</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8,904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Sales and Marketing</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10,932</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10,932</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10,202</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10,202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tcPr>
          <w:p>
            <w:pPr>
              <w:ind w:left="100"/>
              <w:spacing w:after="0" w:line="193" w:lineRule="exact"/>
              <w:rPr>
                <w:sz w:val="20"/>
                <w:szCs w:val="20"/>
                <w:color w:val="auto"/>
              </w:rPr>
            </w:pPr>
            <w:r>
              <w:rPr>
                <w:rFonts w:ascii="Arial" w:cs="Arial" w:eastAsia="Arial" w:hAnsi="Arial"/>
                <w:sz w:val="17"/>
                <w:szCs w:val="17"/>
                <w:color w:val="auto"/>
              </w:rPr>
              <w:t>Depreciation and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tcPr>
          <w:p>
            <w:pPr>
              <w:ind w:left="100"/>
              <w:spacing w:after="0" w:line="194" w:lineRule="exact"/>
              <w:rPr>
                <w:sz w:val="20"/>
                <w:szCs w:val="20"/>
                <w:color w:val="auto"/>
              </w:rPr>
            </w:pPr>
            <w:r>
              <w:rPr>
                <w:rFonts w:ascii="Arial" w:cs="Arial" w:eastAsia="Arial" w:hAnsi="Arial"/>
                <w:sz w:val="17"/>
                <w:szCs w:val="17"/>
                <w:color w:val="auto"/>
              </w:rPr>
              <w:t>Amortization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26,022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53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26,075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22,681</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21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22,702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Ground Handling</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11,781</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11,781</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10,906</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10,906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tcPr>
          <w:p>
            <w:pPr>
              <w:ind w:left="100"/>
              <w:spacing w:after="0" w:line="193" w:lineRule="exact"/>
              <w:rPr>
                <w:sz w:val="20"/>
                <w:szCs w:val="20"/>
                <w:color w:val="auto"/>
              </w:rPr>
            </w:pPr>
            <w:r>
              <w:rPr>
                <w:rFonts w:ascii="Arial" w:cs="Arial" w:eastAsia="Arial" w:hAnsi="Arial"/>
                <w:sz w:val="17"/>
                <w:szCs w:val="17"/>
                <w:color w:val="auto"/>
              </w:rPr>
              <w:t>Landing Fees and Airport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tcPr>
          <w:p>
            <w:pPr>
              <w:ind w:left="100"/>
              <w:spacing w:after="0" w:line="194" w:lineRule="exact"/>
              <w:rPr>
                <w:sz w:val="20"/>
                <w:szCs w:val="20"/>
                <w:color w:val="auto"/>
              </w:rPr>
            </w:pPr>
            <w:r>
              <w:rPr>
                <w:rFonts w:ascii="Arial" w:cs="Arial" w:eastAsia="Arial" w:hAnsi="Arial"/>
                <w:sz w:val="17"/>
                <w:szCs w:val="17"/>
                <w:color w:val="auto"/>
              </w:rPr>
              <w:t>Rent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17,279</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258</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17,537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13,738</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43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13,781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Special Items, net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(46,991)</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(18,401)</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(65,392)</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(28,111)</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(3,370)</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(31,481)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tcBorders>
              <w:bottom w:val="single" w:sz="8" w:color="CCEEFF"/>
            </w:tcBorders>
          </w:tcPr>
          <w:p>
            <w:pPr>
              <w:ind w:left="100"/>
              <w:spacing w:after="0" w:line="194" w:lineRule="exact"/>
              <w:rPr>
                <w:sz w:val="20"/>
                <w:szCs w:val="20"/>
                <w:color w:val="auto"/>
              </w:rPr>
            </w:pPr>
            <w:r>
              <w:rPr>
                <w:rFonts w:ascii="Arial" w:cs="Arial" w:eastAsia="Arial" w:hAnsi="Arial"/>
                <w:sz w:val="17"/>
                <w:szCs w:val="17"/>
                <w:color w:val="auto"/>
              </w:rPr>
              <w:t>Other Operating, net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23,899</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7,498</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31,397</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22,950</w:t>
            </w:r>
          </w:p>
        </w:tc>
        <w:tc>
          <w:tcPr>
            <w:tcW w:w="2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967</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23,917</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2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186,487</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16,143</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202,630</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201,173</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1,537</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202,710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240" w:type="dxa"/>
            <w:vAlign w:val="bottom"/>
            <w:gridSpan w:val="2"/>
          </w:tcPr>
          <w:p>
            <w:pPr>
              <w:spacing w:after="0" w:line="186" w:lineRule="exact"/>
              <w:rPr>
                <w:sz w:val="20"/>
                <w:szCs w:val="20"/>
                <w:color w:val="auto"/>
              </w:rPr>
            </w:pPr>
            <w:r>
              <w:rPr>
                <w:rFonts w:ascii="Arial" w:cs="Arial" w:eastAsia="Arial" w:hAnsi="Arial"/>
                <w:sz w:val="17"/>
                <w:szCs w:val="17"/>
                <w:color w:val="auto"/>
              </w:rPr>
              <w:t>Operating Income</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46,631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27,541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74,172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11,314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1,682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12,996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2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22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Adjustment for Special Items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(46,991)</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(18,401)</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(65,392)</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(28,111)</w:t>
            </w:r>
          </w:p>
        </w:tc>
        <w:tc>
          <w:tcPr>
            <w:tcW w:w="2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(3,370)</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(31,481)</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2220" w:type="dxa"/>
            <w:vAlign w:val="bottom"/>
          </w:tcPr>
          <w:p>
            <w:pPr>
              <w:spacing w:after="0" w:line="172" w:lineRule="exact"/>
              <w:rPr>
                <w:sz w:val="20"/>
                <w:szCs w:val="20"/>
                <w:color w:val="auto"/>
              </w:rPr>
            </w:pPr>
            <w:r>
              <w:rPr>
                <w:rFonts w:ascii="Arial" w:cs="Arial" w:eastAsia="Arial" w:hAnsi="Arial"/>
                <w:sz w:val="17"/>
                <w:szCs w:val="17"/>
                <w:b w:val="1"/>
                <w:bCs w:val="1"/>
                <w:color w:val="auto"/>
              </w:rPr>
              <w:t>Operating Income (Loss),</w:t>
            </w:r>
          </w:p>
        </w:tc>
        <w:tc>
          <w:tcPr>
            <w:tcW w:w="26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(360)</w:t>
            </w:r>
          </w:p>
        </w:tc>
        <w:tc>
          <w:tcPr>
            <w:tcW w:w="20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9,140</w:t>
            </w:r>
          </w:p>
        </w:tc>
        <w:tc>
          <w:tcPr>
            <w:tcW w:w="20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8,780</w:t>
            </w:r>
          </w:p>
        </w:tc>
        <w:tc>
          <w:tcPr>
            <w:tcW w:w="20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(16,797)</w:t>
            </w:r>
          </w:p>
        </w:tc>
        <w:tc>
          <w:tcPr>
            <w:tcW w:w="20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(1,688)</w:t>
            </w:r>
          </w:p>
        </w:tc>
        <w:tc>
          <w:tcPr>
            <w:tcW w:w="200" w:type="dxa"/>
            <w:vAlign w:val="bottom"/>
          </w:tcPr>
          <w:p>
            <w:pPr>
              <w:spacing w:after="0"/>
              <w:rPr>
                <w:sz w:val="15"/>
                <w:szCs w:val="15"/>
                <w:color w:val="auto"/>
              </w:rPr>
            </w:pPr>
          </w:p>
        </w:tc>
        <w:tc>
          <w:tcPr>
            <w:tcW w:w="220" w:type="dxa"/>
            <w:vAlign w:val="bottom"/>
            <w:gridSpan w:val="2"/>
            <w:vMerge w:val="restart"/>
          </w:tcPr>
          <w:p>
            <w:pPr>
              <w:jc w:val="right"/>
              <w:ind w:right="5"/>
              <w:spacing w:after="0"/>
              <w:rPr>
                <w:sz w:val="20"/>
                <w:szCs w:val="20"/>
                <w:color w:val="auto"/>
              </w:rPr>
            </w:pPr>
            <w:r>
              <w:rPr>
                <w:rFonts w:ascii="Arial" w:cs="Arial" w:eastAsia="Arial" w:hAnsi="Arial"/>
                <w:sz w:val="17"/>
                <w:szCs w:val="17"/>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(18,485)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240" w:type="dxa"/>
            <w:vAlign w:val="bottom"/>
            <w:gridSpan w:val="2"/>
          </w:tcPr>
          <w:p>
            <w:pPr>
              <w:spacing w:after="0"/>
              <w:rPr>
                <w:sz w:val="20"/>
                <w:szCs w:val="20"/>
                <w:color w:val="auto"/>
              </w:rPr>
            </w:pPr>
            <w:r>
              <w:rPr>
                <w:rFonts w:ascii="Arial" w:cs="Arial" w:eastAsia="Arial" w:hAnsi="Arial"/>
                <w:sz w:val="17"/>
                <w:szCs w:val="17"/>
                <w:b w:val="1"/>
                <w:bCs w:val="1"/>
                <w:color w:val="auto"/>
              </w:rPr>
              <w:t>Excluding Special Items</w:t>
            </w:r>
          </w:p>
        </w:tc>
        <w:tc>
          <w:tcPr>
            <w:tcW w:w="26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2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2220" w:type="dxa"/>
            <w:vAlign w:val="bottom"/>
          </w:tcPr>
          <w:p>
            <w:pPr>
              <w:spacing w:after="0" w:line="172" w:lineRule="exact"/>
              <w:rPr>
                <w:sz w:val="20"/>
                <w:szCs w:val="20"/>
                <w:color w:val="auto"/>
              </w:rPr>
            </w:pPr>
            <w:r>
              <w:rPr>
                <w:rFonts w:ascii="Arial" w:cs="Arial" w:eastAsia="Arial" w:hAnsi="Arial"/>
                <w:sz w:val="17"/>
                <w:szCs w:val="17"/>
                <w:b w:val="1"/>
                <w:bCs w:val="1"/>
                <w:color w:val="auto"/>
              </w:rPr>
              <w:t>Operating Margin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7"/>
                <w:szCs w:val="17"/>
                <w:b w:val="1"/>
                <w:bCs w:val="1"/>
                <w:color w:val="auto"/>
              </w:rPr>
              <w:t>0 %</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7"/>
                <w:szCs w:val="17"/>
                <w:b w:val="1"/>
                <w:bCs w:val="1"/>
                <w:color w:val="auto"/>
              </w:rPr>
              <w:t>21 %</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7"/>
                <w:szCs w:val="17"/>
                <w:b w:val="1"/>
                <w:bCs w:val="1"/>
                <w:color w:val="auto"/>
              </w:rPr>
              <w:t>3 %</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7"/>
                <w:szCs w:val="17"/>
                <w:b w:val="1"/>
                <w:bCs w:val="1"/>
                <w:color w:val="auto"/>
              </w:rPr>
              <w:t>(8)%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7"/>
                <w:szCs w:val="17"/>
                <w:b w:val="1"/>
                <w:bCs w:val="1"/>
                <w:color w:val="auto"/>
              </w:rPr>
              <w:t>(52)%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7"/>
                <w:szCs w:val="17"/>
                <w:b w:val="1"/>
                <w:bCs w:val="1"/>
                <w:color w:val="auto"/>
              </w:rPr>
              <w:t>(9)%</w:t>
            </w:r>
          </w:p>
        </w:tc>
        <w:tc>
          <w:tcPr>
            <w:tcW w:w="0" w:type="dxa"/>
            <w:vAlign w:val="bottom"/>
          </w:tcPr>
          <w:p>
            <w:pPr>
              <w:spacing w:after="0"/>
              <w:rPr>
                <w:sz w:val="1"/>
                <w:szCs w:val="1"/>
                <w:color w:val="auto"/>
              </w:rPr>
            </w:pPr>
          </w:p>
        </w:tc>
      </w:tr>
      <w:tr>
        <w:trPr>
          <w:trHeight w:val="201"/>
        </w:trPr>
        <w:tc>
          <w:tcPr>
            <w:tcW w:w="2240" w:type="dxa"/>
            <w:vAlign w:val="bottom"/>
            <w:gridSpan w:val="2"/>
          </w:tcPr>
          <w:p>
            <w:pPr>
              <w:spacing w:after="0"/>
              <w:rPr>
                <w:sz w:val="20"/>
                <w:szCs w:val="20"/>
                <w:color w:val="auto"/>
              </w:rPr>
            </w:pPr>
            <w:r>
              <w:rPr>
                <w:rFonts w:ascii="Arial" w:cs="Arial" w:eastAsia="Arial" w:hAnsi="Arial"/>
                <w:sz w:val="17"/>
                <w:szCs w:val="17"/>
                <w:b w:val="1"/>
                <w:bCs w:val="1"/>
                <w:color w:val="auto"/>
              </w:rPr>
              <w:t>Excluding Special Items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 Air cargo operations with Amazon commenced in May 2020.</w:t>
      </w:r>
    </w:p>
    <w:p>
      <w:pPr>
        <w:spacing w:after="0" w:line="18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7"/>
          <w:szCs w:val="17"/>
          <w:i w:val="1"/>
          <w:iCs w:val="1"/>
          <w:color w:val="auto"/>
        </w:rPr>
        <w:t xml:space="preserve">Passenger. </w:t>
      </w:r>
      <w:r>
        <w:rPr>
          <w:rFonts w:ascii="Arial" w:cs="Arial" w:eastAsia="Arial" w:hAnsi="Arial"/>
          <w:sz w:val="17"/>
          <w:szCs w:val="17"/>
          <w:color w:val="auto"/>
        </w:rPr>
        <w:t>Passenger operating income increased by $35,317, or 312%, to $46,631 for the six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2021 from $11,314 for the six months ended June 30, 2020. For more information on the changes in the components of operating income for the passenger segment, refer to the consolidated results of operations discussion above.</w:t>
      </w:r>
    </w:p>
    <w:p>
      <w:pPr>
        <w:spacing w:after="0" w:line="172"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7"/>
          <w:szCs w:val="17"/>
          <w:i w:val="1"/>
          <w:iCs w:val="1"/>
          <w:color w:val="auto"/>
        </w:rPr>
        <w:t xml:space="preserve">Cargo. </w:t>
      </w:r>
      <w:r>
        <w:rPr>
          <w:rFonts w:ascii="Arial" w:cs="Arial" w:eastAsia="Arial" w:hAnsi="Arial"/>
          <w:sz w:val="17"/>
          <w:szCs w:val="17"/>
          <w:color w:val="auto"/>
        </w:rPr>
        <w:t>Cargo operating income was $27,541 for the six months ended June 30, 2021, as compared to $1,682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2020. As air cargo operations commenced in May 2020, the cargo segment had limited comparable operations for the six months ended June 30, 2020. For more information on the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7"/>
          <w:szCs w:val="17"/>
          <w:color w:val="auto"/>
        </w:rPr>
        <w:t>components of operating income for the cargo segment, refer to the consolidated results of operations discussion above, where we more fully describe the cargo expenses embedded within each financial statement line item.</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Non-GAAP Financial Measures</w:t>
      </w:r>
    </w:p>
    <w:p>
      <w:pPr>
        <w:spacing w:after="0" w:line="224" w:lineRule="exact"/>
        <w:rPr>
          <w:sz w:val="20"/>
          <w:szCs w:val="20"/>
          <w:color w:val="auto"/>
        </w:rPr>
      </w:pPr>
    </w:p>
    <w:p>
      <w:pPr>
        <w:jc w:val="both"/>
        <w:ind w:left="40" w:right="59"/>
        <w:spacing w:after="0"/>
        <w:rPr>
          <w:sz w:val="20"/>
          <w:szCs w:val="20"/>
          <w:color w:val="auto"/>
        </w:rPr>
      </w:pPr>
      <w:r>
        <w:rPr>
          <w:rFonts w:ascii="Arial" w:cs="Arial" w:eastAsia="Arial" w:hAnsi="Arial"/>
          <w:sz w:val="17"/>
          <w:szCs w:val="17"/>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 -GAAP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Adjusted Operating Income, Adjusted Operating Income Margin and Adjusted Net Income</w:t>
      </w:r>
    </w:p>
    <w:p>
      <w:pPr>
        <w:spacing w:after="0" w:line="224" w:lineRule="exact"/>
        <w:rPr>
          <w:sz w:val="20"/>
          <w:szCs w:val="20"/>
          <w:color w:val="auto"/>
        </w:rPr>
      </w:pPr>
    </w:p>
    <w:p>
      <w:pPr>
        <w:jc w:val="both"/>
        <w:ind w:left="40" w:right="59"/>
        <w:spacing w:after="0"/>
        <w:rPr>
          <w:sz w:val="20"/>
          <w:szCs w:val="20"/>
          <w:color w:val="auto"/>
        </w:rPr>
      </w:pPr>
      <w:r>
        <w:rPr>
          <w:rFonts w:ascii="Arial" w:cs="Arial" w:eastAsia="Arial" w:hAnsi="Arial"/>
          <w:sz w:val="17"/>
          <w:szCs w:val="17"/>
          <w:color w:val="auto"/>
        </w:rPr>
        <w:t>Adjusted Operating Income, Adjusted Operating Income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96"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Adjusted Operating Income, Adjusted Operating Income Margin and Adjusted Net Income have limitations as analytical tools. Some of the limitations applicable to these measures include: Adjusted Operating Income, Adjusted Operating Income Margin and Adjusted Net Income do not reflect the impact of certain cash charges resulting from matters we consider not to be indicative of our ongoing operations; and other companies in our industry may calculate Adjusted Operating Income, Adjusted Operating Income Margin and Adjusted Net Income differently than we do, limiting each measure’s usefulness as a comparative measure. Because of these limitations, Adjusted Operating Income, Adjusted Operating Income Margin and Adjusted Net Income should not be considered in isolation or as a substitute for performance measures calculated in accordance with GAAP.</w:t>
      </w:r>
    </w:p>
    <w:p>
      <w:pPr>
        <w:spacing w:after="0" w:line="196"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As a derivation of Adjusted Operating Income Margin, Adjusted Net Income is not determined in accordance with GAAP, such measure is susceptible to varying calculations and not all companies calculate the measure in the same manner. As a result, derivations of net income, including Adjusted Operating Income Margin and Adjusted Net Income, as presented may not be directly comparable to similarly titled measures presented by other companies. For the foregoing reasons, Adjusted Operating Income Margin and Adjusted Net Income have significant limitations which affect its use as an indicator of our profitability and valuation. Accordingly, you are cautioned not to place undue reliance on this information.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 w:right="59"/>
        <w:spacing w:after="0" w:line="249" w:lineRule="auto"/>
        <w:rPr>
          <w:sz w:val="20"/>
          <w:szCs w:val="20"/>
          <w:color w:val="auto"/>
        </w:rPr>
      </w:pPr>
      <w:r>
        <w:rPr>
          <w:rFonts w:ascii="Arial" w:cs="Arial" w:eastAsia="Arial" w:hAnsi="Arial"/>
          <w:sz w:val="17"/>
          <w:szCs w:val="17"/>
          <w:color w:val="auto"/>
        </w:rPr>
        <w:t>The following table presents the reconciliation of Operating Income (Loss) to Adjusted Operating Income (Loss), Adjusted Operating Income Margin (Loss) for the periods presented below.</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0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0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6"/>
              <w:spacing w:after="0" w:line="148"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6"/>
              <w:spacing w:after="0" w:line="148"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7"/>
              <w:spacing w:after="0" w:line="148"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8"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00" w:type="dxa"/>
            <w:vAlign w:val="bottom"/>
            <w:shd w:val="clear" w:color="auto" w:fill="CCEEFF"/>
          </w:tcPr>
          <w:p>
            <w:pPr>
              <w:spacing w:after="0" w:line="153" w:lineRule="exact"/>
              <w:rPr>
                <w:sz w:val="20"/>
                <w:szCs w:val="20"/>
                <w:color w:val="auto"/>
              </w:rPr>
            </w:pPr>
            <w:r>
              <w:rPr>
                <w:rFonts w:ascii="Arial" w:cs="Arial" w:eastAsia="Arial" w:hAnsi="Arial"/>
                <w:sz w:val="17"/>
                <w:szCs w:val="17"/>
                <w:b w:val="1"/>
                <w:bCs w:val="1"/>
                <w:color w:val="auto"/>
              </w:rPr>
              <w:t>Adjusted Operating Income Margin (Loss)</w:t>
            </w: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reconciliation:</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00" w:type="dxa"/>
            <w:vAlign w:val="bottom"/>
          </w:tcPr>
          <w:p>
            <w:pPr>
              <w:spacing w:after="0" w:line="194" w:lineRule="exact"/>
              <w:rPr>
                <w:sz w:val="20"/>
                <w:szCs w:val="20"/>
                <w:color w:val="auto"/>
              </w:rPr>
            </w:pPr>
            <w:r>
              <w:rPr>
                <w:rFonts w:ascii="Arial" w:cs="Arial" w:eastAsia="Arial" w:hAnsi="Arial"/>
                <w:sz w:val="17"/>
                <w:szCs w:val="17"/>
                <w:color w:val="auto"/>
              </w:rPr>
              <w:t>Operating Revenue</w:t>
            </w:r>
          </w:p>
        </w:tc>
        <w:tc>
          <w:tcPr>
            <w:tcW w:w="700" w:type="dxa"/>
            <w:vAlign w:val="bottom"/>
            <w:gridSpan w:val="2"/>
          </w:tcPr>
          <w:p>
            <w:pPr>
              <w:jc w:val="right"/>
              <w:ind w:right="28"/>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149,189</w:t>
            </w:r>
          </w:p>
        </w:tc>
        <w:tc>
          <w:tcPr>
            <w:tcW w:w="200" w:type="dxa"/>
            <w:vAlign w:val="bottom"/>
          </w:tcPr>
          <w:p>
            <w:pPr>
              <w:spacing w:after="0"/>
              <w:rPr>
                <w:sz w:val="16"/>
                <w:szCs w:val="16"/>
                <w:color w:val="auto"/>
              </w:rPr>
            </w:pPr>
          </w:p>
        </w:tc>
        <w:tc>
          <w:tcPr>
            <w:tcW w:w="260" w:type="dxa"/>
            <w:vAlign w:val="bottom"/>
            <w:gridSpan w:val="2"/>
          </w:tcPr>
          <w:p>
            <w:pPr>
              <w:jc w:val="right"/>
              <w:ind w:right="45"/>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35,376</w:t>
            </w:r>
          </w:p>
        </w:tc>
        <w:tc>
          <w:tcPr>
            <w:tcW w:w="14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276,802</w:t>
            </w:r>
          </w:p>
        </w:tc>
        <w:tc>
          <w:tcPr>
            <w:tcW w:w="200" w:type="dxa"/>
            <w:vAlign w:val="bottom"/>
          </w:tcPr>
          <w:p>
            <w:pPr>
              <w:spacing w:after="0"/>
              <w:rPr>
                <w:sz w:val="16"/>
                <w:szCs w:val="16"/>
                <w:color w:val="auto"/>
              </w:rPr>
            </w:pPr>
          </w:p>
        </w:tc>
        <w:tc>
          <w:tcPr>
            <w:tcW w:w="220" w:type="dxa"/>
            <w:vAlign w:val="bottom"/>
            <w:gridSpan w:val="2"/>
          </w:tcPr>
          <w:p>
            <w:pPr>
              <w:jc w:val="right"/>
              <w:ind w:right="5"/>
              <w:spacing w:after="0" w:line="194"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215,706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Operating Income (Loss)</w:t>
            </w: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49,238</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(2,234)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74,172</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12,996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00" w:type="dxa"/>
            <w:vAlign w:val="bottom"/>
            <w:shd w:val="clear" w:color="auto" w:fill="CCEEFF"/>
          </w:tcPr>
          <w:p>
            <w:pPr>
              <w:ind w:left="100"/>
              <w:spacing w:after="0" w:line="193" w:lineRule="exact"/>
              <w:rPr>
                <w:sz w:val="20"/>
                <w:szCs w:val="20"/>
                <w:color w:val="auto"/>
              </w:rPr>
            </w:pPr>
            <w:r>
              <w:rPr>
                <w:rFonts w:ascii="Arial" w:cs="Arial" w:eastAsia="Arial" w:hAnsi="Arial"/>
                <w:sz w:val="15"/>
                <w:szCs w:val="15"/>
                <w:color w:val="auto"/>
              </w:rPr>
              <w:t xml:space="preserve">Special Items, net </w:t>
            </w:r>
            <w:r>
              <w:rPr>
                <w:rFonts w:ascii="Arial" w:cs="Arial" w:eastAsia="Arial" w:hAnsi="Arial"/>
                <w:sz w:val="22"/>
                <w:szCs w:val="22"/>
                <w:color w:val="auto"/>
                <w:vertAlign w:val="superscript"/>
              </w:rPr>
              <w:t>(a)</w:t>
            </w: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(38,520)</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(31,481)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(65,392)</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(31,481)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00" w:type="dxa"/>
            <w:vAlign w:val="bottom"/>
          </w:tcPr>
          <w:p>
            <w:pPr>
              <w:ind w:left="100"/>
              <w:spacing w:after="0" w:line="194" w:lineRule="exact"/>
              <w:rPr>
                <w:sz w:val="20"/>
                <w:szCs w:val="20"/>
                <w:color w:val="auto"/>
              </w:rPr>
            </w:pPr>
            <w:r>
              <w:rPr>
                <w:rFonts w:ascii="Arial" w:cs="Arial" w:eastAsia="Arial" w:hAnsi="Arial"/>
                <w:sz w:val="17"/>
                <w:szCs w:val="17"/>
                <w:color w:val="auto"/>
              </w:rPr>
              <w:t>Stock compensation expense</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744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388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3,613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757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00" w:type="dxa"/>
            <w:vAlign w:val="bottom"/>
            <w:shd w:val="clear" w:color="auto" w:fill="CCEEFF"/>
          </w:tcPr>
          <w:p>
            <w:pPr>
              <w:ind w:left="100"/>
              <w:spacing w:after="0" w:line="193" w:lineRule="exact"/>
              <w:rPr>
                <w:sz w:val="20"/>
                <w:szCs w:val="20"/>
                <w:color w:val="auto"/>
              </w:rPr>
            </w:pPr>
            <w:r>
              <w:rPr>
                <w:rFonts w:ascii="Arial" w:cs="Arial" w:eastAsia="Arial" w:hAnsi="Arial"/>
                <w:sz w:val="15"/>
                <w:szCs w:val="15"/>
                <w:color w:val="auto"/>
              </w:rPr>
              <w:t xml:space="preserve">Voluntary leave expense </w:t>
            </w:r>
            <w:r>
              <w:rPr>
                <w:rFonts w:ascii="Arial" w:cs="Arial" w:eastAsia="Arial" w:hAnsi="Arial"/>
                <w:sz w:val="22"/>
                <w:szCs w:val="22"/>
                <w:color w:val="auto"/>
                <w:vertAlign w:val="superscript"/>
              </w:rPr>
              <w:t>(b)</w:t>
            </w: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2,541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2,541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00" w:type="dxa"/>
            <w:vAlign w:val="bottom"/>
          </w:tcPr>
          <w:p>
            <w:pPr>
              <w:ind w:left="100"/>
              <w:spacing w:after="0" w:line="193" w:lineRule="exact"/>
              <w:rPr>
                <w:sz w:val="20"/>
                <w:szCs w:val="20"/>
                <w:color w:val="auto"/>
              </w:rPr>
            </w:pPr>
            <w:r>
              <w:rPr>
                <w:rFonts w:ascii="Arial" w:cs="Arial" w:eastAsia="Arial" w:hAnsi="Arial"/>
                <w:sz w:val="15"/>
                <w:szCs w:val="15"/>
                <w:color w:val="auto"/>
              </w:rPr>
              <w:t xml:space="preserve">TRA establishment expense </w:t>
            </w:r>
            <w:r>
              <w:rPr>
                <w:rFonts w:ascii="Arial" w:cs="Arial" w:eastAsia="Arial" w:hAnsi="Arial"/>
                <w:sz w:val="22"/>
                <w:szCs w:val="22"/>
                <w:color w:val="auto"/>
                <w:vertAlign w:val="superscript"/>
              </w:rPr>
              <w:t>(c )</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51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315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00" w:type="dxa"/>
            <w:vAlign w:val="bottom"/>
            <w:tcBorders>
              <w:top w:val="single" w:sz="8" w:color="CCEEFF"/>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Adjusted Operating Income (Loss)</w:t>
            </w: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b w:val="1"/>
                <w:bCs w:val="1"/>
                <w:color w:val="auto"/>
              </w:rPr>
              <w:t>11,513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b w:val="1"/>
                <w:bCs w:val="1"/>
                <w:color w:val="auto"/>
              </w:rPr>
              <w:t>(30,786)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b w:val="1"/>
                <w:bCs w:val="1"/>
                <w:color w:val="auto"/>
                <w:w w:val="84"/>
              </w:rPr>
              <w:t>$</w:t>
            </w:r>
          </w:p>
        </w:tc>
        <w:tc>
          <w:tcPr>
            <w:tcW w:w="7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b w:val="1"/>
                <w:bCs w:val="1"/>
                <w:color w:val="auto"/>
              </w:rPr>
              <w:t>12,708</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b w:val="1"/>
                <w:bCs w:val="1"/>
                <w:color w:val="auto"/>
              </w:rPr>
              <w:t>(15,187)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restart"/>
          </w:tcPr>
          <w:p>
            <w:pPr>
              <w:spacing w:after="0"/>
              <w:rPr>
                <w:sz w:val="14"/>
                <w:szCs w:val="14"/>
                <w:color w:val="auto"/>
              </w:rPr>
            </w:pPr>
          </w:p>
        </w:tc>
        <w:tc>
          <w:tcPr>
            <w:tcW w:w="3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Operating Income Margin (Loss)</w:t>
            </w: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33.0 %</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26.8 %</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6.0 %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7"/>
                <w:szCs w:val="17"/>
                <w:b w:val="1"/>
                <w:bCs w:val="1"/>
                <w:color w:val="auto"/>
              </w:rPr>
              <w:t>Adjusted Operating Income Margin (Loss)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7.7 %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rPr>
              <w:t>(87.0)%</w:t>
            </w: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4.6 %</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b w:val="1"/>
                <w:bCs w:val="1"/>
                <w:color w:val="auto"/>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45085</wp:posOffset>
            </wp:positionV>
            <wp:extent cx="141605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16050" cy="16510"/>
                    </a:xfrm>
                    <a:prstGeom prst="rect">
                      <a:avLst/>
                    </a:prstGeom>
                    <a:noFill/>
                  </pic:spPr>
                </pic:pic>
              </a:graphicData>
            </a:graphic>
          </wp:anchor>
        </w:drawing>
      </w:r>
    </w:p>
    <w:p>
      <w:pPr>
        <w:spacing w:after="0" w:line="153" w:lineRule="exact"/>
        <w:rPr>
          <w:sz w:val="20"/>
          <w:szCs w:val="20"/>
          <w:color w:val="auto"/>
        </w:rPr>
      </w:pPr>
    </w:p>
    <w:p>
      <w:pPr>
        <w:ind w:left="360" w:right="79" w:hanging="313"/>
        <w:spacing w:after="0" w:line="249" w:lineRule="auto"/>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adjustments include Special Items, net, as presented in Note 11 of the Company’s Condensed Consolidated Financial Statements.</w:t>
      </w:r>
    </w:p>
    <w:p>
      <w:pPr>
        <w:spacing w:after="0" w:line="187" w:lineRule="exact"/>
        <w:rPr>
          <w:rFonts w:ascii="Arial" w:cs="Arial" w:eastAsia="Arial" w:hAnsi="Arial"/>
          <w:sz w:val="17"/>
          <w:szCs w:val="17"/>
          <w:color w:val="auto"/>
        </w:rPr>
      </w:pPr>
    </w:p>
    <w:p>
      <w:pPr>
        <w:jc w:val="both"/>
        <w:ind w:left="360" w:right="59" w:hanging="313"/>
        <w:spacing w:after="0" w:line="243" w:lineRule="auto"/>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92" w:lineRule="exact"/>
        <w:rPr>
          <w:rFonts w:ascii="Arial" w:cs="Arial" w:eastAsia="Arial" w:hAnsi="Arial"/>
          <w:sz w:val="17"/>
          <w:szCs w:val="17"/>
          <w:color w:val="auto"/>
        </w:rPr>
      </w:pPr>
    </w:p>
    <w:p>
      <w:pPr>
        <w:ind w:left="360" w:right="59" w:hanging="313"/>
        <w:spacing w:after="0" w:line="249" w:lineRule="auto"/>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represents the one-time costs to establish the Tax Receivable Agreement (“TRA”) with our pre-IPO stockholders. See Note 10 of the Company’s Condensed Consolidated Financial Statements.</w:t>
      </w: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ind w:left="4400" w:hanging="96"/>
        <w:spacing w:after="0"/>
        <w:tabs>
          <w:tab w:leader="none" w:pos="44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 w:right="59"/>
        <w:spacing w:after="0" w:line="249" w:lineRule="auto"/>
        <w:rPr>
          <w:sz w:val="20"/>
          <w:szCs w:val="20"/>
          <w:color w:val="auto"/>
        </w:rPr>
      </w:pPr>
      <w:r>
        <w:rPr>
          <w:rFonts w:ascii="Arial" w:cs="Arial" w:eastAsia="Arial" w:hAnsi="Arial"/>
          <w:sz w:val="17"/>
          <w:szCs w:val="17"/>
          <w:color w:val="auto"/>
        </w:rPr>
        <w:t>The following table presents the reconciliation of Net Income (Loss) to Adjusted Net Income (Loss) for the periods presented below.</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4"/>
                <w:szCs w:val="14"/>
                <w:b w:val="1"/>
                <w:bCs w:val="1"/>
                <w:color w:val="auto"/>
                <w:w w:val="99"/>
              </w:rPr>
              <w:t>Three Months Ended June 30,</w:t>
            </w:r>
          </w:p>
        </w:tc>
        <w:tc>
          <w:tcPr>
            <w:tcW w:w="160" w:type="dxa"/>
            <w:vAlign w:val="bottom"/>
          </w:tcPr>
          <w:p>
            <w:pPr>
              <w:spacing w:after="0"/>
              <w:rPr>
                <w:sz w:val="14"/>
                <w:szCs w:val="14"/>
                <w:color w:val="auto"/>
              </w:rPr>
            </w:pPr>
          </w:p>
        </w:tc>
        <w:tc>
          <w:tcPr>
            <w:tcW w:w="1920" w:type="dxa"/>
            <w:vAlign w:val="bottom"/>
            <w:tcBorders>
              <w:bottom w:val="single" w:sz="8" w:color="auto"/>
            </w:tcBorders>
            <w:gridSpan w:val="6"/>
          </w:tcPr>
          <w:p>
            <w:pPr>
              <w:jc w:val="right"/>
              <w:ind w:right="15"/>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8"/>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8"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line="148"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8"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8" w:lineRule="exact"/>
              <w:rPr>
                <w:sz w:val="20"/>
                <w:szCs w:val="20"/>
                <w:color w:val="auto"/>
              </w:rPr>
            </w:pPr>
            <w:r>
              <w:rPr>
                <w:rFonts w:ascii="Arial" w:cs="Arial" w:eastAsia="Arial" w:hAnsi="Arial"/>
                <w:sz w:val="14"/>
                <w:szCs w:val="14"/>
                <w:b w:val="1"/>
                <w:bCs w:val="1"/>
                <w:color w:val="auto"/>
              </w:rPr>
              <w:t>2020</w:t>
            </w:r>
          </w:p>
        </w:tc>
      </w:tr>
      <w:tr>
        <w:trPr>
          <w:trHeight w:val="186"/>
        </w:trPr>
        <w:tc>
          <w:tcPr>
            <w:tcW w:w="20" w:type="dxa"/>
            <w:vAlign w:val="bottom"/>
          </w:tcPr>
          <w:p>
            <w:pPr>
              <w:spacing w:after="0"/>
              <w:rPr>
                <w:sz w:val="16"/>
                <w:szCs w:val="16"/>
                <w:color w:val="auto"/>
              </w:rPr>
            </w:pPr>
          </w:p>
        </w:tc>
        <w:tc>
          <w:tcPr>
            <w:tcW w:w="410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Adjusted Net Income (Loss) reconciliation:</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100" w:type="dxa"/>
            <w:vAlign w:val="bottom"/>
            <w:gridSpan w:val="2"/>
          </w:tcPr>
          <w:p>
            <w:pPr>
              <w:spacing w:after="0" w:line="194" w:lineRule="exact"/>
              <w:rPr>
                <w:sz w:val="20"/>
                <w:szCs w:val="20"/>
                <w:color w:val="auto"/>
              </w:rPr>
            </w:pPr>
            <w:r>
              <w:rPr>
                <w:rFonts w:ascii="Arial" w:cs="Arial" w:eastAsia="Arial" w:hAnsi="Arial"/>
                <w:sz w:val="17"/>
                <w:szCs w:val="17"/>
                <w:color w:val="auto"/>
              </w:rPr>
              <w:t>Net Income (Loss)</w:t>
            </w:r>
          </w:p>
        </w:tc>
        <w:tc>
          <w:tcPr>
            <w:tcW w:w="820" w:type="dxa"/>
            <w:vAlign w:val="bottom"/>
            <w:gridSpan w:val="2"/>
          </w:tcPr>
          <w:p>
            <w:pPr>
              <w:jc w:val="right"/>
              <w:ind w:right="23"/>
              <w:spacing w:after="0" w:line="194"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51,753</w:t>
            </w:r>
          </w:p>
        </w:tc>
        <w:tc>
          <w:tcPr>
            <w:tcW w:w="40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(6,040)</w:t>
            </w:r>
          </w:p>
        </w:tc>
        <w:tc>
          <w:tcPr>
            <w:tcW w:w="320" w:type="dxa"/>
            <w:vAlign w:val="bottom"/>
            <w:gridSpan w:val="2"/>
          </w:tcPr>
          <w:p>
            <w:pPr>
              <w:jc w:val="right"/>
              <w:ind w:right="8"/>
              <w:spacing w:after="0" w:line="194" w:lineRule="exact"/>
              <w:rPr>
                <w:sz w:val="20"/>
                <w:szCs w:val="20"/>
                <w:color w:val="auto"/>
              </w:rPr>
            </w:pPr>
            <w:r>
              <w:rPr>
                <w:rFonts w:ascii="Arial" w:cs="Arial" w:eastAsia="Arial" w:hAnsi="Arial"/>
                <w:sz w:val="17"/>
                <w:szCs w:val="17"/>
                <w:color w:val="auto"/>
              </w:rPr>
              <w:t>$</w:t>
            </w: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64,169</w:t>
            </w:r>
          </w:p>
        </w:tc>
        <w:tc>
          <w:tcPr>
            <w:tcW w:w="180" w:type="dxa"/>
            <w:vAlign w:val="bottom"/>
          </w:tcPr>
          <w:p>
            <w:pPr>
              <w:spacing w:after="0"/>
              <w:rPr>
                <w:sz w:val="16"/>
                <w:szCs w:val="16"/>
                <w:color w:val="auto"/>
              </w:rPr>
            </w:pPr>
          </w:p>
        </w:tc>
        <w:tc>
          <w:tcPr>
            <w:tcW w:w="160" w:type="dxa"/>
            <w:vAlign w:val="bottom"/>
            <w:gridSpan w:val="2"/>
          </w:tcPr>
          <w:p>
            <w:pPr>
              <w:jc w:val="right"/>
              <w:spacing w:after="0" w:line="194" w:lineRule="exact"/>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1,211</w:t>
            </w:r>
          </w:p>
        </w:tc>
      </w:tr>
      <w:tr>
        <w:trPr>
          <w:trHeight w:val="193"/>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100" w:type="dxa"/>
            <w:vAlign w:val="bottom"/>
            <w:gridSpan w:val="2"/>
          </w:tcPr>
          <w:p>
            <w:pPr>
              <w:ind w:left="200"/>
              <w:spacing w:after="0" w:line="193" w:lineRule="exact"/>
              <w:rPr>
                <w:sz w:val="20"/>
                <w:szCs w:val="20"/>
                <w:color w:val="auto"/>
              </w:rPr>
            </w:pPr>
            <w:r>
              <w:rPr>
                <w:rFonts w:ascii="Arial" w:cs="Arial" w:eastAsia="Arial" w:hAnsi="Arial"/>
                <w:sz w:val="15"/>
                <w:szCs w:val="15"/>
                <w:color w:val="auto"/>
              </w:rPr>
              <w:t xml:space="preserve">Special Items, net </w:t>
            </w:r>
            <w:r>
              <w:rPr>
                <w:rFonts w:ascii="Arial" w:cs="Arial" w:eastAsia="Arial" w:hAnsi="Arial"/>
                <w:sz w:val="22"/>
                <w:szCs w:val="22"/>
                <w:color w:val="auto"/>
                <w:vertAlign w:val="superscript"/>
              </w:rPr>
              <w:t>(a)</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(38,520)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(31,481)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(65,392)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(31,481)</w:t>
            </w:r>
          </w:p>
        </w:tc>
      </w:tr>
      <w:tr>
        <w:trPr>
          <w:trHeight w:val="193"/>
        </w:trPr>
        <w:tc>
          <w:tcPr>
            <w:tcW w:w="20" w:type="dxa"/>
            <w:vAlign w:val="bottom"/>
          </w:tcPr>
          <w:p>
            <w:pPr>
              <w:spacing w:after="0"/>
              <w:rPr>
                <w:sz w:val="16"/>
                <w:szCs w:val="16"/>
                <w:color w:val="auto"/>
              </w:rPr>
            </w:pPr>
          </w:p>
        </w:tc>
        <w:tc>
          <w:tcPr>
            <w:tcW w:w="410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Stock compensation expense</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744</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388</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3,613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757</w:t>
            </w:r>
          </w:p>
        </w:tc>
      </w:tr>
      <w:tr>
        <w:trPr>
          <w:trHeight w:val="193"/>
        </w:trPr>
        <w:tc>
          <w:tcPr>
            <w:tcW w:w="20" w:type="dxa"/>
            <w:vAlign w:val="bottom"/>
          </w:tcPr>
          <w:p>
            <w:pPr>
              <w:spacing w:after="0"/>
              <w:rPr>
                <w:sz w:val="16"/>
                <w:szCs w:val="16"/>
                <w:color w:val="auto"/>
              </w:rPr>
            </w:pPr>
          </w:p>
        </w:tc>
        <w:tc>
          <w:tcPr>
            <w:tcW w:w="4100" w:type="dxa"/>
            <w:vAlign w:val="bottom"/>
            <w:gridSpan w:val="2"/>
          </w:tcPr>
          <w:p>
            <w:pPr>
              <w:ind w:left="200"/>
              <w:spacing w:after="0" w:line="193" w:lineRule="exact"/>
              <w:rPr>
                <w:sz w:val="20"/>
                <w:szCs w:val="20"/>
                <w:color w:val="auto"/>
              </w:rPr>
            </w:pPr>
            <w:r>
              <w:rPr>
                <w:rFonts w:ascii="Arial" w:cs="Arial" w:eastAsia="Arial" w:hAnsi="Arial"/>
                <w:sz w:val="15"/>
                <w:szCs w:val="15"/>
                <w:color w:val="auto"/>
              </w:rPr>
              <w:t xml:space="preserve">Voluntary leave expense </w:t>
            </w:r>
            <w:r>
              <w:rPr>
                <w:rFonts w:ascii="Arial" w:cs="Arial" w:eastAsia="Arial" w:hAnsi="Arial"/>
                <w:sz w:val="22"/>
                <w:szCs w:val="22"/>
                <w:color w:val="auto"/>
                <w:vertAlign w:val="superscript"/>
              </w:rPr>
              <w:t>(b)</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2,541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2,541</w:t>
            </w:r>
          </w:p>
        </w:tc>
      </w:tr>
      <w:tr>
        <w:trPr>
          <w:trHeight w:val="193"/>
        </w:trPr>
        <w:tc>
          <w:tcPr>
            <w:tcW w:w="20" w:type="dxa"/>
            <w:vAlign w:val="bottom"/>
          </w:tcPr>
          <w:p>
            <w:pPr>
              <w:spacing w:after="0"/>
              <w:rPr>
                <w:sz w:val="16"/>
                <w:szCs w:val="16"/>
                <w:color w:val="auto"/>
              </w:rPr>
            </w:pPr>
          </w:p>
        </w:tc>
        <w:tc>
          <w:tcPr>
            <w:tcW w:w="410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Loss on asset transactions, net</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309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381</w:t>
            </w:r>
          </w:p>
        </w:tc>
      </w:tr>
      <w:tr>
        <w:trPr>
          <w:trHeight w:val="193"/>
        </w:trPr>
        <w:tc>
          <w:tcPr>
            <w:tcW w:w="20" w:type="dxa"/>
            <w:vAlign w:val="bottom"/>
          </w:tcPr>
          <w:p>
            <w:pPr>
              <w:spacing w:after="0"/>
              <w:rPr>
                <w:sz w:val="16"/>
                <w:szCs w:val="16"/>
                <w:color w:val="auto"/>
              </w:rPr>
            </w:pPr>
          </w:p>
        </w:tc>
        <w:tc>
          <w:tcPr>
            <w:tcW w:w="410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Early pay-off of US Treasury loan</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842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r>
      <w:tr>
        <w:trPr>
          <w:trHeight w:val="193"/>
        </w:trPr>
        <w:tc>
          <w:tcPr>
            <w:tcW w:w="20" w:type="dxa"/>
            <w:vAlign w:val="bottom"/>
          </w:tcPr>
          <w:p>
            <w:pPr>
              <w:spacing w:after="0"/>
              <w:rPr>
                <w:sz w:val="16"/>
                <w:szCs w:val="16"/>
                <w:color w:val="auto"/>
              </w:rPr>
            </w:pPr>
          </w:p>
        </w:tc>
        <w:tc>
          <w:tcPr>
            <w:tcW w:w="410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Loss on refinancing credit facility</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382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r>
      <w:tr>
        <w:trPr>
          <w:trHeight w:val="193"/>
        </w:trPr>
        <w:tc>
          <w:tcPr>
            <w:tcW w:w="20" w:type="dxa"/>
            <w:vAlign w:val="bottom"/>
          </w:tcPr>
          <w:p>
            <w:pPr>
              <w:spacing w:after="0"/>
              <w:rPr>
                <w:sz w:val="16"/>
                <w:szCs w:val="16"/>
                <w:color w:val="auto"/>
              </w:rPr>
            </w:pPr>
          </w:p>
        </w:tc>
        <w:tc>
          <w:tcPr>
            <w:tcW w:w="410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Secondary Offering Costs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640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640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r>
      <w:tr>
        <w:trPr>
          <w:trHeight w:val="193"/>
        </w:trPr>
        <w:tc>
          <w:tcPr>
            <w:tcW w:w="20" w:type="dxa"/>
            <w:vAlign w:val="bottom"/>
          </w:tcPr>
          <w:p>
            <w:pPr>
              <w:spacing w:after="0"/>
              <w:rPr>
                <w:sz w:val="16"/>
                <w:szCs w:val="16"/>
                <w:color w:val="auto"/>
              </w:rPr>
            </w:pPr>
          </w:p>
        </w:tc>
        <w:tc>
          <w:tcPr>
            <w:tcW w:w="4100" w:type="dxa"/>
            <w:vAlign w:val="bottom"/>
            <w:gridSpan w:val="2"/>
            <w:shd w:val="clear" w:color="auto" w:fill="CCEEFF"/>
          </w:tcPr>
          <w:p>
            <w:pPr>
              <w:ind w:left="200"/>
              <w:spacing w:after="0" w:line="193" w:lineRule="exact"/>
              <w:rPr>
                <w:sz w:val="20"/>
                <w:szCs w:val="20"/>
                <w:color w:val="auto"/>
              </w:rPr>
            </w:pPr>
            <w:r>
              <w:rPr>
                <w:rFonts w:ascii="Arial" w:cs="Arial" w:eastAsia="Arial" w:hAnsi="Arial"/>
                <w:sz w:val="15"/>
                <w:szCs w:val="15"/>
                <w:color w:val="auto"/>
              </w:rPr>
              <w:t xml:space="preserve">TRA establishment expense </w:t>
            </w:r>
            <w:r>
              <w:rPr>
                <w:rFonts w:ascii="Arial" w:cs="Arial" w:eastAsia="Arial" w:hAnsi="Arial"/>
                <w:sz w:val="22"/>
                <w:szCs w:val="22"/>
                <w:color w:val="auto"/>
                <w:vertAlign w:val="superscript"/>
              </w:rPr>
              <w:t>(c)</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51</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r>
      <w:tr>
        <w:trPr>
          <w:trHeight w:val="193"/>
        </w:trPr>
        <w:tc>
          <w:tcPr>
            <w:tcW w:w="20" w:type="dxa"/>
            <w:vAlign w:val="bottom"/>
          </w:tcPr>
          <w:p>
            <w:pPr>
              <w:spacing w:after="0"/>
              <w:rPr>
                <w:sz w:val="16"/>
                <w:szCs w:val="16"/>
                <w:color w:val="auto"/>
              </w:rPr>
            </w:pPr>
          </w:p>
        </w:tc>
        <w:tc>
          <w:tcPr>
            <w:tcW w:w="4100" w:type="dxa"/>
            <w:vAlign w:val="bottom"/>
            <w:gridSpan w:val="2"/>
          </w:tcPr>
          <w:p>
            <w:pPr>
              <w:ind w:left="200"/>
              <w:spacing w:after="0" w:line="193" w:lineRule="exact"/>
              <w:rPr>
                <w:sz w:val="20"/>
                <w:szCs w:val="20"/>
                <w:color w:val="auto"/>
              </w:rPr>
            </w:pPr>
            <w:r>
              <w:rPr>
                <w:rFonts w:ascii="Arial" w:cs="Arial" w:eastAsia="Arial" w:hAnsi="Arial"/>
                <w:sz w:val="15"/>
                <w:szCs w:val="15"/>
                <w:color w:val="auto"/>
              </w:rPr>
              <w:t xml:space="preserve">TRA adjustment </w:t>
            </w:r>
            <w:r>
              <w:rPr>
                <w:rFonts w:ascii="Arial" w:cs="Arial" w:eastAsia="Arial" w:hAnsi="Arial"/>
                <w:sz w:val="22"/>
                <w:szCs w:val="22"/>
                <w:color w:val="auto"/>
                <w:vertAlign w:val="superscript"/>
              </w:rPr>
              <w:t>(d)</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(18,700)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(18,700)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r>
      <w:tr>
        <w:trPr>
          <w:trHeight w:val="193"/>
        </w:trPr>
        <w:tc>
          <w:tcPr>
            <w:tcW w:w="20" w:type="dxa"/>
            <w:vAlign w:val="bottom"/>
          </w:tcPr>
          <w:p>
            <w:pPr>
              <w:spacing w:after="0"/>
              <w:rPr>
                <w:sz w:val="16"/>
                <w:szCs w:val="16"/>
                <w:color w:val="auto"/>
              </w:rPr>
            </w:pPr>
          </w:p>
        </w:tc>
        <w:tc>
          <w:tcPr>
            <w:tcW w:w="4100" w:type="dxa"/>
            <w:vAlign w:val="bottom"/>
            <w:gridSpan w:val="2"/>
            <w:shd w:val="clear" w:color="auto" w:fill="CCEEFF"/>
          </w:tcPr>
          <w:p>
            <w:pPr>
              <w:ind w:left="200"/>
              <w:spacing w:after="0" w:line="193" w:lineRule="exact"/>
              <w:rPr>
                <w:sz w:val="20"/>
                <w:szCs w:val="20"/>
                <w:color w:val="auto"/>
              </w:rPr>
            </w:pPr>
            <w:r>
              <w:rPr>
                <w:rFonts w:ascii="Arial" w:cs="Arial" w:eastAsia="Arial" w:hAnsi="Arial"/>
                <w:sz w:val="15"/>
                <w:szCs w:val="15"/>
                <w:color w:val="auto"/>
              </w:rPr>
              <w:t xml:space="preserve">Income tax effect of adjusting items, net </w:t>
            </w:r>
            <w:r>
              <w:rPr>
                <w:rFonts w:ascii="Arial" w:cs="Arial" w:eastAsia="Arial" w:hAnsi="Arial"/>
                <w:sz w:val="22"/>
                <w:szCs w:val="22"/>
                <w:color w:val="auto"/>
                <w:vertAlign w:val="superscript"/>
              </w:rPr>
              <w:t>(e)</w:t>
            </w:r>
          </w:p>
        </w:tc>
        <w:tc>
          <w:tcPr>
            <w:tcW w:w="6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8,530</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6,496</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13,708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6,395</w:t>
            </w:r>
          </w:p>
        </w:tc>
      </w:tr>
      <w:tr>
        <w:trPr>
          <w:trHeight w:val="186"/>
        </w:trPr>
        <w:tc>
          <w:tcPr>
            <w:tcW w:w="20" w:type="dxa"/>
            <w:vAlign w:val="bottom"/>
          </w:tcPr>
          <w:p>
            <w:pPr>
              <w:spacing w:after="0"/>
              <w:rPr>
                <w:sz w:val="16"/>
                <w:szCs w:val="16"/>
                <w:color w:val="auto"/>
              </w:rPr>
            </w:pPr>
          </w:p>
        </w:tc>
        <w:tc>
          <w:tcPr>
            <w:tcW w:w="4100" w:type="dxa"/>
            <w:vAlign w:val="bottom"/>
            <w:gridSpan w:val="2"/>
          </w:tcPr>
          <w:p>
            <w:pPr>
              <w:spacing w:after="0" w:line="186" w:lineRule="exact"/>
              <w:rPr>
                <w:sz w:val="20"/>
                <w:szCs w:val="20"/>
                <w:color w:val="auto"/>
              </w:rPr>
            </w:pPr>
            <w:r>
              <w:rPr>
                <w:rFonts w:ascii="Arial" w:cs="Arial" w:eastAsia="Arial" w:hAnsi="Arial"/>
                <w:sz w:val="17"/>
                <w:szCs w:val="17"/>
                <w:b w:val="1"/>
                <w:bCs w:val="1"/>
                <w:color w:val="auto"/>
              </w:rPr>
              <w:t>Adjusted Net Income (Loss)</w:t>
            </w:r>
          </w:p>
        </w:tc>
        <w:tc>
          <w:tcPr>
            <w:tcW w:w="620" w:type="dxa"/>
            <w:vAlign w:val="bottom"/>
          </w:tcPr>
          <w:p>
            <w:pPr>
              <w:spacing w:after="0"/>
              <w:rPr>
                <w:sz w:val="16"/>
                <w:szCs w:val="16"/>
                <w:color w:val="auto"/>
              </w:rPr>
            </w:pPr>
          </w:p>
        </w:tc>
        <w:tc>
          <w:tcPr>
            <w:tcW w:w="200" w:type="dxa"/>
            <w:vAlign w:val="bottom"/>
            <w:tcBorders>
              <w:bottom w:val="single" w:sz="8" w:color="auto"/>
            </w:tcBorders>
          </w:tcPr>
          <w:p>
            <w:pPr>
              <w:jc w:val="right"/>
              <w:ind w:right="23"/>
              <w:spacing w:after="0" w:line="186" w:lineRule="exact"/>
              <w:rPr>
                <w:sz w:val="20"/>
                <w:szCs w:val="20"/>
                <w:color w:val="auto"/>
              </w:rPr>
            </w:pPr>
            <w:r>
              <w:rPr>
                <w:rFonts w:ascii="Arial" w:cs="Arial" w:eastAsia="Arial" w:hAnsi="Arial"/>
                <w:sz w:val="17"/>
                <w:szCs w:val="17"/>
                <w:b w:val="1"/>
                <w:bCs w:val="1"/>
                <w:color w:val="auto"/>
                <w:w w:val="84"/>
              </w:rPr>
              <w:t>$</w:t>
            </w: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4,498</w:t>
            </w:r>
          </w:p>
        </w:tc>
        <w:tc>
          <w:tcPr>
            <w:tcW w:w="200" w:type="dxa"/>
            <w:vAlign w:val="bottom"/>
          </w:tcPr>
          <w:p>
            <w:pPr>
              <w:spacing w:after="0"/>
              <w:rPr>
                <w:sz w:val="16"/>
                <w:szCs w:val="16"/>
                <w:color w:val="auto"/>
              </w:rPr>
            </w:pPr>
          </w:p>
        </w:tc>
        <w:tc>
          <w:tcPr>
            <w:tcW w:w="200" w:type="dxa"/>
            <w:vAlign w:val="bottom"/>
            <w:tcBorders>
              <w:bottom w:val="single" w:sz="8" w:color="auto"/>
            </w:tcBorders>
          </w:tcPr>
          <w:p>
            <w:pPr>
              <w:jc w:val="right"/>
              <w:ind w:right="14"/>
              <w:spacing w:after="0" w:line="186" w:lineRule="exact"/>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(27,787)</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(423)</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(20,196)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7" w:lineRule="exact"/>
        <w:rPr>
          <w:sz w:val="20"/>
          <w:szCs w:val="20"/>
          <w:color w:val="auto"/>
        </w:rPr>
      </w:pPr>
    </w:p>
    <w:p>
      <w:pPr>
        <w:ind w:left="360" w:right="79" w:hanging="313"/>
        <w:spacing w:after="0" w:line="249" w:lineRule="auto"/>
        <w:tabs>
          <w:tab w:leader="none" w:pos="3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adjustments include Special Items, net, as presented in Note 11 of the Company’s Condensed Consolidated Financial Statements.</w:t>
      </w:r>
    </w:p>
    <w:p>
      <w:pPr>
        <w:spacing w:after="0" w:line="187" w:lineRule="exact"/>
        <w:rPr>
          <w:rFonts w:ascii="Arial" w:cs="Arial" w:eastAsia="Arial" w:hAnsi="Arial"/>
          <w:sz w:val="17"/>
          <w:szCs w:val="17"/>
          <w:color w:val="auto"/>
        </w:rPr>
      </w:pPr>
    </w:p>
    <w:p>
      <w:pPr>
        <w:jc w:val="both"/>
        <w:ind w:left="360" w:right="59" w:hanging="313"/>
        <w:spacing w:after="0" w:line="243" w:lineRule="auto"/>
        <w:tabs>
          <w:tab w:leader="none" w:pos="3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92" w:lineRule="exact"/>
        <w:rPr>
          <w:rFonts w:ascii="Arial" w:cs="Arial" w:eastAsia="Arial" w:hAnsi="Arial"/>
          <w:sz w:val="17"/>
          <w:szCs w:val="17"/>
          <w:color w:val="auto"/>
        </w:rPr>
      </w:pPr>
    </w:p>
    <w:p>
      <w:pPr>
        <w:ind w:left="360" w:right="59" w:hanging="313"/>
        <w:spacing w:after="0" w:line="249" w:lineRule="auto"/>
        <w:tabs>
          <w:tab w:leader="none" w:pos="3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represents the one-time costs to establish the Tax Receivable Agreement (“TRA”) with our pre-IPO stockholders. See Note 10 of the Company’s Condensed Consolidated Financial Statements.</w:t>
      </w:r>
    </w:p>
    <w:p>
      <w:pPr>
        <w:spacing w:after="0" w:line="187" w:lineRule="exact"/>
        <w:rPr>
          <w:rFonts w:ascii="Arial" w:cs="Arial" w:eastAsia="Arial" w:hAnsi="Arial"/>
          <w:sz w:val="17"/>
          <w:szCs w:val="17"/>
          <w:color w:val="auto"/>
        </w:rPr>
      </w:pPr>
    </w:p>
    <w:p>
      <w:pPr>
        <w:ind w:left="360" w:hanging="313"/>
        <w:spacing w:after="0"/>
        <w:tabs>
          <w:tab w:leader="none" w:pos="3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represents the adjustment to the TRA for the period, which is recorded in Non-operating Income (Expense).</w:t>
      </w:r>
    </w:p>
    <w:p>
      <w:pPr>
        <w:spacing w:after="0" w:line="204" w:lineRule="exact"/>
        <w:rPr>
          <w:rFonts w:ascii="Arial" w:cs="Arial" w:eastAsia="Arial" w:hAnsi="Arial"/>
          <w:sz w:val="17"/>
          <w:szCs w:val="17"/>
          <w:color w:val="auto"/>
        </w:rPr>
      </w:pPr>
    </w:p>
    <w:p>
      <w:pPr>
        <w:ind w:left="360" w:hanging="313"/>
        <w:spacing w:after="0"/>
        <w:tabs>
          <w:tab w:leader="none" w:pos="3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tax effect of adjusting items, net is calculated at the Company’s statutory rate for the applicable period.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Adjusted EBITDAR</w:t>
      </w:r>
    </w:p>
    <w:p>
      <w:pPr>
        <w:spacing w:after="0" w:line="224"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Adjusted Earnings Before Interest, Taxes, Depreciation, Amortization and Rent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40" w:right="59"/>
        <w:spacing w:after="0"/>
        <w:rPr>
          <w:sz w:val="20"/>
          <w:szCs w:val="20"/>
          <w:color w:val="auto"/>
        </w:rPr>
      </w:pPr>
      <w:r>
        <w:rPr>
          <w:rFonts w:ascii="Arial" w:cs="Arial" w:eastAsia="Arial" w:hAnsi="Arial"/>
          <w:sz w:val="17"/>
          <w:szCs w:val="17"/>
          <w:color w:val="auto"/>
        </w:rPr>
        <w:t>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aircraft.</w:t>
      </w:r>
    </w:p>
    <w:p>
      <w:pPr>
        <w:spacing w:after="0" w:line="196"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7"/>
          <w:szCs w:val="17"/>
          <w:color w:val="auto"/>
        </w:rPr>
        <w:t>Adjusted EBITDAR has limitations as an analytical tool. Some of the limitations applicable to this measure include: Adjusted EBITDAR does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it does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EBITDAR differently than we do, limiting each measure’s usefulness as a comparative measure. Because of these limitations, Adjusted EBITDAR should not be considered in isolation or as a substitute for performance measures calculated in accordance with GAAP.</w:t>
      </w:r>
    </w:p>
    <w:p>
      <w:pPr>
        <w:spacing w:after="0" w:line="201"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7"/>
          <w:szCs w:val="17"/>
          <w:color w:val="auto"/>
        </w:rPr>
        <w:t>The following table presents the reconciliation of Net Income (Loss) to Adjusted EBITDAR for the periods presented below.</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9"/>
              </w:rPr>
              <w:t>Three Months Ended June 30,</w:t>
            </w:r>
          </w:p>
        </w:tc>
        <w:tc>
          <w:tcPr>
            <w:tcW w:w="194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rPr>
              <w:t>Six Months Ended June 30,</w:t>
            </w:r>
          </w:p>
        </w:tc>
      </w:tr>
      <w:tr>
        <w:trPr>
          <w:trHeight w:val="148"/>
        </w:trPr>
        <w:tc>
          <w:tcPr>
            <w:tcW w:w="224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5"/>
              <w:spacing w:after="0" w:line="148"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5"/>
              <w:spacing w:after="0" w:line="148"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8"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5"/>
              <w:spacing w:after="0" w:line="148" w:lineRule="exact"/>
              <w:rPr>
                <w:sz w:val="20"/>
                <w:szCs w:val="20"/>
                <w:color w:val="auto"/>
              </w:rPr>
            </w:pPr>
            <w:r>
              <w:rPr>
                <w:rFonts w:ascii="Arial" w:cs="Arial" w:eastAsia="Arial" w:hAnsi="Arial"/>
                <w:sz w:val="14"/>
                <w:szCs w:val="14"/>
                <w:b w:val="1"/>
                <w:bCs w:val="1"/>
                <w:color w:val="auto"/>
              </w:rPr>
              <w:t>2020</w:t>
            </w:r>
          </w:p>
        </w:tc>
      </w:tr>
      <w:tr>
        <w:trPr>
          <w:trHeight w:val="186"/>
        </w:trPr>
        <w:tc>
          <w:tcPr>
            <w:tcW w:w="474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Adjusted EBITDAR Reconciliation:</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3"/>
        </w:trPr>
        <w:tc>
          <w:tcPr>
            <w:tcW w:w="4740" w:type="dxa"/>
            <w:vAlign w:val="bottom"/>
            <w:gridSpan w:val="2"/>
          </w:tcPr>
          <w:p>
            <w:pPr>
              <w:spacing w:after="0" w:line="194" w:lineRule="exact"/>
              <w:rPr>
                <w:sz w:val="20"/>
                <w:szCs w:val="20"/>
                <w:color w:val="auto"/>
              </w:rPr>
            </w:pPr>
            <w:r>
              <w:rPr>
                <w:rFonts w:ascii="Arial" w:cs="Arial" w:eastAsia="Arial" w:hAnsi="Arial"/>
                <w:sz w:val="17"/>
                <w:szCs w:val="17"/>
                <w:color w:val="auto"/>
              </w:rPr>
              <w:t>Net Income (Loss)</w:t>
            </w:r>
          </w:p>
        </w:tc>
        <w:tc>
          <w:tcPr>
            <w:tcW w:w="200" w:type="dxa"/>
            <w:vAlign w:val="bottom"/>
          </w:tcPr>
          <w:p>
            <w:pPr>
              <w:jc w:val="right"/>
              <w:ind w:right="20"/>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51,753</w:t>
            </w:r>
          </w:p>
        </w:tc>
        <w:tc>
          <w:tcPr>
            <w:tcW w:w="180" w:type="dxa"/>
            <w:vAlign w:val="bottom"/>
          </w:tcPr>
          <w:p>
            <w:pPr>
              <w:spacing w:after="0"/>
              <w:rPr>
                <w:sz w:val="16"/>
                <w:szCs w:val="16"/>
                <w:color w:val="auto"/>
              </w:rPr>
            </w:pPr>
          </w:p>
        </w:tc>
        <w:tc>
          <w:tcPr>
            <w:tcW w:w="220" w:type="dxa"/>
            <w:vAlign w:val="bottom"/>
          </w:tcPr>
          <w:p>
            <w:pPr>
              <w:jc w:val="right"/>
              <w:ind w:right="34"/>
              <w:spacing w:after="0" w:line="194" w:lineRule="exact"/>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(6,040)</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64,169</w:t>
            </w:r>
          </w:p>
        </w:tc>
        <w:tc>
          <w:tcPr>
            <w:tcW w:w="18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1,211</w:t>
            </w:r>
          </w:p>
        </w:tc>
      </w:tr>
      <w:tr>
        <w:trPr>
          <w:trHeight w:val="193"/>
        </w:trPr>
        <w:tc>
          <w:tcPr>
            <w:tcW w:w="4740" w:type="dxa"/>
            <w:vAlign w:val="bottom"/>
            <w:gridSpan w:val="2"/>
            <w:shd w:val="clear" w:color="auto" w:fill="CCEEFF"/>
          </w:tcPr>
          <w:p>
            <w:pPr>
              <w:ind w:left="100"/>
              <w:spacing w:after="0" w:line="193" w:lineRule="exact"/>
              <w:rPr>
                <w:sz w:val="20"/>
                <w:szCs w:val="20"/>
                <w:color w:val="auto"/>
              </w:rPr>
            </w:pPr>
            <w:r>
              <w:rPr>
                <w:rFonts w:ascii="Arial" w:cs="Arial" w:eastAsia="Arial" w:hAnsi="Arial"/>
                <w:sz w:val="15"/>
                <w:szCs w:val="15"/>
                <w:color w:val="auto"/>
              </w:rPr>
              <w:t xml:space="preserve">Special Items, net </w:t>
            </w:r>
            <w:r>
              <w:rPr>
                <w:rFonts w:ascii="Arial" w:cs="Arial" w:eastAsia="Arial" w:hAnsi="Arial"/>
                <w:sz w:val="22"/>
                <w:szCs w:val="22"/>
                <w:color w:val="auto"/>
                <w:vertAlign w:val="superscript"/>
              </w:rPr>
              <w:t>(a)</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(38,520)</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(31,481)</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(65,392)</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(31,481)</w:t>
            </w:r>
          </w:p>
        </w:tc>
      </w:tr>
      <w:tr>
        <w:trPr>
          <w:trHeight w:val="193"/>
        </w:trPr>
        <w:tc>
          <w:tcPr>
            <w:tcW w:w="474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Stock Compensation expense</w:t>
            </w:r>
          </w:p>
        </w:tc>
        <w:tc>
          <w:tcPr>
            <w:tcW w:w="2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744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388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3,613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757</w:t>
            </w:r>
          </w:p>
        </w:tc>
      </w:tr>
      <w:tr>
        <w:trPr>
          <w:trHeight w:val="193"/>
        </w:trPr>
        <w:tc>
          <w:tcPr>
            <w:tcW w:w="4740" w:type="dxa"/>
            <w:vAlign w:val="bottom"/>
            <w:gridSpan w:val="2"/>
            <w:shd w:val="clear" w:color="auto" w:fill="CCEEFF"/>
          </w:tcPr>
          <w:p>
            <w:pPr>
              <w:ind w:left="100"/>
              <w:spacing w:after="0" w:line="193" w:lineRule="exact"/>
              <w:rPr>
                <w:sz w:val="20"/>
                <w:szCs w:val="20"/>
                <w:color w:val="auto"/>
              </w:rPr>
            </w:pPr>
            <w:r>
              <w:rPr>
                <w:rFonts w:ascii="Arial" w:cs="Arial" w:eastAsia="Arial" w:hAnsi="Arial"/>
                <w:sz w:val="15"/>
                <w:szCs w:val="15"/>
                <w:color w:val="auto"/>
              </w:rPr>
              <w:t xml:space="preserve">Voluntary leave expense </w:t>
            </w:r>
            <w:r>
              <w:rPr>
                <w:rFonts w:ascii="Arial" w:cs="Arial" w:eastAsia="Arial" w:hAnsi="Arial"/>
                <w:sz w:val="22"/>
                <w:szCs w:val="22"/>
                <w:color w:val="auto"/>
                <w:vertAlign w:val="superscript"/>
              </w:rPr>
              <w:t>(b)</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2,541</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2,541</w:t>
            </w:r>
          </w:p>
        </w:tc>
      </w:tr>
      <w:tr>
        <w:trPr>
          <w:trHeight w:val="193"/>
        </w:trPr>
        <w:tc>
          <w:tcPr>
            <w:tcW w:w="474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Loss on asset transactions, net</w:t>
            </w:r>
          </w:p>
        </w:tc>
        <w:tc>
          <w:tcPr>
            <w:tcW w:w="200" w:type="dxa"/>
            <w:vAlign w:val="bottom"/>
          </w:tcPr>
          <w:p>
            <w:pPr>
              <w:spacing w:after="0"/>
              <w:rPr>
                <w:sz w:val="16"/>
                <w:szCs w:val="16"/>
                <w:color w:val="auto"/>
              </w:rPr>
            </w:pPr>
          </w:p>
        </w:tc>
        <w:tc>
          <w:tcPr>
            <w:tcW w:w="92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309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381</w:t>
            </w:r>
          </w:p>
        </w:tc>
      </w:tr>
      <w:tr>
        <w:trPr>
          <w:trHeight w:val="193"/>
        </w:trPr>
        <w:tc>
          <w:tcPr>
            <w:tcW w:w="4740" w:type="dxa"/>
            <w:vAlign w:val="bottom"/>
            <w:gridSpan w:val="2"/>
            <w:shd w:val="clear" w:color="auto" w:fill="CCEEFF"/>
          </w:tcPr>
          <w:p>
            <w:pPr>
              <w:ind w:left="100"/>
              <w:spacing w:after="0" w:line="194" w:lineRule="exact"/>
              <w:rPr>
                <w:sz w:val="20"/>
                <w:szCs w:val="20"/>
                <w:color w:val="auto"/>
              </w:rPr>
            </w:pPr>
            <w:r>
              <w:rPr>
                <w:rFonts w:ascii="Arial" w:cs="Arial" w:eastAsia="Arial" w:hAnsi="Arial"/>
                <w:sz w:val="17"/>
                <w:szCs w:val="17"/>
                <w:color w:val="auto"/>
              </w:rPr>
              <w:t>Secondary Offering Costs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640</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640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r>
      <w:tr>
        <w:trPr>
          <w:trHeight w:val="193"/>
        </w:trPr>
        <w:tc>
          <w:tcPr>
            <w:tcW w:w="4740" w:type="dxa"/>
            <w:vAlign w:val="bottom"/>
            <w:gridSpan w:val="2"/>
          </w:tcPr>
          <w:p>
            <w:pPr>
              <w:ind w:left="100"/>
              <w:spacing w:after="0" w:line="193" w:lineRule="exact"/>
              <w:rPr>
                <w:sz w:val="20"/>
                <w:szCs w:val="20"/>
                <w:color w:val="auto"/>
              </w:rPr>
            </w:pPr>
            <w:r>
              <w:rPr>
                <w:rFonts w:ascii="Arial" w:cs="Arial" w:eastAsia="Arial" w:hAnsi="Arial"/>
                <w:sz w:val="15"/>
                <w:szCs w:val="15"/>
                <w:color w:val="auto"/>
              </w:rPr>
              <w:t xml:space="preserve">TRA establishment expense </w:t>
            </w:r>
            <w:r>
              <w:rPr>
                <w:rFonts w:ascii="Arial" w:cs="Arial" w:eastAsia="Arial" w:hAnsi="Arial"/>
                <w:sz w:val="22"/>
                <w:szCs w:val="22"/>
                <w:color w:val="auto"/>
                <w:vertAlign w:val="superscript"/>
              </w:rPr>
              <w:t>(c)</w:t>
            </w:r>
          </w:p>
        </w:tc>
        <w:tc>
          <w:tcPr>
            <w:tcW w:w="2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51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315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r>
      <w:tr>
        <w:trPr>
          <w:trHeight w:val="193"/>
        </w:trPr>
        <w:tc>
          <w:tcPr>
            <w:tcW w:w="4740" w:type="dxa"/>
            <w:vAlign w:val="bottom"/>
            <w:gridSpan w:val="2"/>
            <w:shd w:val="clear" w:color="auto" w:fill="CCEEFF"/>
          </w:tcPr>
          <w:p>
            <w:pPr>
              <w:ind w:left="100"/>
              <w:spacing w:after="0" w:line="193" w:lineRule="exact"/>
              <w:rPr>
                <w:sz w:val="20"/>
                <w:szCs w:val="20"/>
                <w:color w:val="auto"/>
              </w:rPr>
            </w:pPr>
            <w:r>
              <w:rPr>
                <w:rFonts w:ascii="Arial" w:cs="Arial" w:eastAsia="Arial" w:hAnsi="Arial"/>
                <w:sz w:val="15"/>
                <w:szCs w:val="15"/>
                <w:color w:val="auto"/>
              </w:rPr>
              <w:t xml:space="preserve">TRA adjustment </w:t>
            </w:r>
            <w:r>
              <w:rPr>
                <w:rFonts w:ascii="Arial" w:cs="Arial" w:eastAsia="Arial" w:hAnsi="Arial"/>
                <w:sz w:val="22"/>
                <w:szCs w:val="22"/>
                <w:color w:val="auto"/>
                <w:vertAlign w:val="superscript"/>
              </w:rPr>
              <w:t>(d)</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(18,700)</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(18,700)</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r>
      <w:tr>
        <w:trPr>
          <w:trHeight w:val="193"/>
        </w:trPr>
        <w:tc>
          <w:tcPr>
            <w:tcW w:w="474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Interest Income</w:t>
            </w:r>
          </w:p>
        </w:tc>
        <w:tc>
          <w:tcPr>
            <w:tcW w:w="200" w:type="dxa"/>
            <w:vAlign w:val="bottom"/>
          </w:tcPr>
          <w:p>
            <w:pPr>
              <w:spacing w:after="0"/>
              <w:rPr>
                <w:sz w:val="16"/>
                <w:szCs w:val="16"/>
                <w:color w:val="auto"/>
              </w:rPr>
            </w:pPr>
          </w:p>
        </w:tc>
        <w:tc>
          <w:tcPr>
            <w:tcW w:w="92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(9)</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(63)</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(24)</w:t>
            </w:r>
          </w:p>
        </w:tc>
        <w:tc>
          <w:tcPr>
            <w:tcW w:w="16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(314)</w:t>
            </w:r>
          </w:p>
        </w:tc>
      </w:tr>
      <w:tr>
        <w:trPr>
          <w:trHeight w:val="193"/>
        </w:trPr>
        <w:tc>
          <w:tcPr>
            <w:tcW w:w="4740" w:type="dxa"/>
            <w:vAlign w:val="bottom"/>
            <w:gridSpan w:val="2"/>
            <w:shd w:val="clear" w:color="auto" w:fill="CCEEFF"/>
          </w:tcPr>
          <w:p>
            <w:pPr>
              <w:ind w:left="100"/>
              <w:spacing w:after="0" w:line="194" w:lineRule="exact"/>
              <w:rPr>
                <w:sz w:val="20"/>
                <w:szCs w:val="20"/>
                <w:color w:val="auto"/>
              </w:rPr>
            </w:pPr>
            <w:r>
              <w:rPr>
                <w:rFonts w:ascii="Arial" w:cs="Arial" w:eastAsia="Arial" w:hAnsi="Arial"/>
                <w:sz w:val="17"/>
                <w:szCs w:val="17"/>
                <w:color w:val="auto"/>
              </w:rPr>
              <w:t>Interest expense</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6,080</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5,442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13,201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11,058</w:t>
            </w:r>
          </w:p>
        </w:tc>
      </w:tr>
      <w:tr>
        <w:trPr>
          <w:trHeight w:val="193"/>
        </w:trPr>
        <w:tc>
          <w:tcPr>
            <w:tcW w:w="474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Provision for income taxes</w:t>
            </w:r>
          </w:p>
        </w:tc>
        <w:tc>
          <w:tcPr>
            <w:tcW w:w="2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9,468</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(1,898)</w:t>
            </w:r>
          </w:p>
        </w:tc>
        <w:tc>
          <w:tcPr>
            <w:tcW w:w="16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14,875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547</w:t>
            </w:r>
          </w:p>
        </w:tc>
      </w:tr>
      <w:tr>
        <w:trPr>
          <w:trHeight w:val="193"/>
        </w:trPr>
        <w:tc>
          <w:tcPr>
            <w:tcW w:w="4740" w:type="dxa"/>
            <w:vAlign w:val="bottom"/>
            <w:gridSpan w:val="2"/>
            <w:shd w:val="clear" w:color="auto" w:fill="CCEEFF"/>
          </w:tcPr>
          <w:p>
            <w:pPr>
              <w:ind w:left="100"/>
              <w:spacing w:after="0" w:line="194" w:lineRule="exact"/>
              <w:rPr>
                <w:sz w:val="20"/>
                <w:szCs w:val="20"/>
                <w:color w:val="auto"/>
              </w:rPr>
            </w:pPr>
            <w:r>
              <w:rPr>
                <w:rFonts w:ascii="Arial" w:cs="Arial" w:eastAsia="Arial" w:hAnsi="Arial"/>
                <w:sz w:val="17"/>
                <w:szCs w:val="17"/>
                <w:color w:val="auto"/>
              </w:rPr>
              <w:t>Depreciation and Amortization</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13,460</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12,175</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26,075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22,702</w:t>
            </w:r>
          </w:p>
        </w:tc>
      </w:tr>
      <w:tr>
        <w:trPr>
          <w:trHeight w:val="193"/>
        </w:trPr>
        <w:tc>
          <w:tcPr>
            <w:tcW w:w="4740" w:type="dxa"/>
            <w:vAlign w:val="bottom"/>
            <w:tcBorders>
              <w:bottom w:val="single" w:sz="8" w:color="CCEEFF"/>
            </w:tcBorders>
            <w:gridSpan w:val="2"/>
          </w:tcPr>
          <w:p>
            <w:pPr>
              <w:ind w:left="100"/>
              <w:spacing w:after="0" w:line="194" w:lineRule="exact"/>
              <w:rPr>
                <w:sz w:val="20"/>
                <w:szCs w:val="20"/>
                <w:color w:val="auto"/>
              </w:rPr>
            </w:pPr>
            <w:r>
              <w:rPr>
                <w:rFonts w:ascii="Arial" w:cs="Arial" w:eastAsia="Arial" w:hAnsi="Arial"/>
                <w:sz w:val="17"/>
                <w:szCs w:val="17"/>
                <w:color w:val="auto"/>
              </w:rPr>
              <w:t>Aircraft rent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3,815</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5,934</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9,414</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16,966</w:t>
            </w:r>
          </w:p>
        </w:tc>
      </w:tr>
      <w:tr>
        <w:trPr>
          <w:trHeight w:val="186"/>
        </w:trPr>
        <w:tc>
          <w:tcPr>
            <w:tcW w:w="4740" w:type="dxa"/>
            <w:vAlign w:val="bottom"/>
            <w:tcBorders>
              <w:bottom w:val="single" w:sz="8" w:color="CCEEFF"/>
            </w:tcBorders>
            <w:gridSpan w:val="2"/>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Adjusted EBITDAR</w:t>
            </w:r>
          </w:p>
        </w:tc>
        <w:tc>
          <w:tcPr>
            <w:tcW w:w="200" w:type="dxa"/>
            <w:vAlign w:val="bottom"/>
            <w:tcBorders>
              <w:bottom w:val="single" w:sz="8" w:color="auto"/>
            </w:tcBorders>
            <w:shd w:val="clear" w:color="auto" w:fill="CCEEFF"/>
          </w:tcPr>
          <w:p>
            <w:pPr>
              <w:jc w:val="right"/>
              <w:ind w:right="20"/>
              <w:spacing w:after="0" w:line="186" w:lineRule="exact"/>
              <w:rPr>
                <w:sz w:val="20"/>
                <w:szCs w:val="20"/>
                <w:color w:val="auto"/>
              </w:rPr>
            </w:pPr>
            <w:r>
              <w:rPr>
                <w:rFonts w:ascii="Arial" w:cs="Arial" w:eastAsia="Arial" w:hAnsi="Arial"/>
                <w:sz w:val="17"/>
                <w:szCs w:val="17"/>
                <w:b w:val="1"/>
                <w:bCs w:val="1"/>
                <w:color w:val="auto"/>
                <w:w w:val="84"/>
              </w:rPr>
              <w:t>$</w:t>
            </w:r>
          </w:p>
        </w:tc>
        <w:tc>
          <w:tcPr>
            <w:tcW w:w="7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b w:val="1"/>
                <w:bCs w:val="1"/>
                <w:color w:val="auto"/>
              </w:rPr>
              <w:t>28,782</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34"/>
              <w:spacing w:after="0" w:line="186" w:lineRule="exact"/>
              <w:rPr>
                <w:sz w:val="20"/>
                <w:szCs w:val="20"/>
                <w:color w:val="auto"/>
              </w:rPr>
            </w:pPr>
            <w:r>
              <w:rPr>
                <w:rFonts w:ascii="Arial" w:cs="Arial" w:eastAsia="Arial" w:hAnsi="Arial"/>
                <w:sz w:val="17"/>
                <w:szCs w:val="17"/>
                <w:b w:val="1"/>
                <w:bCs w:val="1"/>
                <w:color w:val="auto"/>
                <w:w w:val="84"/>
              </w:rPr>
              <w:t>$</w:t>
            </w:r>
          </w:p>
        </w:tc>
        <w:tc>
          <w:tcPr>
            <w:tcW w:w="7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b w:val="1"/>
                <w:bCs w:val="1"/>
                <w:color w:val="auto"/>
              </w:rPr>
              <w:t>(12,693)</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b w:val="1"/>
                <w:bCs w:val="1"/>
                <w:color w:val="auto"/>
                <w:w w:val="84"/>
              </w:rPr>
              <w:t>$</w:t>
            </w:r>
          </w:p>
        </w:tc>
        <w:tc>
          <w:tcPr>
            <w:tcW w:w="7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b w:val="1"/>
                <w:bCs w:val="1"/>
                <w:color w:val="auto"/>
              </w:rPr>
              <w:t>48,186</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b w:val="1"/>
                <w:bCs w:val="1"/>
                <w:color w:val="auto"/>
                <w:w w:val="84"/>
              </w:rPr>
              <w:t>$</w:t>
            </w:r>
          </w:p>
        </w:tc>
        <w:tc>
          <w:tcPr>
            <w:tcW w:w="7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b w:val="1"/>
                <w:bCs w:val="1"/>
                <w:color w:val="auto"/>
              </w:rPr>
              <w:t>24,368</w:t>
            </w:r>
          </w:p>
        </w:tc>
      </w:tr>
      <w:tr>
        <w:trPr>
          <w:trHeight w:val="20"/>
        </w:trPr>
        <w:tc>
          <w:tcPr>
            <w:tcW w:w="2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7" w:lineRule="exact"/>
        <w:rPr>
          <w:sz w:val="20"/>
          <w:szCs w:val="20"/>
          <w:color w:val="auto"/>
        </w:rPr>
      </w:pPr>
    </w:p>
    <w:p>
      <w:pPr>
        <w:ind w:left="360" w:right="79" w:hanging="313"/>
        <w:spacing w:after="0" w:line="249" w:lineRule="auto"/>
        <w:tabs>
          <w:tab w:leader="none" w:pos="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adjustments include Special Items, net, as presented in Note 11 of the Company’s Condensed Consolidated Financial Statements.</w:t>
      </w: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ind w:left="4400" w:hanging="96"/>
        <w:spacing w:after="0"/>
        <w:tabs>
          <w:tab w:leader="none" w:pos="44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360" w:right="59" w:hanging="313"/>
        <w:spacing w:after="0" w:line="243" w:lineRule="auto"/>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92" w:lineRule="exact"/>
        <w:rPr>
          <w:rFonts w:ascii="Arial" w:cs="Arial" w:eastAsia="Arial" w:hAnsi="Arial"/>
          <w:sz w:val="17"/>
          <w:szCs w:val="17"/>
          <w:color w:val="auto"/>
        </w:rPr>
      </w:pPr>
    </w:p>
    <w:p>
      <w:pPr>
        <w:ind w:left="360" w:right="59" w:hanging="313"/>
        <w:spacing w:after="0" w:line="249" w:lineRule="auto"/>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represents the one-time costs to establish the Tax Receivable Agreement with our pre-IPO stockholders. See Note 10 of the Company’s Condensed Consolidated Financial Statements.</w:t>
      </w:r>
    </w:p>
    <w:p>
      <w:pPr>
        <w:spacing w:after="0" w:line="187" w:lineRule="exact"/>
        <w:rPr>
          <w:rFonts w:ascii="Arial" w:cs="Arial" w:eastAsia="Arial" w:hAnsi="Arial"/>
          <w:sz w:val="17"/>
          <w:szCs w:val="17"/>
          <w:color w:val="auto"/>
        </w:rPr>
      </w:pPr>
    </w:p>
    <w:p>
      <w:pPr>
        <w:ind w:left="360" w:hanging="313"/>
        <w:spacing w:after="0"/>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represents the adjustment to the TRA for the period, which is recorded in Non-operating Income (Expense).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CASM and Adjusted CASM</w:t>
      </w:r>
    </w:p>
    <w:p>
      <w:pPr>
        <w:spacing w:after="0" w:line="224"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Cost per Available Seat Mile (“CASM”) is a key airline cost metric defined as operating expenses divided by total available seat miles. 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95"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97"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7"/>
          <w:szCs w:val="17"/>
          <w:color w:val="auto"/>
        </w:rPr>
        <w:t>Starting in 2020 when we launched our cargo operations, 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We also exclude certain commissions and other costs of selling our vacations product from Adjusted CASM as these costs are unrelated to our airline operations and improve comparability to our peers.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presents the reconciliation of CASM to Adjusted CASM.</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3"/>
          </w:tcPr>
          <w:p>
            <w:pPr>
              <w:jc w:val="center"/>
              <w:ind w:left="459"/>
              <w:spacing w:after="0"/>
              <w:rPr>
                <w:sz w:val="20"/>
                <w:szCs w:val="20"/>
                <w:color w:val="auto"/>
              </w:rPr>
            </w:pPr>
            <w:r>
              <w:rPr>
                <w:rFonts w:ascii="Arial" w:cs="Arial" w:eastAsia="Arial" w:hAnsi="Arial"/>
                <w:sz w:val="14"/>
                <w:szCs w:val="14"/>
                <w:b w:val="1"/>
                <w:bCs w:val="1"/>
                <w:color w:val="auto"/>
                <w:w w:val="97"/>
              </w:rPr>
              <w:t>Three Months Ended June 30,</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680"/>
              <w:spacing w:after="0" w:line="148"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ind w:left="660"/>
              <w:spacing w:after="0" w:line="148"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tcPr>
          <w:p>
            <w:pPr>
              <w:ind w:left="60"/>
              <w:spacing w:after="0" w:line="136" w:lineRule="exact"/>
              <w:rPr>
                <w:sz w:val="20"/>
                <w:szCs w:val="20"/>
                <w:color w:val="auto"/>
              </w:rPr>
            </w:pPr>
            <w:r>
              <w:rPr>
                <w:rFonts w:ascii="Arial" w:cs="Arial" w:eastAsia="Arial" w:hAnsi="Arial"/>
                <w:sz w:val="14"/>
                <w:szCs w:val="14"/>
                <w:b w:val="1"/>
                <w:bCs w:val="1"/>
                <w:color w:val="auto"/>
              </w:rPr>
              <w:t>Operating</w:t>
            </w:r>
          </w:p>
        </w:tc>
        <w:tc>
          <w:tcPr>
            <w:tcW w:w="760" w:type="dxa"/>
            <w:vAlign w:val="bottom"/>
            <w:gridSpan w:val="2"/>
          </w:tcPr>
          <w:p>
            <w:pPr>
              <w:jc w:val="right"/>
              <w:ind w:right="100"/>
              <w:spacing w:after="0" w:line="136" w:lineRule="exact"/>
              <w:rPr>
                <w:sz w:val="20"/>
                <w:szCs w:val="20"/>
                <w:color w:val="auto"/>
              </w:rPr>
            </w:pPr>
            <w:r>
              <w:rPr>
                <w:rFonts w:ascii="Arial" w:cs="Arial" w:eastAsia="Arial" w:hAnsi="Arial"/>
                <w:sz w:val="14"/>
                <w:szCs w:val="14"/>
                <w:b w:val="1"/>
                <w:bCs w:val="1"/>
                <w:color w:val="auto"/>
              </w:rPr>
              <w:t>Per ASM</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ind w:left="20"/>
              <w:spacing w:after="0" w:line="136" w:lineRule="exact"/>
              <w:rPr>
                <w:sz w:val="20"/>
                <w:szCs w:val="20"/>
                <w:color w:val="auto"/>
              </w:rPr>
            </w:pPr>
            <w:r>
              <w:rPr>
                <w:rFonts w:ascii="Arial" w:cs="Arial" w:eastAsia="Arial" w:hAnsi="Arial"/>
                <w:sz w:val="14"/>
                <w:szCs w:val="14"/>
                <w:b w:val="1"/>
                <w:bCs w:val="1"/>
                <w:color w:val="auto"/>
              </w:rPr>
              <w:t>Operating</w:t>
            </w:r>
          </w:p>
        </w:tc>
        <w:tc>
          <w:tcPr>
            <w:tcW w:w="720" w:type="dxa"/>
            <w:vAlign w:val="bottom"/>
          </w:tcPr>
          <w:p>
            <w:pPr>
              <w:ind w:left="60"/>
              <w:spacing w:after="0" w:line="136" w:lineRule="exact"/>
              <w:rPr>
                <w:sz w:val="20"/>
                <w:szCs w:val="20"/>
                <w:color w:val="auto"/>
              </w:rPr>
            </w:pPr>
            <w:r>
              <w:rPr>
                <w:rFonts w:ascii="Arial" w:cs="Arial" w:eastAsia="Arial" w:hAnsi="Arial"/>
                <w:sz w:val="14"/>
                <w:szCs w:val="14"/>
                <w:b w:val="1"/>
                <w:bCs w:val="1"/>
                <w:color w:val="auto"/>
              </w:rPr>
              <w:t>Per ASM</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ind w:left="60"/>
              <w:spacing w:after="0"/>
              <w:rPr>
                <w:sz w:val="20"/>
                <w:szCs w:val="20"/>
                <w:color w:val="auto"/>
              </w:rPr>
            </w:pPr>
            <w:r>
              <w:rPr>
                <w:rFonts w:ascii="Arial" w:cs="Arial" w:eastAsia="Arial" w:hAnsi="Arial"/>
                <w:sz w:val="14"/>
                <w:szCs w:val="14"/>
                <w:b w:val="1"/>
                <w:bCs w:val="1"/>
                <w:color w:val="auto"/>
              </w:rPr>
              <w:t>Expenses</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(in cents)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Expenses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9"/>
              </w:rPr>
              <w:t>(in cents)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6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CASM</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99,951</w:t>
            </w: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gridSpan w:val="2"/>
            <w:shd w:val="clear" w:color="auto" w:fill="CCEEFF"/>
          </w:tcPr>
          <w:p>
            <w:pPr>
              <w:jc w:val="right"/>
              <w:ind w:right="60"/>
              <w:spacing w:after="0" w:line="186" w:lineRule="exact"/>
              <w:rPr>
                <w:sz w:val="20"/>
                <w:szCs w:val="20"/>
                <w:color w:val="auto"/>
              </w:rPr>
            </w:pPr>
            <w:r>
              <w:rPr>
                <w:rFonts w:ascii="Arial" w:cs="Arial" w:eastAsia="Arial" w:hAnsi="Arial"/>
                <w:sz w:val="17"/>
                <w:szCs w:val="17"/>
                <w:color w:val="auto"/>
              </w:rPr>
              <w:t>6.93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37,610</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9.01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tcPr>
          <w:p>
            <w:pPr>
              <w:spacing w:after="0" w:line="194" w:lineRule="exact"/>
              <w:rPr>
                <w:sz w:val="20"/>
                <w:szCs w:val="20"/>
                <w:color w:val="auto"/>
              </w:rPr>
            </w:pPr>
            <w:r>
              <w:rPr>
                <w:rFonts w:ascii="Arial" w:cs="Arial" w:eastAsia="Arial" w:hAnsi="Arial"/>
                <w:sz w:val="17"/>
                <w:szCs w:val="17"/>
                <w:color w:val="auto"/>
              </w:rPr>
              <w:t>Less: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Aircraft fuel</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29,709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2.06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677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tcPr>
          <w:p>
            <w:pPr>
              <w:ind w:left="100"/>
              <w:spacing w:after="0" w:line="194" w:lineRule="exact"/>
              <w:rPr>
                <w:sz w:val="20"/>
                <w:szCs w:val="20"/>
                <w:color w:val="auto"/>
              </w:rPr>
            </w:pPr>
            <w:r>
              <w:rPr>
                <w:rFonts w:ascii="Arial" w:cs="Arial" w:eastAsia="Arial" w:hAnsi="Arial"/>
                <w:sz w:val="17"/>
                <w:szCs w:val="17"/>
                <w:color w:val="auto"/>
              </w:rPr>
              <w:t>Stock Compensation expense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744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0.05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388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shd w:val="clear" w:color="auto" w:fill="CCEEFF"/>
          </w:tcPr>
          <w:p>
            <w:pPr>
              <w:ind w:left="100"/>
              <w:spacing w:after="0" w:line="193" w:lineRule="exact"/>
              <w:rPr>
                <w:sz w:val="20"/>
                <w:szCs w:val="20"/>
                <w:color w:val="auto"/>
              </w:rPr>
            </w:pPr>
            <w:r>
              <w:rPr>
                <w:rFonts w:ascii="Arial" w:cs="Arial" w:eastAsia="Arial" w:hAnsi="Arial"/>
                <w:sz w:val="15"/>
                <w:szCs w:val="15"/>
                <w:color w:val="auto"/>
              </w:rPr>
              <w:t xml:space="preserve">Special items, net </w:t>
            </w:r>
            <w:r>
              <w:rPr>
                <w:rFonts w:ascii="Arial" w:cs="Arial" w:eastAsia="Arial" w:hAnsi="Arial"/>
                <w:sz w:val="22"/>
                <w:szCs w:val="22"/>
                <w:color w:val="auto"/>
                <w:vertAlign w:val="superscript"/>
              </w:rPr>
              <w:t>(a)</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(38,520)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(2.67)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(31,481)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(7.54)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tcPr>
          <w:p>
            <w:pPr>
              <w:ind w:left="100"/>
              <w:spacing w:after="0" w:line="193" w:lineRule="exact"/>
              <w:rPr>
                <w:sz w:val="20"/>
                <w:szCs w:val="20"/>
                <w:color w:val="auto"/>
              </w:rPr>
            </w:pPr>
            <w:r>
              <w:rPr>
                <w:rFonts w:ascii="Arial" w:cs="Arial" w:eastAsia="Arial" w:hAnsi="Arial"/>
                <w:sz w:val="15"/>
                <w:szCs w:val="15"/>
                <w:color w:val="auto"/>
              </w:rPr>
              <w:t xml:space="preserve">Voluntary leave expense </w:t>
            </w:r>
            <w:r>
              <w:rPr>
                <w:rFonts w:ascii="Arial" w:cs="Arial" w:eastAsia="Arial" w:hAnsi="Arial"/>
                <w:sz w:val="22"/>
                <w:szCs w:val="22"/>
                <w:color w:val="auto"/>
                <w:vertAlign w:val="superscript"/>
              </w:rPr>
              <w:t>(b)</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4"/>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2,541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0.61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shd w:val="clear" w:color="auto" w:fill="CCEEFF"/>
          </w:tcPr>
          <w:p>
            <w:pPr>
              <w:ind w:left="100"/>
              <w:spacing w:after="0" w:line="193" w:lineRule="exact"/>
              <w:rPr>
                <w:sz w:val="20"/>
                <w:szCs w:val="20"/>
                <w:color w:val="auto"/>
              </w:rPr>
            </w:pPr>
            <w:r>
              <w:rPr>
                <w:rFonts w:ascii="Arial" w:cs="Arial" w:eastAsia="Arial" w:hAnsi="Arial"/>
                <w:sz w:val="15"/>
                <w:szCs w:val="15"/>
                <w:color w:val="auto"/>
              </w:rPr>
              <w:t>Tax Receivable Agreement Expense</w:t>
            </w:r>
            <w:r>
              <w:rPr>
                <w:rFonts w:ascii="Arial" w:cs="Arial" w:eastAsia="Arial" w:hAnsi="Arial"/>
                <w:sz w:val="22"/>
                <w:szCs w:val="22"/>
                <w:color w:val="auto"/>
                <w:vertAlign w:val="superscript"/>
              </w:rPr>
              <w:t>(c)</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tcPr>
          <w:p>
            <w:pPr>
              <w:ind w:left="100"/>
              <w:spacing w:after="0" w:line="194" w:lineRule="exact"/>
              <w:rPr>
                <w:sz w:val="20"/>
                <w:szCs w:val="20"/>
                <w:color w:val="auto"/>
              </w:rPr>
            </w:pPr>
            <w:r>
              <w:rPr>
                <w:rFonts w:ascii="Arial" w:cs="Arial" w:eastAsia="Arial" w:hAnsi="Arial"/>
                <w:sz w:val="17"/>
                <w:szCs w:val="17"/>
                <w:color w:val="auto"/>
              </w:rPr>
              <w:t>Cargo expenses, not already adjusted above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16,183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4,523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Sun Country Vacations</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173</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0.01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144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Borders>
              <w:bottom w:val="single" w:sz="8" w:color="CCEEFF"/>
            </w:tcBorders>
          </w:tcPr>
          <w:p>
            <w:pPr>
              <w:spacing w:after="0" w:line="186" w:lineRule="exact"/>
              <w:rPr>
                <w:sz w:val="20"/>
                <w:szCs w:val="20"/>
                <w:color w:val="auto"/>
              </w:rPr>
            </w:pPr>
            <w:r>
              <w:rPr>
                <w:rFonts w:ascii="Arial" w:cs="Arial" w:eastAsia="Arial" w:hAnsi="Arial"/>
                <w:sz w:val="17"/>
                <w:szCs w:val="17"/>
                <w:b w:val="1"/>
                <w:bCs w:val="1"/>
                <w:color w:val="auto"/>
              </w:rPr>
              <w:t>Adjusted CASM</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91,611</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gridSpan w:val="2"/>
          </w:tcPr>
          <w:p>
            <w:pPr>
              <w:jc w:val="right"/>
              <w:ind w:right="60"/>
              <w:spacing w:after="0" w:line="186" w:lineRule="exact"/>
              <w:rPr>
                <w:sz w:val="20"/>
                <w:szCs w:val="20"/>
                <w:color w:val="auto"/>
              </w:rPr>
            </w:pPr>
            <w:r>
              <w:rPr>
                <w:rFonts w:ascii="Arial" w:cs="Arial" w:eastAsia="Arial" w:hAnsi="Arial"/>
                <w:sz w:val="17"/>
                <w:szCs w:val="17"/>
                <w:b w:val="1"/>
                <w:bCs w:val="1"/>
                <w:color w:val="auto"/>
              </w:rPr>
              <w:t>6.35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w w:val="84"/>
              </w:rPr>
              <w:t>$</w:t>
            </w:r>
          </w:p>
        </w:tc>
        <w:tc>
          <w:tcPr>
            <w:tcW w:w="7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60,818</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14.57</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Available Seat Miles (ASMs)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1,442,744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417,538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1"/>
          </w:tcPr>
          <w:p>
            <w:pPr>
              <w:jc w:val="center"/>
              <w:ind w:right="360"/>
              <w:spacing w:after="0"/>
              <w:rPr>
                <w:sz w:val="20"/>
                <w:szCs w:val="20"/>
                <w:color w:val="auto"/>
              </w:rPr>
            </w:pPr>
            <w:r>
              <w:rPr>
                <w:rFonts w:ascii="Arial" w:cs="Arial" w:eastAsia="Arial" w:hAnsi="Arial"/>
                <w:sz w:val="14"/>
                <w:szCs w:val="14"/>
                <w:b w:val="1"/>
                <w:bCs w:val="1"/>
                <w:color w:val="auto"/>
                <w:w w:val="98"/>
              </w:rPr>
              <w:t>Six Months Ended June 30,</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640"/>
              <w:spacing w:after="0" w:line="148"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ind w:left="620"/>
              <w:spacing w:after="0" w:line="148"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tcPr>
          <w:p>
            <w:pPr>
              <w:ind w:left="40"/>
              <w:spacing w:after="0" w:line="136" w:lineRule="exact"/>
              <w:rPr>
                <w:sz w:val="20"/>
                <w:szCs w:val="20"/>
                <w:color w:val="auto"/>
              </w:rPr>
            </w:pPr>
            <w:r>
              <w:rPr>
                <w:rFonts w:ascii="Arial" w:cs="Arial" w:eastAsia="Arial" w:hAnsi="Arial"/>
                <w:sz w:val="14"/>
                <w:szCs w:val="14"/>
                <w:b w:val="1"/>
                <w:bCs w:val="1"/>
                <w:color w:val="auto"/>
              </w:rPr>
              <w:t>Operating</w:t>
            </w:r>
          </w:p>
        </w:tc>
        <w:tc>
          <w:tcPr>
            <w:tcW w:w="680" w:type="dxa"/>
            <w:vAlign w:val="bottom"/>
          </w:tcPr>
          <w:p>
            <w:pPr>
              <w:jc w:val="right"/>
              <w:spacing w:after="0" w:line="136" w:lineRule="exact"/>
              <w:rPr>
                <w:sz w:val="20"/>
                <w:szCs w:val="20"/>
                <w:color w:val="auto"/>
              </w:rPr>
            </w:pPr>
            <w:r>
              <w:rPr>
                <w:rFonts w:ascii="Arial" w:cs="Arial" w:eastAsia="Arial" w:hAnsi="Arial"/>
                <w:sz w:val="14"/>
                <w:szCs w:val="14"/>
                <w:b w:val="1"/>
                <w:bCs w:val="1"/>
                <w:color w:val="auto"/>
              </w:rPr>
              <w:t>Per ASM</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spacing w:after="0" w:line="136" w:lineRule="exact"/>
              <w:rPr>
                <w:sz w:val="20"/>
                <w:szCs w:val="20"/>
                <w:color w:val="auto"/>
              </w:rPr>
            </w:pPr>
            <w:r>
              <w:rPr>
                <w:rFonts w:ascii="Arial" w:cs="Arial" w:eastAsia="Arial" w:hAnsi="Arial"/>
                <w:sz w:val="14"/>
                <w:szCs w:val="14"/>
                <w:b w:val="1"/>
                <w:bCs w:val="1"/>
                <w:color w:val="auto"/>
              </w:rPr>
              <w:t>Operating</w:t>
            </w:r>
          </w:p>
        </w:tc>
        <w:tc>
          <w:tcPr>
            <w:tcW w:w="720" w:type="dxa"/>
            <w:vAlign w:val="bottom"/>
          </w:tcPr>
          <w:p>
            <w:pPr>
              <w:jc w:val="right"/>
              <w:spacing w:after="0" w:line="136" w:lineRule="exact"/>
              <w:rPr>
                <w:sz w:val="20"/>
                <w:szCs w:val="20"/>
                <w:color w:val="auto"/>
              </w:rPr>
            </w:pPr>
            <w:r>
              <w:rPr>
                <w:rFonts w:ascii="Arial" w:cs="Arial" w:eastAsia="Arial" w:hAnsi="Arial"/>
                <w:sz w:val="14"/>
                <w:szCs w:val="14"/>
                <w:b w:val="1"/>
                <w:bCs w:val="1"/>
                <w:color w:val="auto"/>
              </w:rPr>
              <w:t>Per ASM</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Expenses</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(in cents)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Expenses</w:t>
            </w: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(in cents)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6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CASM</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202,630</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7.19</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gridSpan w:val="2"/>
            <w:shd w:val="clear" w:color="auto" w:fill="CCEEFF"/>
          </w:tcPr>
          <w:p>
            <w:pPr>
              <w:jc w:val="right"/>
              <w:ind w:right="40"/>
              <w:spacing w:after="0" w:line="186" w:lineRule="exact"/>
              <w:rPr>
                <w:sz w:val="20"/>
                <w:szCs w:val="20"/>
                <w:color w:val="auto"/>
              </w:rPr>
            </w:pPr>
            <w:r>
              <w:rPr>
                <w:rFonts w:ascii="Arial" w:cs="Arial" w:eastAsia="Arial" w:hAnsi="Arial"/>
                <w:sz w:val="17"/>
                <w:szCs w:val="17"/>
                <w:color w:val="auto"/>
              </w:rPr>
              <w:t>202,710</w:t>
            </w: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9.32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tcPr>
          <w:p>
            <w:pPr>
              <w:spacing w:after="0" w:line="194" w:lineRule="exact"/>
              <w:rPr>
                <w:sz w:val="20"/>
                <w:szCs w:val="20"/>
                <w:color w:val="auto"/>
              </w:rPr>
            </w:pPr>
            <w:r>
              <w:rPr>
                <w:rFonts w:ascii="Arial" w:cs="Arial" w:eastAsia="Arial" w:hAnsi="Arial"/>
                <w:sz w:val="17"/>
                <w:szCs w:val="17"/>
                <w:color w:val="auto"/>
              </w:rPr>
              <w:t>Less: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Aircraft fuel</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53,984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56,238</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tcPr>
          <w:p>
            <w:pPr>
              <w:ind w:left="100"/>
              <w:spacing w:after="0" w:line="194" w:lineRule="exact"/>
              <w:rPr>
                <w:sz w:val="20"/>
                <w:szCs w:val="20"/>
                <w:color w:val="auto"/>
              </w:rPr>
            </w:pPr>
            <w:r>
              <w:rPr>
                <w:rFonts w:ascii="Arial" w:cs="Arial" w:eastAsia="Arial" w:hAnsi="Arial"/>
                <w:sz w:val="17"/>
                <w:szCs w:val="17"/>
                <w:color w:val="auto"/>
              </w:rPr>
              <w:t>Stock Compensation expense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3,613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0.13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757</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shd w:val="clear" w:color="auto" w:fill="CCEEFF"/>
          </w:tcPr>
          <w:p>
            <w:pPr>
              <w:ind w:left="100"/>
              <w:spacing w:after="0" w:line="193" w:lineRule="exact"/>
              <w:rPr>
                <w:sz w:val="20"/>
                <w:szCs w:val="20"/>
                <w:color w:val="auto"/>
              </w:rPr>
            </w:pPr>
            <w:r>
              <w:rPr>
                <w:rFonts w:ascii="Arial" w:cs="Arial" w:eastAsia="Arial" w:hAnsi="Arial"/>
                <w:sz w:val="15"/>
                <w:szCs w:val="15"/>
                <w:color w:val="auto"/>
              </w:rPr>
              <w:t xml:space="preserve">Special items, net </w:t>
            </w:r>
            <w:r>
              <w:rPr>
                <w:rFonts w:ascii="Arial" w:cs="Arial" w:eastAsia="Arial" w:hAnsi="Arial"/>
                <w:sz w:val="22"/>
                <w:szCs w:val="22"/>
                <w:color w:val="auto"/>
                <w:vertAlign w:val="superscript"/>
              </w:rPr>
              <w:t>(a)</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(65,392)</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(2.32)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(31,481)</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tcPr>
          <w:p>
            <w:pPr>
              <w:ind w:left="100"/>
              <w:spacing w:after="0" w:line="193" w:lineRule="exact"/>
              <w:rPr>
                <w:sz w:val="20"/>
                <w:szCs w:val="20"/>
                <w:color w:val="auto"/>
              </w:rPr>
            </w:pPr>
            <w:r>
              <w:rPr>
                <w:rFonts w:ascii="Arial" w:cs="Arial" w:eastAsia="Arial" w:hAnsi="Arial"/>
                <w:sz w:val="15"/>
                <w:szCs w:val="15"/>
                <w:color w:val="auto"/>
              </w:rPr>
              <w:t xml:space="preserve">Voluntary leave expense </w:t>
            </w:r>
            <w:r>
              <w:rPr>
                <w:rFonts w:ascii="Arial" w:cs="Arial" w:eastAsia="Arial" w:hAnsi="Arial"/>
                <w:sz w:val="22"/>
                <w:szCs w:val="22"/>
                <w:color w:val="auto"/>
                <w:vertAlign w:val="superscript"/>
              </w:rPr>
              <w:t>(b)</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4"/>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2,541</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shd w:val="clear" w:color="auto" w:fill="CCEEFF"/>
          </w:tcPr>
          <w:p>
            <w:pPr>
              <w:ind w:left="100"/>
              <w:spacing w:after="0" w:line="193" w:lineRule="exact"/>
              <w:rPr>
                <w:sz w:val="20"/>
                <w:szCs w:val="20"/>
                <w:color w:val="auto"/>
              </w:rPr>
            </w:pPr>
            <w:r>
              <w:rPr>
                <w:rFonts w:ascii="Arial" w:cs="Arial" w:eastAsia="Arial" w:hAnsi="Arial"/>
                <w:sz w:val="15"/>
                <w:szCs w:val="15"/>
                <w:color w:val="auto"/>
              </w:rPr>
              <w:t>Tax Receivable Agreement Expense</w:t>
            </w:r>
            <w:r>
              <w:rPr>
                <w:rFonts w:ascii="Arial" w:cs="Arial" w:eastAsia="Arial" w:hAnsi="Arial"/>
                <w:sz w:val="22"/>
                <w:szCs w:val="22"/>
                <w:color w:val="auto"/>
                <w:vertAlign w:val="superscript"/>
              </w:rPr>
              <w:t>(c)</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315</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0.01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tcPr>
          <w:p>
            <w:pPr>
              <w:ind w:left="100"/>
              <w:spacing w:after="0" w:line="194" w:lineRule="exact"/>
              <w:rPr>
                <w:sz w:val="20"/>
                <w:szCs w:val="20"/>
                <w:color w:val="auto"/>
              </w:rPr>
            </w:pPr>
            <w:r>
              <w:rPr>
                <w:rFonts w:ascii="Arial" w:cs="Arial" w:eastAsia="Arial" w:hAnsi="Arial"/>
                <w:sz w:val="17"/>
                <w:szCs w:val="17"/>
                <w:color w:val="auto"/>
              </w:rPr>
              <w:t>Cargo expenses, not already adjusted above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33,379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1.18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4,523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Sun Country Vacations</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387</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0.01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332</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Borders>
              <w:bottom w:val="single" w:sz="8" w:color="CCEEFF"/>
            </w:tcBorders>
          </w:tcPr>
          <w:p>
            <w:pPr>
              <w:spacing w:after="0" w:line="186" w:lineRule="exact"/>
              <w:rPr>
                <w:sz w:val="20"/>
                <w:szCs w:val="20"/>
                <w:color w:val="auto"/>
              </w:rPr>
            </w:pPr>
            <w:r>
              <w:rPr>
                <w:rFonts w:ascii="Arial" w:cs="Arial" w:eastAsia="Arial" w:hAnsi="Arial"/>
                <w:sz w:val="17"/>
                <w:szCs w:val="17"/>
                <w:b w:val="1"/>
                <w:bCs w:val="1"/>
                <w:color w:val="auto"/>
              </w:rPr>
              <w:t>Adjusted CASM</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176,344</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6.25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40"/>
              <w:spacing w:after="0" w:line="186" w:lineRule="exact"/>
              <w:rPr>
                <w:sz w:val="20"/>
                <w:szCs w:val="20"/>
                <w:color w:val="auto"/>
              </w:rPr>
            </w:pPr>
            <w:r>
              <w:rPr>
                <w:rFonts w:ascii="Arial" w:cs="Arial" w:eastAsia="Arial" w:hAnsi="Arial"/>
                <w:sz w:val="17"/>
                <w:szCs w:val="17"/>
                <w:b w:val="1"/>
                <w:bCs w:val="1"/>
                <w:color w:val="auto"/>
              </w:rPr>
              <w:t>169,800</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7.81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Available Seat Miles (ASMs)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2,819,540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2,174,605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57785</wp:posOffset>
            </wp:positionV>
            <wp:extent cx="141605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16050" cy="16510"/>
                    </a:xfrm>
                    <a:prstGeom prst="rect">
                      <a:avLst/>
                    </a:prstGeom>
                    <a:noFill/>
                  </pic:spPr>
                </pic:pic>
              </a:graphicData>
            </a:graphic>
          </wp:anchor>
        </w:drawing>
      </w:r>
    </w:p>
    <w:p>
      <w:pPr>
        <w:spacing w:after="0" w:line="173" w:lineRule="exact"/>
        <w:rPr>
          <w:sz w:val="20"/>
          <w:szCs w:val="20"/>
          <w:color w:val="auto"/>
        </w:rPr>
      </w:pPr>
    </w:p>
    <w:p>
      <w:pPr>
        <w:ind w:left="360" w:right="79" w:hanging="313"/>
        <w:spacing w:after="0" w:line="249" w:lineRule="auto"/>
        <w:tabs>
          <w:tab w:leader="none" w:pos="3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adjustments include Special Items, net, as presented in Note 11 of the Company’s Condensed Consolidated Financial Statements.</w:t>
      </w: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ind w:left="4400" w:hanging="96"/>
        <w:spacing w:after="0"/>
        <w:tabs>
          <w:tab w:leader="none" w:pos="44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360" w:right="59" w:hanging="313"/>
        <w:spacing w:after="0" w:line="243" w:lineRule="auto"/>
        <w:tabs>
          <w:tab w:leader="none" w:pos="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92" w:lineRule="exact"/>
        <w:rPr>
          <w:rFonts w:ascii="Arial" w:cs="Arial" w:eastAsia="Arial" w:hAnsi="Arial"/>
          <w:sz w:val="17"/>
          <w:szCs w:val="17"/>
          <w:color w:val="auto"/>
        </w:rPr>
      </w:pPr>
    </w:p>
    <w:p>
      <w:pPr>
        <w:ind w:left="360" w:right="59" w:hanging="313"/>
        <w:spacing w:after="0" w:line="249" w:lineRule="auto"/>
        <w:tabs>
          <w:tab w:leader="none" w:pos="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represents the one-time costs to establish the Tax Receivable Agreement with our pre-IPO stockholders. See Note 10 of the Company’s Condensed Consolidated Financial Statements.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Liquidity and Capital Resources</w:t>
      </w:r>
    </w:p>
    <w:p>
      <w:pPr>
        <w:spacing w:after="0" w:line="224"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The airline business is capital intensive and our ability to successfully execute our business strategy is largely dependent on the continued availability of capital on attractive terms and our ability to maintain sufficient liquidity. We have historically funded our operations and capital expenditures primarily through cash from operations, proceeds from stockholders’ capital contributions, the issuance of promissory notes, our 2019-1 EETC financing, and the Delayed Draw Term Loan Facility. In March 2021, the Company offered 9,090,909 shares of common stock to the public at $24.00 per share. The underwriters had an option to purchase an additional 1,363,636 shares from the Company at the public offering price, which they exercised. In total, all 10,454,545 shares were issued and the net proceeds to the company were $225,006 after deducting underwriting discounts and commissions, and other offering expenses.</w:t>
      </w:r>
    </w:p>
    <w:p>
      <w:pPr>
        <w:spacing w:after="0" w:line="195"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Our primary sources of liquidity as of June 30, 2021 included our existing cash and equivalents of $310,723 and short-term investments of $6,076, our expected cash generated from operations and our $25,000 Revolving Credit Facility, which had availability of $25,000 as of June 30, 2021. In addition, we had restricted cash of $4,762 as of June 30, 2021, which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transportation is provided.</w:t>
      </w:r>
    </w:p>
    <w:p>
      <w:pPr>
        <w:spacing w:after="0" w:line="197" w:lineRule="exact"/>
        <w:rPr>
          <w:sz w:val="20"/>
          <w:szCs w:val="20"/>
          <w:color w:val="auto"/>
        </w:rPr>
      </w:pPr>
    </w:p>
    <w:p>
      <w:pPr>
        <w:jc w:val="both"/>
        <w:ind w:left="40" w:right="59"/>
        <w:spacing w:after="0"/>
        <w:rPr>
          <w:sz w:val="20"/>
          <w:szCs w:val="20"/>
          <w:color w:val="auto"/>
        </w:rPr>
      </w:pPr>
      <w:r>
        <w:rPr>
          <w:rFonts w:ascii="Arial" w:cs="Arial" w:eastAsia="Arial" w:hAnsi="Arial"/>
          <w:sz w:val="17"/>
          <w:szCs w:val="17"/>
          <w:color w:val="auto"/>
        </w:rPr>
        <w:t>We received a total of $62,312 in assistance from Treasury in 2020 as part of the Payroll Support Program under the CARES Act in response to the extensive impact of the COVID-19 pandemic on the U.S. airline industry. 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September 30, 2022 under PSP3; and restrictions on the payment of certain executive compensation until April 1, 2023 under PSP3. A portion of the proceeds from our initial public offering was used to repay in full all amounts outstanding under the CARES Act Loan.</w:t>
      </w:r>
    </w:p>
    <w:p>
      <w:pPr>
        <w:spacing w:after="0" w:line="379" w:lineRule="exact"/>
        <w:rPr>
          <w:sz w:val="20"/>
          <w:szCs w:val="20"/>
          <w:color w:val="auto"/>
        </w:rPr>
      </w:pPr>
    </w:p>
    <w:p>
      <w:pPr>
        <w:jc w:val="both"/>
        <w:ind w:left="40" w:right="59"/>
        <w:spacing w:after="0" w:line="241" w:lineRule="auto"/>
        <w:rPr>
          <w:sz w:val="20"/>
          <w:szCs w:val="20"/>
          <w:color w:val="auto"/>
        </w:rPr>
      </w:pPr>
      <w:r>
        <w:rPr>
          <w:rFonts w:ascii="Arial" w:cs="Arial" w:eastAsia="Arial" w:hAnsi="Arial"/>
          <w:sz w:val="17"/>
          <w:szCs w:val="17"/>
          <w:color w:val="auto"/>
        </w:rPr>
        <w:t>During the first quarter of 2021, we received a grant of $32,208 under PSP2. On April 22, 2021, we received a PSP2 top-off grant of $4,831. All funds provided by Treasury to PSP2 participants may only be used for the continuation of payment of employee wages, salaries, and benefits. Further, during the second quarter of 2021, we received a grant of $34,547 under PSP3.</w:t>
      </w:r>
    </w:p>
    <w:p>
      <w:pPr>
        <w:spacing w:after="0" w:line="195"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7"/>
          <w:szCs w:val="17"/>
          <w:color w:val="auto"/>
        </w:rPr>
        <w:t>On February 10, 2021, Sun Country, Inc., our wholly-owned subsidiary (the “Borrower”), entered into the Credit Agreement, which provides for a $25,000 Revolving Credit Facility and a $90,000 Delayed Draw Term Loan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40" w:right="59"/>
        <w:spacing w:after="0"/>
        <w:rPr>
          <w:sz w:val="20"/>
          <w:szCs w:val="20"/>
          <w:color w:val="auto"/>
        </w:rPr>
      </w:pPr>
      <w:r>
        <w:rPr>
          <w:rFonts w:ascii="Arial" w:cs="Arial" w:eastAsia="Arial" w:hAnsi="Arial"/>
          <w:sz w:val="17"/>
          <w:szCs w:val="17"/>
          <w:color w:val="auto"/>
        </w:rPr>
        <w:t>Facility, which we refer to collectively as the “Credit Facilities,” and repaid in full all borrowings outstanding under the ABL Facility. The Revolving Credit Facility matures on the earlier of (i) February 10, 2026 and (ii) to the extent the sum of (x) the amount unused commitments under the Delayed Draw Term Loan Facility and (y) the amount of loans under the Delayed Draw Term Loan Facility exceeds $25,000 on such date, the date that is 180 days prior to February 10, 2026. The Delayed Draw Term Loan Facility matures on February 10, 2026. The Delayed Draw Term Loan Facility is available only to finance the acquisition of aircraft and engines and is not available for working capital or other general corporate purposes. Only the $25,000 Revolving Credit Facility portion of the Credit Facilities is available for general corporate purposes and as a general source of liquidity. During the six months ended June 30, 2021, we drew $80,500 on the Delayed Draw Term Loan Facility and $79,494 remained outstanding at June 30, 2021.</w:t>
      </w:r>
    </w:p>
    <w:p>
      <w:pPr>
        <w:spacing w:after="0" w:line="381" w:lineRule="exact"/>
        <w:rPr>
          <w:sz w:val="20"/>
          <w:szCs w:val="20"/>
          <w:color w:val="auto"/>
        </w:rPr>
      </w:pPr>
    </w:p>
    <w:p>
      <w:pPr>
        <w:jc w:val="both"/>
        <w:ind w:left="40" w:right="59"/>
        <w:spacing w:after="0" w:line="241" w:lineRule="auto"/>
        <w:rPr>
          <w:sz w:val="20"/>
          <w:szCs w:val="20"/>
          <w:color w:val="auto"/>
        </w:rPr>
      </w:pPr>
      <w:r>
        <w:rPr>
          <w:rFonts w:ascii="Arial" w:cs="Arial" w:eastAsia="Arial" w:hAnsi="Arial"/>
          <w:sz w:val="17"/>
          <w:szCs w:val="17"/>
          <w:color w:val="auto"/>
        </w:rPr>
        <w:t>Our primary uses of liquidity are for operating expenses, capital expenditures, lease rentals and maintenance reserve deposits, debt repayments and working capital requirements. Our single largest capital expenditure requirement relates to the acquisition of aircraft, which we have historically acquired through operating and finance leases and debt.</w:t>
      </w:r>
    </w:p>
    <w:p>
      <w:pPr>
        <w:spacing w:after="0" w:line="195"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color w:val="auto"/>
        </w:rPr>
        <w:t>We plan to grow the passenger fleet to an estimated 50 aircraft by the end of 2023. We may finance additional aircraft through debt financing or finance leases based on market conditions, our prevailing level of liquidity and capital market availability. We may also enter into new operating leases on an opportunistic basis.</w:t>
      </w:r>
    </w:p>
    <w:p>
      <w:pPr>
        <w:spacing w:after="0" w:line="193" w:lineRule="exact"/>
        <w:rPr>
          <w:sz w:val="20"/>
          <w:szCs w:val="20"/>
          <w:color w:val="auto"/>
        </w:rPr>
      </w:pPr>
    </w:p>
    <w:p>
      <w:pPr>
        <w:jc w:val="both"/>
        <w:ind w:left="40" w:right="59"/>
        <w:spacing w:after="0"/>
        <w:rPr>
          <w:sz w:val="20"/>
          <w:szCs w:val="20"/>
          <w:color w:val="auto"/>
        </w:rPr>
      </w:pPr>
      <w:r>
        <w:rPr>
          <w:rFonts w:ascii="Arial" w:cs="Arial" w:eastAsia="Arial" w:hAnsi="Arial"/>
          <w:sz w:val="17"/>
          <w:szCs w:val="17"/>
          <w:color w:val="auto"/>
        </w:rPr>
        <w:t>In addition to funding the acquisition of aircraft, we are required by our aircraft lessors to fund reserves in cash in advance for scheduled maintenance to act as collateral for the benefit of lessors. Qualifying payments that are expected to be recovered from lessors are recorded as Lessor Maintenance Deposits on our Condensed Consolidated Balance Sheet. A portion of our deposits is therefore unavailable until after we have completed the scheduled maintenance in accordance with the terms of the aircraft leases.</w:t>
      </w:r>
    </w:p>
    <w:p>
      <w:pPr>
        <w:spacing w:after="0" w:line="196"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We believe that our unrestricted cash and equivalents, short-term investments and availability under our Revolving Credit Facility,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or acts of terrorism.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table below presents the major indicators of financial condition and liquidity:</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80" w:type="dxa"/>
            <w:vAlign w:val="bottom"/>
            <w:gridSpan w:val="9"/>
          </w:tcPr>
          <w:p>
            <w:pPr>
              <w:jc w:val="right"/>
              <w:spacing w:after="0"/>
              <w:rPr>
                <w:sz w:val="20"/>
                <w:szCs w:val="20"/>
                <w:color w:val="auto"/>
              </w:rPr>
            </w:pPr>
            <w:r>
              <w:rPr>
                <w:rFonts w:ascii="Arial" w:cs="Arial" w:eastAsia="Arial" w:hAnsi="Arial"/>
                <w:sz w:val="14"/>
                <w:szCs w:val="14"/>
                <w:b w:val="1"/>
                <w:bCs w:val="1"/>
                <w:color w:val="auto"/>
              </w:rPr>
              <w:t>June 30, 2021   December 31, 2020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tcBorders>
              <w:top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Cash and Equivalents</w:t>
            </w:r>
          </w:p>
        </w:tc>
        <w:tc>
          <w:tcPr>
            <w:tcW w:w="7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8"/>
              <w:spacing w:after="0" w:line="186"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gridSpan w:val="3"/>
            <w:shd w:val="clear" w:color="auto" w:fill="CCEEFF"/>
          </w:tcPr>
          <w:p>
            <w:pPr>
              <w:jc w:val="right"/>
              <w:spacing w:after="0" w:line="186" w:lineRule="exact"/>
              <w:rPr>
                <w:sz w:val="20"/>
                <w:szCs w:val="20"/>
                <w:color w:val="auto"/>
              </w:rPr>
            </w:pPr>
            <w:r>
              <w:rPr>
                <w:rFonts w:ascii="Arial" w:cs="Arial" w:eastAsia="Arial" w:hAnsi="Arial"/>
                <w:sz w:val="17"/>
                <w:szCs w:val="17"/>
                <w:color w:val="auto"/>
              </w:rPr>
              <w:t>310,723</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2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62,028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Pr>
          <w:p>
            <w:pPr>
              <w:spacing w:after="0" w:line="194" w:lineRule="exact"/>
              <w:rPr>
                <w:sz w:val="20"/>
                <w:szCs w:val="20"/>
                <w:color w:val="auto"/>
              </w:rPr>
            </w:pPr>
            <w:r>
              <w:rPr>
                <w:rFonts w:ascii="Arial" w:cs="Arial" w:eastAsia="Arial" w:hAnsi="Arial"/>
                <w:sz w:val="17"/>
                <w:szCs w:val="17"/>
                <w:color w:val="auto"/>
              </w:rPr>
              <w:t>Investments</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6,076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5,624</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6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640" w:type="dxa"/>
            <w:vAlign w:val="bottom"/>
          </w:tcPr>
          <w:p>
            <w:pPr>
              <w:spacing w:after="0" w:line="194" w:lineRule="exact"/>
              <w:rPr>
                <w:sz w:val="20"/>
                <w:szCs w:val="20"/>
                <w:color w:val="auto"/>
              </w:rPr>
            </w:pPr>
            <w:r>
              <w:rPr>
                <w:rFonts w:ascii="Arial" w:cs="Arial" w:eastAsia="Arial" w:hAnsi="Arial"/>
                <w:sz w:val="17"/>
                <w:szCs w:val="17"/>
                <w:color w:val="auto"/>
              </w:rPr>
              <w:t>Long-term Debt</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287,479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282,463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Finance Lease Obligations</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144,692</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107,170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Operating Lease Obligations</w:t>
            </w:r>
          </w:p>
        </w:tc>
        <w:tc>
          <w:tcPr>
            <w:tcW w:w="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spacing w:after="0" w:line="194" w:lineRule="exact"/>
              <w:rPr>
                <w:sz w:val="20"/>
                <w:szCs w:val="20"/>
                <w:color w:val="auto"/>
              </w:rPr>
            </w:pPr>
            <w:r>
              <w:rPr>
                <w:rFonts w:ascii="Arial" w:cs="Arial" w:eastAsia="Arial" w:hAnsi="Arial"/>
                <w:sz w:val="17"/>
                <w:szCs w:val="17"/>
                <w:color w:val="auto"/>
              </w:rPr>
              <w:t>86,647</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147,199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shd w:val="clear" w:color="auto" w:fill="CCEEFF"/>
          </w:tcPr>
          <w:p>
            <w:pPr>
              <w:ind w:left="100"/>
              <w:spacing w:after="0" w:line="185" w:lineRule="exact"/>
              <w:rPr>
                <w:sz w:val="20"/>
                <w:szCs w:val="20"/>
                <w:color w:val="auto"/>
              </w:rPr>
            </w:pPr>
            <w:r>
              <w:rPr>
                <w:rFonts w:ascii="Arial" w:cs="Arial" w:eastAsia="Arial" w:hAnsi="Arial"/>
                <w:sz w:val="17"/>
                <w:szCs w:val="17"/>
                <w:color w:val="auto"/>
              </w:rPr>
              <w:t>Total Debt and Lease obligations</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8"/>
              <w:spacing w:after="0" w:line="186" w:lineRule="exact"/>
              <w:rPr>
                <w:sz w:val="20"/>
                <w:szCs w:val="20"/>
                <w:color w:val="auto"/>
              </w:rPr>
            </w:pPr>
            <w:r>
              <w:rPr>
                <w:rFonts w:ascii="Arial" w:cs="Arial" w:eastAsia="Arial" w:hAnsi="Arial"/>
                <w:sz w:val="17"/>
                <w:szCs w:val="17"/>
                <w:color w:val="auto"/>
                <w:w w:val="84"/>
              </w:rPr>
              <w:t>$</w:t>
            </w:r>
          </w:p>
        </w:tc>
        <w:tc>
          <w:tcPr>
            <w:tcW w:w="800" w:type="dxa"/>
            <w:vAlign w:val="bottom"/>
            <w:gridSpan w:val="3"/>
            <w:shd w:val="clear" w:color="auto" w:fill="CCEEFF"/>
          </w:tcPr>
          <w:p>
            <w:pPr>
              <w:jc w:val="right"/>
              <w:spacing w:after="0" w:line="186" w:lineRule="exact"/>
              <w:rPr>
                <w:sz w:val="20"/>
                <w:szCs w:val="20"/>
                <w:color w:val="auto"/>
              </w:rPr>
            </w:pPr>
            <w:r>
              <w:rPr>
                <w:rFonts w:ascii="Arial" w:cs="Arial" w:eastAsia="Arial" w:hAnsi="Arial"/>
                <w:sz w:val="17"/>
                <w:szCs w:val="17"/>
                <w:color w:val="auto"/>
              </w:rPr>
              <w:t>518,818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536,832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Stockholders' Equity</w:t>
            </w:r>
          </w:p>
        </w:tc>
        <w:tc>
          <w:tcPr>
            <w:tcW w:w="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spacing w:after="0" w:line="194" w:lineRule="exact"/>
              <w:rPr>
                <w:sz w:val="20"/>
                <w:szCs w:val="20"/>
                <w:color w:val="auto"/>
              </w:rPr>
            </w:pPr>
            <w:r>
              <w:rPr>
                <w:rFonts w:ascii="Arial" w:cs="Arial" w:eastAsia="Arial" w:hAnsi="Arial"/>
                <w:sz w:val="17"/>
                <w:szCs w:val="17"/>
                <w:color w:val="auto"/>
              </w:rPr>
              <w:t>464,233</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283,817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tcBorders>
              <w:bottom w:val="single" w:sz="8" w:color="CCEEFF"/>
            </w:tcBorders>
            <w:shd w:val="clear" w:color="auto" w:fill="CCEEFF"/>
          </w:tcPr>
          <w:p>
            <w:pPr>
              <w:ind w:left="100"/>
              <w:spacing w:after="0" w:line="185" w:lineRule="exact"/>
              <w:rPr>
                <w:sz w:val="20"/>
                <w:szCs w:val="20"/>
                <w:color w:val="auto"/>
              </w:rPr>
            </w:pPr>
            <w:r>
              <w:rPr>
                <w:rFonts w:ascii="Arial" w:cs="Arial" w:eastAsia="Arial" w:hAnsi="Arial"/>
                <w:sz w:val="17"/>
                <w:szCs w:val="17"/>
                <w:color w:val="auto"/>
              </w:rPr>
              <w:t>Total Invested Capital</w:t>
            </w:r>
          </w:p>
        </w:tc>
        <w:tc>
          <w:tcPr>
            <w:tcW w:w="7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38"/>
              <w:spacing w:after="0" w:line="186" w:lineRule="exact"/>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gridSpan w:val="3"/>
            <w:shd w:val="clear" w:color="auto" w:fill="CCEEFF"/>
          </w:tcPr>
          <w:p>
            <w:pPr>
              <w:jc w:val="right"/>
              <w:spacing w:after="0" w:line="186" w:lineRule="exact"/>
              <w:rPr>
                <w:sz w:val="20"/>
                <w:szCs w:val="20"/>
                <w:color w:val="auto"/>
              </w:rPr>
            </w:pPr>
            <w:r>
              <w:rPr>
                <w:rFonts w:ascii="Arial" w:cs="Arial" w:eastAsia="Arial" w:hAnsi="Arial"/>
                <w:sz w:val="17"/>
                <w:szCs w:val="17"/>
                <w:color w:val="auto"/>
              </w:rPr>
              <w:t>983,051</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2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820,649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restart"/>
          </w:tcPr>
          <w:p>
            <w:pPr>
              <w:spacing w:after="0"/>
              <w:rPr>
                <w:sz w:val="14"/>
                <w:szCs w:val="14"/>
                <w:color w:val="auto"/>
              </w:rPr>
            </w:pPr>
          </w:p>
        </w:tc>
        <w:tc>
          <w:tcPr>
            <w:tcW w:w="5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Debt-to-Capital</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0.53</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0.65</w:t>
            </w:r>
          </w:p>
        </w:tc>
        <w:tc>
          <w:tcPr>
            <w:tcW w:w="0" w:type="dxa"/>
            <w:vAlign w:val="bottom"/>
          </w:tcPr>
          <w:p>
            <w:pPr>
              <w:spacing w:after="0"/>
              <w:rPr>
                <w:sz w:val="1"/>
                <w:szCs w:val="1"/>
                <w:color w:val="auto"/>
              </w:rPr>
            </w:pPr>
          </w:p>
        </w:tc>
      </w:tr>
      <w:tr>
        <w:trPr>
          <w:trHeight w:val="398"/>
        </w:trPr>
        <w:tc>
          <w:tcPr>
            <w:tcW w:w="56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Sources and Uses of Liquidity</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660" w:type="dxa"/>
            <w:vAlign w:val="bottom"/>
            <w:gridSpan w:val="2"/>
          </w:tcPr>
          <w:p>
            <w:pPr>
              <w:spacing w:after="0"/>
              <w:rPr>
                <w:sz w:val="20"/>
                <w:szCs w:val="20"/>
                <w:color w:val="auto"/>
              </w:rPr>
            </w:pPr>
            <w:r>
              <w:rPr>
                <w:rFonts w:ascii="Arial" w:cs="Arial" w:eastAsia="Arial" w:hAnsi="Arial"/>
                <w:sz w:val="17"/>
                <w:szCs w:val="17"/>
                <w:b w:val="1"/>
                <w:bCs w:val="1"/>
                <w:color w:val="auto"/>
              </w:rPr>
              <w:t>Cash Flow Activity</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right"/>
              <w:ind w:right="95"/>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5"/>
              <w:spacing w:after="0" w:line="148"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Total Operating Activities</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shd w:val="clear" w:color="auto" w:fill="CCEEFF"/>
          </w:tcPr>
          <w:p>
            <w:pPr>
              <w:jc w:val="right"/>
              <w:spacing w:after="0" w:line="186" w:lineRule="exact"/>
              <w:rPr>
                <w:sz w:val="20"/>
                <w:szCs w:val="20"/>
                <w:color w:val="auto"/>
              </w:rPr>
            </w:pPr>
            <w:r>
              <w:rPr>
                <w:rFonts w:ascii="Arial" w:cs="Arial" w:eastAsia="Arial" w:hAnsi="Arial"/>
                <w:sz w:val="17"/>
                <w:szCs w:val="17"/>
                <w:color w:val="auto"/>
              </w:rPr>
              <w:t>89,841</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(12,895)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tcPr>
          <w:p>
            <w:pPr>
              <w:ind w:left="100"/>
              <w:spacing w:after="0" w:line="186" w:lineRule="exact"/>
              <w:rPr>
                <w:sz w:val="20"/>
                <w:szCs w:val="20"/>
                <w:color w:val="auto"/>
              </w:rPr>
            </w:pPr>
            <w:r>
              <w:rPr>
                <w:rFonts w:ascii="Arial" w:cs="Arial" w:eastAsia="Arial" w:hAnsi="Arial"/>
                <w:sz w:val="17"/>
                <w:szCs w:val="17"/>
                <w:color w:val="auto"/>
              </w:rPr>
              <w:t>Investing Activities:</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Purchases of Property &amp; Equipment</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(66,736)</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(93,677)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Borders>
              <w:bottom w:val="single" w:sz="8" w:color="CCEEFF"/>
            </w:tcBorders>
          </w:tcPr>
          <w:p>
            <w:pPr>
              <w:ind w:left="200"/>
              <w:spacing w:after="0" w:line="194" w:lineRule="exact"/>
              <w:rPr>
                <w:sz w:val="20"/>
                <w:szCs w:val="20"/>
                <w:color w:val="auto"/>
              </w:rPr>
            </w:pPr>
            <w:r>
              <w:rPr>
                <w:rFonts w:ascii="Arial" w:cs="Arial" w:eastAsia="Arial" w:hAnsi="Arial"/>
                <w:sz w:val="17"/>
                <w:szCs w:val="17"/>
                <w:color w:val="auto"/>
              </w:rPr>
              <w:t>Other</w:t>
            </w:r>
          </w:p>
        </w:tc>
        <w:tc>
          <w:tcPr>
            <w:tcW w:w="7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spacing w:after="0" w:line="194" w:lineRule="exact"/>
              <w:rPr>
                <w:sz w:val="20"/>
                <w:szCs w:val="20"/>
                <w:color w:val="auto"/>
              </w:rPr>
            </w:pPr>
            <w:r>
              <w:rPr>
                <w:rFonts w:ascii="Arial" w:cs="Arial" w:eastAsia="Arial" w:hAnsi="Arial"/>
                <w:sz w:val="17"/>
                <w:szCs w:val="17"/>
                <w:color w:val="auto"/>
              </w:rPr>
              <w:t>(452)</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Total Investing Activities</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spacing w:after="0" w:line="186" w:lineRule="exact"/>
              <w:rPr>
                <w:sz w:val="20"/>
                <w:szCs w:val="20"/>
                <w:color w:val="auto"/>
              </w:rPr>
            </w:pPr>
            <w:r>
              <w:rPr>
                <w:rFonts w:ascii="Arial" w:cs="Arial" w:eastAsia="Arial" w:hAnsi="Arial"/>
                <w:sz w:val="17"/>
                <w:szCs w:val="17"/>
                <w:color w:val="auto"/>
              </w:rPr>
              <w:t>(67,188)</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(93,640)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Financing Activities:</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Pr>
          <w:p>
            <w:pPr>
              <w:ind w:left="200"/>
              <w:spacing w:after="0" w:line="194" w:lineRule="exact"/>
              <w:rPr>
                <w:sz w:val="20"/>
                <w:szCs w:val="20"/>
                <w:color w:val="auto"/>
              </w:rPr>
            </w:pPr>
            <w:r>
              <w:rPr>
                <w:rFonts w:ascii="Arial" w:cs="Arial" w:eastAsia="Arial" w:hAnsi="Arial"/>
                <w:sz w:val="17"/>
                <w:szCs w:val="17"/>
                <w:color w:val="auto"/>
              </w:rPr>
              <w:t>Cash from Stock Offering, net</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227,225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Proceeds from Borrowings</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80,500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220,307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Pr>
          <w:p>
            <w:pPr>
              <w:ind w:left="200"/>
              <w:spacing w:after="0" w:line="194" w:lineRule="exact"/>
              <w:rPr>
                <w:sz w:val="20"/>
                <w:szCs w:val="20"/>
                <w:color w:val="auto"/>
              </w:rPr>
            </w:pPr>
            <w:r>
              <w:rPr>
                <w:rFonts w:ascii="Arial" w:cs="Arial" w:eastAsia="Arial" w:hAnsi="Arial"/>
                <w:sz w:val="17"/>
                <w:szCs w:val="17"/>
                <w:color w:val="auto"/>
              </w:rPr>
              <w:t>Repayment of Finance Leases</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(7,864)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(85,976)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Repayment of Borrowings</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(74,709)</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(54,879)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Pr>
          <w:p>
            <w:pPr>
              <w:ind w:left="200"/>
              <w:spacing w:after="0" w:line="194" w:lineRule="exact"/>
              <w:rPr>
                <w:sz w:val="20"/>
                <w:szCs w:val="20"/>
                <w:color w:val="auto"/>
              </w:rPr>
            </w:pPr>
            <w:r>
              <w:rPr>
                <w:rFonts w:ascii="Arial" w:cs="Arial" w:eastAsia="Arial" w:hAnsi="Arial"/>
                <w:sz w:val="17"/>
                <w:szCs w:val="17"/>
                <w:color w:val="auto"/>
              </w:rPr>
              <w:t>Debt Issuance Costs</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(2,709)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(2,764)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Other</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26</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tcBorders>
              <w:bottom w:val="single" w:sz="8" w:color="CCEEFF"/>
            </w:tcBorders>
          </w:tcPr>
          <w:p>
            <w:pPr>
              <w:spacing w:after="0" w:line="186" w:lineRule="exact"/>
              <w:rPr>
                <w:sz w:val="20"/>
                <w:szCs w:val="20"/>
                <w:color w:val="auto"/>
              </w:rPr>
            </w:pPr>
            <w:r>
              <w:rPr>
                <w:rFonts w:ascii="Arial" w:cs="Arial" w:eastAsia="Arial" w:hAnsi="Arial"/>
                <w:sz w:val="17"/>
                <w:szCs w:val="17"/>
                <w:b w:val="1"/>
                <w:bCs w:val="1"/>
                <w:color w:val="auto"/>
              </w:rPr>
              <w:t>Total Financing Activities</w:t>
            </w:r>
          </w:p>
        </w:tc>
        <w:tc>
          <w:tcPr>
            <w:tcW w:w="7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spacing w:after="0" w:line="186" w:lineRule="exact"/>
              <w:rPr>
                <w:sz w:val="20"/>
                <w:szCs w:val="20"/>
                <w:color w:val="auto"/>
              </w:rPr>
            </w:pPr>
            <w:r>
              <w:rPr>
                <w:rFonts w:ascii="Arial" w:cs="Arial" w:eastAsia="Arial" w:hAnsi="Arial"/>
                <w:sz w:val="17"/>
                <w:szCs w:val="17"/>
                <w:color w:val="auto"/>
              </w:rPr>
              <w:t>222,469</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76,709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60" w:type="dxa"/>
            <w:vAlign w:val="bottom"/>
            <w:gridSpan w:val="2"/>
          </w:tcPr>
          <w:p>
            <w:pPr>
              <w:spacing w:after="0" w:line="186" w:lineRule="exact"/>
              <w:rPr>
                <w:sz w:val="20"/>
                <w:szCs w:val="20"/>
                <w:color w:val="auto"/>
              </w:rPr>
            </w:pPr>
            <w:r>
              <w:rPr>
                <w:rFonts w:ascii="Arial" w:cs="Arial" w:eastAsia="Arial" w:hAnsi="Arial"/>
                <w:sz w:val="17"/>
                <w:szCs w:val="17"/>
                <w:b w:val="1"/>
                <w:bCs w:val="1"/>
                <w:color w:val="auto"/>
              </w:rPr>
              <w:t>Net Increase (Decrease) in Cash</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gridSpan w:val="3"/>
          </w:tcPr>
          <w:p>
            <w:pPr>
              <w:jc w:val="right"/>
              <w:spacing w:after="0" w:line="186" w:lineRule="exact"/>
              <w:rPr>
                <w:sz w:val="20"/>
                <w:szCs w:val="20"/>
                <w:color w:val="auto"/>
              </w:rPr>
            </w:pPr>
            <w:r>
              <w:rPr>
                <w:rFonts w:ascii="Arial" w:cs="Arial" w:eastAsia="Arial" w:hAnsi="Arial"/>
                <w:sz w:val="17"/>
                <w:szCs w:val="17"/>
                <w:b w:val="1"/>
                <w:bCs w:val="1"/>
                <w:color w:val="auto"/>
              </w:rPr>
              <w:t>245,122</w:t>
            </w:r>
          </w:p>
        </w:tc>
        <w:tc>
          <w:tcPr>
            <w:tcW w:w="20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(29,826)</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"Cash" consists of Cash, Cash Equivalents and Restricted Cash</w:t>
            </w: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6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56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Operating Cash Flow Activities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color w:val="auto"/>
        </w:rPr>
        <w:t>Operating activities in the six months ended June 30, 2021 provided $89,841, as compared to using $ 12,895 in the six months ended June 30, 2020. During those two six-month periods, Net Income was $64,169 and $1,211, respectively.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color w:val="auto"/>
        </w:rPr>
        <w:t>Our operating cash flow is primarily impacted by the following factors:</w:t>
      </w:r>
    </w:p>
    <w:p>
      <w:pPr>
        <w:spacing w:after="0" w:line="18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7"/>
          <w:szCs w:val="17"/>
          <w:i w:val="1"/>
          <w:iCs w:val="1"/>
          <w:color w:val="auto"/>
        </w:rPr>
        <w:t xml:space="preserve">Seasonality of Advance Ticket Sales. </w:t>
      </w:r>
      <w:r>
        <w:rPr>
          <w:rFonts w:ascii="Arial" w:cs="Arial" w:eastAsia="Arial" w:hAnsi="Arial"/>
          <w:sz w:val="17"/>
          <w:szCs w:val="17"/>
          <w:color w:val="auto"/>
        </w:rPr>
        <w:t>We sell tickets for air travel in advance of the customer's travel date. When we</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a cash payment at the time of sale, we record the cash received on advance sales as deferred revenue in Air Traffic Liabilities. Air Traffic Liabilities typically increase during the winter and spring months as advanced ticket sales grow prior to the summer peak travel season and decrease during the summer and fall months.</w:t>
      </w:r>
    </w:p>
    <w:p>
      <w:pPr>
        <w:spacing w:after="0" w:line="172"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7"/>
          <w:szCs w:val="17"/>
          <w:i w:val="1"/>
          <w:iCs w:val="1"/>
          <w:color w:val="auto"/>
        </w:rPr>
        <w:t xml:space="preserve">Fuel. </w:t>
      </w:r>
      <w:r>
        <w:rPr>
          <w:rFonts w:ascii="Arial" w:cs="Arial" w:eastAsia="Arial" w:hAnsi="Arial"/>
          <w:sz w:val="17"/>
          <w:szCs w:val="17"/>
          <w:color w:val="auto"/>
        </w:rPr>
        <w:t>Fuel expense represented approximately 27% and 28% of our total operating expense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 and 2020, respectively. The market price for jet fuel is volatile, which can impact the comparability of our periodic cash flows from operations. We expect fuel consumption to increase through the end of 2021 compared to prior year periods, consistent with increased passengers as the impact of the pandemic subsides.</w:t>
      </w:r>
    </w:p>
    <w:p>
      <w:pPr>
        <w:spacing w:after="0" w:line="172"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i w:val="1"/>
          <w:iCs w:val="1"/>
          <w:color w:val="auto"/>
        </w:rPr>
        <w:t xml:space="preserve">CARES Act. </w:t>
      </w:r>
      <w:r>
        <w:rPr>
          <w:rFonts w:ascii="Arial" w:cs="Arial" w:eastAsia="Arial" w:hAnsi="Arial"/>
          <w:sz w:val="17"/>
          <w:szCs w:val="17"/>
          <w:color w:val="auto"/>
        </w:rPr>
        <w:t>During the six months ended June 30, 2021 we received $71,587 in CARES Act grants. During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2020 we received $31,516 in CARES Act grants.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Investing Cash Flow Activities</w:t>
      </w:r>
    </w:p>
    <w:p>
      <w:pPr>
        <w:spacing w:after="0" w:line="206"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Our capital expenditures were $66,736 and $93,677 for the six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and 2020, respectively. Our capital expenditures during the six months ended June 30, 2021 were primarily related to the purchases of aircraft that were financed through draws on the Delayed Draw Term Loan Facility. We invested $63,118 to purchase six aircraft in the first six months of 2021, as compared to investing $88,473 on four aircraft and one engine in the first six months of 2020.</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Financing Cash Flow Activities</w:t>
      </w:r>
    </w:p>
    <w:p>
      <w:pPr>
        <w:spacing w:after="0" w:line="20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7"/>
          <w:szCs w:val="17"/>
          <w:i w:val="1"/>
          <w:iCs w:val="1"/>
          <w:color w:val="auto"/>
        </w:rPr>
        <w:t xml:space="preserve">IPO. </w:t>
      </w:r>
      <w:r>
        <w:rPr>
          <w:rFonts w:ascii="Arial" w:cs="Arial" w:eastAsia="Arial" w:hAnsi="Arial"/>
          <w:sz w:val="17"/>
          <w:szCs w:val="17"/>
          <w:color w:val="auto"/>
        </w:rPr>
        <w:t>On March 16, 2021, the Company offered 9,090,909 shares of common stock to the public at $24.00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The underwriters had an option to purchase an additional 1,363,636 shares from the Company at the public offering price, which they exercised. In total, all 10,454,545 shares were issued and the net proceeds to the company were $225,006 after deducting underwriting discounts and commissions, and other offering expenses.</w:t>
      </w:r>
    </w:p>
    <w:p>
      <w:pPr>
        <w:spacing w:after="0" w:line="172" w:lineRule="exact"/>
        <w:rPr>
          <w:sz w:val="20"/>
          <w:szCs w:val="20"/>
          <w:color w:val="auto"/>
        </w:rPr>
      </w:pPr>
    </w:p>
    <w:p>
      <w:pPr>
        <w:jc w:val="both"/>
        <w:ind w:left="40" w:right="59"/>
        <w:spacing w:after="0" w:line="241"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In the six months ended June 30, 2021, we incurred $80,500 in new debt under the $90,000 Delayed Draw</w:t>
      </w:r>
      <w:r>
        <w:rPr>
          <w:rFonts w:ascii="Arial" w:cs="Arial" w:eastAsia="Arial" w:hAnsi="Arial"/>
          <w:sz w:val="17"/>
          <w:szCs w:val="17"/>
          <w:i w:val="1"/>
          <w:iCs w:val="1"/>
          <w:color w:val="auto"/>
        </w:rPr>
        <w:t xml:space="preserve"> </w:t>
      </w:r>
      <w:r>
        <w:rPr>
          <w:rFonts w:ascii="Arial" w:cs="Arial" w:eastAsia="Arial" w:hAnsi="Arial"/>
          <w:sz w:val="17"/>
          <w:szCs w:val="17"/>
          <w:color w:val="auto"/>
        </w:rPr>
        <w:t>Term Loan Facility, primarily to purchase six aircraft which were previously under operating leases. In the first six months of 2020 we incurred $220,307 in debt under the 2019-1 EETC, primarily to purchase two aircraft new to the Company, purchase two aircraft which were previously under operating leases, purchase five aircraft which were previously under finance leases, as well as to refinance three other owned aircraft. In the first quarter of 2021, we repaid our $45,000 loan with the Treasury, plus accrued interest. During the first six months of 2021, we also repaid $29,709 of other debt. In the first six months of 2020, we paid $85,976 toward finance lease obligations, primarily related to the buy-out of five aircraft. In the first six months of 2020 we repaid $54,879 of outstanding debt, primarily related to the refinancing of three aircraft.</w:t>
      </w:r>
    </w:p>
    <w:p>
      <w:pPr>
        <w:spacing w:after="0" w:line="198"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7"/>
          <w:szCs w:val="17"/>
          <w:color w:val="auto"/>
        </w:rPr>
        <w:t>For additional information regarding these financing arrangements, see Note 7 of the Notes to the Condensed Consolidated Financial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Undrawn Lines of Credit</w:t>
      </w:r>
    </w:p>
    <w:p>
      <w:pPr>
        <w:spacing w:after="0" w:line="222"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On February 10, 2021, we executed a new five-year credit agreement that provides for a $25,000 Revolving Credit Facility and a $90,000 Delayed Draw Term Loan Facility, which are collectively referred to as the “Credit Facilities.” During the six months ended June 30, 2021, we drew $80,500 on the Delayed Draw Term Loan Facility to purchase six aircraft. These activities resulted in approximately $34,500 undrawn on the Credit Facilities as of June 30, 2021. The Delayed Draw Term Loan Facility is available only to finance the acquisition of aircraft and engines and is not available for working capital or other general corporate purposes. Only the $25,000 Revolving Credit Facility portion of the Credit Facilities is available for general corporate purposes and as a general source of liquidity.</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Covenants</w:t>
      </w:r>
    </w:p>
    <w:p>
      <w:pPr>
        <w:spacing w:after="0" w:line="222"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color w:val="auto"/>
        </w:rPr>
        <w:t>For a description of certain covenants of our debt agreements, see Note 7 of the Notes to the Condensed Consolidated Financial Statements. We were in compliance with all covenants in these debt agreements as of June 30, 2021.</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 Balance Sheet Arrangements</w:t>
      </w:r>
    </w:p>
    <w:p>
      <w:pPr>
        <w:spacing w:after="0" w:line="206"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7"/>
          <w:szCs w:val="17"/>
          <w:i w:val="1"/>
          <w:iCs w:val="1"/>
          <w:color w:val="auto"/>
        </w:rPr>
        <w:t>Indemnities</w:t>
      </w:r>
      <w:r>
        <w:rPr>
          <w:rFonts w:ascii="Arial" w:cs="Arial" w:eastAsia="Arial" w:hAnsi="Arial"/>
          <w:sz w:val="17"/>
          <w:szCs w:val="17"/>
          <w:color w:val="auto"/>
        </w:rPr>
        <w:t>. Our aircraft, equipment and other leases and certain operating agreements typically contain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requiring us, as the lessee, to indemnify the other parties to those agreements, including certain of those parties’ related persons, against virtually any liabilities that might arise from the use or operation of the aircraft or such other equipment. We believe that our insurance would cover most of our exposure to liabilities and related indemnities associated with the leases described above.</w:t>
      </w:r>
    </w:p>
    <w:p>
      <w:pPr>
        <w:spacing w:after="0" w:line="120"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i w:val="1"/>
          <w:iCs w:val="1"/>
          <w:color w:val="auto"/>
        </w:rPr>
        <w:t>Pass-Through Trusts</w:t>
      </w:r>
      <w:r>
        <w:rPr>
          <w:rFonts w:ascii="Arial" w:cs="Arial" w:eastAsia="Arial" w:hAnsi="Arial"/>
          <w:sz w:val="17"/>
          <w:szCs w:val="17"/>
          <w:color w:val="auto"/>
        </w:rPr>
        <w:t>. We have equipment notes outstanding issued under the 2019-1 EETC. Generally, the 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Through June 2020, we purchased or refinanced 13 aircraft utilizing these certificates and the obligations are listed in Note 7 – Debt.</w:t>
      </w:r>
    </w:p>
    <w:p>
      <w:pPr>
        <w:spacing w:after="0" w:line="123" w:lineRule="exact"/>
        <w:rPr>
          <w:sz w:val="20"/>
          <w:szCs w:val="20"/>
          <w:color w:val="auto"/>
        </w:rPr>
      </w:pPr>
    </w:p>
    <w:p>
      <w:pPr>
        <w:jc w:val="both"/>
        <w:ind w:left="40" w:right="59"/>
        <w:spacing w:after="0" w:line="241" w:lineRule="auto"/>
        <w:rPr>
          <w:sz w:val="20"/>
          <w:szCs w:val="20"/>
          <w:color w:val="auto"/>
        </w:rPr>
      </w:pPr>
      <w:r>
        <w:rPr>
          <w:rFonts w:ascii="Arial" w:cs="Arial" w:eastAsia="Arial" w:hAnsi="Arial"/>
          <w:sz w:val="17"/>
          <w:szCs w:val="17"/>
          <w:i w:val="1"/>
          <w:iCs w:val="1"/>
          <w:color w:val="auto"/>
        </w:rPr>
        <w:t>Fuel Consortia</w:t>
      </w:r>
      <w:r>
        <w:rPr>
          <w:rFonts w:ascii="Arial" w:cs="Arial" w:eastAsia="Arial" w:hAnsi="Arial"/>
          <w:sz w:val="17"/>
          <w:szCs w:val="17"/>
          <w:color w:val="auto"/>
        </w:rPr>
        <w:t>. We currently participate in fuel consortia at Minneapolis-Saint Paul International Airport, Las Vegas</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Airport, Dallas-Fort Worth International Airport, San Diego International Airport and Southwest Florida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Consortia that are governed by interline agreements are either (i) not variable interest entities (“VIEs”) because they are not legal entities or (ii) are variable interest entities but the Company is not deemed the primary beneficiary. Therefore, these agreements are not reflected on our consolidated balance sheets. There are no assets or liabilities on our balance sheets related to these VIEs, since our participation is limited to purchasing aircraft fuel.</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 have no other off-balance sheet arrangements.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(Dollars in thousands, except per share amounts)</w:t>
      </w:r>
    </w:p>
    <w:p>
      <w:pPr>
        <w:ind w:left="4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130175</wp:posOffset>
            </wp:positionV>
            <wp:extent cx="5664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Commitments and Contractual Obligations</w:t>
      </w:r>
    </w:p>
    <w:p>
      <w:pPr>
        <w:spacing w:after="0" w:line="224"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color w:val="auto"/>
        </w:rPr>
        <w:t>We have contractual obligations comprised of aircraft leases and supplemental maintenance reserves, payment of debt and interest and other lease arrangements. As of June 30, 2021 we also have a contractual obligation to pay our pre-IPO stockholders under the terms of the Tax Receivable Agreement (see below).</w:t>
      </w:r>
    </w:p>
    <w:p>
      <w:pPr>
        <w:spacing w:after="0" w:line="141" w:lineRule="exact"/>
        <w:rPr>
          <w:sz w:val="20"/>
          <w:szCs w:val="20"/>
          <w:color w:val="auto"/>
        </w:rPr>
      </w:pPr>
    </w:p>
    <w:p>
      <w:pPr>
        <w:jc w:val="both"/>
        <w:ind w:left="40" w:right="59"/>
        <w:spacing w:after="0"/>
        <w:rPr>
          <w:sz w:val="20"/>
          <w:szCs w:val="20"/>
          <w:color w:val="auto"/>
        </w:rPr>
      </w:pPr>
      <w:r>
        <w:rPr>
          <w:rFonts w:ascii="Arial" w:cs="Arial" w:eastAsia="Arial" w:hAnsi="Arial"/>
          <w:sz w:val="17"/>
          <w:szCs w:val="17"/>
          <w:color w:val="auto"/>
        </w:rPr>
        <w:t>For additional information, refer to Note 12 Commitments and Contingencies to our unaudited Condensed Consolidated Financial Statements included elsewhere in this Quarterly Report on Form 10-Q. Except as described herein, there have been no material change in our contractual obligations and commitments other than in the ordinary course of business since our fiscal year ended December 31, 2020. Also, see our Final Prospectus for additional information regarding our contractual obligations.</w:t>
      </w:r>
    </w:p>
    <w:p>
      <w:pPr>
        <w:spacing w:after="0" w:line="144" w:lineRule="exact"/>
        <w:rPr>
          <w:sz w:val="20"/>
          <w:szCs w:val="20"/>
          <w:color w:val="auto"/>
        </w:rPr>
      </w:pPr>
    </w:p>
    <w:p>
      <w:pPr>
        <w:jc w:val="both"/>
        <w:ind w:left="40" w:right="59"/>
        <w:spacing w:after="0"/>
        <w:rPr>
          <w:sz w:val="20"/>
          <w:szCs w:val="20"/>
          <w:color w:val="auto"/>
        </w:rPr>
      </w:pPr>
      <w:r>
        <w:rPr>
          <w:rFonts w:ascii="Arial" w:cs="Arial" w:eastAsia="Arial" w:hAnsi="Arial"/>
          <w:sz w:val="17"/>
          <w:szCs w:val="17"/>
          <w:color w:val="auto"/>
        </w:rPr>
        <w:t>In connection with the Company’s IPO, we entered into an income Tax Receivable Agreement with our pre-IPO stockholders. The agreement provides for the payment by the Company to the pre-IPO stockholders of 85% of the amount of cash savings, if any, in U.S. federal, state, local, and foreign income tax that the Company realizes. For additional information regarding this agreement, see Note 10 of the Notes to the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142875</wp:posOffset>
            </wp:positionV>
            <wp:extent cx="5664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4" w:lineRule="exact"/>
        <w:rPr>
          <w:sz w:val="20"/>
          <w:szCs w:val="20"/>
          <w:color w:val="auto"/>
        </w:rPr>
      </w:pPr>
    </w:p>
    <w:p>
      <w:pPr>
        <w:ind w:left="40" w:right="159"/>
        <w:spacing w:after="0"/>
        <w:rPr>
          <w:sz w:val="20"/>
          <w:szCs w:val="20"/>
          <w:color w:val="auto"/>
        </w:rPr>
      </w:pPr>
      <w:r>
        <w:rPr>
          <w:rFonts w:ascii="Arial" w:cs="Arial" w:eastAsia="Arial" w:hAnsi="Arial"/>
          <w:sz w:val="17"/>
          <w:szCs w:val="17"/>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Actual results may differ.</w:t>
      </w:r>
    </w:p>
    <w:p>
      <w:pPr>
        <w:spacing w:after="0" w:line="178" w:lineRule="exact"/>
        <w:rPr>
          <w:sz w:val="20"/>
          <w:szCs w:val="20"/>
          <w:color w:val="auto"/>
        </w:rPr>
      </w:pPr>
    </w:p>
    <w:p>
      <w:pPr>
        <w:ind w:left="40" w:right="59"/>
        <w:spacing w:after="0"/>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Unexpected pricing changes of aircraft fuel could have a material adverse effect on our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of operations and 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have hedges in place for approximately 23% of our projected fuel requirements for scheduled service operations in the second half of 2021, with all of our existing options expected to be exercised or expire by the end of 2021. We do not hold or issue option or swap contracts for trading purposes. We expect to continue to enter into these types of contracts prospectively, although significant changes in market conditions could affect our decisions. Based on our forecasted scheduled service and charter fuel consumption for the second half of 2021, we estimate that a one cent per gallon increase in the average aircraft fuel price would increase aircraft fuel expense by approximately $328 excluding any impact associated with fuel derivative instruments held and reimbursed cargo fuel.</w:t>
      </w:r>
    </w:p>
    <w:p>
      <w:pPr>
        <w:spacing w:after="0" w:line="183" w:lineRule="exact"/>
        <w:rPr>
          <w:sz w:val="20"/>
          <w:szCs w:val="20"/>
          <w:color w:val="auto"/>
        </w:rPr>
      </w:pPr>
    </w:p>
    <w:p>
      <w:pPr>
        <w:ind w:left="40" w:right="119"/>
        <w:spacing w:after="0" w:line="246" w:lineRule="auto"/>
        <w:rPr>
          <w:sz w:val="20"/>
          <w:szCs w:val="20"/>
          <w:color w:val="auto"/>
        </w:rPr>
      </w:pPr>
      <w:r>
        <w:rPr>
          <w:rFonts w:ascii="Arial" w:cs="Arial" w:eastAsia="Arial" w:hAnsi="Arial"/>
          <w:sz w:val="17"/>
          <w:szCs w:val="17"/>
          <w:i w:val="1"/>
          <w:iCs w:val="1"/>
          <w:color w:val="auto"/>
        </w:rPr>
        <w:t>Interest Rates</w:t>
      </w:r>
      <w:r>
        <w:rPr>
          <w:rFonts w:ascii="Arial" w:cs="Arial" w:eastAsia="Arial" w:hAnsi="Arial"/>
          <w:sz w:val="17"/>
          <w:szCs w:val="17"/>
          <w:color w:val="auto"/>
        </w:rPr>
        <w:t>. We have exposure to market risk associated with changes in interest rates related to the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from our variable-rate debt. A change in market interest rates would impact interest expense under the Credit Facilities, totaling $115,000 principal capacity. Assuming the Credit Facilities are fully drawn, a 100 basis point increase in interest rates would result in a corresponding increase in interest expense of approximately $1,150 annually.</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4. CONTROLS AND PROCEDURES</w:t>
      </w:r>
    </w:p>
    <w:p>
      <w:pPr>
        <w:spacing w:after="0" w:line="224"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As of June 30, 2021, under the supervision and with the participation of our management, including our chief executive officer (“CEO”) and chief financial officer (“CFO”), we evaluated the design and operation of our disclosure controls and procedures (as defined in Rules 13a-15(e) and 15d-15(e) of the Securities Exchange Act of 1934, as amended, or the “Exchange Act”) as of the end of the period covered by this report. Based on that evaluation, management, including our CEO and CFO, has concluded that our disclosure controls and procedures are designed, and are effective, to give reasonable assurance that the information we are required to disclose is recorded, processed, summarized and reported within the time periods specified in the SEC’s rules and forms and is accumulated and communicated to the Company’s management, including the CEO and the CFO, as appropriate to allow timely decisions regarding required disclosure.</w:t>
      </w:r>
    </w:p>
    <w:p>
      <w:pPr>
        <w:spacing w:after="0" w:line="195"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color w:val="auto"/>
        </w:rPr>
        <w:t>During the six months ended June 30, 2021, we did not make any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142875</wp:posOffset>
            </wp:positionV>
            <wp:extent cx="5664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PART II. OTHER INFORMATION</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 LEGAL PROCEEDINGS</w:t>
      </w:r>
    </w:p>
    <w:p>
      <w:pPr>
        <w:spacing w:after="0" w:line="224" w:lineRule="exact"/>
        <w:rPr>
          <w:sz w:val="20"/>
          <w:szCs w:val="20"/>
          <w:color w:val="auto"/>
        </w:rPr>
      </w:pPr>
    </w:p>
    <w:p>
      <w:pPr>
        <w:jc w:val="both"/>
        <w:ind w:left="40" w:right="59"/>
        <w:spacing w:after="0" w:line="241" w:lineRule="auto"/>
        <w:rPr>
          <w:sz w:val="20"/>
          <w:szCs w:val="20"/>
          <w:color w:val="auto"/>
        </w:rPr>
      </w:pPr>
      <w:r>
        <w:rPr>
          <w:rFonts w:ascii="Arial" w:cs="Arial" w:eastAsia="Arial" w:hAnsi="Arial"/>
          <w:sz w:val="17"/>
          <w:szCs w:val="17"/>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1A. RISK FACTORS</w:t>
      </w:r>
    </w:p>
    <w:p>
      <w:pPr>
        <w:spacing w:after="0" w:line="224"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7"/>
          <w:szCs w:val="17"/>
          <w:color w:val="auto"/>
        </w:rPr>
        <w:t>We have disclosed under the heading “Risk Factors” in our Registration Statement on Form S-1 (File No. 333-252858), as amended, and the Final Prospectus included therein, the risk factors which materially affect our business, financial condition or results of operations. There have been no material changes from the risk factors previously disclosed. You should carefully consider the risk factors set forth in the Registration Statement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Unregistered Sales of Equity Securities</w:t>
      </w:r>
    </w:p>
    <w:p>
      <w:pPr>
        <w:spacing w:after="0" w:line="224"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7"/>
          <w:szCs w:val="17"/>
          <w:color w:val="auto"/>
        </w:rPr>
        <w:t>During the three months ended June 30, 2021, we did not conduct any sales of equity securities that were not registered under the Securities Act of 1933, as amended.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Use of Proceeds</w:t>
      </w:r>
    </w:p>
    <w:p>
      <w:pPr>
        <w:spacing w:after="0" w:line="224"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7"/>
          <w:szCs w:val="17"/>
          <w:color w:val="auto"/>
        </w:rPr>
        <w:t>The Registration Statement on Form S-1 (File No. 333-252858) for our initial public offering (“IPO”) of our common stock, par value $0.01 per share was declared effective by the SEC on March 16, 2021, pursuant to which we issued and sold 10,454,545 shares of our common stock at $24.00 per share, which included 1,363,636 shares issued upon the exercise of the underwriters’ over-allotment option to purchase additional shares. We received net proceeds of $225,006 after deducting underwriting discounts and commissions, and other offering expenses. The managing underwriters for our IPO were Barclays Capital Inc. and Morgan Stanley &amp; Co. LLC. Shares of our common stock began trading on the NASDAQ on March 17, 2021. We used approximately $46,260 of the proceeds from the IPO to repay all amounts outstanding under the CARES Act Loan. A portion of the proceeds were used to pay fees and expenses in connection with the IPO and the remainder will be used for general corporate purposes, including the acquisition of additional aircraft. At June 30, 2021, $38 of expenses incurred in connection with our IPO had not yet been paid.</w:t>
      </w:r>
    </w:p>
    <w:p>
      <w:pPr>
        <w:spacing w:after="0" w:line="201" w:lineRule="exact"/>
        <w:rPr>
          <w:sz w:val="20"/>
          <w:szCs w:val="20"/>
          <w:color w:val="auto"/>
        </w:rPr>
      </w:pPr>
    </w:p>
    <w:p>
      <w:pPr>
        <w:jc w:val="both"/>
        <w:ind w:left="40" w:right="59"/>
        <w:spacing w:after="0" w:line="241" w:lineRule="auto"/>
        <w:rPr>
          <w:sz w:val="20"/>
          <w:szCs w:val="20"/>
          <w:color w:val="auto"/>
        </w:rPr>
      </w:pPr>
      <w:r>
        <w:rPr>
          <w:rFonts w:ascii="Arial" w:cs="Arial" w:eastAsia="Arial" w:hAnsi="Arial"/>
          <w:sz w:val="17"/>
          <w:szCs w:val="17"/>
          <w:color w:val="auto"/>
        </w:rPr>
        <w:t>Our management team will retain broad discretion to allocate the net proceeds of the IPO for general corporate purposes. Pending use as described above, we may invest the net proceeds from the IPO in short-term, investment-grade, interest-bearing securities, such as money market accounts, certificates of deposit, commercial paper and guaranteed obligations of the U.S. government.</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Issuer Purchases of Equity Securities</w:t>
      </w:r>
    </w:p>
    <w:p>
      <w:pPr>
        <w:spacing w:after="0" w:line="224"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7"/>
          <w:szCs w:val="17"/>
          <w:color w:val="auto"/>
        </w:rPr>
        <w:t>The Company does not have a share repurchase program and no shares were repurchased during the three months ended June 30, 2021. Under the CARES Act, we are restricted from conducting certain share repurchases through the later of March 31, 2022 and one year following repayment.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142875</wp:posOffset>
            </wp:positionV>
            <wp:extent cx="5664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4. MINE SAFETY DISCLOSURES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Not applicable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5. OTHER INFORMATION</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142875</wp:posOffset>
            </wp:positionV>
            <wp:extent cx="5664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6. EXHIBITS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(a) Exhibits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980" w:type="dxa"/>
            <w:vAlign w:val="bottom"/>
          </w:tcPr>
          <w:p>
            <w:pPr>
              <w:jc w:val="right"/>
              <w:ind w:right="554"/>
              <w:spacing w:after="0"/>
              <w:rPr>
                <w:sz w:val="20"/>
                <w:szCs w:val="20"/>
                <w:color w:val="auto"/>
              </w:rPr>
            </w:pPr>
            <w:r>
              <w:rPr>
                <w:rFonts w:ascii="Arial" w:cs="Arial" w:eastAsia="Arial" w:hAnsi="Arial"/>
                <w:sz w:val="17"/>
                <w:szCs w:val="17"/>
                <w:color w:val="auto"/>
                <w:w w:val="96"/>
              </w:rPr>
              <w:t>10.1</w:t>
            </w:r>
          </w:p>
        </w:tc>
        <w:tc>
          <w:tcPr>
            <w:tcW w:w="7900" w:type="dxa"/>
            <w:vAlign w:val="bottom"/>
            <w:tcBorders>
              <w:bottom w:val="single" w:sz="8" w:color="0000EE"/>
            </w:tcBorders>
            <w:gridSpan w:val="4"/>
          </w:tcPr>
          <w:p>
            <w:pPr>
              <w:spacing w:after="0"/>
              <w:rPr>
                <w:rFonts w:ascii="Arial" w:cs="Arial" w:eastAsia="Arial" w:hAnsi="Arial"/>
                <w:sz w:val="17"/>
                <w:szCs w:val="17"/>
                <w:color w:val="0000EE"/>
              </w:rPr>
            </w:pPr>
            <w:hyperlink w:anchor="page60">
              <w:r>
                <w:rPr>
                  <w:rFonts w:ascii="Arial" w:cs="Arial" w:eastAsia="Arial" w:hAnsi="Arial"/>
                  <w:sz w:val="17"/>
                  <w:szCs w:val="17"/>
                  <w:color w:val="0000EE"/>
                </w:rPr>
                <w:t>Payroll Support Program Agreement, dated as of April 27, 2021, by and between Sun Country, Inc. and</w:t>
              </w:r>
            </w:hyperlink>
          </w:p>
        </w:tc>
      </w:tr>
      <w:tr>
        <w:trPr>
          <w:trHeight w:val="173"/>
        </w:trPr>
        <w:tc>
          <w:tcPr>
            <w:tcW w:w="980" w:type="dxa"/>
            <w:vAlign w:val="bottom"/>
          </w:tcPr>
          <w:p>
            <w:pPr>
              <w:spacing w:after="0"/>
              <w:rPr>
                <w:sz w:val="15"/>
                <w:szCs w:val="15"/>
                <w:color w:val="auto"/>
              </w:rPr>
            </w:pPr>
          </w:p>
        </w:tc>
        <w:tc>
          <w:tcPr>
            <w:tcW w:w="2420" w:type="dxa"/>
            <w:vAlign w:val="bottom"/>
            <w:tcBorders>
              <w:bottom w:val="single" w:sz="8" w:color="0000EE"/>
            </w:tcBorders>
          </w:tcPr>
          <w:p>
            <w:pPr>
              <w:spacing w:after="0" w:line="173" w:lineRule="exact"/>
              <w:rPr>
                <w:rFonts w:ascii="Arial" w:cs="Arial" w:eastAsia="Arial" w:hAnsi="Arial"/>
                <w:sz w:val="17"/>
                <w:szCs w:val="17"/>
                <w:color w:val="0000EE"/>
                <w:w w:val="99"/>
              </w:rPr>
            </w:pPr>
            <w:hyperlink w:anchor="page60">
              <w:r>
                <w:rPr>
                  <w:rFonts w:ascii="Arial" w:cs="Arial" w:eastAsia="Arial" w:hAnsi="Arial"/>
                  <w:sz w:val="17"/>
                  <w:szCs w:val="17"/>
                  <w:color w:val="0000EE"/>
                  <w:w w:val="99"/>
                </w:rPr>
                <w:t>the Department of the Treasury.</w:t>
              </w:r>
            </w:hyperlink>
          </w:p>
        </w:tc>
        <w:tc>
          <w:tcPr>
            <w:tcW w:w="5480" w:type="dxa"/>
            <w:vAlign w:val="bottom"/>
            <w:gridSpan w:val="3"/>
          </w:tcPr>
          <w:p>
            <w:pPr>
              <w:spacing w:after="0"/>
              <w:rPr>
                <w:sz w:val="15"/>
                <w:szCs w:val="15"/>
                <w:color w:val="auto"/>
              </w:rPr>
            </w:pPr>
          </w:p>
        </w:tc>
      </w:tr>
      <w:tr>
        <w:trPr>
          <w:trHeight w:val="367"/>
        </w:trPr>
        <w:tc>
          <w:tcPr>
            <w:tcW w:w="980" w:type="dxa"/>
            <w:vAlign w:val="bottom"/>
          </w:tcPr>
          <w:p>
            <w:pPr>
              <w:jc w:val="right"/>
              <w:ind w:right="554"/>
              <w:spacing w:after="0"/>
              <w:rPr>
                <w:sz w:val="20"/>
                <w:szCs w:val="20"/>
                <w:color w:val="auto"/>
              </w:rPr>
            </w:pPr>
            <w:r>
              <w:rPr>
                <w:rFonts w:ascii="Arial" w:cs="Arial" w:eastAsia="Arial" w:hAnsi="Arial"/>
                <w:sz w:val="17"/>
                <w:szCs w:val="17"/>
                <w:color w:val="auto"/>
                <w:w w:val="96"/>
              </w:rPr>
              <w:t>31.1</w:t>
            </w:r>
          </w:p>
        </w:tc>
        <w:tc>
          <w:tcPr>
            <w:tcW w:w="7900" w:type="dxa"/>
            <w:vAlign w:val="bottom"/>
            <w:tcBorders>
              <w:bottom w:val="single" w:sz="8" w:color="0000EE"/>
            </w:tcBorders>
            <w:gridSpan w:val="4"/>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Certification by Sun Country's Chief Executive Officer with respect to Sun Country's Quarterly Report on</w:t>
              </w:r>
            </w:hyperlink>
          </w:p>
        </w:tc>
      </w:tr>
      <w:tr>
        <w:trPr>
          <w:trHeight w:val="173"/>
        </w:trPr>
        <w:tc>
          <w:tcPr>
            <w:tcW w:w="980" w:type="dxa"/>
            <w:vAlign w:val="bottom"/>
          </w:tcPr>
          <w:p>
            <w:pPr>
              <w:spacing w:after="0"/>
              <w:rPr>
                <w:sz w:val="15"/>
                <w:szCs w:val="15"/>
                <w:color w:val="auto"/>
              </w:rPr>
            </w:pPr>
          </w:p>
        </w:tc>
        <w:tc>
          <w:tcPr>
            <w:tcW w:w="7900" w:type="dxa"/>
            <w:vAlign w:val="bottom"/>
            <w:gridSpan w:val="4"/>
          </w:tcPr>
          <w:p>
            <w:pPr>
              <w:spacing w:after="0" w:line="173" w:lineRule="exact"/>
              <w:rPr>
                <w:rFonts w:ascii="Arial" w:cs="Arial" w:eastAsia="Arial" w:hAnsi="Arial"/>
                <w:sz w:val="17"/>
                <w:szCs w:val="17"/>
                <w:color w:val="0000EE"/>
              </w:rPr>
            </w:pPr>
            <w:hyperlink w:anchor="page77">
              <w:r>
                <w:rPr>
                  <w:rFonts w:ascii="Arial" w:cs="Arial" w:eastAsia="Arial" w:hAnsi="Arial"/>
                  <w:sz w:val="17"/>
                  <w:szCs w:val="17"/>
                  <w:color w:val="0000EE"/>
                </w:rPr>
                <w:t>Form 10-Q for the quarterly period ended June 30, 2021</w:t>
              </w:r>
            </w:hyperlink>
          </w:p>
        </w:tc>
      </w:tr>
      <w:tr>
        <w:trPr>
          <w:trHeight w:val="20"/>
        </w:trPr>
        <w:tc>
          <w:tcPr>
            <w:tcW w:w="980" w:type="dxa"/>
            <w:vAlign w:val="bottom"/>
          </w:tcPr>
          <w:p>
            <w:pPr>
              <w:spacing w:after="0" w:line="20" w:lineRule="exact"/>
              <w:rPr>
                <w:sz w:val="1"/>
                <w:szCs w:val="1"/>
                <w:color w:val="auto"/>
              </w:rPr>
            </w:pPr>
          </w:p>
        </w:tc>
        <w:tc>
          <w:tcPr>
            <w:tcW w:w="426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67"/>
        </w:trPr>
        <w:tc>
          <w:tcPr>
            <w:tcW w:w="980" w:type="dxa"/>
            <w:vAlign w:val="bottom"/>
          </w:tcPr>
          <w:p>
            <w:pPr>
              <w:jc w:val="right"/>
              <w:ind w:right="554"/>
              <w:spacing w:after="0"/>
              <w:rPr>
                <w:sz w:val="20"/>
                <w:szCs w:val="20"/>
                <w:color w:val="auto"/>
              </w:rPr>
            </w:pPr>
            <w:r>
              <w:rPr>
                <w:rFonts w:ascii="Arial" w:cs="Arial" w:eastAsia="Arial" w:hAnsi="Arial"/>
                <w:sz w:val="17"/>
                <w:szCs w:val="17"/>
                <w:color w:val="auto"/>
                <w:w w:val="96"/>
              </w:rPr>
              <w:t>31.2</w:t>
            </w:r>
          </w:p>
        </w:tc>
        <w:tc>
          <w:tcPr>
            <w:tcW w:w="7900" w:type="dxa"/>
            <w:vAlign w:val="bottom"/>
            <w:tcBorders>
              <w:bottom w:val="single" w:sz="8" w:color="0000EE"/>
            </w:tcBorders>
            <w:gridSpan w:val="4"/>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Certification by Sun Country’s President and Chief Financial Officer with respect to Sun Country's</w:t>
              </w:r>
            </w:hyperlink>
          </w:p>
        </w:tc>
      </w:tr>
      <w:tr>
        <w:trPr>
          <w:trHeight w:val="173"/>
        </w:trPr>
        <w:tc>
          <w:tcPr>
            <w:tcW w:w="980" w:type="dxa"/>
            <w:vAlign w:val="bottom"/>
          </w:tcPr>
          <w:p>
            <w:pPr>
              <w:spacing w:after="0"/>
              <w:rPr>
                <w:sz w:val="15"/>
                <w:szCs w:val="15"/>
                <w:color w:val="auto"/>
              </w:rPr>
            </w:pPr>
          </w:p>
        </w:tc>
        <w:tc>
          <w:tcPr>
            <w:tcW w:w="7900" w:type="dxa"/>
            <w:vAlign w:val="bottom"/>
            <w:gridSpan w:val="4"/>
          </w:tcPr>
          <w:p>
            <w:pPr>
              <w:spacing w:after="0" w:line="173" w:lineRule="exact"/>
              <w:rPr>
                <w:rFonts w:ascii="Arial" w:cs="Arial" w:eastAsia="Arial" w:hAnsi="Arial"/>
                <w:sz w:val="17"/>
                <w:szCs w:val="17"/>
                <w:color w:val="0000EE"/>
              </w:rPr>
            </w:pPr>
            <w:hyperlink w:anchor="page78">
              <w:r>
                <w:rPr>
                  <w:rFonts w:ascii="Arial" w:cs="Arial" w:eastAsia="Arial" w:hAnsi="Arial"/>
                  <w:sz w:val="17"/>
                  <w:szCs w:val="17"/>
                  <w:color w:val="0000EE"/>
                </w:rPr>
                <w:t>Quarterly Report on Form 10-Q for the quarterly period ended June 30, 2021</w:t>
              </w:r>
            </w:hyperlink>
          </w:p>
        </w:tc>
      </w:tr>
      <w:tr>
        <w:trPr>
          <w:trHeight w:val="20"/>
        </w:trPr>
        <w:tc>
          <w:tcPr>
            <w:tcW w:w="98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left="1040" w:right="79" w:hanging="982"/>
        <w:spacing w:after="0" w:line="243" w:lineRule="auto"/>
        <w:tabs>
          <w:tab w:leader="none" w:pos="1040" w:val="left"/>
        </w:tabs>
        <w:numPr>
          <w:ilvl w:val="0"/>
          <w:numId w:val="29"/>
        </w:numPr>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Certification pursuant to Section 1350 of Chapter 63 of Title 18 of the United States Code by Sun</w:t>
        </w:r>
      </w:hyperlink>
      <w:r>
        <w:rPr>
          <w:rFonts w:ascii="Arial" w:cs="Arial" w:eastAsia="Arial" w:hAnsi="Arial"/>
          <w:sz w:val="17"/>
          <w:szCs w:val="17"/>
          <w:u w:val="single" w:color="auto"/>
          <w:color w:val="0000EE"/>
        </w:rPr>
        <w:t xml:space="preserve"> </w:t>
      </w:r>
      <w:hyperlink w:anchor="page79">
        <w:r>
          <w:rPr>
            <w:rFonts w:ascii="Arial" w:cs="Arial" w:eastAsia="Arial" w:hAnsi="Arial"/>
            <w:sz w:val="17"/>
            <w:szCs w:val="17"/>
            <w:u w:val="single" w:color="auto"/>
            <w:color w:val="0000EE"/>
          </w:rPr>
          <w:t>Country Airlines Holdings, Inc.’s Chief Executive Officer and President and Chief Financial Officer with</w:t>
        </w:r>
      </w:hyperlink>
      <w:r>
        <w:rPr>
          <w:rFonts w:ascii="Arial" w:cs="Arial" w:eastAsia="Arial" w:hAnsi="Arial"/>
          <w:sz w:val="17"/>
          <w:szCs w:val="17"/>
          <w:u w:val="single" w:color="auto"/>
          <w:color w:val="0000EE"/>
        </w:rPr>
        <w:t xml:space="preserve"> </w:t>
      </w:r>
      <w:hyperlink w:anchor="page79">
        <w:r>
          <w:rPr>
            <w:rFonts w:ascii="Arial" w:cs="Arial" w:eastAsia="Arial" w:hAnsi="Arial"/>
            <w:sz w:val="17"/>
            <w:szCs w:val="17"/>
            <w:u w:val="single" w:color="auto"/>
            <w:color w:val="0000EE"/>
          </w:rPr>
          <w:t>respect to Sun Country's Quarterly Report on Form 10-Q for the quarterly period ended June 30, 2021</w:t>
        </w:r>
      </w:hyperlink>
    </w:p>
    <w:p>
      <w:pPr>
        <w:spacing w:after="0" w:line="178" w:lineRule="exact"/>
        <w:rPr>
          <w:rFonts w:ascii="Arial" w:cs="Arial" w:eastAsia="Arial" w:hAnsi="Arial"/>
          <w:sz w:val="17"/>
          <w:szCs w:val="17"/>
          <w:u w:val="single" w:color="auto"/>
          <w:color w:val="0000EE"/>
        </w:rPr>
      </w:pPr>
    </w:p>
    <w:tbl>
      <w:tblPr>
        <w:tblLayout w:type="fixed"/>
        <w:tblInd w:w="60" w:type="dxa"/>
        <w:tblCellMar>
          <w:top w:w="0" w:type="dxa"/>
          <w:left w:w="0" w:type="dxa"/>
          <w:bottom w:w="0" w:type="dxa"/>
          <w:right w:w="0" w:type="dxa"/>
        </w:tblCellMar>
      </w:tblPr>
      <w:tr>
        <w:trPr>
          <w:trHeight w:val="195"/>
        </w:trPr>
        <w:tc>
          <w:tcPr>
            <w:tcW w:w="840" w:type="dxa"/>
            <w:vAlign w:val="bottom"/>
          </w:tcPr>
          <w:p>
            <w:pPr>
              <w:spacing w:after="0"/>
              <w:rPr>
                <w:sz w:val="20"/>
                <w:szCs w:val="20"/>
                <w:color w:val="auto"/>
              </w:rPr>
            </w:pPr>
            <w:r>
              <w:rPr>
                <w:rFonts w:ascii="Arial" w:cs="Arial" w:eastAsia="Arial" w:hAnsi="Arial"/>
                <w:sz w:val="17"/>
                <w:szCs w:val="17"/>
                <w:color w:val="auto"/>
              </w:rPr>
              <w:t>101.INS</w:t>
            </w:r>
          </w:p>
        </w:tc>
        <w:tc>
          <w:tcPr>
            <w:tcW w:w="8040" w:type="dxa"/>
            <w:vAlign w:val="bottom"/>
          </w:tcPr>
          <w:p>
            <w:pPr>
              <w:ind w:left="140"/>
              <w:spacing w:after="0"/>
              <w:rPr>
                <w:sz w:val="20"/>
                <w:szCs w:val="20"/>
                <w:color w:val="auto"/>
              </w:rPr>
            </w:pPr>
            <w:r>
              <w:rPr>
                <w:rFonts w:ascii="Arial" w:cs="Arial" w:eastAsia="Arial" w:hAnsi="Arial"/>
                <w:sz w:val="17"/>
                <w:szCs w:val="17"/>
                <w:color w:val="auto"/>
              </w:rPr>
              <w:t>Inline XBRL Instance Document - The instance document does not appear in the interactive data file</w:t>
            </w:r>
          </w:p>
        </w:tc>
      </w:tr>
      <w:tr>
        <w:trPr>
          <w:trHeight w:val="206"/>
        </w:trPr>
        <w:tc>
          <w:tcPr>
            <w:tcW w:w="840" w:type="dxa"/>
            <w:vAlign w:val="bottom"/>
          </w:tcPr>
          <w:p>
            <w:pPr>
              <w:spacing w:after="0"/>
              <w:rPr>
                <w:sz w:val="17"/>
                <w:szCs w:val="17"/>
                <w:color w:val="auto"/>
              </w:rPr>
            </w:pPr>
          </w:p>
        </w:tc>
        <w:tc>
          <w:tcPr>
            <w:tcW w:w="8040" w:type="dxa"/>
            <w:vAlign w:val="bottom"/>
          </w:tcPr>
          <w:p>
            <w:pPr>
              <w:ind w:left="140"/>
              <w:spacing w:after="0"/>
              <w:rPr>
                <w:sz w:val="20"/>
                <w:szCs w:val="20"/>
                <w:color w:val="auto"/>
              </w:rPr>
            </w:pPr>
            <w:r>
              <w:rPr>
                <w:rFonts w:ascii="Arial" w:cs="Arial" w:eastAsia="Arial" w:hAnsi="Arial"/>
                <w:sz w:val="17"/>
                <w:szCs w:val="17"/>
                <w:color w:val="auto"/>
              </w:rPr>
              <w:t>because its XBRL tags are embedded within the Inline XBRL document</w:t>
            </w:r>
          </w:p>
        </w:tc>
      </w:tr>
      <w:tr>
        <w:trPr>
          <w:trHeight w:val="387"/>
        </w:trPr>
        <w:tc>
          <w:tcPr>
            <w:tcW w:w="840" w:type="dxa"/>
            <w:vAlign w:val="bottom"/>
          </w:tcPr>
          <w:p>
            <w:pPr>
              <w:spacing w:after="0"/>
              <w:rPr>
                <w:sz w:val="20"/>
                <w:szCs w:val="20"/>
                <w:color w:val="auto"/>
              </w:rPr>
            </w:pPr>
            <w:r>
              <w:rPr>
                <w:rFonts w:ascii="Arial" w:cs="Arial" w:eastAsia="Arial" w:hAnsi="Arial"/>
                <w:sz w:val="17"/>
                <w:szCs w:val="17"/>
                <w:color w:val="auto"/>
              </w:rPr>
              <w:t>101.SCH</w:t>
            </w:r>
          </w:p>
        </w:tc>
        <w:tc>
          <w:tcPr>
            <w:tcW w:w="8040" w:type="dxa"/>
            <w:vAlign w:val="bottom"/>
          </w:tcPr>
          <w:p>
            <w:pPr>
              <w:ind w:left="140"/>
              <w:spacing w:after="0"/>
              <w:rPr>
                <w:sz w:val="20"/>
                <w:szCs w:val="20"/>
                <w:color w:val="auto"/>
              </w:rPr>
            </w:pPr>
            <w:r>
              <w:rPr>
                <w:rFonts w:ascii="Arial" w:cs="Arial" w:eastAsia="Arial" w:hAnsi="Arial"/>
                <w:sz w:val="17"/>
                <w:szCs w:val="17"/>
                <w:color w:val="auto"/>
              </w:rPr>
              <w:t>Inline XBRL Taxonomy Extension Schema Document</w:t>
            </w:r>
          </w:p>
        </w:tc>
      </w:tr>
      <w:tr>
        <w:trPr>
          <w:trHeight w:val="387"/>
        </w:trPr>
        <w:tc>
          <w:tcPr>
            <w:tcW w:w="840" w:type="dxa"/>
            <w:vAlign w:val="bottom"/>
          </w:tcPr>
          <w:p>
            <w:pPr>
              <w:spacing w:after="0"/>
              <w:rPr>
                <w:sz w:val="20"/>
                <w:szCs w:val="20"/>
                <w:color w:val="auto"/>
              </w:rPr>
            </w:pPr>
            <w:r>
              <w:rPr>
                <w:rFonts w:ascii="Arial" w:cs="Arial" w:eastAsia="Arial" w:hAnsi="Arial"/>
                <w:sz w:val="17"/>
                <w:szCs w:val="17"/>
                <w:color w:val="auto"/>
              </w:rPr>
              <w:t>101.CAL</w:t>
            </w:r>
          </w:p>
        </w:tc>
        <w:tc>
          <w:tcPr>
            <w:tcW w:w="8040" w:type="dxa"/>
            <w:vAlign w:val="bottom"/>
          </w:tcPr>
          <w:p>
            <w:pPr>
              <w:ind w:left="14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387"/>
        </w:trPr>
        <w:tc>
          <w:tcPr>
            <w:tcW w:w="840" w:type="dxa"/>
            <w:vAlign w:val="bottom"/>
          </w:tcPr>
          <w:p>
            <w:pPr>
              <w:spacing w:after="0"/>
              <w:rPr>
                <w:sz w:val="20"/>
                <w:szCs w:val="20"/>
                <w:color w:val="auto"/>
              </w:rPr>
            </w:pPr>
            <w:r>
              <w:rPr>
                <w:rFonts w:ascii="Arial" w:cs="Arial" w:eastAsia="Arial" w:hAnsi="Arial"/>
                <w:sz w:val="17"/>
                <w:szCs w:val="17"/>
                <w:color w:val="auto"/>
              </w:rPr>
              <w:t>101.DEF</w:t>
            </w:r>
          </w:p>
        </w:tc>
        <w:tc>
          <w:tcPr>
            <w:tcW w:w="8040" w:type="dxa"/>
            <w:vAlign w:val="bottom"/>
          </w:tcPr>
          <w:p>
            <w:pPr>
              <w:ind w:left="14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387"/>
        </w:trPr>
        <w:tc>
          <w:tcPr>
            <w:tcW w:w="840" w:type="dxa"/>
            <w:vAlign w:val="bottom"/>
          </w:tcPr>
          <w:p>
            <w:pPr>
              <w:spacing w:after="0"/>
              <w:rPr>
                <w:sz w:val="20"/>
                <w:szCs w:val="20"/>
                <w:color w:val="auto"/>
              </w:rPr>
            </w:pPr>
            <w:r>
              <w:rPr>
                <w:rFonts w:ascii="Arial" w:cs="Arial" w:eastAsia="Arial" w:hAnsi="Arial"/>
                <w:sz w:val="17"/>
                <w:szCs w:val="17"/>
                <w:color w:val="auto"/>
              </w:rPr>
              <w:t>101.LAB</w:t>
            </w:r>
          </w:p>
        </w:tc>
        <w:tc>
          <w:tcPr>
            <w:tcW w:w="8040" w:type="dxa"/>
            <w:vAlign w:val="bottom"/>
          </w:tcPr>
          <w:p>
            <w:pPr>
              <w:ind w:left="140"/>
              <w:spacing w:after="0"/>
              <w:rPr>
                <w:sz w:val="20"/>
                <w:szCs w:val="20"/>
                <w:color w:val="auto"/>
              </w:rPr>
            </w:pPr>
            <w:r>
              <w:rPr>
                <w:rFonts w:ascii="Arial" w:cs="Arial" w:eastAsia="Arial" w:hAnsi="Arial"/>
                <w:sz w:val="17"/>
                <w:szCs w:val="17"/>
                <w:color w:val="auto"/>
              </w:rPr>
              <w:t>Inline XBRL Taxonomy Extension Labels Linkbase Document</w:t>
            </w:r>
          </w:p>
        </w:tc>
      </w:tr>
      <w:tr>
        <w:trPr>
          <w:trHeight w:val="387"/>
        </w:trPr>
        <w:tc>
          <w:tcPr>
            <w:tcW w:w="840" w:type="dxa"/>
            <w:vAlign w:val="bottom"/>
          </w:tcPr>
          <w:p>
            <w:pPr>
              <w:spacing w:after="0"/>
              <w:rPr>
                <w:sz w:val="20"/>
                <w:szCs w:val="20"/>
                <w:color w:val="auto"/>
              </w:rPr>
            </w:pPr>
            <w:r>
              <w:rPr>
                <w:rFonts w:ascii="Arial" w:cs="Arial" w:eastAsia="Arial" w:hAnsi="Arial"/>
                <w:sz w:val="17"/>
                <w:szCs w:val="17"/>
                <w:color w:val="auto"/>
              </w:rPr>
              <w:t>101.PRE</w:t>
            </w:r>
          </w:p>
        </w:tc>
        <w:tc>
          <w:tcPr>
            <w:tcW w:w="8040" w:type="dxa"/>
            <w:vAlign w:val="bottom"/>
          </w:tcPr>
          <w:p>
            <w:pPr>
              <w:ind w:left="140"/>
              <w:spacing w:after="0"/>
              <w:rPr>
                <w:sz w:val="20"/>
                <w:szCs w:val="20"/>
                <w:color w:val="auto"/>
              </w:rPr>
            </w:pPr>
            <w:r>
              <w:rPr>
                <w:rFonts w:ascii="Arial" w:cs="Arial" w:eastAsia="Arial" w:hAnsi="Arial"/>
                <w:sz w:val="17"/>
                <w:szCs w:val="17"/>
                <w:color w:val="auto"/>
              </w:rPr>
              <w:t>Inline XBRL Taxonomy Extension Presentation Linkbase Document</w:t>
            </w:r>
          </w:p>
        </w:tc>
      </w:tr>
    </w:tbl>
    <w:p>
      <w:pPr>
        <w:spacing w:after="0" w:line="181" w:lineRule="exact"/>
        <w:rPr>
          <w:rFonts w:ascii="Arial" w:cs="Arial" w:eastAsia="Arial" w:hAnsi="Arial"/>
          <w:sz w:val="17"/>
          <w:szCs w:val="17"/>
          <w:u w:val="single" w:color="auto"/>
          <w:color w:val="0000EE"/>
        </w:rPr>
      </w:pPr>
    </w:p>
    <w:p>
      <w:pPr>
        <w:ind w:left="1040" w:hanging="982"/>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Cover Page Interactive Data Files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2" w:lineRule="exact"/>
        <w:rPr>
          <w:rFonts w:ascii="Arial" w:cs="Arial" w:eastAsia="Arial" w:hAnsi="Arial"/>
          <w:sz w:val="17"/>
          <w:szCs w:val="17"/>
          <w:color w:val="auto"/>
        </w:rPr>
      </w:pPr>
    </w:p>
    <w:p>
      <w:pPr>
        <w:ind w:left="4400" w:hanging="96"/>
        <w:spacing w:after="0"/>
        <w:tabs>
          <w:tab w:leader="none" w:pos="44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58 -</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142875</wp:posOffset>
            </wp:positionV>
            <wp:extent cx="5664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w:t>
      </w:r>
    </w:p>
    <w:p>
      <w:pPr>
        <w:spacing w:after="0" w:line="204" w:lineRule="exact"/>
        <w:rPr>
          <w:sz w:val="20"/>
          <w:szCs w:val="20"/>
          <w:color w:val="auto"/>
        </w:rPr>
      </w:pPr>
    </w:p>
    <w:p>
      <w:pPr>
        <w:ind w:left="40" w:right="59"/>
        <w:spacing w:after="0" w:line="24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Sun Country Airlines Holdings, Inc.</w:t>
      </w:r>
    </w:p>
    <w:p>
      <w:pPr>
        <w:ind w:left="4440"/>
        <w:spacing w:after="0"/>
        <w:rPr>
          <w:sz w:val="20"/>
          <w:szCs w:val="20"/>
          <w:color w:val="auto"/>
        </w:rPr>
      </w:pPr>
      <w:r>
        <w:rPr>
          <w:rFonts w:ascii="Arial" w:cs="Arial" w:eastAsia="Arial" w:hAnsi="Arial"/>
          <w:sz w:val="17"/>
          <w:szCs w:val="17"/>
          <w:color w:val="auto"/>
        </w:rPr>
        <w:t>(Registrant)</w:t>
      </w:r>
    </w:p>
    <w:p>
      <w:pPr>
        <w:spacing w:after="0" w:line="217"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0</wp:posOffset>
            </wp:positionV>
            <wp:extent cx="28816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81630" cy="8255"/>
                    </a:xfrm>
                    <a:prstGeom prst="rect">
                      <a:avLst/>
                    </a:prstGeom>
                    <a:noFill/>
                  </pic:spPr>
                </pic:pic>
              </a:graphicData>
            </a:graphic>
          </wp:anchor>
        </w:drawing>
      </w:r>
    </w:p>
    <w:p>
      <w:pPr>
        <w:ind w:left="4440"/>
        <w:spacing w:after="0"/>
        <w:rPr>
          <w:sz w:val="20"/>
          <w:szCs w:val="20"/>
          <w:color w:val="auto"/>
        </w:rPr>
      </w:pPr>
      <w:r>
        <w:rPr>
          <w:rFonts w:ascii="Arial" w:cs="Arial" w:eastAsia="Arial" w:hAnsi="Arial"/>
          <w:sz w:val="17"/>
          <w:szCs w:val="17"/>
          <w:color w:val="auto"/>
        </w:rPr>
        <w:t>Dave Davis</w:t>
      </w:r>
    </w:p>
    <w:p>
      <w:pPr>
        <w:ind w:left="4440"/>
        <w:spacing w:after="0" w:line="237" w:lineRule="auto"/>
        <w:rPr>
          <w:sz w:val="20"/>
          <w:szCs w:val="20"/>
          <w:color w:val="auto"/>
        </w:rPr>
      </w:pPr>
      <w:r>
        <w:rPr>
          <w:rFonts w:ascii="Arial" w:cs="Arial" w:eastAsia="Arial" w:hAnsi="Arial"/>
          <w:sz w:val="17"/>
          <w:szCs w:val="17"/>
          <w:color w:val="auto"/>
        </w:rPr>
        <w:t>President and Chief Financial Officer</w:t>
      </w:r>
    </w:p>
    <w:p>
      <w:pPr>
        <w:ind w:left="4440"/>
        <w:spacing w:after="0" w:line="237" w:lineRule="auto"/>
        <w:rPr>
          <w:sz w:val="20"/>
          <w:szCs w:val="20"/>
          <w:color w:val="auto"/>
        </w:rPr>
      </w:pPr>
      <w:r>
        <w:rPr>
          <w:rFonts w:ascii="Arial" w:cs="Arial" w:eastAsia="Arial" w:hAnsi="Arial"/>
          <w:sz w:val="17"/>
          <w:szCs w:val="17"/>
          <w:color w:val="auto"/>
        </w:rPr>
        <w:t>(Principal Financial and Accounting Officer)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July 28, 2021</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326390</wp:posOffset>
            </wp:positionV>
            <wp:extent cx="5664835" cy="247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64835" cy="247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9240"/>
        <w:spacing w:after="0"/>
        <w:rPr>
          <w:sz w:val="20"/>
          <w:szCs w:val="20"/>
          <w:color w:val="auto"/>
        </w:rPr>
      </w:pPr>
      <w:r>
        <w:rPr>
          <w:rFonts w:ascii="Arial" w:cs="Arial" w:eastAsia="Arial" w:hAnsi="Arial"/>
          <w:sz w:val="15"/>
          <w:szCs w:val="15"/>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33020</wp:posOffset>
            </wp:positionV>
            <wp:extent cx="6958330" cy="9356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958330" cy="9356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58330" cy="935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line="267" w:lineRule="auto"/>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 AS ADOPTED PURSUANT TO SECTION 302 OF THE SARBANES-OXLEY ACT OF 2002</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I, Jude Bricker, certify that:</w:t>
      </w:r>
    </w:p>
    <w:p>
      <w:pPr>
        <w:spacing w:after="0" w:line="217" w:lineRule="exact"/>
        <w:rPr>
          <w:sz w:val="20"/>
          <w:szCs w:val="20"/>
          <w:color w:val="auto"/>
        </w:rPr>
      </w:pPr>
    </w:p>
    <w:p>
      <w:pPr>
        <w:ind w:left="560" w:right="240" w:hanging="311"/>
        <w:spacing w:after="0" w:line="279" w:lineRule="auto"/>
        <w:tabs>
          <w:tab w:leader="none" w:pos="5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Sun Country Airlines Holdings, Inc. ("Sun Country") for the six month period ended June 30, 2021;</w:t>
      </w:r>
    </w:p>
    <w:p>
      <w:pPr>
        <w:spacing w:after="0" w:line="164" w:lineRule="exact"/>
        <w:rPr>
          <w:rFonts w:ascii="Arial" w:cs="Arial" w:eastAsia="Arial" w:hAnsi="Arial"/>
          <w:sz w:val="17"/>
          <w:szCs w:val="17"/>
          <w:color w:val="auto"/>
        </w:rPr>
      </w:pPr>
    </w:p>
    <w:p>
      <w:pPr>
        <w:ind w:left="560" w:right="40" w:hanging="311"/>
        <w:spacing w:after="0" w:line="266" w:lineRule="auto"/>
        <w:tabs>
          <w:tab w:leader="none" w:pos="5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7"/>
          <w:szCs w:val="17"/>
          <w:color w:val="auto"/>
        </w:rPr>
      </w:pPr>
    </w:p>
    <w:p>
      <w:pPr>
        <w:ind w:left="560" w:right="120" w:hanging="311"/>
        <w:spacing w:after="0" w:line="349" w:lineRule="auto"/>
        <w:tabs>
          <w:tab w:leader="none" w:pos="5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17" w:lineRule="exact"/>
        <w:rPr>
          <w:rFonts w:ascii="Arial" w:cs="Arial" w:eastAsia="Arial" w:hAnsi="Arial"/>
          <w:sz w:val="15"/>
          <w:szCs w:val="15"/>
          <w:color w:val="auto"/>
        </w:rPr>
      </w:pPr>
    </w:p>
    <w:p>
      <w:pPr>
        <w:ind w:left="560" w:right="380" w:hanging="311"/>
        <w:spacing w:after="0" w:line="279" w:lineRule="auto"/>
        <w:tabs>
          <w:tab w:leader="none" w:pos="5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Sun Country's other certifying officer and I are responsible for establishing and maintaining disclosure controls and procedures (as defined in Exchange Act Rules 13a-15(e) and 15d-15(e)) for Sun Country and have:</w:t>
      </w:r>
    </w:p>
    <w:p>
      <w:pPr>
        <w:spacing w:after="0" w:line="164" w:lineRule="exact"/>
        <w:rPr>
          <w:rFonts w:ascii="Arial" w:cs="Arial" w:eastAsia="Arial" w:hAnsi="Arial"/>
          <w:sz w:val="17"/>
          <w:szCs w:val="17"/>
          <w:color w:val="auto"/>
        </w:rPr>
      </w:pPr>
    </w:p>
    <w:p>
      <w:pPr>
        <w:ind w:left="940" w:right="60" w:hanging="317"/>
        <w:spacing w:after="0" w:line="290" w:lineRule="auto"/>
        <w:tabs>
          <w:tab w:leader="none" w:pos="940" w:val="left"/>
        </w:tabs>
        <w:numPr>
          <w:ilvl w:val="2"/>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6"/>
          <w:szCs w:val="16"/>
          <w:color w:val="auto"/>
        </w:rPr>
      </w:pPr>
    </w:p>
    <w:p>
      <w:pPr>
        <w:ind w:left="940" w:hanging="317"/>
        <w:spacing w:after="0"/>
        <w:tabs>
          <w:tab w:leader="none" w:pos="940" w:val="left"/>
        </w:tabs>
        <w:numPr>
          <w:ilvl w:val="2"/>
          <w:numId w:val="31"/>
        </w:numPr>
        <w:rPr>
          <w:rFonts w:ascii="Arial" w:cs="Arial" w:eastAsia="Arial" w:hAnsi="Arial"/>
          <w:sz w:val="17"/>
          <w:szCs w:val="17"/>
          <w:color w:val="auto"/>
        </w:rPr>
      </w:pPr>
      <w:r>
        <w:rPr>
          <w:rFonts w:ascii="Arial" w:cs="Arial" w:eastAsia="Arial" w:hAnsi="Arial"/>
          <w:sz w:val="17"/>
          <w:szCs w:val="17"/>
          <w:color w:val="auto"/>
        </w:rPr>
        <w:t>[paragraph omitted in accordance with Exchange Act Rule 13a-14(a)]</w:t>
      </w:r>
    </w:p>
    <w:p>
      <w:pPr>
        <w:spacing w:after="0" w:line="217" w:lineRule="exact"/>
        <w:rPr>
          <w:rFonts w:ascii="Arial" w:cs="Arial" w:eastAsia="Arial" w:hAnsi="Arial"/>
          <w:sz w:val="17"/>
          <w:szCs w:val="17"/>
          <w:color w:val="auto"/>
        </w:rPr>
      </w:pPr>
    </w:p>
    <w:p>
      <w:pPr>
        <w:ind w:left="940" w:hanging="317"/>
        <w:spacing w:after="0" w:line="266" w:lineRule="auto"/>
        <w:tabs>
          <w:tab w:leader="none" w:pos="940" w:val="left"/>
        </w:tabs>
        <w:numPr>
          <w:ilvl w:val="2"/>
          <w:numId w:val="31"/>
        </w:numPr>
        <w:rPr>
          <w:rFonts w:ascii="Arial" w:cs="Arial" w:eastAsia="Arial" w:hAnsi="Arial"/>
          <w:sz w:val="17"/>
          <w:szCs w:val="17"/>
          <w:color w:val="auto"/>
        </w:rPr>
      </w:pPr>
      <w:r>
        <w:rPr>
          <w:rFonts w:ascii="Arial" w:cs="Arial" w:eastAsia="Arial" w:hAnsi="Arial"/>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ind w:left="940" w:right="160" w:hanging="317"/>
        <w:spacing w:after="0" w:line="266" w:lineRule="auto"/>
        <w:tabs>
          <w:tab w:leader="none" w:pos="940" w:val="left"/>
        </w:tabs>
        <w:numPr>
          <w:ilvl w:val="2"/>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Arial" w:cs="Arial" w:eastAsia="Arial" w:hAnsi="Arial"/>
          <w:sz w:val="17"/>
          <w:szCs w:val="17"/>
          <w:color w:val="auto"/>
        </w:rPr>
      </w:pPr>
    </w:p>
    <w:p>
      <w:pPr>
        <w:ind w:left="620" w:right="440" w:hanging="307"/>
        <w:spacing w:after="0" w:line="266"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75" w:lineRule="exact"/>
        <w:rPr>
          <w:rFonts w:ascii="Arial" w:cs="Arial" w:eastAsia="Arial" w:hAnsi="Arial"/>
          <w:sz w:val="17"/>
          <w:szCs w:val="17"/>
          <w:color w:val="auto"/>
        </w:rPr>
      </w:pPr>
    </w:p>
    <w:p>
      <w:pPr>
        <w:ind w:left="940" w:right="80" w:hanging="317"/>
        <w:spacing w:after="0" w:line="349" w:lineRule="auto"/>
        <w:tabs>
          <w:tab w:leader="none" w:pos="940" w:val="left"/>
        </w:tabs>
        <w:numPr>
          <w:ilvl w:val="2"/>
          <w:numId w:val="3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17" w:lineRule="exact"/>
        <w:rPr>
          <w:rFonts w:ascii="Arial" w:cs="Arial" w:eastAsia="Arial" w:hAnsi="Arial"/>
          <w:sz w:val="15"/>
          <w:szCs w:val="15"/>
          <w:color w:val="auto"/>
        </w:rPr>
      </w:pPr>
    </w:p>
    <w:p>
      <w:pPr>
        <w:ind w:left="940" w:right="240" w:hanging="317"/>
        <w:spacing w:after="0" w:line="279" w:lineRule="auto"/>
        <w:tabs>
          <w:tab w:leader="none" w:pos="940" w:val="left"/>
        </w:tabs>
        <w:numPr>
          <w:ilvl w:val="2"/>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Sun Country's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July 28, 2021</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7620</wp:posOffset>
            </wp:positionV>
            <wp:extent cx="31432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7"/>
          <w:szCs w:val="17"/>
          <w:color w:val="auto"/>
        </w:rPr>
        <w:t>Jude Bricker</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466090</wp:posOffset>
            </wp:positionV>
            <wp:extent cx="6303645" cy="247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03645" cy="2476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7" w:name="page78"/>
    <w:bookmarkEnd w:id="77"/>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line="267" w:lineRule="auto"/>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 AS ADOPTED PURSUANT TO SECTION 302 OF THE SARBANES-OXLEY ACT OF 2002</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I, Dave Davis, certify that:</w:t>
      </w:r>
    </w:p>
    <w:p>
      <w:pPr>
        <w:spacing w:after="0" w:line="217" w:lineRule="exact"/>
        <w:rPr>
          <w:sz w:val="20"/>
          <w:szCs w:val="20"/>
          <w:color w:val="auto"/>
        </w:rPr>
      </w:pPr>
    </w:p>
    <w:p>
      <w:pPr>
        <w:ind w:left="620" w:right="180" w:hanging="307"/>
        <w:spacing w:after="0" w:line="279"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Sun Country Airlines Holdings, Inc. ("Sun Country") for the six month period ended June 30, 2021;</w:t>
      </w:r>
    </w:p>
    <w:p>
      <w:pPr>
        <w:spacing w:after="0" w:line="164" w:lineRule="exact"/>
        <w:rPr>
          <w:rFonts w:ascii="Arial" w:cs="Arial" w:eastAsia="Arial" w:hAnsi="Arial"/>
          <w:sz w:val="17"/>
          <w:szCs w:val="17"/>
          <w:color w:val="auto"/>
        </w:rPr>
      </w:pPr>
    </w:p>
    <w:p>
      <w:pPr>
        <w:ind w:left="620" w:right="60" w:hanging="307"/>
        <w:spacing w:after="0" w:line="266"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7"/>
          <w:szCs w:val="17"/>
          <w:color w:val="auto"/>
        </w:rPr>
      </w:pPr>
    </w:p>
    <w:p>
      <w:pPr>
        <w:ind w:left="620" w:right="60" w:hanging="307"/>
        <w:spacing w:after="0" w:line="349" w:lineRule="auto"/>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17" w:lineRule="exact"/>
        <w:rPr>
          <w:rFonts w:ascii="Arial" w:cs="Arial" w:eastAsia="Arial" w:hAnsi="Arial"/>
          <w:sz w:val="15"/>
          <w:szCs w:val="15"/>
          <w:color w:val="auto"/>
        </w:rPr>
      </w:pPr>
    </w:p>
    <w:p>
      <w:pPr>
        <w:ind w:left="620" w:right="320" w:hanging="307"/>
        <w:spacing w:after="0" w:line="279"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Sun Country's other certifying officer and I are responsible for establishing and maintaining disclosure controls and procedures (as defined in Exchange Act Rules 13a-15(e) and 15d-15(e)) for Sun Country and have:</w:t>
      </w:r>
    </w:p>
    <w:p>
      <w:pPr>
        <w:spacing w:after="0" w:line="164" w:lineRule="exact"/>
        <w:rPr>
          <w:rFonts w:ascii="Arial" w:cs="Arial" w:eastAsia="Arial" w:hAnsi="Arial"/>
          <w:sz w:val="17"/>
          <w:szCs w:val="17"/>
          <w:color w:val="auto"/>
        </w:rPr>
      </w:pPr>
    </w:p>
    <w:p>
      <w:pPr>
        <w:ind w:left="940" w:right="60" w:hanging="317"/>
        <w:spacing w:after="0" w:line="290" w:lineRule="auto"/>
        <w:tabs>
          <w:tab w:leader="none" w:pos="9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6"/>
          <w:szCs w:val="16"/>
          <w:color w:val="auto"/>
        </w:rPr>
      </w:pPr>
    </w:p>
    <w:p>
      <w:pPr>
        <w:ind w:left="940" w:hanging="317"/>
        <w:spacing w:after="0"/>
        <w:tabs>
          <w:tab w:leader="none" w:pos="9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[paragraph omitted in accordance with Exchange Act Rule 13a-14(a)]</w:t>
      </w:r>
    </w:p>
    <w:p>
      <w:pPr>
        <w:spacing w:after="0" w:line="217" w:lineRule="exact"/>
        <w:rPr>
          <w:rFonts w:ascii="Arial" w:cs="Arial" w:eastAsia="Arial" w:hAnsi="Arial"/>
          <w:sz w:val="17"/>
          <w:szCs w:val="17"/>
          <w:color w:val="auto"/>
        </w:rPr>
      </w:pPr>
    </w:p>
    <w:p>
      <w:pPr>
        <w:ind w:left="940" w:hanging="317"/>
        <w:spacing w:after="0" w:line="266" w:lineRule="auto"/>
        <w:tabs>
          <w:tab w:leader="none" w:pos="9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ind w:left="940" w:right="160" w:hanging="317"/>
        <w:spacing w:after="0" w:line="266" w:lineRule="auto"/>
        <w:tabs>
          <w:tab w:leader="none" w:pos="9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Arial" w:cs="Arial" w:eastAsia="Arial" w:hAnsi="Arial"/>
          <w:sz w:val="17"/>
          <w:szCs w:val="17"/>
          <w:color w:val="auto"/>
        </w:rPr>
      </w:pPr>
    </w:p>
    <w:p>
      <w:pPr>
        <w:ind w:left="620" w:right="440" w:hanging="307"/>
        <w:spacing w:after="0" w:line="266"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75" w:lineRule="exact"/>
        <w:rPr>
          <w:rFonts w:ascii="Arial" w:cs="Arial" w:eastAsia="Arial" w:hAnsi="Arial"/>
          <w:sz w:val="17"/>
          <w:szCs w:val="17"/>
          <w:color w:val="auto"/>
        </w:rPr>
      </w:pPr>
    </w:p>
    <w:p>
      <w:pPr>
        <w:ind w:left="940" w:right="80" w:hanging="317"/>
        <w:spacing w:after="0" w:line="349" w:lineRule="auto"/>
        <w:tabs>
          <w:tab w:leader="none" w:pos="940" w:val="left"/>
        </w:tabs>
        <w:numPr>
          <w:ilvl w:val="1"/>
          <w:numId w:val="3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17" w:lineRule="exact"/>
        <w:rPr>
          <w:rFonts w:ascii="Arial" w:cs="Arial" w:eastAsia="Arial" w:hAnsi="Arial"/>
          <w:sz w:val="15"/>
          <w:szCs w:val="15"/>
          <w:color w:val="auto"/>
        </w:rPr>
      </w:pPr>
    </w:p>
    <w:p>
      <w:pPr>
        <w:ind w:left="940" w:right="240" w:hanging="317"/>
        <w:spacing w:after="0" w:line="279" w:lineRule="auto"/>
        <w:tabs>
          <w:tab w:leader="none" w:pos="9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Sun Country's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July 28, 2021</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7620</wp:posOffset>
            </wp:positionV>
            <wp:extent cx="31432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7"/>
          <w:szCs w:val="17"/>
          <w:color w:val="auto"/>
        </w:rPr>
        <w:t>Dave Davis</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466090</wp:posOffset>
            </wp:positionV>
            <wp:extent cx="6303645" cy="247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03645" cy="2476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8" w:name="page79"/>
    <w:bookmarkEnd w:id="78"/>
    <w:p>
      <w:pPr>
        <w:jc w:val="right"/>
        <w:spacing w:after="0"/>
        <w:rPr>
          <w:sz w:val="20"/>
          <w:szCs w:val="20"/>
          <w:color w:val="auto"/>
        </w:rPr>
      </w:pPr>
      <w:r>
        <w:rPr>
          <w:rFonts w:ascii="Arial" w:cs="Arial" w:eastAsia="Arial" w:hAnsi="Arial"/>
          <w:sz w:val="17"/>
          <w:szCs w:val="17"/>
          <w:b w:val="1"/>
          <w:bCs w:val="1"/>
          <w:color w:val="auto"/>
        </w:rPr>
        <w:t>Exhibit 32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July 28, 2021</w:t>
      </w:r>
    </w:p>
    <w:p>
      <w:pPr>
        <w:spacing w:after="0" w:line="217"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June 30, 2021 (the "Report").</w:t>
      </w:r>
    </w:p>
    <w:p>
      <w:pPr>
        <w:spacing w:after="0" w:line="178"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Each of the undersigned, the Chief Executive Officer and the President and Chief Financial Officer, respectively, of Sun Country, hereby certifies that, as of the end of the period covered by the Report:</w:t>
      </w:r>
    </w:p>
    <w:p>
      <w:pPr>
        <w:spacing w:after="0" w:line="164" w:lineRule="exact"/>
        <w:rPr>
          <w:sz w:val="20"/>
          <w:szCs w:val="20"/>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such Report fully complies with the requirements of Section 13(a) of the Securities Exchange Act of 1934; and</w:t>
      </w:r>
    </w:p>
    <w:p>
      <w:pPr>
        <w:spacing w:after="0" w:line="217" w:lineRule="exact"/>
        <w:rPr>
          <w:rFonts w:ascii="Arial" w:cs="Arial" w:eastAsia="Arial" w:hAnsi="Arial"/>
          <w:sz w:val="17"/>
          <w:szCs w:val="17"/>
          <w:color w:val="auto"/>
        </w:rPr>
      </w:pPr>
    </w:p>
    <w:p>
      <w:pPr>
        <w:ind w:left="620" w:right="60" w:hanging="307"/>
        <w:spacing w:after="0" w:line="279"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Sun Country.</w:t>
      </w:r>
    </w:p>
    <w:p>
      <w:pPr>
        <w:spacing w:after="0" w:line="177"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432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4"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Jude Bricker</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1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432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4"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Dave Davis</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466090</wp:posOffset>
            </wp:positionV>
            <wp:extent cx="6303645" cy="24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03645" cy="2476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lvl w:ilvl="1">
      <w:lvlJc w:val="left"/>
      <w:lvlText w:val="-"/>
      <w:numFmt w:val="bullet"/>
      <w:start w:val="1"/>
    </w:lvl>
  </w:abstractNum>
  <w:abstractNum w:abstractNumId="3">
    <w:nsid w:val="3F2DBA31"/>
    <w:multiLevelType w:val="hybridMultilevel"/>
    <w:lvl w:ilvl="0">
      <w:lvlJc w:val="left"/>
      <w:lvlText w:val="%1."/>
      <w:numFmt w:val="decimal"/>
      <w:start w:val="2"/>
    </w:lvl>
    <w:lvl w:ilvl="1">
      <w:lvlJc w:val="left"/>
      <w:lvlText w:val="-"/>
      <w:numFmt w:val="bullet"/>
      <w:start w:val="1"/>
    </w:lvl>
  </w:abstractNum>
  <w:abstractNum w:abstractNumId="4">
    <w:nsid w:val="7C83E458"/>
    <w:multiLevelType w:val="hybridMultilevel"/>
    <w:lvl w:ilvl="0">
      <w:lvlJc w:val="left"/>
      <w:lvlText w:val="%1."/>
      <w:numFmt w:val="decimal"/>
      <w:start w:val="3"/>
    </w:lvl>
    <w:lvl w:ilvl="1">
      <w:lvlJc w:val="left"/>
      <w:lvlText w:val="-"/>
      <w:numFmt w:val="bullet"/>
      <w:start w:val="1"/>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decimal"/>
      <w:start w:val="1"/>
    </w:lvl>
    <w:lvl w:ilvl="1">
      <w:lvlJc w:val="left"/>
      <w:lvlText w:val="-"/>
      <w:numFmt w:val="bullet"/>
      <w:start w:val="1"/>
    </w:lvl>
  </w:abstractNum>
  <w:abstractNum w:abstractNumId="9">
    <w:nsid w:val="333AB105"/>
    <w:multiLevelType w:val="hybridMultilevel"/>
    <w:lvl w:ilvl="0">
      <w:lvlJc w:val="left"/>
      <w:lvlText w:val="%1."/>
      <w:numFmt w:val="decimal"/>
      <w:start w:val="6"/>
    </w:lvl>
  </w:abstractNum>
  <w:abstractNum w:abstractNumId="10">
    <w:nsid w:val="721DA317"/>
    <w:multiLevelType w:val="hybridMultilevel"/>
    <w:lvl w:ilvl="0">
      <w:lvlJc w:val="left"/>
      <w:lvlText w:val="%1."/>
      <w:numFmt w:val="decimal"/>
      <w:start w:val="7"/>
    </w:lvl>
    <w:lvl w:ilvl="1">
      <w:lvlJc w:val="left"/>
      <w:lvlText w:val="-"/>
      <w:numFmt w:val="bullet"/>
      <w:start w:val="1"/>
    </w:lvl>
  </w:abstractNum>
  <w:abstractNum w:abstractNumId="11">
    <w:nsid w:val="2443A858"/>
    <w:multiLevelType w:val="hybridMultilevel"/>
    <w:lvl w:ilvl="0">
      <w:lvlJc w:val="left"/>
      <w:lvlText w:val="(%1)"/>
      <w:numFmt w:val="lowerRoman"/>
      <w:start w:val="1"/>
    </w:lvl>
  </w:abstractNum>
  <w:abstractNum w:abstractNumId="12">
    <w:nsid w:val="2D1D5AE9"/>
    <w:multiLevelType w:val="hybridMultilevel"/>
    <w:lvl w:ilvl="0">
      <w:lvlJc w:val="left"/>
      <w:lvlText w:val="%1."/>
      <w:numFmt w:val="decimal"/>
      <w:start w:val="8"/>
    </w:lvl>
  </w:abstractNum>
  <w:abstractNum w:abstractNumId="13">
    <w:nsid w:val="6763845E"/>
    <w:multiLevelType w:val="hybridMultilevel"/>
    <w:lvl w:ilvl="0">
      <w:lvlJc w:val="left"/>
      <w:lvlText w:val="%1."/>
      <w:numFmt w:val="decimal"/>
      <w:start w:val="9"/>
    </w:lvl>
  </w:abstractNum>
  <w:abstractNum w:abstractNumId="14">
    <w:nsid w:val="75A2A8D4"/>
    <w:multiLevelType w:val="hybridMultilevel"/>
    <w:lvl w:ilvl="0">
      <w:lvlJc w:val="left"/>
      <w:lvlText w:val="%1."/>
      <w:numFmt w:val="decimal"/>
      <w:start w:val="10"/>
    </w:lvl>
    <w:lvl w:ilvl="1">
      <w:lvlJc w:val="left"/>
      <w:lvlText w:val="-"/>
      <w:numFmt w:val="bullet"/>
      <w:start w:val="1"/>
    </w:lvl>
  </w:abstractNum>
  <w:abstractNum w:abstractNumId="15">
    <w:nsid w:val="8EDBDAB"/>
    <w:multiLevelType w:val="hybridMultilevel"/>
    <w:lvl w:ilvl="0">
      <w:lvlJc w:val="left"/>
      <w:lvlText w:val="%1."/>
      <w:numFmt w:val="decimal"/>
      <w:start w:val="11"/>
    </w:lvl>
  </w:abstractNum>
  <w:abstractNum w:abstractNumId="16">
    <w:nsid w:val="79838CB2"/>
    <w:multiLevelType w:val="hybridMultilevel"/>
    <w:lvl w:ilvl="0">
      <w:lvlJc w:val="left"/>
      <w:lvlText w:val="(%1)"/>
      <w:numFmt w:val="decimal"/>
      <w:start w:val="1"/>
    </w:lvl>
    <w:lvl w:ilvl="1">
      <w:lvlJc w:val="left"/>
      <w:lvlText w:val="-"/>
      <w:numFmt w:val="bullet"/>
      <w:start w:val="1"/>
    </w:lvl>
  </w:abstractNum>
  <w:abstractNum w:abstractNumId="17">
    <w:nsid w:val="4353D0CD"/>
    <w:multiLevelType w:val="hybridMultilevel"/>
    <w:lvl w:ilvl="0">
      <w:lvlJc w:val="left"/>
      <w:lvlText w:val="%1."/>
      <w:numFmt w:val="decimal"/>
      <w:start w:val="12"/>
    </w:lvl>
    <w:lvl w:ilvl="1">
      <w:lvlJc w:val="left"/>
      <w:lvlText w:val="-"/>
      <w:numFmt w:val="bullet"/>
      <w:start w:val="1"/>
    </w:lvl>
  </w:abstractNum>
  <w:abstractNum w:abstractNumId="18">
    <w:nsid w:val="B03E0C6"/>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9">
    <w:nsid w:val="189A769B"/>
    <w:multiLevelType w:val="hybridMultilevel"/>
    <w:lvl w:ilvl="0">
      <w:lvlJc w:val="left"/>
      <w:lvlText w:val="%1."/>
      <w:numFmt w:val="decimal"/>
      <w:start w:val="14"/>
    </w:lvl>
    <w:lvl w:ilvl="1">
      <w:lvlJc w:val="left"/>
      <w:lvlText w:val="%2"/>
      <w:numFmt w:val="decimal"/>
      <w:start w:val="1"/>
    </w:lvl>
    <w:lvl w:ilvl="2">
      <w:lvlJc w:val="left"/>
      <w:lvlText w:val="*"/>
      <w:numFmt w:val="bullet"/>
      <w:start w:val="1"/>
    </w:lvl>
  </w:abstractNum>
  <w:abstractNum w:abstractNumId="20">
    <w:nsid w:val="54E49EB4"/>
    <w:multiLevelType w:val="hybridMultilevel"/>
    <w:lvl w:ilvl="0">
      <w:lvlJc w:val="left"/>
      <w:lvlText w:val="(%1)"/>
      <w:numFmt w:val="decimal"/>
      <w:start w:val="1"/>
    </w:lvl>
    <w:lvl w:ilvl="1">
      <w:lvlJc w:val="left"/>
      <w:lvlText w:val="-"/>
      <w:numFmt w:val="bullet"/>
      <w:start w:val="1"/>
    </w:lvl>
  </w:abstractNum>
  <w:abstractNum w:abstractNumId="21">
    <w:nsid w:val="71F32454"/>
    <w:multiLevelType w:val="hybridMultilevel"/>
    <w:lvl w:ilvl="0">
      <w:lvlJc w:val="left"/>
      <w:lvlText w:val="(%1)"/>
      <w:numFmt w:val="decimal"/>
      <w:start w:val="1"/>
    </w:lvl>
    <w:lvl w:ilvl="1">
      <w:lvlJc w:val="left"/>
      <w:lvlText w:val="-"/>
      <w:numFmt w:val="bullet"/>
      <w:start w:val="1"/>
    </w:lvl>
  </w:abstractNum>
  <w:abstractNum w:abstractNumId="22">
    <w:nsid w:val="2CA88611"/>
    <w:multiLevelType w:val="hybridMultilevel"/>
    <w:lvl w:ilvl="0">
      <w:lvlJc w:val="left"/>
      <w:lvlText w:val="(%1)"/>
      <w:numFmt w:val="lowerLetter"/>
      <w:start w:val="1"/>
    </w:lvl>
    <w:lvl w:ilvl="1">
      <w:lvlJc w:val="left"/>
      <w:lvlText w:val="-"/>
      <w:numFmt w:val="bullet"/>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1"/>
    </w:lvl>
    <w:lvl w:ilvl="1">
      <w:lvlJc w:val="left"/>
      <w:lvlText w:val="-"/>
      <w:numFmt w:val="bullet"/>
      <w:start w:val="1"/>
    </w:lvl>
  </w:abstractNum>
  <w:abstractNum w:abstractNumId="25">
    <w:nsid w:val="3A95F874"/>
    <w:multiLevelType w:val="hybridMultilevel"/>
    <w:lvl w:ilvl="0">
      <w:lvlJc w:val="left"/>
      <w:lvlText w:val="(%1)"/>
      <w:numFmt w:val="lowerLetter"/>
      <w:start w:val="2"/>
    </w:lvl>
  </w:abstractNum>
  <w:abstractNum w:abstractNumId="26">
    <w:nsid w:val="8138641"/>
    <w:multiLevelType w:val="hybridMultilevel"/>
    <w:lvl w:ilvl="0">
      <w:lvlJc w:val="left"/>
      <w:lvlText w:val="(%1)"/>
      <w:numFmt w:val="lowerLetter"/>
      <w:start w:val="1"/>
    </w:lvl>
    <w:lvl w:ilvl="1">
      <w:lvlJc w:val="left"/>
      <w:lvlText w:val="-"/>
      <w:numFmt w:val="bullet"/>
      <w:start w:val="1"/>
    </w:lvl>
  </w:abstractNum>
  <w:abstractNum w:abstractNumId="27">
    <w:nsid w:val="1E7FF521"/>
    <w:multiLevelType w:val="hybridMultilevel"/>
    <w:lvl w:ilvl="0">
      <w:lvlJc w:val="left"/>
      <w:lvlText w:val="(%1)"/>
      <w:numFmt w:val="lowerLetter"/>
      <w:start w:val="2"/>
    </w:lvl>
  </w:abstractNum>
  <w:abstractNum w:abstractNumId="28">
    <w:nsid w:val="7C3DBD3D"/>
    <w:multiLevelType w:val="hybridMultilevel"/>
    <w:lvl w:ilvl="0">
      <w:lvlJc w:val="left"/>
      <w:lvlText w:val="%1"/>
      <w:numFmt w:val="decimal"/>
      <w:start w:val="32"/>
    </w:lvl>
  </w:abstractNum>
  <w:abstractNum w:abstractNumId="29">
    <w:nsid w:val="737B8DDC"/>
    <w:multiLevelType w:val="hybridMultilevel"/>
    <w:lvl w:ilvl="0">
      <w:lvlJc w:val="left"/>
      <w:lvlText w:val="%1"/>
      <w:numFmt w:val="decimal"/>
      <w:start w:val="104"/>
    </w:lvl>
    <w:lvl w:ilvl="1">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2021-07-28T17:13:00Z</dcterms:created>
  <dcterms:modified xsi:type="dcterms:W3CDTF">2021-07-28T17:13:00Z</dcterms:modified>
</cp:coreProperties>
</file>