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174"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QUARTERLY REPORT 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June 30, 2022</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60" w:lineRule="exact"/>
        <w:rPr>
          <w:sz w:val="24"/>
          <w:szCs w:val="24"/>
          <w:color w:val="auto"/>
        </w:rPr>
      </w:pPr>
    </w:p>
    <w:p>
      <w:pPr>
        <w:ind w:left="4300" w:right="2500" w:hanging="4274"/>
        <w:spacing w:after="0" w:line="559" w:lineRule="auto"/>
        <w:tabs>
          <w:tab w:leader="none" w:pos="4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Commission File Number 001-40217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-81915</wp:posOffset>
            </wp:positionV>
            <wp:extent cx="2828925"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Sun Country Airlines Holdings,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Delaware</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20" w:type="dxa"/>
            <w:vAlign w:val="bottom"/>
          </w:tcPr>
          <w:p>
            <w:pPr>
              <w:jc w:val="right"/>
              <w:ind w:right="2028"/>
              <w:spacing w:after="0"/>
              <w:rPr>
                <w:sz w:val="20"/>
                <w:szCs w:val="20"/>
                <w:color w:val="auto"/>
              </w:rPr>
            </w:pPr>
            <w:r>
              <w:rPr>
                <w:rFonts w:ascii="Arial" w:cs="Arial" w:eastAsia="Arial" w:hAnsi="Arial"/>
                <w:sz w:val="14"/>
                <w:szCs w:val="14"/>
                <w:color w:val="auto"/>
              </w:rPr>
              <w:t>82-4092570</w:t>
            </w: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(State or other jurisdiction of incorporation or organization)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148"/>
              <w:spacing w:after="0"/>
              <w:rPr>
                <w:sz w:val="20"/>
                <w:szCs w:val="20"/>
                <w:color w:val="auto"/>
              </w:rPr>
            </w:pPr>
            <w:r>
              <w:rPr>
                <w:rFonts w:ascii="Arial" w:cs="Arial" w:eastAsia="Arial" w:hAnsi="Arial"/>
                <w:sz w:val="14"/>
                <w:szCs w:val="14"/>
                <w:color w:val="auto"/>
              </w:rPr>
              <w:t>(I.R.S. Employer Identification No.)</w:t>
            </w:r>
          </w:p>
        </w:tc>
      </w:tr>
      <w:tr>
        <w:trPr>
          <w:trHeight w:val="378"/>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2005 Cargo Road</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Minneapolis, Minnesota</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right"/>
              <w:ind w:right="2208"/>
              <w:spacing w:after="0"/>
              <w:rPr>
                <w:sz w:val="20"/>
                <w:szCs w:val="20"/>
                <w:color w:val="auto"/>
              </w:rPr>
            </w:pPr>
            <w:r>
              <w:rPr>
                <w:rFonts w:ascii="Arial" w:cs="Arial" w:eastAsia="Arial" w:hAnsi="Arial"/>
                <w:sz w:val="14"/>
                <w:szCs w:val="14"/>
                <w:color w:val="auto"/>
              </w:rPr>
              <w:t>55450</w:t>
            </w:r>
          </w:p>
        </w:tc>
      </w:tr>
      <w:tr>
        <w:trPr>
          <w:trHeight w:val="216"/>
        </w:trPr>
        <w:tc>
          <w:tcPr>
            <w:tcW w:w="5040" w:type="dxa"/>
            <w:vAlign w:val="bottom"/>
            <w:gridSpan w:val="3"/>
          </w:tcPr>
          <w:p>
            <w:pPr>
              <w:jc w:val="center"/>
              <w:ind w:left="1188"/>
              <w:spacing w:after="0"/>
              <w:rPr>
                <w:sz w:val="20"/>
                <w:szCs w:val="20"/>
                <w:color w:val="auto"/>
              </w:rPr>
            </w:pPr>
            <w:r>
              <w:rPr>
                <w:rFonts w:ascii="Arial" w:cs="Arial" w:eastAsia="Arial" w:hAnsi="Arial"/>
                <w:sz w:val="14"/>
                <w:szCs w:val="14"/>
                <w:color w:val="auto"/>
              </w:rPr>
              <w:t>(Address of principal executive offices)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center"/>
              <w:ind w:right="1168"/>
              <w:spacing w:after="0"/>
              <w:rPr>
                <w:sz w:val="20"/>
                <w:szCs w:val="20"/>
                <w:color w:val="auto"/>
              </w:rPr>
            </w:pPr>
            <w:r>
              <w:rPr>
                <w:rFonts w:ascii="Arial" w:cs="Arial" w:eastAsia="Arial" w:hAnsi="Arial"/>
                <w:sz w:val="14"/>
                <w:szCs w:val="14"/>
                <w:color w:val="auto"/>
              </w:rPr>
              <w:t>(Zip Code)</w:t>
            </w:r>
          </w:p>
        </w:tc>
      </w:tr>
      <w:tr>
        <w:trPr>
          <w:trHeight w:val="432"/>
        </w:trPr>
        <w:tc>
          <w:tcPr>
            <w:tcW w:w="11240" w:type="dxa"/>
            <w:vAlign w:val="bottom"/>
            <w:gridSpan w:val="7"/>
          </w:tcPr>
          <w:p>
            <w:pPr>
              <w:jc w:val="center"/>
              <w:spacing w:after="0"/>
              <w:rPr>
                <w:sz w:val="20"/>
                <w:szCs w:val="20"/>
                <w:color w:val="auto"/>
              </w:rPr>
            </w:pPr>
            <w:r>
              <w:rPr>
                <w:rFonts w:ascii="Arial" w:cs="Arial" w:eastAsia="Arial" w:hAnsi="Arial"/>
                <w:sz w:val="14"/>
                <w:szCs w:val="14"/>
                <w:color w:val="auto"/>
              </w:rPr>
              <w:t>Registrant’s telephone number, including area code: (651) 681-3900</w:t>
            </w:r>
          </w:p>
        </w:tc>
      </w:tr>
      <w:tr>
        <w:trPr>
          <w:trHeight w:val="553"/>
        </w:trPr>
        <w:tc>
          <w:tcPr>
            <w:tcW w:w="7520" w:type="dxa"/>
            <w:vAlign w:val="bottom"/>
            <w:gridSpan w:val="6"/>
          </w:tcPr>
          <w:p>
            <w:pPr>
              <w:jc w:val="center"/>
              <w:ind w:left="3668"/>
              <w:spacing w:after="0"/>
              <w:rPr>
                <w:sz w:val="20"/>
                <w:szCs w:val="20"/>
                <w:color w:val="auto"/>
              </w:rPr>
            </w:pPr>
            <w:r>
              <w:rPr>
                <w:rFonts w:ascii="Arial" w:cs="Arial" w:eastAsia="Arial" w:hAnsi="Arial"/>
                <w:sz w:val="14"/>
                <w:szCs w:val="14"/>
                <w:color w:val="auto"/>
              </w:rPr>
              <w:t>Securities registered pursuant to Section 12(b) of the Act:</w:t>
            </w:r>
          </w:p>
        </w:tc>
        <w:tc>
          <w:tcPr>
            <w:tcW w:w="3720" w:type="dxa"/>
            <w:vAlign w:val="bottom"/>
          </w:tcPr>
          <w:p>
            <w:pPr>
              <w:spacing w:after="0"/>
              <w:rPr>
                <w:sz w:val="24"/>
                <w:szCs w:val="24"/>
                <w:color w:val="auto"/>
              </w:rPr>
            </w:pPr>
          </w:p>
        </w:tc>
      </w:tr>
      <w:tr>
        <w:trPr>
          <w:trHeight w:val="330"/>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center"/>
              <w:ind w:right="488"/>
              <w:spacing w:after="0"/>
              <w:rPr>
                <w:sz w:val="20"/>
                <w:szCs w:val="20"/>
                <w:color w:val="auto"/>
              </w:rPr>
            </w:pPr>
            <w:r>
              <w:rPr>
                <w:rFonts w:ascii="Arial" w:cs="Arial" w:eastAsia="Arial" w:hAnsi="Arial"/>
                <w:sz w:val="14"/>
                <w:szCs w:val="14"/>
                <w:color w:val="auto"/>
              </w:rPr>
              <w:t>Trading Symbol</w:t>
            </w: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center"/>
              <w:ind w:right="648"/>
              <w:spacing w:after="0"/>
              <w:rPr>
                <w:sz w:val="20"/>
                <w:szCs w:val="20"/>
                <w:color w:val="auto"/>
              </w:rPr>
            </w:pPr>
            <w:r>
              <w:rPr>
                <w:rFonts w:ascii="Arial" w:cs="Arial" w:eastAsia="Arial" w:hAnsi="Arial"/>
                <w:sz w:val="14"/>
                <w:szCs w:val="14"/>
                <w:color w:val="auto"/>
              </w:rPr>
              <w:t>Name of each exchange on which registered</w:t>
            </w:r>
          </w:p>
        </w:tc>
      </w:tr>
      <w:tr>
        <w:trPr>
          <w:trHeight w:val="203"/>
        </w:trPr>
        <w:tc>
          <w:tcPr>
            <w:tcW w:w="5040" w:type="dxa"/>
            <w:vAlign w:val="bottom"/>
            <w:gridSpan w:val="3"/>
          </w:tcPr>
          <w:p>
            <w:pPr>
              <w:jc w:val="center"/>
              <w:ind w:right="660"/>
              <w:spacing w:after="0"/>
              <w:rPr>
                <w:sz w:val="20"/>
                <w:szCs w:val="20"/>
                <w:color w:val="auto"/>
              </w:rPr>
            </w:pPr>
            <w:r>
              <w:rPr>
                <w:rFonts w:ascii="Arial" w:cs="Arial" w:eastAsia="Arial" w:hAnsi="Arial"/>
                <w:sz w:val="14"/>
                <w:szCs w:val="14"/>
                <w:color w:val="auto"/>
              </w:rPr>
              <w:t>Common Stock, par value $0.01 per share</w:t>
            </w:r>
          </w:p>
        </w:tc>
        <w:tc>
          <w:tcPr>
            <w:tcW w:w="2480" w:type="dxa"/>
            <w:vAlign w:val="bottom"/>
            <w:gridSpan w:val="3"/>
          </w:tcPr>
          <w:p>
            <w:pPr>
              <w:jc w:val="center"/>
              <w:ind w:right="1360"/>
              <w:spacing w:after="0"/>
              <w:rPr>
                <w:sz w:val="20"/>
                <w:szCs w:val="20"/>
                <w:color w:val="auto"/>
              </w:rPr>
            </w:pPr>
            <w:r>
              <w:rPr>
                <w:rFonts w:ascii="Arial" w:cs="Arial" w:eastAsia="Arial" w:hAnsi="Arial"/>
                <w:sz w:val="14"/>
                <w:szCs w:val="14"/>
                <w:color w:val="auto"/>
              </w:rPr>
              <w:t>SNCY</w:t>
            </w:r>
          </w:p>
        </w:tc>
        <w:tc>
          <w:tcPr>
            <w:tcW w:w="3720" w:type="dxa"/>
            <w:vAlign w:val="bottom"/>
          </w:tcPr>
          <w:p>
            <w:pPr>
              <w:jc w:val="center"/>
              <w:ind w:right="648"/>
              <w:spacing w:after="0"/>
              <w:rPr>
                <w:sz w:val="20"/>
                <w:szCs w:val="20"/>
                <w:color w:val="auto"/>
              </w:rPr>
            </w:pPr>
            <w:r>
              <w:rPr>
                <w:rFonts w:ascii="Arial" w:cs="Arial" w:eastAsia="Arial" w:hAnsi="Arial"/>
                <w:sz w:val="14"/>
                <w:szCs w:val="14"/>
                <w:color w:val="auto"/>
              </w:rPr>
              <w:t>The Nasdaq Stock Market LLC</w:t>
            </w:r>
          </w:p>
        </w:tc>
      </w:tr>
    </w:tbl>
    <w:p>
      <w:pPr>
        <w:spacing w:after="0" w:line="219" w:lineRule="exact"/>
        <w:rPr>
          <w:sz w:val="24"/>
          <w:szCs w:val="24"/>
          <w:color w:val="auto"/>
        </w:rPr>
      </w:pPr>
    </w:p>
    <w:p>
      <w:pPr>
        <w:ind w:right="180" w:firstLine="324"/>
        <w:spacing w:after="0" w:line="278"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9"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6" w:lineRule="exact"/>
        <w:rPr>
          <w:sz w:val="24"/>
          <w:szCs w:val="24"/>
          <w:color w:val="auto"/>
        </w:rPr>
      </w:pPr>
    </w:p>
    <w:p>
      <w:pPr>
        <w:ind w:right="360" w:firstLine="324"/>
        <w:spacing w:after="0" w:line="278"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9"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0" w:lineRule="exact"/>
        <w:rPr>
          <w:sz w:val="24"/>
          <w:szCs w:val="24"/>
          <w:color w:val="auto"/>
        </w:rPr>
      </w:pPr>
    </w:p>
    <w:p>
      <w:pPr>
        <w:ind w:right="140" w:firstLine="324"/>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30" w:right="339" w:bottom="1440" w:gutter="0" w:footer="0" w:header="0"/>
        </w:sectPr>
      </w:pPr>
    </w:p>
    <w:p>
      <w:pPr>
        <w:spacing w:after="0" w:line="89" w:lineRule="exact"/>
        <w:rPr>
          <w:sz w:val="24"/>
          <w:szCs w:val="24"/>
          <w:color w:val="auto"/>
        </w:rPr>
      </w:pPr>
    </w:p>
    <w:p>
      <w:pPr>
        <w:jc w:val="center"/>
        <w:ind w:left="6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65" w:lineRule="exact"/>
        <w:rPr>
          <w:sz w:val="24"/>
          <w:szCs w:val="24"/>
          <w:color w:val="auto"/>
        </w:rPr>
      </w:pPr>
    </w:p>
    <w:p>
      <w:pPr>
        <w:sectPr>
          <w:pgSz w:w="11900" w:h="16838" w:orient="portrait"/>
          <w:cols w:equalWidth="0" w:num="3">
            <w:col w:w="5660" w:space="720"/>
            <w:col w:w="2580" w:space="720"/>
            <w:col w:w="1560"/>
          </w:cols>
          <w:pgMar w:left="320" w:top="530" w:right="339" w:bottom="1440" w:gutter="0" w:footer="0" w:header="0"/>
          <w:type w:val="continuous"/>
        </w:sectPr>
      </w:pPr>
    </w:p>
    <w:p>
      <w:pPr>
        <w:ind w:left="570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8620" w:space="720"/>
            <w:col w:w="1900"/>
          </w:cols>
          <w:pgMar w:left="320" w:top="530" w:right="339" w:bottom="1440" w:gutter="0" w:footer="0" w:header="0"/>
          <w:type w:val="continuous"/>
        </w:sectPr>
      </w:pPr>
    </w:p>
    <w:p>
      <w:pPr>
        <w:spacing w:after="0" w:line="112" w:lineRule="exact"/>
        <w:rPr>
          <w:sz w:val="24"/>
          <w:szCs w:val="24"/>
          <w:color w:val="auto"/>
        </w:rPr>
      </w:pPr>
    </w:p>
    <w:p>
      <w:pPr>
        <w:ind w:right="540" w:firstLine="324"/>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ind w:left="522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Number of shares outstanding by each class of common stock, as of June 30, 2022:</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Common Stock, $0.01 par value – 58,143,901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20" w:type="dxa"/>
            <w:vAlign w:val="bottom"/>
            <w:gridSpan w:val="41"/>
          </w:tcPr>
          <w:p>
            <w:pPr>
              <w:spacing w:after="0"/>
              <w:rPr>
                <w:sz w:val="20"/>
                <w:szCs w:val="20"/>
                <w:color w:val="auto"/>
              </w:rPr>
            </w:pPr>
            <w:r>
              <w:rPr>
                <w:rFonts w:ascii="Arial" w:cs="Arial" w:eastAsia="Arial" w:hAnsi="Arial"/>
                <w:sz w:val="18"/>
                <w:szCs w:val="18"/>
                <w:color w:val="0000FF"/>
              </w:rPr>
              <w:t>Table of Contents</w:t>
            </w:r>
          </w:p>
        </w:tc>
        <w:tc>
          <w:tcPr>
            <w:tcW w:w="1020" w:type="dxa"/>
            <w:vAlign w:val="bottom"/>
          </w:tcPr>
          <w:p>
            <w:pPr>
              <w:spacing w:after="0"/>
              <w:rPr>
                <w:sz w:val="17"/>
                <w:szCs w:val="17"/>
                <w:color w:val="auto"/>
              </w:rPr>
            </w:pPr>
          </w:p>
        </w:tc>
      </w:tr>
      <w:tr>
        <w:trPr>
          <w:trHeight w:val="808"/>
        </w:trPr>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20" w:type="dxa"/>
            <w:vAlign w:val="bottom"/>
            <w:gridSpan w:val="9"/>
          </w:tcPr>
          <w:p>
            <w:pPr>
              <w:jc w:val="center"/>
              <w:ind w:right="2860"/>
              <w:spacing w:after="0"/>
              <w:rPr>
                <w:sz w:val="20"/>
                <w:szCs w:val="20"/>
                <w:color w:val="auto"/>
              </w:rPr>
            </w:pPr>
            <w:r>
              <w:rPr>
                <w:rFonts w:ascii="Arial" w:cs="Arial" w:eastAsia="Arial" w:hAnsi="Arial"/>
                <w:sz w:val="18"/>
                <w:szCs w:val="18"/>
                <w:b w:val="1"/>
                <w:bCs w:val="1"/>
                <w:color w:val="auto"/>
                <w:w w:val="99"/>
              </w:rPr>
              <w:t>Sun Country Airlines Holdings, Inc.</w:t>
            </w:r>
          </w:p>
        </w:tc>
        <w:tc>
          <w:tcPr>
            <w:tcW w:w="10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0" w:type="dxa"/>
            <w:vAlign w:val="bottom"/>
            <w:gridSpan w:val="6"/>
          </w:tcPr>
          <w:p>
            <w:pPr>
              <w:jc w:val="center"/>
              <w:ind w:right="3980"/>
              <w:spacing w:after="0"/>
              <w:rPr>
                <w:sz w:val="20"/>
                <w:szCs w:val="20"/>
                <w:color w:val="auto"/>
              </w:rPr>
            </w:pPr>
            <w:r>
              <w:rPr>
                <w:rFonts w:ascii="Arial" w:cs="Arial" w:eastAsia="Arial" w:hAnsi="Arial"/>
                <w:sz w:val="18"/>
                <w:szCs w:val="18"/>
                <w:b w:val="1"/>
                <w:bCs w:val="1"/>
                <w:color w:val="auto"/>
                <w:w w:val="99"/>
              </w:rPr>
              <w:t>Form 10-Q</w:t>
            </w:r>
          </w:p>
        </w:tc>
        <w:tc>
          <w:tcPr>
            <w:tcW w:w="102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0" w:type="dxa"/>
            <w:vAlign w:val="bottom"/>
            <w:gridSpan w:val="7"/>
          </w:tcPr>
          <w:p>
            <w:pPr>
              <w:jc w:val="center"/>
              <w:ind w:right="338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Page</w:t>
            </w:r>
          </w:p>
        </w:tc>
      </w:tr>
      <w:tr>
        <w:trPr>
          <w:trHeight w:val="439"/>
        </w:trPr>
        <w:tc>
          <w:tcPr>
            <w:tcW w:w="20" w:type="dxa"/>
            <w:vAlign w:val="bottom"/>
          </w:tcPr>
          <w:p>
            <w:pPr>
              <w:spacing w:after="0"/>
              <w:rPr>
                <w:sz w:val="24"/>
                <w:szCs w:val="24"/>
                <w:color w:val="auto"/>
              </w:rPr>
            </w:pPr>
          </w:p>
        </w:tc>
        <w:tc>
          <w:tcPr>
            <w:tcW w:w="23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b w:val="1"/>
                <w:bCs w:val="1"/>
                <w:color w:val="0000FF"/>
                <w:w w:val="99"/>
              </w:rPr>
              <w:t>Part I. Financial Information</w:t>
            </w:r>
          </w:p>
        </w:tc>
        <w:tc>
          <w:tcPr>
            <w:tcW w:w="7820" w:type="dxa"/>
            <w:vAlign w:val="bottom"/>
            <w:gridSpan w:val="19"/>
          </w:tcPr>
          <w:p>
            <w:pPr>
              <w:spacing w:after="0"/>
              <w:rPr>
                <w:sz w:val="24"/>
                <w:szCs w:val="24"/>
                <w:color w:val="auto"/>
              </w:rPr>
            </w:pPr>
          </w:p>
        </w:tc>
        <w:tc>
          <w:tcPr>
            <w:tcW w:w="10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Item 1. Financial Statements</w:t>
            </w:r>
          </w:p>
        </w:tc>
        <w:tc>
          <w:tcPr>
            <w:tcW w:w="7800" w:type="dxa"/>
            <w:vAlign w:val="bottom"/>
            <w:gridSpan w:val="18"/>
          </w:tcPr>
          <w:p>
            <w:pPr>
              <w:spacing w:after="0"/>
              <w:rPr>
                <w:sz w:val="18"/>
                <w:szCs w:val="18"/>
                <w:color w:val="auto"/>
              </w:rPr>
            </w:pPr>
          </w:p>
        </w:tc>
        <w:tc>
          <w:tcPr>
            <w:tcW w:w="10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9"/>
              </w:rPr>
              <w:t>Condensed Consolidated Balance Sheets</w:t>
            </w:r>
          </w:p>
        </w:tc>
        <w:tc>
          <w:tcPr>
            <w:tcW w:w="6640" w:type="dxa"/>
            <w:vAlign w:val="bottom"/>
            <w:gridSpan w:val="10"/>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2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99"/>
              </w:rPr>
              <w:t>Condensed Consolidated Statements of Operations</w:t>
            </w:r>
          </w:p>
        </w:tc>
        <w:tc>
          <w:tcPr>
            <w:tcW w:w="5860" w:type="dxa"/>
            <w:vAlign w:val="bottom"/>
            <w:gridSpan w:val="8"/>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38"/>
          </w:tcPr>
          <w:p>
            <w:pPr>
              <w:spacing w:after="0"/>
              <w:rPr>
                <w:sz w:val="20"/>
                <w:szCs w:val="20"/>
                <w:color w:val="auto"/>
              </w:rPr>
            </w:pPr>
            <w:r>
              <w:rPr>
                <w:rFonts w:ascii="Arial" w:cs="Arial" w:eastAsia="Arial" w:hAnsi="Arial"/>
                <w:sz w:val="18"/>
                <w:szCs w:val="18"/>
                <w:color w:val="0000FF"/>
              </w:rPr>
              <w:t>Condensed Consolidated Statements of Comprehensive Income (Loss)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980" w:type="dxa"/>
            <w:vAlign w:val="bottom"/>
            <w:gridSpan w:val="38"/>
          </w:tcPr>
          <w:p>
            <w:pPr>
              <w:spacing w:after="0"/>
              <w:rPr>
                <w:sz w:val="20"/>
                <w:szCs w:val="20"/>
                <w:color w:val="auto"/>
              </w:rPr>
            </w:pPr>
            <w:r>
              <w:rPr>
                <w:rFonts w:ascii="Arial" w:cs="Arial" w:eastAsia="Arial" w:hAnsi="Arial"/>
                <w:sz w:val="18"/>
                <w:szCs w:val="18"/>
                <w:color w:val="0000FF"/>
              </w:rPr>
              <w:t>Condensed Consolidated Statements of Changes in Stockholders’ Equity</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tcBorders>
              <w:top w:val="single" w:sz="8" w:color="0000FF"/>
              <w:bottom w:val="single" w:sz="8" w:color="0000FF"/>
            </w:tcBorders>
            <w:gridSpan w:val="31"/>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1640" w:type="dxa"/>
            <w:vAlign w:val="bottom"/>
            <w:tcBorders>
              <w:top w:val="single" w:sz="8" w:color="0000FF"/>
            </w:tcBorders>
            <w:gridSpan w:val="5"/>
          </w:tcPr>
          <w:p>
            <w:pPr>
              <w:spacing w:after="0"/>
              <w:rPr>
                <w:sz w:val="18"/>
                <w:szCs w:val="18"/>
                <w:color w:val="auto"/>
              </w:rPr>
            </w:pPr>
          </w:p>
        </w:tc>
        <w:tc>
          <w:tcPr>
            <w:tcW w:w="4160" w:type="dxa"/>
            <w:vAlign w:val="bottom"/>
            <w:gridSpan w:val="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48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color w:val="0000FF"/>
                <w:w w:val="99"/>
              </w:rPr>
              <w:t>Notes to the Condensed Consolidated Financial Statements</w:t>
            </w:r>
          </w:p>
        </w:tc>
        <w:tc>
          <w:tcPr>
            <w:tcW w:w="520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479"/>
        </w:trPr>
        <w:tc>
          <w:tcPr>
            <w:tcW w:w="660" w:type="dxa"/>
            <w:vAlign w:val="bottom"/>
            <w:gridSpan w:val="6"/>
          </w:tcPr>
          <w:p>
            <w:pPr>
              <w:jc w:val="right"/>
              <w:spacing w:after="0"/>
              <w:rPr>
                <w:sz w:val="20"/>
                <w:szCs w:val="20"/>
                <w:color w:val="auto"/>
              </w:rPr>
            </w:pPr>
            <w:r>
              <w:rPr>
                <w:rFonts w:ascii="Arial" w:cs="Arial" w:eastAsia="Arial" w:hAnsi="Arial"/>
                <w:sz w:val="18"/>
                <w:szCs w:val="18"/>
                <w:color w:val="0000FF"/>
              </w:rPr>
              <w:t>1</w:t>
            </w:r>
          </w:p>
        </w:tc>
        <w:tc>
          <w:tcPr>
            <w:tcW w:w="100" w:type="dxa"/>
            <w:vAlign w:val="bottom"/>
          </w:tcPr>
          <w:p>
            <w:pPr>
              <w:spacing w:after="0"/>
              <w:rPr>
                <w:sz w:val="24"/>
                <w:szCs w:val="24"/>
                <w:color w:val="auto"/>
              </w:rPr>
            </w:pPr>
          </w:p>
        </w:tc>
        <w:tc>
          <w:tcPr>
            <w:tcW w:w="178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8"/>
              </w:rPr>
              <w:t>Company Background</w:t>
            </w:r>
          </w:p>
        </w:tc>
        <w:tc>
          <w:tcPr>
            <w:tcW w:w="7680" w:type="dxa"/>
            <w:vAlign w:val="bottom"/>
            <w:gridSpan w:val="16"/>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23"/>
        </w:trPr>
        <w:tc>
          <w:tcPr>
            <w:tcW w:w="460" w:type="dxa"/>
            <w:vAlign w:val="bottom"/>
            <w:gridSpan w:val="4"/>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2</w:t>
            </w:r>
          </w:p>
        </w:tc>
        <w:tc>
          <w:tcPr>
            <w:tcW w:w="100" w:type="dxa"/>
            <w:vAlign w:val="bottom"/>
          </w:tcPr>
          <w:p>
            <w:pPr>
              <w:spacing w:after="0"/>
              <w:rPr>
                <w:sz w:val="19"/>
                <w:szCs w:val="19"/>
                <w:color w:val="auto"/>
              </w:rPr>
            </w:pPr>
          </w:p>
        </w:tc>
        <w:tc>
          <w:tcPr>
            <w:tcW w:w="9460" w:type="dxa"/>
            <w:vAlign w:val="bottom"/>
            <w:gridSpan w:val="34"/>
          </w:tcPr>
          <w:p>
            <w:pPr>
              <w:spacing w:after="0"/>
              <w:rPr>
                <w:sz w:val="20"/>
                <w:szCs w:val="20"/>
                <w:color w:val="auto"/>
              </w:rPr>
            </w:pPr>
            <w:r>
              <w:rPr>
                <w:rFonts w:ascii="Arial" w:cs="Arial" w:eastAsia="Arial" w:hAnsi="Arial"/>
                <w:sz w:val="18"/>
                <w:szCs w:val="18"/>
                <w:color w:val="0000FF"/>
              </w:rPr>
              <w:t>Basis of Presentation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10</w:t>
            </w:r>
          </w:p>
        </w:tc>
      </w:tr>
      <w:tr>
        <w:trPr>
          <w:trHeight w:val="20"/>
        </w:trPr>
        <w:tc>
          <w:tcPr>
            <w:tcW w:w="4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560" w:type="dxa"/>
            <w:vAlign w:val="bottom"/>
            <w:gridSpan w:val="5"/>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0000FF"/>
                <w:w w:val="79"/>
              </w:rPr>
              <w:t>3</w:t>
            </w:r>
          </w:p>
        </w:tc>
        <w:tc>
          <w:tcPr>
            <w:tcW w:w="100" w:type="dxa"/>
            <w:vAlign w:val="bottom"/>
          </w:tcPr>
          <w:p>
            <w:pPr>
              <w:spacing w:after="0"/>
              <w:rPr>
                <w:sz w:val="17"/>
                <w:szCs w:val="17"/>
                <w:color w:val="auto"/>
              </w:rPr>
            </w:pPr>
          </w:p>
        </w:tc>
        <w:tc>
          <w:tcPr>
            <w:tcW w:w="9460" w:type="dxa"/>
            <w:vAlign w:val="bottom"/>
            <w:gridSpan w:val="34"/>
          </w:tcPr>
          <w:p>
            <w:pPr>
              <w:spacing w:after="0" w:line="196" w:lineRule="exact"/>
              <w:rPr>
                <w:sz w:val="20"/>
                <w:szCs w:val="20"/>
                <w:color w:val="auto"/>
              </w:rPr>
            </w:pPr>
            <w:r>
              <w:rPr>
                <w:rFonts w:ascii="Arial" w:cs="Arial" w:eastAsia="Arial" w:hAnsi="Arial"/>
                <w:sz w:val="18"/>
                <w:szCs w:val="18"/>
                <w:color w:val="0000FF"/>
              </w:rPr>
              <w:t>Impact of the COVID-19 Pandemic</w:t>
            </w: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w w:val="99"/>
              </w:rPr>
              <w:t>14</w:t>
            </w:r>
          </w:p>
        </w:tc>
      </w:tr>
      <w:tr>
        <w:trPr>
          <w:trHeight w:val="210"/>
        </w:trPr>
        <w:tc>
          <w:tcPr>
            <w:tcW w:w="560" w:type="dxa"/>
            <w:vAlign w:val="bottom"/>
            <w:gridSpan w:val="5"/>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100" w:type="dxa"/>
            <w:vAlign w:val="bottom"/>
          </w:tcPr>
          <w:p>
            <w:pPr>
              <w:spacing w:after="0"/>
              <w:rPr>
                <w:sz w:val="18"/>
                <w:szCs w:val="18"/>
                <w:color w:val="auto"/>
              </w:rPr>
            </w:pPr>
          </w:p>
        </w:tc>
        <w:tc>
          <w:tcPr>
            <w:tcW w:w="7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7"/>
              </w:rPr>
              <w:t>Revenue</w:t>
            </w:r>
          </w:p>
        </w:tc>
        <w:tc>
          <w:tcPr>
            <w:tcW w:w="2040" w:type="dxa"/>
            <w:vAlign w:val="bottom"/>
            <w:tcBorders>
              <w:top w:val="single" w:sz="8" w:color="0000FF"/>
            </w:tcBorders>
            <w:gridSpan w:val="17"/>
          </w:tcPr>
          <w:p>
            <w:pPr>
              <w:spacing w:after="0"/>
              <w:rPr>
                <w:sz w:val="18"/>
                <w:szCs w:val="18"/>
                <w:color w:val="auto"/>
              </w:rPr>
            </w:pPr>
          </w:p>
        </w:tc>
        <w:tc>
          <w:tcPr>
            <w:tcW w:w="6700" w:type="dxa"/>
            <w:vAlign w:val="bottom"/>
            <w:gridSpan w:val="11"/>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15</w:t>
            </w:r>
          </w:p>
        </w:tc>
      </w:tr>
      <w:tr>
        <w:trPr>
          <w:trHeight w:val="209"/>
        </w:trPr>
        <w:tc>
          <w:tcPr>
            <w:tcW w:w="560" w:type="dxa"/>
            <w:vAlign w:val="bottom"/>
            <w:gridSpan w:val="5"/>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8"/>
                <w:szCs w:val="18"/>
                <w:color w:val="auto"/>
              </w:rPr>
            </w:pPr>
          </w:p>
        </w:tc>
        <w:tc>
          <w:tcPr>
            <w:tcW w:w="9460" w:type="dxa"/>
            <w:vAlign w:val="bottom"/>
            <w:gridSpan w:val="34"/>
          </w:tcPr>
          <w:p>
            <w:pPr>
              <w:spacing w:after="0"/>
              <w:rPr>
                <w:sz w:val="20"/>
                <w:szCs w:val="20"/>
                <w:color w:val="auto"/>
              </w:rPr>
            </w:pPr>
            <w:r>
              <w:rPr>
                <w:rFonts w:ascii="Arial" w:cs="Arial" w:eastAsia="Arial" w:hAnsi="Arial"/>
                <w:sz w:val="18"/>
                <w:szCs w:val="18"/>
                <w:color w:val="0000FF"/>
              </w:rPr>
              <w:t>Earnings per Share</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17</w:t>
            </w:r>
          </w:p>
        </w:tc>
      </w:tr>
      <w:tr>
        <w:trPr>
          <w:trHeight w:val="210"/>
        </w:trPr>
        <w:tc>
          <w:tcPr>
            <w:tcW w:w="560" w:type="dxa"/>
            <w:vAlign w:val="bottom"/>
            <w:gridSpan w:val="5"/>
          </w:tcPr>
          <w:p>
            <w:pPr>
              <w:spacing w:after="0"/>
              <w:rPr>
                <w:sz w:val="18"/>
                <w:szCs w:val="18"/>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8"/>
                <w:szCs w:val="18"/>
                <w:color w:val="auto"/>
              </w:rPr>
            </w:pPr>
          </w:p>
        </w:tc>
        <w:tc>
          <w:tcPr>
            <w:tcW w:w="15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Aircraft</w:t>
            </w:r>
          </w:p>
        </w:tc>
        <w:tc>
          <w:tcPr>
            <w:tcW w:w="7920" w:type="dxa"/>
            <w:vAlign w:val="bottom"/>
            <w:gridSpan w:val="21"/>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18</w:t>
            </w:r>
          </w:p>
        </w:tc>
      </w:tr>
      <w:tr>
        <w:trPr>
          <w:trHeight w:val="209"/>
        </w:trPr>
        <w:tc>
          <w:tcPr>
            <w:tcW w:w="560" w:type="dxa"/>
            <w:vAlign w:val="bottom"/>
            <w:gridSpan w:val="5"/>
          </w:tcPr>
          <w:p>
            <w:pPr>
              <w:spacing w:after="0"/>
              <w:rPr>
                <w:sz w:val="18"/>
                <w:szCs w:val="18"/>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c>
          <w:tcPr>
            <w:tcW w:w="100" w:type="dxa"/>
            <w:vAlign w:val="bottom"/>
          </w:tcPr>
          <w:p>
            <w:pPr>
              <w:spacing w:after="0"/>
              <w:rPr>
                <w:sz w:val="18"/>
                <w:szCs w:val="18"/>
                <w:color w:val="auto"/>
              </w:rPr>
            </w:pPr>
          </w:p>
        </w:tc>
        <w:tc>
          <w:tcPr>
            <w:tcW w:w="3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4"/>
              </w:rPr>
              <w:t>Debt</w:t>
            </w:r>
          </w:p>
        </w:tc>
        <w:tc>
          <w:tcPr>
            <w:tcW w:w="180" w:type="dxa"/>
            <w:vAlign w:val="bottom"/>
            <w:tcBorders>
              <w:top w:val="single" w:sz="8" w:color="0000FF"/>
            </w:tcBorders>
          </w:tcPr>
          <w:p>
            <w:pPr>
              <w:spacing w:after="0"/>
              <w:rPr>
                <w:sz w:val="18"/>
                <w:szCs w:val="18"/>
                <w:color w:val="auto"/>
              </w:rPr>
            </w:pPr>
          </w:p>
        </w:tc>
        <w:tc>
          <w:tcPr>
            <w:tcW w:w="8900" w:type="dxa"/>
            <w:vAlign w:val="bottom"/>
            <w:gridSpan w:val="31"/>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20</w:t>
            </w:r>
          </w:p>
        </w:tc>
      </w:tr>
      <w:tr>
        <w:trPr>
          <w:trHeight w:val="210"/>
        </w:trPr>
        <w:tc>
          <w:tcPr>
            <w:tcW w:w="560" w:type="dxa"/>
            <w:vAlign w:val="bottom"/>
            <w:gridSpan w:val="5"/>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18"/>
                <w:szCs w:val="18"/>
                <w:color w:val="auto"/>
              </w:rPr>
            </w:pPr>
          </w:p>
        </w:tc>
        <w:tc>
          <w:tcPr>
            <w:tcW w:w="314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9"/>
              </w:rPr>
              <w:t>Fuel Derivatives and Risk Management</w:t>
            </w:r>
          </w:p>
        </w:tc>
        <w:tc>
          <w:tcPr>
            <w:tcW w:w="6320" w:type="dxa"/>
            <w:vAlign w:val="bottom"/>
            <w:gridSpan w:val="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22</w:t>
            </w:r>
          </w:p>
        </w:tc>
      </w:tr>
      <w:tr>
        <w:trPr>
          <w:trHeight w:val="210"/>
        </w:trPr>
        <w:tc>
          <w:tcPr>
            <w:tcW w:w="560" w:type="dxa"/>
            <w:vAlign w:val="bottom"/>
            <w:gridSpan w:val="5"/>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9</w:t>
            </w:r>
          </w:p>
        </w:tc>
        <w:tc>
          <w:tcPr>
            <w:tcW w:w="100" w:type="dxa"/>
            <w:vAlign w:val="bottom"/>
          </w:tcPr>
          <w:p>
            <w:pPr>
              <w:spacing w:after="0"/>
              <w:rPr>
                <w:sz w:val="18"/>
                <w:szCs w:val="18"/>
                <w:color w:val="auto"/>
              </w:rPr>
            </w:pPr>
          </w:p>
        </w:tc>
        <w:tc>
          <w:tcPr>
            <w:tcW w:w="9460" w:type="dxa"/>
            <w:vAlign w:val="bottom"/>
            <w:gridSpan w:val="34"/>
          </w:tcPr>
          <w:p>
            <w:pPr>
              <w:spacing w:after="0"/>
              <w:rPr>
                <w:sz w:val="20"/>
                <w:szCs w:val="20"/>
                <w:color w:val="auto"/>
              </w:rPr>
            </w:pPr>
            <w:r>
              <w:rPr>
                <w:rFonts w:ascii="Arial" w:cs="Arial" w:eastAsia="Arial" w:hAnsi="Arial"/>
                <w:sz w:val="18"/>
                <w:szCs w:val="18"/>
                <w:color w:val="0000FF"/>
              </w:rPr>
              <w:t>Investments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23</w:t>
            </w:r>
          </w:p>
        </w:tc>
      </w:tr>
      <w:tr>
        <w:trPr>
          <w:trHeight w:val="20"/>
        </w:trPr>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09"/>
        </w:trPr>
        <w:tc>
          <w:tcPr>
            <w:tcW w:w="460" w:type="dxa"/>
            <w:vAlign w:val="bottom"/>
            <w:gridSpan w:val="4"/>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10</w:t>
            </w:r>
          </w:p>
        </w:tc>
        <w:tc>
          <w:tcPr>
            <w:tcW w:w="100" w:type="dxa"/>
            <w:vAlign w:val="bottom"/>
          </w:tcPr>
          <w:p>
            <w:pPr>
              <w:spacing w:after="0"/>
              <w:rPr>
                <w:sz w:val="18"/>
                <w:szCs w:val="18"/>
                <w:color w:val="auto"/>
              </w:rPr>
            </w:pPr>
          </w:p>
        </w:tc>
        <w:tc>
          <w:tcPr>
            <w:tcW w:w="9460" w:type="dxa"/>
            <w:vAlign w:val="bottom"/>
            <w:gridSpan w:val="34"/>
          </w:tcPr>
          <w:p>
            <w:pPr>
              <w:spacing w:after="0"/>
              <w:rPr>
                <w:sz w:val="20"/>
                <w:szCs w:val="20"/>
                <w:color w:val="auto"/>
              </w:rPr>
            </w:pPr>
            <w:r>
              <w:rPr>
                <w:rFonts w:ascii="Arial" w:cs="Arial" w:eastAsia="Arial" w:hAnsi="Arial"/>
                <w:sz w:val="18"/>
                <w:szCs w:val="18"/>
                <w:color w:val="0000FF"/>
              </w:rPr>
              <w:t>Fair Value Measurements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23</w:t>
            </w:r>
          </w:p>
        </w:tc>
      </w:tr>
      <w:tr>
        <w:trPr>
          <w:trHeight w:val="210"/>
        </w:trPr>
        <w:tc>
          <w:tcPr>
            <w:tcW w:w="460" w:type="dxa"/>
            <w:vAlign w:val="bottom"/>
            <w:gridSpan w:val="4"/>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11</w:t>
            </w:r>
          </w:p>
        </w:tc>
        <w:tc>
          <w:tcPr>
            <w:tcW w:w="100" w:type="dxa"/>
            <w:vAlign w:val="bottom"/>
          </w:tcPr>
          <w:p>
            <w:pPr>
              <w:spacing w:after="0"/>
              <w:rPr>
                <w:sz w:val="18"/>
                <w:szCs w:val="18"/>
                <w:color w:val="auto"/>
              </w:rPr>
            </w:pPr>
          </w:p>
        </w:tc>
        <w:tc>
          <w:tcPr>
            <w:tcW w:w="11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7"/>
              </w:rPr>
              <w:t>Income Taxes</w:t>
            </w:r>
          </w:p>
        </w:tc>
        <w:tc>
          <w:tcPr>
            <w:tcW w:w="920" w:type="dxa"/>
            <w:vAlign w:val="bottom"/>
            <w:tcBorders>
              <w:top w:val="single" w:sz="8" w:color="0000FF"/>
            </w:tcBorders>
            <w:gridSpan w:val="11"/>
          </w:tcPr>
          <w:p>
            <w:pPr>
              <w:spacing w:after="0"/>
              <w:rPr>
                <w:sz w:val="18"/>
                <w:szCs w:val="18"/>
                <w:color w:val="auto"/>
              </w:rPr>
            </w:pPr>
          </w:p>
        </w:tc>
        <w:tc>
          <w:tcPr>
            <w:tcW w:w="7420" w:type="dxa"/>
            <w:vAlign w:val="bottom"/>
            <w:gridSpan w:val="14"/>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24</w:t>
            </w:r>
          </w:p>
        </w:tc>
      </w:tr>
      <w:tr>
        <w:trPr>
          <w:trHeight w:val="210"/>
        </w:trPr>
        <w:tc>
          <w:tcPr>
            <w:tcW w:w="460" w:type="dxa"/>
            <w:vAlign w:val="bottom"/>
            <w:gridSpan w:val="4"/>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12</w:t>
            </w:r>
          </w:p>
        </w:tc>
        <w:tc>
          <w:tcPr>
            <w:tcW w:w="100" w:type="dxa"/>
            <w:vAlign w:val="bottom"/>
          </w:tcPr>
          <w:p>
            <w:pPr>
              <w:spacing w:after="0"/>
              <w:rPr>
                <w:sz w:val="18"/>
                <w:szCs w:val="18"/>
                <w:color w:val="auto"/>
              </w:rPr>
            </w:pPr>
          </w:p>
        </w:tc>
        <w:tc>
          <w:tcPr>
            <w:tcW w:w="9460" w:type="dxa"/>
            <w:vAlign w:val="bottom"/>
            <w:gridSpan w:val="34"/>
          </w:tcPr>
          <w:p>
            <w:pPr>
              <w:spacing w:after="0"/>
              <w:rPr>
                <w:sz w:val="20"/>
                <w:szCs w:val="20"/>
                <w:color w:val="auto"/>
              </w:rPr>
            </w:pPr>
            <w:r>
              <w:rPr>
                <w:rFonts w:ascii="Arial" w:cs="Arial" w:eastAsia="Arial" w:hAnsi="Arial"/>
                <w:sz w:val="18"/>
                <w:szCs w:val="18"/>
                <w:color w:val="0000FF"/>
              </w:rPr>
              <w:t>Special Items, net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25</w:t>
            </w:r>
          </w:p>
        </w:tc>
      </w:tr>
      <w:tr>
        <w:trPr>
          <w:trHeight w:val="20"/>
        </w:trPr>
        <w:tc>
          <w:tcPr>
            <w:tcW w:w="460" w:type="dxa"/>
            <w:vAlign w:val="bottom"/>
            <w:gridSpan w:val="4"/>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0"/>
        </w:trPr>
        <w:tc>
          <w:tcPr>
            <w:tcW w:w="460" w:type="dxa"/>
            <w:vAlign w:val="bottom"/>
            <w:gridSpan w:val="4"/>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0000FF"/>
                <w:w w:val="89"/>
              </w:rPr>
              <w:t>13</w:t>
            </w:r>
          </w:p>
        </w:tc>
        <w:tc>
          <w:tcPr>
            <w:tcW w:w="100" w:type="dxa"/>
            <w:vAlign w:val="bottom"/>
          </w:tcPr>
          <w:p>
            <w:pPr>
              <w:spacing w:after="0"/>
              <w:rPr>
                <w:sz w:val="18"/>
                <w:szCs w:val="18"/>
                <w:color w:val="auto"/>
              </w:rPr>
            </w:pPr>
          </w:p>
        </w:tc>
        <w:tc>
          <w:tcPr>
            <w:tcW w:w="9460" w:type="dxa"/>
            <w:vAlign w:val="bottom"/>
            <w:gridSpan w:val="34"/>
          </w:tcPr>
          <w:p>
            <w:pPr>
              <w:spacing w:after="0"/>
              <w:rPr>
                <w:sz w:val="20"/>
                <w:szCs w:val="20"/>
                <w:color w:val="auto"/>
              </w:rPr>
            </w:pPr>
            <w:r>
              <w:rPr>
                <w:rFonts w:ascii="Arial" w:cs="Arial" w:eastAsia="Arial" w:hAnsi="Arial"/>
                <w:sz w:val="18"/>
                <w:szCs w:val="18"/>
                <w:color w:val="0000FF"/>
              </w:rPr>
              <w:t>Commitments and Contingencies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25</w:t>
            </w:r>
          </w:p>
        </w:tc>
      </w:tr>
      <w:tr>
        <w:trPr>
          <w:trHeight w:val="209"/>
        </w:trPr>
        <w:tc>
          <w:tcPr>
            <w:tcW w:w="460" w:type="dxa"/>
            <w:vAlign w:val="bottom"/>
            <w:gridSpan w:val="4"/>
          </w:tcPr>
          <w:p>
            <w:pPr>
              <w:spacing w:after="0"/>
              <w:rPr>
                <w:sz w:val="18"/>
                <w:szCs w:val="18"/>
                <w:color w:val="auto"/>
              </w:rPr>
            </w:pPr>
          </w:p>
        </w:tc>
        <w:tc>
          <w:tcPr>
            <w:tcW w:w="2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14</w:t>
            </w:r>
          </w:p>
        </w:tc>
        <w:tc>
          <w:tcPr>
            <w:tcW w:w="100" w:type="dxa"/>
            <w:vAlign w:val="bottom"/>
          </w:tcPr>
          <w:p>
            <w:pPr>
              <w:spacing w:after="0"/>
              <w:rPr>
                <w:sz w:val="18"/>
                <w:szCs w:val="18"/>
                <w:color w:val="auto"/>
              </w:rPr>
            </w:pPr>
          </w:p>
        </w:tc>
        <w:tc>
          <w:tcPr>
            <w:tcW w:w="264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Operating Segments</w:t>
            </w:r>
          </w:p>
        </w:tc>
        <w:tc>
          <w:tcPr>
            <w:tcW w:w="6820" w:type="dxa"/>
            <w:vAlign w:val="bottom"/>
            <w:gridSpan w:val="1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26</w:t>
            </w:r>
          </w:p>
        </w:tc>
      </w:tr>
      <w:tr>
        <w:trPr>
          <w:trHeight w:val="210"/>
        </w:trPr>
        <w:tc>
          <w:tcPr>
            <w:tcW w:w="460" w:type="dxa"/>
            <w:vAlign w:val="bottom"/>
            <w:gridSpan w:val="4"/>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15</w:t>
            </w:r>
          </w:p>
        </w:tc>
        <w:tc>
          <w:tcPr>
            <w:tcW w:w="100" w:type="dxa"/>
            <w:vAlign w:val="bottom"/>
          </w:tcPr>
          <w:p>
            <w:pPr>
              <w:spacing w:after="0"/>
              <w:rPr>
                <w:sz w:val="18"/>
                <w:szCs w:val="18"/>
                <w:color w:val="auto"/>
              </w:rPr>
            </w:pPr>
          </w:p>
        </w:tc>
        <w:tc>
          <w:tcPr>
            <w:tcW w:w="156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8"/>
              </w:rPr>
              <w:t>Subsequent Events</w:t>
            </w:r>
          </w:p>
        </w:tc>
        <w:tc>
          <w:tcPr>
            <w:tcW w:w="80" w:type="dxa"/>
            <w:vAlign w:val="bottom"/>
            <w:tcBorders>
              <w:top w:val="single" w:sz="8" w:color="0000FF"/>
            </w:tcBorders>
          </w:tcPr>
          <w:p>
            <w:pPr>
              <w:spacing w:after="0"/>
              <w:rPr>
                <w:sz w:val="18"/>
                <w:szCs w:val="18"/>
                <w:color w:val="auto"/>
              </w:rPr>
            </w:pPr>
          </w:p>
        </w:tc>
        <w:tc>
          <w:tcPr>
            <w:tcW w:w="7820" w:type="dxa"/>
            <w:vAlign w:val="bottom"/>
            <w:gridSpan w:val="19"/>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26</w:t>
            </w:r>
          </w:p>
        </w:tc>
      </w:tr>
      <w:tr>
        <w:trPr>
          <w:trHeight w:val="480"/>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80" w:type="dxa"/>
            <w:vAlign w:val="bottom"/>
            <w:tcBorders>
              <w:bottom w:val="single" w:sz="8" w:color="0000FF"/>
            </w:tcBorders>
            <w:gridSpan w:val="38"/>
          </w:tcPr>
          <w:p>
            <w:pPr>
              <w:spacing w:after="0"/>
              <w:rPr>
                <w:sz w:val="20"/>
                <w:szCs w:val="20"/>
                <w:color w:val="auto"/>
              </w:rPr>
            </w:pPr>
            <w:r>
              <w:rPr>
                <w:rFonts w:ascii="Arial" w:cs="Arial" w:eastAsia="Arial" w:hAnsi="Arial"/>
                <w:sz w:val="18"/>
                <w:szCs w:val="18"/>
                <w:color w:val="0000FF"/>
                <w:w w:val="99"/>
              </w:rPr>
              <w:t>Item 2. Management’s Discussion and Analysis of Financial Condition and Results of Operations</w:t>
            </w:r>
          </w:p>
        </w:tc>
        <w:tc>
          <w:tcPr>
            <w:tcW w:w="24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27</w:t>
            </w: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56</w:t>
            </w: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00" w:type="dxa"/>
            <w:vAlign w:val="bottom"/>
            <w:tcBorders>
              <w:top w:val="single" w:sz="8" w:color="0000FF"/>
            </w:tcBorders>
            <w:gridSpan w:val="34"/>
          </w:tcPr>
          <w:p>
            <w:pPr>
              <w:spacing w:after="0"/>
              <w:rPr>
                <w:sz w:val="20"/>
                <w:szCs w:val="20"/>
                <w:color w:val="auto"/>
              </w:rPr>
            </w:pPr>
            <w:r>
              <w:rPr>
                <w:rFonts w:ascii="Arial" w:cs="Arial" w:eastAsia="Arial" w:hAnsi="Arial"/>
                <w:sz w:val="18"/>
                <w:szCs w:val="18"/>
                <w:color w:val="0000FF"/>
              </w:rPr>
              <w:t>Item 4. Controls and Procedures</w:t>
            </w:r>
          </w:p>
        </w:tc>
        <w:tc>
          <w:tcPr>
            <w:tcW w:w="4780" w:type="dxa"/>
            <w:vAlign w:val="bottom"/>
            <w:gridSpan w:val="5"/>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56</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7"/>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1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b w:val="1"/>
                <w:bCs w:val="1"/>
                <w:color w:val="0000FF"/>
                <w:w w:val="99"/>
              </w:rPr>
              <w:t>Part II. Other Information</w:t>
            </w:r>
          </w:p>
        </w:tc>
        <w:tc>
          <w:tcPr>
            <w:tcW w:w="8040" w:type="dxa"/>
            <w:vAlign w:val="bottom"/>
            <w:gridSpan w:val="23"/>
          </w:tcPr>
          <w:p>
            <w:pPr>
              <w:spacing w:after="0"/>
              <w:rPr>
                <w:sz w:val="24"/>
                <w:szCs w:val="24"/>
                <w:color w:val="auto"/>
              </w:rPr>
            </w:pPr>
          </w:p>
        </w:tc>
        <w:tc>
          <w:tcPr>
            <w:tcW w:w="10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Arial" w:cs="Arial" w:eastAsia="Arial" w:hAnsi="Arial"/>
                <w:sz w:val="18"/>
                <w:szCs w:val="18"/>
                <w:color w:val="0000FF"/>
              </w:rPr>
              <w:t>Item 1. Legal Proceedings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58</w:t>
            </w: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8"/>
                <w:szCs w:val="18"/>
                <w:color w:val="0000FF"/>
                <w:w w:val="98"/>
              </w:rPr>
              <w:t>Item 1A. Risk Factors</w:t>
            </w:r>
          </w:p>
        </w:tc>
        <w:tc>
          <w:tcPr>
            <w:tcW w:w="360" w:type="dxa"/>
            <w:vAlign w:val="bottom"/>
            <w:tcBorders>
              <w:top w:val="single" w:sz="8" w:color="0000FF"/>
            </w:tcBorders>
            <w:gridSpan w:val="4"/>
          </w:tcPr>
          <w:p>
            <w:pPr>
              <w:spacing w:after="0"/>
              <w:rPr>
                <w:sz w:val="18"/>
                <w:szCs w:val="18"/>
                <w:color w:val="auto"/>
              </w:rPr>
            </w:pPr>
          </w:p>
        </w:tc>
        <w:tc>
          <w:tcPr>
            <w:tcW w:w="8000" w:type="dxa"/>
            <w:vAlign w:val="bottom"/>
            <w:gridSpan w:val="22"/>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58</w:t>
            </w: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59</w:t>
            </w: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tcBorders>
              <w:top w:val="single" w:sz="8" w:color="0000FF"/>
            </w:tcBorders>
            <w:gridSpan w:val="35"/>
          </w:tcPr>
          <w:p>
            <w:pPr>
              <w:spacing w:after="0"/>
              <w:rPr>
                <w:sz w:val="20"/>
                <w:szCs w:val="20"/>
                <w:color w:val="auto"/>
              </w:rPr>
            </w:pPr>
            <w:r>
              <w:rPr>
                <w:rFonts w:ascii="Arial" w:cs="Arial" w:eastAsia="Arial" w:hAnsi="Arial"/>
                <w:sz w:val="18"/>
                <w:szCs w:val="18"/>
                <w:color w:val="0000FF"/>
              </w:rPr>
              <w:t>Item 3. Defaults Upon Senior Securities</w:t>
            </w:r>
          </w:p>
        </w:tc>
        <w:tc>
          <w:tcPr>
            <w:tcW w:w="4640" w:type="dxa"/>
            <w:vAlign w:val="bottom"/>
            <w:gridSpan w:val="4"/>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59</w:t>
            </w: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Borders>
              <w:top w:val="single" w:sz="8" w:color="0000FF"/>
            </w:tcBorders>
            <w:gridSpan w:val="26"/>
          </w:tcPr>
          <w:p>
            <w:pPr>
              <w:spacing w:after="0"/>
              <w:rPr>
                <w:sz w:val="20"/>
                <w:szCs w:val="20"/>
                <w:color w:val="auto"/>
              </w:rPr>
            </w:pPr>
            <w:r>
              <w:rPr>
                <w:rFonts w:ascii="Arial" w:cs="Arial" w:eastAsia="Arial" w:hAnsi="Arial"/>
                <w:sz w:val="18"/>
                <w:szCs w:val="18"/>
                <w:color w:val="0000FF"/>
              </w:rPr>
              <w:t>Item 4. Mine Safety Disclosures</w:t>
            </w:r>
          </w:p>
        </w:tc>
        <w:tc>
          <w:tcPr>
            <w:tcW w:w="6940" w:type="dxa"/>
            <w:vAlign w:val="bottom"/>
            <w:gridSpan w:val="13"/>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59</w:t>
            </w: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8"/>
              </w:rPr>
              <w:t>Item 5. Other Information</w:t>
            </w:r>
          </w:p>
        </w:tc>
        <w:tc>
          <w:tcPr>
            <w:tcW w:w="580" w:type="dxa"/>
            <w:vAlign w:val="bottom"/>
            <w:tcBorders>
              <w:top w:val="single" w:sz="8" w:color="0000FF"/>
            </w:tcBorders>
            <w:gridSpan w:val="9"/>
          </w:tcPr>
          <w:p>
            <w:pPr>
              <w:spacing w:after="0"/>
              <w:rPr>
                <w:sz w:val="18"/>
                <w:szCs w:val="18"/>
                <w:color w:val="auto"/>
              </w:rPr>
            </w:pPr>
          </w:p>
        </w:tc>
        <w:tc>
          <w:tcPr>
            <w:tcW w:w="7500" w:type="dxa"/>
            <w:vAlign w:val="bottom"/>
            <w:gridSpan w:val="15"/>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59</w:t>
            </w:r>
          </w:p>
        </w:tc>
      </w:tr>
      <w:tr>
        <w:trPr>
          <w:trHeight w:val="209"/>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80" w:type="dxa"/>
            <w:vAlign w:val="bottom"/>
            <w:gridSpan w:val="39"/>
          </w:tcPr>
          <w:p>
            <w:pPr>
              <w:spacing w:after="0"/>
              <w:rPr>
                <w:sz w:val="20"/>
                <w:szCs w:val="20"/>
                <w:color w:val="auto"/>
              </w:rPr>
            </w:pPr>
            <w:r>
              <w:rPr>
                <w:rFonts w:ascii="Arial" w:cs="Arial" w:eastAsia="Arial" w:hAnsi="Arial"/>
                <w:sz w:val="18"/>
                <w:szCs w:val="18"/>
                <w:color w:val="0000FF"/>
              </w:rPr>
              <w:t>Item 6. Exhibits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59</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8860" w:type="dxa"/>
            <w:vAlign w:val="bottom"/>
            <w:gridSpan w:val="3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200" w:type="dxa"/>
            <w:vAlign w:val="bottom"/>
            <w:gridSpan w:val="40"/>
          </w:tcPr>
          <w:p>
            <w:pPr>
              <w:spacing w:after="0"/>
              <w:rPr>
                <w:sz w:val="20"/>
                <w:szCs w:val="20"/>
                <w:color w:val="auto"/>
              </w:rPr>
            </w:pPr>
            <w:r>
              <w:rPr>
                <w:rFonts w:ascii="Arial" w:cs="Arial" w:eastAsia="Arial" w:hAnsi="Arial"/>
                <w:sz w:val="18"/>
                <w:szCs w:val="18"/>
                <w:color w:val="0000FF"/>
              </w:rPr>
              <w:t>Signatures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61</w:t>
            </w:r>
          </w:p>
        </w:tc>
      </w:tr>
      <w:tr>
        <w:trPr>
          <w:trHeight w:val="925"/>
        </w:trPr>
        <w:tc>
          <w:tcPr>
            <w:tcW w:w="20" w:type="dxa"/>
            <w:vAlign w:val="bottom"/>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gridSpan w:val="2"/>
          </w:tcPr>
          <w:p>
            <w:pPr>
              <w:spacing w:after="0"/>
              <w:rPr>
                <w:sz w:val="24"/>
                <w:szCs w:val="24"/>
                <w:color w:val="auto"/>
              </w:rPr>
            </w:pPr>
          </w:p>
        </w:tc>
        <w:tc>
          <w:tcPr>
            <w:tcW w:w="5040" w:type="dxa"/>
            <w:vAlign w:val="bottom"/>
            <w:gridSpan w:val="30"/>
          </w:tcPr>
          <w:p>
            <w:pPr>
              <w:jc w:val="center"/>
              <w:ind w:left="437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June 30, 2022</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22"/>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54"/>
        </w:trPr>
        <w:tc>
          <w:tcPr>
            <w:tcW w:w="7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216"/>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3"/>
        </w:trPr>
        <w:tc>
          <w:tcPr>
            <w:tcW w:w="734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212,858</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309,338</w:t>
            </w:r>
          </w:p>
        </w:tc>
      </w:tr>
      <w:tr>
        <w:trPr>
          <w:trHeight w:val="219"/>
        </w:trPr>
        <w:tc>
          <w:tcPr>
            <w:tcW w:w="7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8,447</w:t>
            </w:r>
          </w:p>
        </w:tc>
      </w:tr>
      <w:tr>
        <w:trPr>
          <w:trHeight w:val="213"/>
        </w:trPr>
        <w:tc>
          <w:tcPr>
            <w:tcW w:w="7340" w:type="dxa"/>
            <w:vAlign w:val="bottom"/>
          </w:tcPr>
          <w:p>
            <w:pPr>
              <w:ind w:left="100"/>
              <w:spacing w:after="0"/>
              <w:rPr>
                <w:sz w:val="20"/>
                <w:szCs w:val="20"/>
                <w:color w:val="auto"/>
              </w:rPr>
            </w:pPr>
            <w:r>
              <w:rPr>
                <w:rFonts w:ascii="Arial" w:cs="Arial" w:eastAsia="Arial" w:hAnsi="Arial"/>
                <w:sz w:val="16"/>
                <w:szCs w:val="16"/>
                <w:color w:val="auto"/>
              </w:rPr>
              <w:t>Investments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76,724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6,283</w:t>
            </w:r>
          </w:p>
        </w:tc>
      </w:tr>
      <w:tr>
        <w:trPr>
          <w:trHeight w:val="219"/>
        </w:trPr>
        <w:tc>
          <w:tcPr>
            <w:tcW w:w="7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 net of an allowance for credit losses of $197 and $250, respectively</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30,156</w:t>
            </w:r>
          </w:p>
        </w:tc>
      </w:tr>
      <w:tr>
        <w:trPr>
          <w:trHeight w:val="213"/>
        </w:trPr>
        <w:tc>
          <w:tcPr>
            <w:tcW w:w="7340" w:type="dxa"/>
            <w:vAlign w:val="bottom"/>
          </w:tcPr>
          <w:p>
            <w:pPr>
              <w:ind w:left="100"/>
              <w:spacing w:after="0"/>
              <w:rPr>
                <w:sz w:val="20"/>
                <w:szCs w:val="20"/>
                <w:color w:val="auto"/>
              </w:rPr>
            </w:pPr>
            <w:r>
              <w:rPr>
                <w:rFonts w:ascii="Arial" w:cs="Arial" w:eastAsia="Arial" w:hAnsi="Arial"/>
                <w:sz w:val="16"/>
                <w:szCs w:val="16"/>
                <w:color w:val="auto"/>
              </w:rPr>
              <w:t>Short-term Lessor Maintenance Deposits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7,394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5,505</w:t>
            </w:r>
          </w:p>
        </w:tc>
      </w:tr>
      <w:tr>
        <w:trPr>
          <w:trHeight w:val="219"/>
        </w:trPr>
        <w:tc>
          <w:tcPr>
            <w:tcW w:w="7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Inventory, net of a reserve for obsolescence of $1,434 and $1,275, respectively</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5,405</w:t>
            </w:r>
          </w:p>
        </w:tc>
      </w:tr>
      <w:tr>
        <w:trPr>
          <w:trHeight w:val="213"/>
        </w:trPr>
        <w:tc>
          <w:tcPr>
            <w:tcW w:w="7340" w:type="dxa"/>
            <w:vAlign w:val="bottom"/>
          </w:tcPr>
          <w:p>
            <w:pPr>
              <w:ind w:left="100"/>
              <w:spacing w:after="0"/>
              <w:rPr>
                <w:sz w:val="20"/>
                <w:szCs w:val="20"/>
                <w:color w:val="auto"/>
              </w:rPr>
            </w:pPr>
            <w:r>
              <w:rPr>
                <w:rFonts w:ascii="Arial" w:cs="Arial" w:eastAsia="Arial" w:hAnsi="Arial"/>
                <w:sz w:val="16"/>
                <w:szCs w:val="16"/>
                <w:color w:val="auto"/>
              </w:rPr>
              <w:t>Prepaid Expenses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16,245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8,511</w:t>
            </w:r>
          </w:p>
        </w:tc>
      </w:tr>
      <w:tr>
        <w:trPr>
          <w:trHeight w:val="216"/>
        </w:trPr>
        <w:tc>
          <w:tcPr>
            <w:tcW w:w="7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w:t>
            </w:r>
          </w:p>
        </w:tc>
      </w:tr>
      <w:tr>
        <w:trPr>
          <w:trHeight w:val="252"/>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363,338</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375,443</w:t>
            </w:r>
          </w:p>
        </w:tc>
      </w:tr>
      <w:tr>
        <w:trPr>
          <w:trHeight w:val="215"/>
        </w:trPr>
        <w:tc>
          <w:tcPr>
            <w:tcW w:w="734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Property &amp; Equipment, net:</w:t>
            </w: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Aircraft and Flight Equipment</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589,690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447,319</w:t>
            </w:r>
          </w:p>
        </w:tc>
      </w:tr>
      <w:tr>
        <w:trPr>
          <w:trHeight w:val="213"/>
        </w:trPr>
        <w:tc>
          <w:tcPr>
            <w:tcW w:w="7340" w:type="dxa"/>
            <w:vAlign w:val="bottom"/>
          </w:tcPr>
          <w:p>
            <w:pPr>
              <w:ind w:left="140"/>
              <w:spacing w:after="0"/>
              <w:rPr>
                <w:sz w:val="20"/>
                <w:szCs w:val="20"/>
                <w:color w:val="auto"/>
              </w:rPr>
            </w:pPr>
            <w:r>
              <w:rPr>
                <w:rFonts w:ascii="Arial" w:cs="Arial" w:eastAsia="Arial" w:hAnsi="Arial"/>
                <w:sz w:val="16"/>
                <w:szCs w:val="16"/>
                <w:color w:val="auto"/>
              </w:rPr>
              <w:t>Ground Equipment and Leasehold Improvements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27,092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20,876</w:t>
            </w:r>
          </w:p>
        </w:tc>
      </w:tr>
      <w:tr>
        <w:trPr>
          <w:trHeight w:val="219"/>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Computer Hardware and Software</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8,785</w:t>
            </w:r>
          </w:p>
        </w:tc>
      </w:tr>
      <w:tr>
        <w:trPr>
          <w:trHeight w:val="213"/>
        </w:trPr>
        <w:tc>
          <w:tcPr>
            <w:tcW w:w="7340" w:type="dxa"/>
            <w:vAlign w:val="bottom"/>
          </w:tcPr>
          <w:p>
            <w:pPr>
              <w:ind w:left="140"/>
              <w:spacing w:after="0"/>
              <w:rPr>
                <w:sz w:val="20"/>
                <w:szCs w:val="20"/>
                <w:color w:val="auto"/>
              </w:rPr>
            </w:pPr>
            <w:r>
              <w:rPr>
                <w:rFonts w:ascii="Arial" w:cs="Arial" w:eastAsia="Arial" w:hAnsi="Arial"/>
                <w:sz w:val="16"/>
                <w:szCs w:val="16"/>
                <w:color w:val="auto"/>
              </w:rPr>
              <w:t>Finance Lease Assets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251,887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209,457</w:t>
            </w: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Rotable Parts</w:t>
            </w: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9,150</w:t>
            </w:r>
          </w:p>
        </w:tc>
      </w:tr>
      <w:tr>
        <w:trPr>
          <w:trHeight w:val="209"/>
        </w:trPr>
        <w:tc>
          <w:tcPr>
            <w:tcW w:w="7340" w:type="dxa"/>
            <w:vAlign w:val="bottom"/>
          </w:tcPr>
          <w:p>
            <w:pPr>
              <w:ind w:left="240"/>
              <w:spacing w:after="0"/>
              <w:rPr>
                <w:sz w:val="20"/>
                <w:szCs w:val="20"/>
                <w:color w:val="auto"/>
              </w:rPr>
            </w:pPr>
            <w:r>
              <w:rPr>
                <w:rFonts w:ascii="Arial" w:cs="Arial" w:eastAsia="Arial" w:hAnsi="Arial"/>
                <w:sz w:val="16"/>
                <w:szCs w:val="16"/>
                <w:color w:val="auto"/>
              </w:rPr>
              <w:t>Total Property &amp; Equipment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889,788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695,587</w:t>
            </w: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Depreciation &amp;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(144,165)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(117,069)</w:t>
            </w:r>
          </w:p>
        </w:tc>
      </w:tr>
      <w:tr>
        <w:trPr>
          <w:trHeight w:val="251"/>
        </w:trPr>
        <w:tc>
          <w:tcPr>
            <w:tcW w:w="73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Property &amp; Equipment, net</w:t>
            </w:r>
          </w:p>
        </w:tc>
        <w:tc>
          <w:tcPr>
            <w:tcW w:w="2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745,623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578,518</w:t>
            </w:r>
          </w:p>
        </w:tc>
      </w:tr>
      <w:tr>
        <w:trPr>
          <w:trHeight w:val="215"/>
        </w:trPr>
        <w:tc>
          <w:tcPr>
            <w:tcW w:w="734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Other Assets:</w:t>
            </w:r>
          </w:p>
        </w:tc>
        <w:tc>
          <w:tcPr>
            <w:tcW w:w="28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222,223</w:t>
            </w:r>
          </w:p>
        </w:tc>
      </w:tr>
      <w:tr>
        <w:trPr>
          <w:trHeight w:val="213"/>
        </w:trPr>
        <w:tc>
          <w:tcPr>
            <w:tcW w:w="734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87,110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89,110</w:t>
            </w:r>
          </w:p>
        </w:tc>
      </w:tr>
      <w:tr>
        <w:trPr>
          <w:trHeight w:val="219"/>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61,658</w:t>
            </w:r>
          </w:p>
        </w:tc>
      </w:tr>
      <w:tr>
        <w:trPr>
          <w:trHeight w:val="213"/>
        </w:trPr>
        <w:tc>
          <w:tcPr>
            <w:tcW w:w="7340" w:type="dxa"/>
            <w:vAlign w:val="bottom"/>
          </w:tcPr>
          <w:p>
            <w:pPr>
              <w:ind w:left="140"/>
              <w:spacing w:after="0"/>
              <w:rPr>
                <w:sz w:val="20"/>
                <w:szCs w:val="20"/>
                <w:color w:val="auto"/>
              </w:rPr>
            </w:pPr>
            <w:r>
              <w:rPr>
                <w:rFonts w:ascii="Arial" w:cs="Arial" w:eastAsia="Arial" w:hAnsi="Arial"/>
                <w:sz w:val="16"/>
                <w:szCs w:val="16"/>
                <w:color w:val="auto"/>
              </w:rPr>
              <w:t>Aircraft Deposits</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11,520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10,021</w:t>
            </w:r>
          </w:p>
        </w:tc>
      </w:tr>
      <w:tr>
        <w:trPr>
          <w:trHeight w:val="219"/>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Lessor Maintenance Deposits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20,346</w:t>
            </w:r>
          </w:p>
        </w:tc>
      </w:tr>
      <w:tr>
        <w:trPr>
          <w:trHeight w:val="213"/>
        </w:trPr>
        <w:tc>
          <w:tcPr>
            <w:tcW w:w="7340" w:type="dxa"/>
            <w:vAlign w:val="bottom"/>
          </w:tcPr>
          <w:p>
            <w:pPr>
              <w:ind w:left="140"/>
              <w:spacing w:after="0"/>
              <w:rPr>
                <w:sz w:val="20"/>
                <w:szCs w:val="20"/>
                <w:color w:val="auto"/>
              </w:rPr>
            </w:pPr>
            <w:r>
              <w:rPr>
                <w:rFonts w:ascii="Arial" w:cs="Arial" w:eastAsia="Arial" w:hAnsi="Arial"/>
                <w:sz w:val="16"/>
                <w:szCs w:val="16"/>
                <w:color w:val="auto"/>
              </w:rPr>
              <w:t>Deferred Tax Asset</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15,813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17,608</w:t>
            </w: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5,495</w:t>
            </w:r>
          </w:p>
        </w:tc>
      </w:tr>
      <w:tr>
        <w:trPr>
          <w:trHeight w:val="210"/>
        </w:trPr>
        <w:tc>
          <w:tcPr>
            <w:tcW w:w="73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Other Assets</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397,777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426,461</w:t>
            </w:r>
          </w:p>
        </w:tc>
      </w:tr>
      <w:tr>
        <w:trPr>
          <w:trHeight w:val="238"/>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1,506,738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1,380,422</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0"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3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22"/>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54"/>
        </w:trPr>
        <w:tc>
          <w:tcPr>
            <w:tcW w:w="30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16"/>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3"/>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58,051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39,805</w:t>
            </w:r>
          </w:p>
        </w:tc>
      </w:tr>
      <w:tr>
        <w:trPr>
          <w:trHeight w:val="219"/>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Accrued Salaries, Wages, and Benefits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28,527</w:t>
            </w:r>
          </w:p>
        </w:tc>
      </w:tr>
      <w:tr>
        <w:trPr>
          <w:trHeight w:val="213"/>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Accrued Transportation Taxes</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14,549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12,736</w:t>
            </w:r>
          </w:p>
        </w:tc>
      </w:tr>
      <w:tr>
        <w:trPr>
          <w:trHeight w:val="219"/>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Air Traffic Liabilities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118,562</w:t>
            </w:r>
          </w:p>
        </w:tc>
      </w:tr>
      <w:tr>
        <w:trPr>
          <w:trHeight w:val="213"/>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Over-market Liabilities</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3,063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4,309</w:t>
            </w:r>
          </w:p>
        </w:tc>
      </w:tr>
      <w:tr>
        <w:trPr>
          <w:trHeight w:val="219"/>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Finance Lease Obligations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11,705</w:t>
            </w:r>
          </w:p>
        </w:tc>
      </w:tr>
      <w:tr>
        <w:trPr>
          <w:trHeight w:val="213"/>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Loyalty Program Liabilities</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11,548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11,451</w:t>
            </w:r>
          </w:p>
        </w:tc>
      </w:tr>
      <w:tr>
        <w:trPr>
          <w:trHeight w:val="219"/>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Operating Lease Obligations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17,231</w:t>
            </w:r>
          </w:p>
        </w:tc>
      </w:tr>
      <w:tr>
        <w:trPr>
          <w:trHeight w:val="213"/>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43,810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29,412</w:t>
            </w:r>
          </w:p>
        </w:tc>
      </w:tr>
      <w:tr>
        <w:trPr>
          <w:trHeight w:val="219"/>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Income Tax Receivable Agreement Liability</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32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7,913</w:t>
            </w:r>
          </w:p>
        </w:tc>
      </w:tr>
      <w:tr>
        <w:trPr>
          <w:trHeight w:val="213"/>
        </w:trPr>
        <w:tc>
          <w:tcPr>
            <w:tcW w:w="73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331,361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281,651</w:t>
            </w:r>
          </w:p>
        </w:tc>
      </w:tr>
      <w:tr>
        <w:trPr>
          <w:trHeight w:val="34"/>
        </w:trPr>
        <w:tc>
          <w:tcPr>
            <w:tcW w:w="3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6"/>
        </w:trPr>
        <w:tc>
          <w:tcPr>
            <w:tcW w:w="732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3"/>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Over-market Liabilities</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10,428</w:t>
            </w:r>
          </w:p>
        </w:tc>
      </w:tr>
      <w:tr>
        <w:trPr>
          <w:trHeight w:val="219"/>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Finance Lease Obligations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180,450</w:t>
            </w:r>
          </w:p>
        </w:tc>
      </w:tr>
      <w:tr>
        <w:trPr>
          <w:trHeight w:val="213"/>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Loyalty Program Liabilities</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5,056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8,267</w:t>
            </w:r>
          </w:p>
        </w:tc>
      </w:tr>
      <w:tr>
        <w:trPr>
          <w:trHeight w:val="219"/>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Operating Lease Obligations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58,810</w:t>
            </w:r>
          </w:p>
        </w:tc>
      </w:tr>
      <w:tr>
        <w:trPr>
          <w:trHeight w:val="213"/>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319,733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248,014</w:t>
            </w:r>
          </w:p>
        </w:tc>
      </w:tr>
      <w:tr>
        <w:trPr>
          <w:trHeight w:val="219"/>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Income Tax Receivable Agreement Liability</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98,800</w:t>
            </w:r>
          </w:p>
        </w:tc>
      </w:tr>
      <w:tr>
        <w:trPr>
          <w:trHeight w:val="213"/>
        </w:trPr>
        <w:tc>
          <w:tcPr>
            <w:tcW w:w="7320" w:type="dxa"/>
            <w:vAlign w:val="bottom"/>
            <w:tcBorders>
              <w:bottom w:val="single" w:sz="8" w:color="CCEEFF"/>
            </w:tcBorders>
            <w:gridSpan w:val="3"/>
          </w:tcPr>
          <w:p>
            <w:pPr>
              <w:ind w:left="14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w:t>
            </w:r>
          </w:p>
        </w:tc>
      </w:tr>
      <w:tr>
        <w:trPr>
          <w:trHeight w:val="210"/>
        </w:trPr>
        <w:tc>
          <w:tcPr>
            <w:tcW w:w="73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Total Long-term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679,489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608,182</w:t>
            </w:r>
          </w:p>
        </w:tc>
      </w:tr>
      <w:tr>
        <w:trPr>
          <w:trHeight w:val="252"/>
        </w:trPr>
        <w:tc>
          <w:tcPr>
            <w:tcW w:w="73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1,010,850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889,833</w:t>
            </w:r>
          </w:p>
        </w:tc>
      </w:tr>
      <w:tr>
        <w:trPr>
          <w:trHeight w:val="175"/>
        </w:trPr>
        <w:tc>
          <w:tcPr>
            <w:tcW w:w="7320" w:type="dxa"/>
            <w:vAlign w:val="bottom"/>
            <w:tcBorders>
              <w:top w:val="single" w:sz="8" w:color="CCEEFF"/>
            </w:tcBorders>
            <w:gridSpan w:val="3"/>
          </w:tcPr>
          <w:p>
            <w:pPr>
              <w:ind w:left="20"/>
              <w:spacing w:after="0" w:line="175" w:lineRule="exact"/>
              <w:rPr>
                <w:sz w:val="20"/>
                <w:szCs w:val="20"/>
                <w:color w:val="auto"/>
              </w:rPr>
            </w:pPr>
            <w:r>
              <w:rPr>
                <w:rFonts w:ascii="Arial" w:cs="Arial" w:eastAsia="Arial" w:hAnsi="Arial"/>
                <w:sz w:val="16"/>
                <w:szCs w:val="16"/>
                <w:b w:val="1"/>
                <w:bCs w:val="1"/>
                <w:color w:val="auto"/>
              </w:rPr>
              <w:t xml:space="preserve">Commitments and Contingencies (see </w:t>
            </w:r>
            <w:r>
              <w:rPr>
                <w:rFonts w:ascii="Arial" w:cs="Arial" w:eastAsia="Arial" w:hAnsi="Arial"/>
                <w:sz w:val="16"/>
                <w:szCs w:val="16"/>
                <w:b w:val="1"/>
                <w:bCs w:val="1"/>
                <w:color w:val="0000FF"/>
              </w:rPr>
              <w:t>Note 13</w:t>
            </w:r>
            <w:r>
              <w:rPr>
                <w:rFonts w:ascii="Arial" w:cs="Arial" w:eastAsia="Arial" w:hAnsi="Arial"/>
                <w:sz w:val="16"/>
                <w:szCs w:val="16"/>
                <w:b w:val="1"/>
                <w:bCs w:val="1"/>
                <w:color w:val="auto"/>
              </w:rPr>
              <w:t>)</w:t>
            </w:r>
          </w:p>
        </w:tc>
        <w:tc>
          <w:tcPr>
            <w:tcW w:w="300" w:type="dxa"/>
            <w:vAlign w:val="bottom"/>
            <w:tcBorders>
              <w:top w:val="single" w:sz="8" w:color="CCEEFF"/>
            </w:tcBorders>
          </w:tcPr>
          <w:p>
            <w:pPr>
              <w:spacing w:after="0"/>
              <w:rPr>
                <w:sz w:val="15"/>
                <w:szCs w:val="15"/>
                <w:color w:val="auto"/>
              </w:rPr>
            </w:pPr>
          </w:p>
        </w:tc>
        <w:tc>
          <w:tcPr>
            <w:tcW w:w="16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0" w:type="dxa"/>
            <w:vAlign w:val="bottom"/>
            <w:tcBorders>
              <w:top w:val="single" w:sz="8" w:color="CCEEFF"/>
            </w:tcBorders>
          </w:tcPr>
          <w:p>
            <w:pPr>
              <w:spacing w:after="0"/>
              <w:rPr>
                <w:sz w:val="15"/>
                <w:szCs w:val="15"/>
                <w:color w:val="auto"/>
              </w:rPr>
            </w:pPr>
          </w:p>
        </w:tc>
      </w:tr>
      <w:tr>
        <w:trPr>
          <w:trHeight w:val="55"/>
        </w:trPr>
        <w:tc>
          <w:tcPr>
            <w:tcW w:w="3020" w:type="dxa"/>
            <w:vAlign w:val="bottom"/>
            <w:tcBorders>
              <w:bottom w:val="single" w:sz="8" w:color="CCEEFF"/>
            </w:tcBorders>
          </w:tcPr>
          <w:p>
            <w:pPr>
              <w:spacing w:after="0"/>
              <w:rPr>
                <w:sz w:val="4"/>
                <w:szCs w:val="4"/>
                <w:color w:val="auto"/>
              </w:rPr>
            </w:pPr>
          </w:p>
        </w:tc>
        <w:tc>
          <w:tcPr>
            <w:tcW w:w="580" w:type="dxa"/>
            <w:vAlign w:val="bottom"/>
            <w:tcBorders>
              <w:top w:val="single" w:sz="8" w:color="0000FF"/>
              <w:bottom w:val="single" w:sz="8" w:color="CCEEFF"/>
            </w:tcBorders>
          </w:tcPr>
          <w:p>
            <w:pPr>
              <w:spacing w:after="0"/>
              <w:rPr>
                <w:sz w:val="4"/>
                <w:szCs w:val="4"/>
                <w:color w:val="auto"/>
              </w:rPr>
            </w:pPr>
          </w:p>
        </w:tc>
        <w:tc>
          <w:tcPr>
            <w:tcW w:w="37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6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r>
      <w:tr>
        <w:trPr>
          <w:trHeight w:val="215"/>
        </w:trPr>
        <w:tc>
          <w:tcPr>
            <w:tcW w:w="7320" w:type="dxa"/>
            <w:vAlign w:val="bottom"/>
            <w:gridSpan w:val="3"/>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73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Common stock, with $0.01 par value, 995,000,000 shares authorized, 58,145,724 and 57,872,452</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8"/>
        </w:trPr>
        <w:tc>
          <w:tcPr>
            <w:tcW w:w="73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issued at June 30, 2022 and December 31, 2021, respectively</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w:t>
            </w:r>
          </w:p>
        </w:tc>
      </w:tr>
      <w:tr>
        <w:trPr>
          <w:trHeight w:val="218"/>
        </w:trPr>
        <w:tc>
          <w:tcPr>
            <w:tcW w:w="7320" w:type="dxa"/>
            <w:vAlign w:val="bottom"/>
            <w:gridSpan w:val="3"/>
          </w:tcPr>
          <w:p>
            <w:pPr>
              <w:ind w:left="100"/>
              <w:spacing w:after="0"/>
              <w:rPr>
                <w:sz w:val="20"/>
                <w:szCs w:val="20"/>
                <w:color w:val="auto"/>
              </w:rPr>
            </w:pPr>
            <w:r>
              <w:rPr>
                <w:rFonts w:ascii="Arial" w:cs="Arial" w:eastAsia="Arial" w:hAnsi="Arial"/>
                <w:sz w:val="16"/>
                <w:szCs w:val="16"/>
                <w:color w:val="auto"/>
              </w:rPr>
              <w:t>Preferred stock, with $0.01 par value, 5,000,000 shares authorized, no shares issued and</w:t>
            </w: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5"/>
        </w:trPr>
        <w:tc>
          <w:tcPr>
            <w:tcW w:w="7320" w:type="dxa"/>
            <w:vAlign w:val="bottom"/>
            <w:gridSpan w:val="3"/>
          </w:tcPr>
          <w:p>
            <w:pPr>
              <w:ind w:left="180"/>
              <w:spacing w:after="0"/>
              <w:rPr>
                <w:sz w:val="20"/>
                <w:szCs w:val="20"/>
                <w:color w:val="auto"/>
              </w:rPr>
            </w:pPr>
            <w:r>
              <w:rPr>
                <w:rFonts w:ascii="Arial" w:cs="Arial" w:eastAsia="Arial" w:hAnsi="Arial"/>
                <w:sz w:val="16"/>
                <w:szCs w:val="16"/>
                <w:color w:val="auto"/>
              </w:rPr>
              <w:t>outstanding at June 30, 2022 and December 31, 2021</w:t>
            </w:r>
          </w:p>
        </w:tc>
        <w:tc>
          <w:tcPr>
            <w:tcW w:w="300" w:type="dxa"/>
            <w:vAlign w:val="bottom"/>
          </w:tcPr>
          <w:p>
            <w:pPr>
              <w:spacing w:after="0"/>
              <w:rPr>
                <w:sz w:val="19"/>
                <w:szCs w:val="19"/>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0"/>
        </w:trPr>
        <w:tc>
          <w:tcPr>
            <w:tcW w:w="7320" w:type="dxa"/>
            <w:vAlign w:val="bottom"/>
            <w:gridSpan w:val="3"/>
            <w:shd w:val="clear" w:color="auto" w:fill="CCEEFF"/>
          </w:tcPr>
          <w:p>
            <w:pPr>
              <w:ind w:left="100"/>
              <w:spacing w:after="0" w:line="181" w:lineRule="exact"/>
              <w:rPr>
                <w:sz w:val="20"/>
                <w:szCs w:val="20"/>
                <w:color w:val="auto"/>
              </w:rPr>
            </w:pPr>
            <w:r>
              <w:rPr>
                <w:rFonts w:ascii="Arial" w:cs="Arial" w:eastAsia="Arial" w:hAnsi="Arial"/>
                <w:sz w:val="16"/>
                <w:szCs w:val="16"/>
                <w:color w:val="auto"/>
              </w:rPr>
              <w:t>Treasury stock, at cost, 1,823 shares held at June 30, 2022 and no shares held at December 31,</w:t>
            </w: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01"/>
        </w:trPr>
        <w:tc>
          <w:tcPr>
            <w:tcW w:w="3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58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320" w:type="dxa"/>
            <w:vAlign w:val="bottom"/>
            <w:gridSpan w:val="3"/>
          </w:tcPr>
          <w:p>
            <w:pPr>
              <w:ind w:left="14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491,492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485,638</w:t>
            </w:r>
          </w:p>
        </w:tc>
      </w:tr>
      <w:tr>
        <w:trPr>
          <w:trHeight w:val="219"/>
        </w:trPr>
        <w:tc>
          <w:tcPr>
            <w:tcW w:w="73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4,372</w:t>
            </w:r>
          </w:p>
        </w:tc>
      </w:tr>
      <w:tr>
        <w:trPr>
          <w:trHeight w:val="213"/>
        </w:trPr>
        <w:tc>
          <w:tcPr>
            <w:tcW w:w="7320" w:type="dxa"/>
            <w:vAlign w:val="bottom"/>
            <w:tcBorders>
              <w:bottom w:val="single" w:sz="8" w:color="CCEEFF"/>
            </w:tcBorders>
            <w:gridSpan w:val="3"/>
          </w:tcPr>
          <w:p>
            <w:pPr>
              <w:ind w:left="10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3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495,888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490,589</w:t>
            </w:r>
          </w:p>
        </w:tc>
      </w:tr>
      <w:tr>
        <w:trPr>
          <w:trHeight w:val="213"/>
        </w:trPr>
        <w:tc>
          <w:tcPr>
            <w:tcW w:w="7320" w:type="dxa"/>
            <w:vAlign w:val="bottom"/>
            <w:gridSpan w:val="3"/>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1,506,738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1,380,422</w:t>
            </w:r>
          </w:p>
        </w:tc>
      </w:tr>
      <w:tr>
        <w:trPr>
          <w:trHeight w:val="20"/>
        </w:trPr>
        <w:tc>
          <w:tcPr>
            <w:tcW w:w="3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30"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7"/>
                <w:szCs w:val="17"/>
                <w:color w:val="auto"/>
              </w:rPr>
            </w:pPr>
          </w:p>
        </w:tc>
        <w:tc>
          <w:tcPr>
            <w:tcW w:w="276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Passenger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195,362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125,130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397,394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229,325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Cargo</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43,684</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Revenue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445,591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276,802</w:t>
            </w:r>
          </w:p>
        </w:tc>
        <w:tc>
          <w:tcPr>
            <w:tcW w:w="0" w:type="dxa"/>
            <w:vAlign w:val="bottom"/>
          </w:tcPr>
          <w:p>
            <w:pPr>
              <w:spacing w:after="0"/>
              <w:rPr>
                <w:sz w:val="1"/>
                <w:szCs w:val="1"/>
                <w:color w:val="auto"/>
              </w:rPr>
            </w:pPr>
          </w:p>
        </w:tc>
      </w:tr>
      <w:tr>
        <w:trPr>
          <w:trHeight w:val="34"/>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Aircraft Fuel</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76,947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141,492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53,984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Wages, and Benefits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86,392</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Aircraft Rent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9,414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Maintenance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16,509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10,932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Ground Handling</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16,170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11,781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Landing Fees and Airport Rent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17,537</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Special Items, net</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(72,355)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net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31,397</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420,390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196,415</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80,387</w:t>
            </w:r>
          </w:p>
        </w:tc>
        <w:tc>
          <w:tcPr>
            <w:tcW w:w="0" w:type="dxa"/>
            <w:vAlign w:val="bottom"/>
          </w:tcPr>
          <w:p>
            <w:pPr>
              <w:spacing w:after="0"/>
              <w:rPr>
                <w:sz w:val="1"/>
                <w:szCs w:val="1"/>
                <w:color w:val="auto"/>
              </w:rPr>
            </w:pPr>
          </w:p>
        </w:tc>
      </w:tr>
      <w:tr>
        <w:trPr>
          <w:trHeight w:val="34"/>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(13,201)</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18,049</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Non-operating Income (Expense), net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Before Income Tax</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85,259</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16,304</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share to common stockholders: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for computation: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58,060,716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57,156,159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57,984,608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52,850,041</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58,060,716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61,982,441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57,984,608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57,403,593</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60" w:type="dxa"/>
            <w:vAlign w:val="bottom"/>
          </w:tcPr>
          <w:p>
            <w:pPr>
              <w:spacing w:after="0"/>
              <w:rPr>
                <w:sz w:val="17"/>
                <w:szCs w:val="17"/>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2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52,177</w:t>
            </w:r>
          </w:p>
        </w:tc>
        <w:tc>
          <w:tcPr>
            <w:tcW w:w="1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68,955</w:t>
            </w:r>
          </w:p>
        </w:tc>
      </w:tr>
      <w:tr>
        <w:trPr>
          <w:trHeight w:val="250"/>
        </w:trPr>
        <w:tc>
          <w:tcPr>
            <w:tcW w:w="4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02"/>
        </w:trPr>
        <w:tc>
          <w:tcPr>
            <w:tcW w:w="4260" w:type="dxa"/>
            <w:vAlign w:val="bottom"/>
          </w:tcPr>
          <w:p>
            <w:pPr>
              <w:ind w:left="240"/>
              <w:spacing w:after="0" w:line="201" w:lineRule="exact"/>
              <w:rPr>
                <w:sz w:val="20"/>
                <w:szCs w:val="20"/>
                <w:color w:val="auto"/>
              </w:rPr>
            </w:pPr>
            <w:r>
              <w:rPr>
                <w:rFonts w:ascii="Arial" w:cs="Arial" w:eastAsia="Arial" w:hAnsi="Arial"/>
                <w:sz w:val="18"/>
                <w:szCs w:val="18"/>
                <w:color w:val="auto"/>
              </w:rPr>
              <w:t>Net unrealized loss on Available-for-Sale</w:t>
            </w: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76"/>
        </w:trPr>
        <w:tc>
          <w:tcPr>
            <w:tcW w:w="4260" w:type="dxa"/>
            <w:vAlign w:val="bottom"/>
          </w:tcPr>
          <w:p>
            <w:pPr>
              <w:ind w:left="240"/>
              <w:spacing w:after="0" w:line="176" w:lineRule="exact"/>
              <w:rPr>
                <w:sz w:val="20"/>
                <w:szCs w:val="20"/>
                <w:color w:val="auto"/>
              </w:rPr>
            </w:pPr>
            <w:r>
              <w:rPr>
                <w:rFonts w:ascii="Arial" w:cs="Arial" w:eastAsia="Arial" w:hAnsi="Arial"/>
                <w:sz w:val="18"/>
                <w:szCs w:val="18"/>
                <w:color w:val="auto"/>
              </w:rPr>
              <w:t>securities, net of deferred tax benefit of $66, $—,</w:t>
            </w: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7"/>
        </w:trPr>
        <w:tc>
          <w:tcPr>
            <w:tcW w:w="4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$66 and $—, respectively</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(4,142)</w:t>
            </w:r>
          </w:p>
        </w:tc>
        <w:tc>
          <w:tcPr>
            <w:tcW w:w="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52,177</w:t>
            </w:r>
          </w:p>
        </w:tc>
        <w:tc>
          <w:tcPr>
            <w:tcW w:w="1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68,955</w:t>
            </w:r>
          </w:p>
        </w:tc>
      </w:tr>
      <w:tr>
        <w:trPr>
          <w:trHeight w:val="20"/>
        </w:trPr>
        <w:tc>
          <w:tcPr>
            <w:tcW w:w="4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30"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10"/>
          </w:tcPr>
          <w:p>
            <w:pPr>
              <w:jc w:val="center"/>
              <w:ind w:right="40"/>
              <w:spacing w:after="0"/>
              <w:rPr>
                <w:sz w:val="20"/>
                <w:szCs w:val="20"/>
                <w:color w:val="auto"/>
              </w:rPr>
            </w:pPr>
            <w:r>
              <w:rPr>
                <w:rFonts w:ascii="Arial" w:cs="Arial" w:eastAsia="Arial" w:hAnsi="Arial"/>
                <w:sz w:val="13"/>
                <w:szCs w:val="13"/>
                <w:b w:val="1"/>
                <w:bCs w:val="1"/>
                <w:color w:val="auto"/>
                <w:w w:val="97"/>
              </w:rPr>
              <w:t>Six Months Ended June 30, 2021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514"/>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vMerge w:val="restart"/>
          </w:tcPr>
          <w:p>
            <w:pPr>
              <w:jc w:val="right"/>
              <w:ind w:right="317"/>
              <w:spacing w:after="0"/>
              <w:rPr>
                <w:sz w:val="20"/>
                <w:szCs w:val="20"/>
                <w:color w:val="auto"/>
              </w:rPr>
            </w:pPr>
            <w:r>
              <w:rPr>
                <w:rFonts w:ascii="Arial" w:cs="Arial" w:eastAsia="Arial" w:hAnsi="Arial"/>
                <w:sz w:val="13"/>
                <w:szCs w:val="13"/>
                <w:b w:val="1"/>
                <w:bCs w:val="1"/>
                <w:color w:val="auto"/>
              </w:rPr>
              <w:t>Loans to</w:t>
            </w:r>
          </w:p>
        </w:tc>
        <w:tc>
          <w:tcPr>
            <w:tcW w:w="100" w:type="dxa"/>
            <w:vAlign w:val="bottom"/>
          </w:tcPr>
          <w:p>
            <w:pPr>
              <w:spacing w:after="0"/>
              <w:rPr>
                <w:sz w:val="2"/>
                <w:szCs w:val="2"/>
                <w:color w:val="auto"/>
              </w:rPr>
            </w:pPr>
          </w:p>
        </w:tc>
        <w:tc>
          <w:tcPr>
            <w:tcW w:w="1320" w:type="dxa"/>
            <w:vAlign w:val="bottom"/>
            <w:gridSpan w:val="6"/>
            <w:vMerge w:val="restart"/>
          </w:tcPr>
          <w:p>
            <w:pPr>
              <w:ind w:left="340"/>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restart"/>
          </w:tcPr>
          <w:p>
            <w:pPr>
              <w:jc w:val="right"/>
              <w:ind w:right="317"/>
              <w:spacing w:after="0"/>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auto"/>
                <w:w w:val="92"/>
              </w:rPr>
              <w:t>Shares</w:t>
            </w:r>
          </w:p>
        </w:tc>
        <w:tc>
          <w:tcPr>
            <w:tcW w:w="80" w:type="dxa"/>
            <w:vAlign w:val="bottom"/>
            <w:gridSpan w:val="2"/>
            <w:vMerge w:val="restart"/>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restart"/>
          </w:tcPr>
          <w:p>
            <w:pPr>
              <w:jc w:val="right"/>
              <w:ind w:right="5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7"/>
        </w:trPr>
        <w:tc>
          <w:tcPr>
            <w:tcW w:w="22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gridSpan w:val="2"/>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3"/>
          </w:tcPr>
          <w:p>
            <w:pPr>
              <w:jc w:val="right"/>
              <w:ind w:right="177"/>
              <w:spacing w:after="0"/>
              <w:rPr>
                <w:sz w:val="20"/>
                <w:szCs w:val="20"/>
                <w:color w:val="auto"/>
              </w:rPr>
            </w:pPr>
            <w:r>
              <w:rPr>
                <w:rFonts w:ascii="Arial" w:cs="Arial" w:eastAsia="Arial" w:hAnsi="Arial"/>
                <w:sz w:val="13"/>
                <w:szCs w:val="13"/>
                <w:b w:val="1"/>
                <w:bCs w:val="1"/>
                <w:color w:val="auto"/>
              </w:rPr>
              <w:t>Stockholders</w:t>
            </w:r>
          </w:p>
        </w:tc>
        <w:tc>
          <w:tcPr>
            <w:tcW w:w="10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5"/>
          </w:tcPr>
          <w:p>
            <w:pPr>
              <w:jc w:val="right"/>
              <w:ind w:right="137"/>
              <w:spacing w:after="0"/>
              <w:rPr>
                <w:sz w:val="20"/>
                <w:szCs w:val="20"/>
                <w:color w:val="auto"/>
              </w:rPr>
            </w:pPr>
            <w:r>
              <w:rPr>
                <w:rFonts w:ascii="Arial" w:cs="Arial" w:eastAsia="Arial" w:hAnsi="Arial"/>
                <w:sz w:val="13"/>
                <w:szCs w:val="13"/>
                <w:b w:val="1"/>
                <w:bCs w:val="1"/>
                <w:color w:val="auto"/>
              </w:rPr>
              <w:t>Paid-in Capital</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3"/>
                <w:szCs w:val="13"/>
                <w:b w:val="1"/>
                <w:bCs w:val="1"/>
                <w:color w:val="auto"/>
                <w:w w:val="94"/>
              </w:rPr>
              <w:t>Earnings (Deficit)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December 31, 2020</w:t>
            </w: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46,839,659</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820" w:type="dxa"/>
            <w:vAlign w:val="bottom"/>
            <w:tcBorders>
              <w:bottom w:val="single" w:sz="8" w:color="CCEEFF"/>
            </w:tcBorders>
            <w:gridSpan w:val="2"/>
            <w:shd w:val="clear" w:color="auto" w:fill="CCEEFF"/>
          </w:tcPr>
          <w:p>
            <w:pPr>
              <w:jc w:val="right"/>
              <w:ind w:right="57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(3,500)</w:t>
            </w:r>
          </w:p>
        </w:tc>
        <w:tc>
          <w:tcPr>
            <w:tcW w:w="520" w:type="dxa"/>
            <w:vAlign w:val="bottom"/>
            <w:tcBorders>
              <w:bottom w:val="single" w:sz="8" w:color="CCEEFF"/>
            </w:tcBorders>
            <w:gridSpan w:val="2"/>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248,525</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38,324</w:t>
            </w:r>
          </w:p>
        </w:tc>
        <w:tc>
          <w:tcPr>
            <w:tcW w:w="26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283,817</w:t>
            </w:r>
          </w:p>
        </w:tc>
        <w:tc>
          <w:tcPr>
            <w:tcW w:w="0" w:type="dxa"/>
            <w:vAlign w:val="bottom"/>
          </w:tcPr>
          <w:p>
            <w:pPr>
              <w:spacing w:after="0"/>
              <w:rPr>
                <w:sz w:val="1"/>
                <w:szCs w:val="1"/>
                <w:color w:val="auto"/>
              </w:rPr>
            </w:pPr>
          </w:p>
        </w:tc>
      </w:tr>
      <w:tr>
        <w:trPr>
          <w:trHeight w:val="167"/>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Shares Surrendered by Stockholders</w:t>
            </w:r>
          </w:p>
        </w:tc>
        <w:tc>
          <w:tcPr>
            <w:tcW w:w="5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(140,737)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3,500</w:t>
            </w: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(3,499)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Initial Public Offering, net</w:t>
            </w:r>
          </w:p>
        </w:tc>
        <w:tc>
          <w:tcPr>
            <w:tcW w:w="5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10,454,545</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224,552</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224,657</w:t>
            </w:r>
          </w:p>
        </w:tc>
        <w:tc>
          <w:tcPr>
            <w:tcW w:w="0" w:type="dxa"/>
            <w:vAlign w:val="bottom"/>
          </w:tcPr>
          <w:p>
            <w:pPr>
              <w:spacing w:after="0"/>
              <w:rPr>
                <w:sz w:val="1"/>
                <w:szCs w:val="1"/>
                <w:color w:val="auto"/>
              </w:rPr>
            </w:pPr>
          </w:p>
        </w:tc>
      </w:tr>
      <w:tr>
        <w:trPr>
          <w:trHeight w:val="173"/>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16,778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16,778</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Income Tax Receivable Agreement</w:t>
            </w:r>
          </w:p>
        </w:tc>
        <w:tc>
          <w:tcPr>
            <w:tcW w:w="5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(115,200)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(115,200)</w:t>
            </w:r>
          </w:p>
        </w:tc>
        <w:tc>
          <w:tcPr>
            <w:tcW w:w="0" w:type="dxa"/>
            <w:vAlign w:val="bottom"/>
          </w:tcPr>
          <w:p>
            <w:pPr>
              <w:spacing w:after="0"/>
              <w:rPr>
                <w:sz w:val="1"/>
                <w:szCs w:val="1"/>
                <w:color w:val="auto"/>
              </w:rPr>
            </w:pPr>
          </w:p>
        </w:tc>
      </w:tr>
      <w:tr>
        <w:trPr>
          <w:trHeight w:val="173"/>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Amazon Warrants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3"/>
                <w:szCs w:val="13"/>
                <w:color w:val="auto"/>
              </w:rPr>
              <w:t>1,400</w:t>
            </w: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2,870</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2,870</w:t>
            </w:r>
          </w:p>
        </w:tc>
        <w:tc>
          <w:tcPr>
            <w:tcW w:w="0" w:type="dxa"/>
            <w:vAlign w:val="bottom"/>
          </w:tcPr>
          <w:p>
            <w:pPr>
              <w:spacing w:after="0"/>
              <w:rPr>
                <w:sz w:val="1"/>
                <w:szCs w:val="1"/>
                <w:color w:val="auto"/>
              </w:rPr>
            </w:pPr>
          </w:p>
        </w:tc>
      </w:tr>
      <w:tr>
        <w:trPr>
          <w:trHeight w:val="195"/>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March 31, 2021</w:t>
            </w:r>
          </w:p>
        </w:tc>
        <w:tc>
          <w:tcPr>
            <w:tcW w:w="5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57,153,467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color w:val="auto"/>
              </w:rPr>
              <w:t>572</w:t>
            </w:r>
          </w:p>
        </w:tc>
        <w:tc>
          <w:tcPr>
            <w:tcW w:w="8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473,848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(60,098)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414,322</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w w:val="99"/>
              </w:rPr>
              <w:t>Initial Public Offering Expense Adjustment</w:t>
            </w:r>
          </w:p>
        </w:tc>
        <w:tc>
          <w:tcPr>
            <w:tcW w:w="5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349</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Exercise of Stock Options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5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52,177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52,177</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Amazon Warrants</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2"/>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5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744</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744</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June 30, 2021</w:t>
            </w:r>
          </w:p>
        </w:tc>
        <w:tc>
          <w:tcPr>
            <w:tcW w:w="5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57,158,467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gridSpan w:val="3"/>
          </w:tcPr>
          <w:p>
            <w:pPr>
              <w:jc w:val="right"/>
              <w:ind w:right="17"/>
              <w:spacing w:after="0"/>
              <w:rPr>
                <w:sz w:val="20"/>
                <w:szCs w:val="20"/>
                <w:color w:val="auto"/>
              </w:rPr>
            </w:pPr>
            <w:r>
              <w:rPr>
                <w:rFonts w:ascii="Arial" w:cs="Arial" w:eastAsia="Arial" w:hAnsi="Arial"/>
                <w:sz w:val="13"/>
                <w:szCs w:val="13"/>
                <w:color w:val="auto"/>
                <w:w w:val="92"/>
              </w:rPr>
              <w:t>572</w:t>
            </w:r>
          </w:p>
        </w:tc>
        <w:tc>
          <w:tcPr>
            <w:tcW w:w="8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476,368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(7,921)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469,019</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gridSpan w:val="8"/>
          </w:tcPr>
          <w:p>
            <w:pPr>
              <w:ind w:left="60"/>
              <w:spacing w:after="0"/>
              <w:rPr>
                <w:sz w:val="20"/>
                <w:szCs w:val="20"/>
                <w:color w:val="auto"/>
              </w:rPr>
            </w:pPr>
            <w:r>
              <w:rPr>
                <w:rFonts w:ascii="Arial" w:cs="Arial" w:eastAsia="Arial" w:hAnsi="Arial"/>
                <w:sz w:val="13"/>
                <w:szCs w:val="13"/>
                <w:b w:val="1"/>
                <w:bCs w:val="1"/>
                <w:color w:val="auto"/>
                <w:w w:val="96"/>
              </w:rPr>
              <w:t>Six Months Ended June 30, 2022</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7"/>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7"/>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7"/>
          </w:tcPr>
          <w:p>
            <w:pPr>
              <w:ind w:left="400"/>
              <w:spacing w:after="0"/>
              <w:rPr>
                <w:sz w:val="20"/>
                <w:szCs w:val="20"/>
                <w:color w:val="auto"/>
              </w:rPr>
            </w:pPr>
            <w:r>
              <w:rPr>
                <w:rFonts w:ascii="Arial" w:cs="Arial" w:eastAsia="Arial" w:hAnsi="Arial"/>
                <w:sz w:val="13"/>
                <w:szCs w:val="13"/>
                <w:b w:val="1"/>
                <w:bCs w:val="1"/>
                <w:color w:val="auto"/>
              </w:rPr>
              <w:t>Common Stock</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7"/>
          </w:tcPr>
          <w:p>
            <w:pPr>
              <w:ind w:left="420"/>
              <w:spacing w:after="0"/>
              <w:rPr>
                <w:sz w:val="20"/>
                <w:szCs w:val="20"/>
                <w:color w:val="auto"/>
              </w:rPr>
            </w:pPr>
            <w:r>
              <w:rPr>
                <w:rFonts w:ascii="Arial" w:cs="Arial" w:eastAsia="Arial" w:hAnsi="Arial"/>
                <w:sz w:val="13"/>
                <w:szCs w:val="13"/>
                <w:b w:val="1"/>
                <w:bCs w:val="1"/>
                <w:color w:val="auto"/>
              </w:rPr>
              <w:t>Treasury Stock</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5"/>
            <w:vMerge w:val="restart"/>
          </w:tcPr>
          <w:p>
            <w:pPr>
              <w:jc w:val="right"/>
              <w:ind w:right="160"/>
              <w:spacing w:after="0"/>
              <w:rPr>
                <w:sz w:val="20"/>
                <w:szCs w:val="20"/>
                <w:color w:val="auto"/>
              </w:rPr>
            </w:pPr>
            <w:r>
              <w:rPr>
                <w:rFonts w:ascii="Arial" w:cs="Arial" w:eastAsia="Arial" w:hAnsi="Arial"/>
                <w:sz w:val="13"/>
                <w:szCs w:val="13"/>
                <w:b w:val="1"/>
                <w:bCs w:val="1"/>
                <w:color w:val="auto"/>
              </w:rPr>
              <w:t>Accumulated Other</w:t>
            </w: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5"/>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Additional Paid-</w:t>
            </w:r>
          </w:p>
        </w:tc>
        <w:tc>
          <w:tcPr>
            <w:tcW w:w="140" w:type="dxa"/>
            <w:vAlign w:val="bottom"/>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w w:val="98"/>
              </w:rPr>
              <w:t>Retained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4"/>
          </w:tcPr>
          <w:p>
            <w:pPr>
              <w:ind w:left="80"/>
              <w:spacing w:after="0" w:line="135" w:lineRule="exact"/>
              <w:rPr>
                <w:sz w:val="20"/>
                <w:szCs w:val="20"/>
                <w:color w:val="auto"/>
              </w:rPr>
            </w:pPr>
            <w:r>
              <w:rPr>
                <w:rFonts w:ascii="Arial" w:cs="Arial" w:eastAsia="Arial" w:hAnsi="Arial"/>
                <w:sz w:val="13"/>
                <w:szCs w:val="13"/>
                <w:b w:val="1"/>
                <w:bCs w:val="1"/>
                <w:color w:val="auto"/>
              </w:rPr>
              <w:t>Comprehensive</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2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37"/>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Amount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3"/>
                <w:szCs w:val="13"/>
                <w:b w:val="1"/>
                <w:bCs w:val="1"/>
                <w:color w:val="auto"/>
              </w:rPr>
              <w:t>Shares</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97"/>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in Capital</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96"/>
              </w:rPr>
              <w:t>Earnings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Loss</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December 31, 2021</w:t>
            </w: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57,872,452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579</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center"/>
              <w:ind w:left="417"/>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93"/>
              </w:rPr>
              <w:t>485,638</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3"/>
                <w:szCs w:val="13"/>
                <w:color w:val="auto"/>
              </w:rPr>
              <w:t>4,372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490,589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Stock Option Exercises</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91,868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left="33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5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center"/>
              <w:ind w:left="33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3,637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Amazon Warrants</w:t>
            </w:r>
          </w:p>
        </w:tc>
        <w:tc>
          <w:tcPr>
            <w:tcW w:w="5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center"/>
              <w:ind w:left="33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1,400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center"/>
              <w:ind w:left="337"/>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920</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280" w:type="dxa"/>
            <w:vAlign w:val="bottom"/>
          </w:tcPr>
          <w:p>
            <w:pPr>
              <w:ind w:left="20"/>
              <w:spacing w:after="0"/>
              <w:rPr>
                <w:sz w:val="20"/>
                <w:szCs w:val="20"/>
                <w:color w:val="auto"/>
              </w:rPr>
            </w:pPr>
            <w:r>
              <w:rPr>
                <w:rFonts w:ascii="Arial" w:cs="Arial" w:eastAsia="Arial" w:hAnsi="Arial"/>
                <w:sz w:val="13"/>
                <w:szCs w:val="13"/>
                <w:color w:val="auto"/>
              </w:rPr>
              <w:t>March 31, 2022</w:t>
            </w: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57,964,320</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580</w:t>
            </w:r>
          </w:p>
        </w:tc>
        <w:tc>
          <w:tcPr>
            <w:tcW w:w="4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center"/>
              <w:ind w:left="41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93"/>
              </w:rPr>
              <w:t>488,480</w:t>
            </w:r>
          </w:p>
        </w:tc>
        <w:tc>
          <w:tcPr>
            <w:tcW w:w="1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3"/>
                <w:szCs w:val="13"/>
                <w:color w:val="auto"/>
              </w:rPr>
              <w:t>8,009</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497,069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 Issued for Stock-Based Awards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181,404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left="33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1,037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Net Stock Settlement of Stock-Based</w:t>
            </w:r>
          </w:p>
        </w:tc>
        <w:tc>
          <w:tcPr>
            <w:tcW w:w="580" w:type="dxa"/>
            <w:vAlign w:val="bottom"/>
          </w:tcPr>
          <w:p>
            <w:pPr>
              <w:spacing w:after="0"/>
              <w:rPr>
                <w:sz w:val="14"/>
                <w:szCs w:val="14"/>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3"/>
            <w:vMerge w:val="restart"/>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restart"/>
          </w:tcPr>
          <w:p>
            <w:pPr>
              <w:jc w:val="center"/>
              <w:ind w:left="457"/>
              <w:spacing w:after="0"/>
              <w:rPr>
                <w:sz w:val="20"/>
                <w:szCs w:val="20"/>
                <w:color w:val="auto"/>
              </w:rPr>
            </w:pPr>
            <w:r>
              <w:rPr>
                <w:rFonts w:ascii="Arial" w:cs="Arial" w:eastAsia="Arial" w:hAnsi="Arial"/>
                <w:sz w:val="13"/>
                <w:szCs w:val="13"/>
                <w:color w:val="auto"/>
                <w:w w:val="94"/>
              </w:rPr>
              <w:t>(52)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gridSpan w:val="3"/>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460" w:type="dxa"/>
            <w:vAlign w:val="bottom"/>
            <w:gridSpan w:val="2"/>
          </w:tcPr>
          <w:p>
            <w:pPr>
              <w:ind w:left="180"/>
              <w:spacing w:after="0"/>
              <w:rPr>
                <w:sz w:val="20"/>
                <w:szCs w:val="20"/>
                <w:color w:val="auto"/>
              </w:rPr>
            </w:pPr>
            <w:r>
              <w:rPr>
                <w:rFonts w:ascii="Arial" w:cs="Arial" w:eastAsia="Arial" w:hAnsi="Arial"/>
                <w:sz w:val="13"/>
                <w:szCs w:val="13"/>
                <w:color w:val="auto"/>
              </w:rPr>
              <w:t>Awards</w:t>
            </w:r>
          </w:p>
        </w:tc>
        <w:tc>
          <w:tcPr>
            <w:tcW w:w="58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1,823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33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(3,922)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Amazon Warrants</w:t>
            </w:r>
          </w:p>
        </w:tc>
        <w:tc>
          <w:tcPr>
            <w:tcW w:w="58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left="33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1,400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5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337"/>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575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460" w:type="dxa"/>
            <w:vAlign w:val="bottom"/>
            <w:gridSpan w:val="2"/>
          </w:tcPr>
          <w:p>
            <w:pPr>
              <w:ind w:left="20"/>
              <w:spacing w:after="0"/>
              <w:rPr>
                <w:sz w:val="20"/>
                <w:szCs w:val="20"/>
                <w:color w:val="auto"/>
              </w:rPr>
            </w:pPr>
            <w:r>
              <w:rPr>
                <w:rFonts w:ascii="Arial" w:cs="Arial" w:eastAsia="Arial" w:hAnsi="Arial"/>
                <w:sz w:val="13"/>
                <w:szCs w:val="13"/>
                <w:color w:val="auto"/>
              </w:rPr>
              <w:t>Other Comprehensive Loss</w:t>
            </w:r>
          </w:p>
        </w:tc>
        <w:tc>
          <w:tcPr>
            <w:tcW w:w="580" w:type="dxa"/>
            <w:vAlign w:val="bottom"/>
          </w:tcPr>
          <w:p>
            <w:pPr>
              <w:spacing w:after="0"/>
              <w:rPr>
                <w:sz w:val="15"/>
                <w:szCs w:val="15"/>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left="337"/>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(220)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June 30, 2022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58,145,724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1,823</w:t>
            </w:r>
          </w:p>
        </w:tc>
        <w:tc>
          <w:tcPr>
            <w:tcW w:w="300" w:type="dxa"/>
            <w:vAlign w:val="bottom"/>
            <w:gridSpan w:val="3"/>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center"/>
              <w:ind w:left="457"/>
              <w:spacing w:after="0"/>
              <w:rPr>
                <w:sz w:val="20"/>
                <w:szCs w:val="20"/>
                <w:color w:val="auto"/>
              </w:rPr>
            </w:pPr>
            <w:r>
              <w:rPr>
                <w:rFonts w:ascii="Arial" w:cs="Arial" w:eastAsia="Arial" w:hAnsi="Arial"/>
                <w:sz w:val="13"/>
                <w:szCs w:val="13"/>
                <w:color w:val="auto"/>
                <w:w w:val="94"/>
              </w:rPr>
              <w:t>(52)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491,492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4,087</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495,888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200" w:type="dxa"/>
            <w:vAlign w:val="bottom"/>
          </w:tcPr>
          <w:p>
            <w:pPr>
              <w:spacing w:after="0"/>
              <w:rPr>
                <w:sz w:val="15"/>
                <w:szCs w:val="15"/>
                <w:color w:val="auto"/>
              </w:rPr>
            </w:pPr>
          </w:p>
        </w:tc>
        <w:tc>
          <w:tcPr>
            <w:tcW w:w="2460" w:type="dxa"/>
            <w:vAlign w:val="bottom"/>
            <w:tcBorders>
              <w:bottom w:val="single" w:sz="8" w:color="auto"/>
            </w:tcBorders>
            <w:gridSpan w:val="4"/>
          </w:tcPr>
          <w:p>
            <w:pPr>
              <w:jc w:val="right"/>
              <w:ind w:right="77"/>
              <w:spacing w:after="0"/>
              <w:rPr>
                <w:sz w:val="20"/>
                <w:szCs w:val="20"/>
                <w:color w:val="auto"/>
              </w:rPr>
            </w:pPr>
            <w:r>
              <w:rPr>
                <w:rFonts w:ascii="Arial" w:cs="Arial" w:eastAsia="Arial" w:hAnsi="Arial"/>
                <w:sz w:val="13"/>
                <w:szCs w:val="13"/>
                <w:b w:val="1"/>
                <w:bCs w:val="1"/>
                <w:color w:val="auto"/>
              </w:rPr>
              <w:t>Six Months Ended June 30,</w:t>
            </w:r>
          </w:p>
        </w:tc>
        <w:tc>
          <w:tcPr>
            <w:tcW w:w="560" w:type="dxa"/>
            <w:vAlign w:val="bottom"/>
            <w:tcBorders>
              <w:bottom w:val="single" w:sz="8" w:color="auto"/>
            </w:tcBorders>
          </w:tcPr>
          <w:p>
            <w:pPr>
              <w:spacing w:after="0"/>
              <w:rPr>
                <w:sz w:val="15"/>
                <w:szCs w:val="15"/>
                <w:color w:val="auto"/>
              </w:rPr>
            </w:pPr>
          </w:p>
        </w:tc>
      </w:tr>
      <w:tr>
        <w:trPr>
          <w:trHeight w:val="172"/>
        </w:trPr>
        <w:tc>
          <w:tcPr>
            <w:tcW w:w="8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r>
      <w:tr>
        <w:trPr>
          <w:trHeight w:val="173"/>
        </w:trPr>
        <w:tc>
          <w:tcPr>
            <w:tcW w:w="8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w:t>
            </w:r>
          </w:p>
        </w:tc>
        <w:tc>
          <w:tcPr>
            <w:tcW w:w="86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68,955</w:t>
            </w:r>
          </w:p>
        </w:tc>
      </w:tr>
      <w:tr>
        <w:trPr>
          <w:trHeight w:val="172"/>
        </w:trPr>
        <w:tc>
          <w:tcPr>
            <w:tcW w:w="8200" w:type="dxa"/>
            <w:vAlign w:val="bottom"/>
          </w:tcPr>
          <w:p>
            <w:pPr>
              <w:ind w:left="140"/>
              <w:spacing w:after="0"/>
              <w:rPr>
                <w:sz w:val="20"/>
                <w:szCs w:val="20"/>
                <w:color w:val="auto"/>
              </w:rPr>
            </w:pPr>
            <w:r>
              <w:rPr>
                <w:rFonts w:ascii="Arial" w:cs="Arial" w:eastAsia="Arial" w:hAnsi="Arial"/>
                <w:sz w:val="13"/>
                <w:szCs w:val="13"/>
                <w:b w:val="1"/>
                <w:bCs w:val="1"/>
                <w:color w:val="auto"/>
              </w:rPr>
              <w:t>Adjustments to reconcile Net Income (Loss) to Cash from Operating Activities:</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9"/>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32,182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26,823</w:t>
            </w:r>
          </w:p>
        </w:tc>
      </w:tr>
      <w:tr>
        <w:trPr>
          <w:trHeight w:val="168"/>
        </w:trPr>
        <w:tc>
          <w:tcPr>
            <w:tcW w:w="8200" w:type="dxa"/>
            <w:vAlign w:val="bottom"/>
          </w:tcPr>
          <w:p>
            <w:pPr>
              <w:ind w:left="240"/>
              <w:spacing w:after="0"/>
              <w:rPr>
                <w:sz w:val="20"/>
                <w:szCs w:val="20"/>
                <w:color w:val="auto"/>
              </w:rPr>
            </w:pPr>
            <w:r>
              <w:rPr>
                <w:rFonts w:ascii="Arial" w:cs="Arial" w:eastAsia="Arial" w:hAnsi="Arial"/>
                <w:sz w:val="13"/>
                <w:szCs w:val="13"/>
                <w:color w:val="auto"/>
              </w:rPr>
              <w:t>Tax Receivable Agreement Adjustment</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8,500</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(18,700)</w:t>
            </w:r>
          </w:p>
        </w:tc>
      </w:tr>
      <w:tr>
        <w:trPr>
          <w:trHeight w:val="183"/>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Operating Lease Right-of-use Assets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9,419</w:t>
            </w:r>
          </w:p>
        </w:tc>
      </w:tr>
      <w:tr>
        <w:trPr>
          <w:trHeight w:val="168"/>
        </w:trPr>
        <w:tc>
          <w:tcPr>
            <w:tcW w:w="8200" w:type="dxa"/>
            <w:vAlign w:val="bottom"/>
          </w:tcPr>
          <w:p>
            <w:pPr>
              <w:ind w:left="240"/>
              <w:spacing w:after="0"/>
              <w:rPr>
                <w:sz w:val="20"/>
                <w:szCs w:val="20"/>
                <w:color w:val="auto"/>
              </w:rPr>
            </w:pPr>
            <w:r>
              <w:rPr>
                <w:rFonts w:ascii="Arial" w:cs="Arial" w:eastAsia="Arial" w:hAnsi="Arial"/>
                <w:sz w:val="13"/>
                <w:szCs w:val="13"/>
                <w:color w:val="auto"/>
              </w:rPr>
              <w:t>Non-Cash Gain on Asset Transactions, net</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Unrealized Gain on Fuel Derivatives</w:t>
            </w:r>
          </w:p>
        </w:tc>
        <w:tc>
          <w:tcPr>
            <w:tcW w:w="8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(3,599)</w:t>
            </w:r>
          </w:p>
        </w:tc>
      </w:tr>
      <w:tr>
        <w:trPr>
          <w:trHeight w:val="168"/>
        </w:trPr>
        <w:tc>
          <w:tcPr>
            <w:tcW w:w="8200" w:type="dxa"/>
            <w:vAlign w:val="bottom"/>
          </w:tcPr>
          <w:p>
            <w:pPr>
              <w:ind w:left="240"/>
              <w:spacing w:after="0"/>
              <w:rPr>
                <w:sz w:val="20"/>
                <w:szCs w:val="20"/>
                <w:color w:val="auto"/>
              </w:rPr>
            </w:pPr>
            <w:r>
              <w:rPr>
                <w:rFonts w:ascii="Arial" w:cs="Arial" w:eastAsia="Arial" w:hAnsi="Arial"/>
                <w:sz w:val="13"/>
                <w:szCs w:val="13"/>
                <w:color w:val="auto"/>
              </w:rPr>
              <w:t>Amortization of Over-market Liabilities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(1,687)</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(3,081)</w:t>
            </w:r>
          </w:p>
        </w:tc>
      </w:tr>
      <w:tr>
        <w:trPr>
          <w:trHeight w:val="183"/>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Deferred Income Taxes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16,304</w:t>
            </w:r>
          </w:p>
        </w:tc>
      </w:tr>
      <w:tr>
        <w:trPr>
          <w:trHeight w:val="167"/>
        </w:trPr>
        <w:tc>
          <w:tcPr>
            <w:tcW w:w="8200" w:type="dxa"/>
            <w:vAlign w:val="bottom"/>
          </w:tcPr>
          <w:p>
            <w:pPr>
              <w:ind w:left="240"/>
              <w:spacing w:after="0"/>
              <w:rPr>
                <w:sz w:val="20"/>
                <w:szCs w:val="20"/>
                <w:color w:val="auto"/>
              </w:rPr>
            </w:pPr>
            <w:r>
              <w:rPr>
                <w:rFonts w:ascii="Arial" w:cs="Arial" w:eastAsia="Arial" w:hAnsi="Arial"/>
                <w:sz w:val="13"/>
                <w:szCs w:val="13"/>
                <w:color w:val="auto"/>
              </w:rPr>
              <w:t>Amazon Warrants Vested</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2,800</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2,800</w:t>
            </w:r>
          </w:p>
        </w:tc>
      </w:tr>
      <w:tr>
        <w:trPr>
          <w:trHeight w:val="184"/>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Stock-based Compensation Expense</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3,613</w:t>
            </w:r>
          </w:p>
        </w:tc>
      </w:tr>
      <w:tr>
        <w:trPr>
          <w:trHeight w:val="168"/>
        </w:trPr>
        <w:tc>
          <w:tcPr>
            <w:tcW w:w="8200" w:type="dxa"/>
            <w:vAlign w:val="bottom"/>
          </w:tcPr>
          <w:p>
            <w:pPr>
              <w:ind w:left="240"/>
              <w:spacing w:after="0"/>
              <w:rPr>
                <w:sz w:val="20"/>
                <w:szCs w:val="20"/>
                <w:color w:val="auto"/>
              </w:rPr>
            </w:pPr>
            <w:r>
              <w:rPr>
                <w:rFonts w:ascii="Arial" w:cs="Arial" w:eastAsia="Arial" w:hAnsi="Arial"/>
                <w:sz w:val="13"/>
                <w:szCs w:val="13"/>
                <w:color w:val="auto"/>
              </w:rPr>
              <w:t>Amortization of Debt Issuance Costs and Debt Securities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515</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687</w:t>
            </w:r>
          </w:p>
        </w:tc>
      </w:tr>
      <w:tr>
        <w:trPr>
          <w:trHeight w:val="183"/>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Extinguishment of Debt</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1,224</w:t>
            </w:r>
          </w:p>
        </w:tc>
      </w:tr>
      <w:tr>
        <w:trPr>
          <w:trHeight w:val="54"/>
        </w:trPr>
        <w:tc>
          <w:tcPr>
            <w:tcW w:w="8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175"/>
        </w:trPr>
        <w:tc>
          <w:tcPr>
            <w:tcW w:w="820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Changes in Operating Assets and Liabilities: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r>
      <w:tr>
        <w:trPr>
          <w:trHeight w:val="168"/>
        </w:trPr>
        <w:tc>
          <w:tcPr>
            <w:tcW w:w="8200" w:type="dxa"/>
            <w:vAlign w:val="bottom"/>
          </w:tcPr>
          <w:p>
            <w:pPr>
              <w:ind w:left="240"/>
              <w:spacing w:after="0"/>
              <w:rPr>
                <w:sz w:val="20"/>
                <w:szCs w:val="20"/>
                <w:color w:val="auto"/>
              </w:rPr>
            </w:pPr>
            <w:r>
              <w:rPr>
                <w:rFonts w:ascii="Arial" w:cs="Arial" w:eastAsia="Arial" w:hAnsi="Arial"/>
                <w:sz w:val="13"/>
                <w:szCs w:val="13"/>
                <w:color w:val="auto"/>
              </w:rPr>
              <w:t>Accounts Receivable</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(8,023)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4,265</w:t>
            </w:r>
          </w:p>
        </w:tc>
      </w:tr>
      <w:tr>
        <w:trPr>
          <w:trHeight w:val="183"/>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Inventory</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r>
      <w:tr>
        <w:trPr>
          <w:trHeight w:val="167"/>
        </w:trPr>
        <w:tc>
          <w:tcPr>
            <w:tcW w:w="8200" w:type="dxa"/>
            <w:vAlign w:val="bottom"/>
          </w:tcPr>
          <w:p>
            <w:pPr>
              <w:ind w:left="240"/>
              <w:spacing w:after="0"/>
              <w:rPr>
                <w:sz w:val="20"/>
                <w:szCs w:val="20"/>
                <w:color w:val="auto"/>
              </w:rPr>
            </w:pPr>
            <w:r>
              <w:rPr>
                <w:rFonts w:ascii="Arial" w:cs="Arial" w:eastAsia="Arial" w:hAnsi="Arial"/>
                <w:sz w:val="13"/>
                <w:szCs w:val="13"/>
                <w:color w:val="auto"/>
              </w:rPr>
              <w:t>Prepaid Expenses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(7,733)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(6,446)</w:t>
            </w:r>
          </w:p>
        </w:tc>
      </w:tr>
      <w:tr>
        <w:trPr>
          <w:trHeight w:val="184"/>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Lessor Maintenance Deposits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(7,356)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(3,220)</w:t>
            </w:r>
          </w:p>
        </w:tc>
      </w:tr>
      <w:tr>
        <w:trPr>
          <w:trHeight w:val="168"/>
        </w:trPr>
        <w:tc>
          <w:tcPr>
            <w:tcW w:w="8200" w:type="dxa"/>
            <w:vAlign w:val="bottom"/>
          </w:tcPr>
          <w:p>
            <w:pPr>
              <w:ind w:left="240"/>
              <w:spacing w:after="0"/>
              <w:rPr>
                <w:sz w:val="20"/>
                <w:szCs w:val="20"/>
                <w:color w:val="auto"/>
              </w:rPr>
            </w:pPr>
            <w:r>
              <w:rPr>
                <w:rFonts w:ascii="Arial" w:cs="Arial" w:eastAsia="Arial" w:hAnsi="Arial"/>
                <w:sz w:val="13"/>
                <w:szCs w:val="13"/>
                <w:color w:val="auto"/>
              </w:rPr>
              <w:t>Aircraft Deposits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(1,720)</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1,496</w:t>
            </w:r>
          </w:p>
        </w:tc>
      </w:tr>
      <w:tr>
        <w:trPr>
          <w:trHeight w:val="183"/>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Assets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1,294</w:t>
            </w:r>
          </w:p>
        </w:tc>
      </w:tr>
      <w:tr>
        <w:trPr>
          <w:trHeight w:val="168"/>
        </w:trPr>
        <w:tc>
          <w:tcPr>
            <w:tcW w:w="820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15,692</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3,546</w:t>
            </w:r>
          </w:p>
        </w:tc>
      </w:tr>
      <w:tr>
        <w:trPr>
          <w:trHeight w:val="183"/>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Transportation Taxes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7,024</w:t>
            </w:r>
          </w:p>
        </w:tc>
      </w:tr>
      <w:tr>
        <w:trPr>
          <w:trHeight w:val="168"/>
        </w:trPr>
        <w:tc>
          <w:tcPr>
            <w:tcW w:w="8200" w:type="dxa"/>
            <w:vAlign w:val="bottom"/>
          </w:tcPr>
          <w:p>
            <w:pPr>
              <w:ind w:left="240"/>
              <w:spacing w:after="0"/>
              <w:rPr>
                <w:sz w:val="20"/>
                <w:szCs w:val="20"/>
                <w:color w:val="auto"/>
              </w:rPr>
            </w:pPr>
            <w:r>
              <w:rPr>
                <w:rFonts w:ascii="Arial" w:cs="Arial" w:eastAsia="Arial" w:hAnsi="Arial"/>
                <w:sz w:val="13"/>
                <w:szCs w:val="13"/>
                <w:color w:val="auto"/>
              </w:rPr>
              <w:t>Air Traffic Liabilities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5,396</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12,695</w:t>
            </w:r>
          </w:p>
        </w:tc>
      </w:tr>
      <w:tr>
        <w:trPr>
          <w:trHeight w:val="184"/>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Loyalty Program Liabilities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(1,192)</w:t>
            </w:r>
          </w:p>
        </w:tc>
      </w:tr>
      <w:tr>
        <w:trPr>
          <w:trHeight w:val="167"/>
        </w:trPr>
        <w:tc>
          <w:tcPr>
            <w:tcW w:w="8200" w:type="dxa"/>
            <w:vAlign w:val="bottom"/>
          </w:tcPr>
          <w:p>
            <w:pPr>
              <w:ind w:left="240"/>
              <w:spacing w:after="0"/>
              <w:rPr>
                <w:sz w:val="20"/>
                <w:szCs w:val="20"/>
                <w:color w:val="auto"/>
              </w:rPr>
            </w:pPr>
            <w:r>
              <w:rPr>
                <w:rFonts w:ascii="Arial" w:cs="Arial" w:eastAsia="Arial" w:hAnsi="Arial"/>
                <w:sz w:val="13"/>
                <w:szCs w:val="13"/>
                <w:color w:val="auto"/>
              </w:rPr>
              <w:t>Operating Lease Obligations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(5,698)</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(28,494)</w:t>
            </w:r>
          </w:p>
        </w:tc>
      </w:tr>
      <w:tr>
        <w:trPr>
          <w:trHeight w:val="184"/>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Liabilities</w:t>
            </w: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(3,146)</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1,615</w:t>
            </w:r>
          </w:p>
        </w:tc>
      </w:tr>
      <w:tr>
        <w:trPr>
          <w:trHeight w:val="208"/>
        </w:trPr>
        <w:tc>
          <w:tcPr>
            <w:tcW w:w="8200" w:type="dxa"/>
            <w:vAlign w:val="bottom"/>
            <w:tcBorders>
              <w:bottom w:val="single" w:sz="8" w:color="CCEEFF"/>
            </w:tcBorders>
          </w:tcPr>
          <w:p>
            <w:pPr>
              <w:ind w:left="360"/>
              <w:spacing w:after="0"/>
              <w:rPr>
                <w:sz w:val="20"/>
                <w:szCs w:val="20"/>
                <w:color w:val="auto"/>
              </w:rPr>
            </w:pPr>
            <w:r>
              <w:rPr>
                <w:rFonts w:ascii="Arial" w:cs="Arial" w:eastAsia="Arial" w:hAnsi="Arial"/>
                <w:sz w:val="13"/>
                <w:szCs w:val="13"/>
                <w:b w:val="1"/>
                <w:bCs w:val="1"/>
                <w:color w:val="auto"/>
              </w:rPr>
              <w:t>Net Cash Provided by Operating Activities</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37,060</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96,804</w:t>
            </w:r>
          </w:p>
        </w:tc>
      </w:tr>
      <w:tr>
        <w:trPr>
          <w:trHeight w:val="172"/>
        </w:trPr>
        <w:tc>
          <w:tcPr>
            <w:tcW w:w="8200" w:type="dxa"/>
            <w:vAlign w:val="bottom"/>
            <w:tcBorders>
              <w:top w:val="single" w:sz="8" w:color="CCEEFF"/>
            </w:tcBorders>
          </w:tcPr>
          <w:p>
            <w:pPr>
              <w:ind w:left="140"/>
              <w:spacing w:after="0"/>
              <w:rPr>
                <w:sz w:val="20"/>
                <w:szCs w:val="20"/>
                <w:color w:val="auto"/>
              </w:rPr>
            </w:pPr>
            <w:r>
              <w:rPr>
                <w:rFonts w:ascii="Arial" w:cs="Arial" w:eastAsia="Arial" w:hAnsi="Arial"/>
                <w:sz w:val="13"/>
                <w:szCs w:val="13"/>
                <w:b w:val="1"/>
                <w:bCs w:val="1"/>
                <w:color w:val="auto"/>
              </w:rPr>
              <w:t>Cash Flows from Investing Activities:</w:t>
            </w:r>
          </w:p>
        </w:tc>
        <w:tc>
          <w:tcPr>
            <w:tcW w:w="8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r>
      <w:tr>
        <w:trPr>
          <w:trHeight w:val="179"/>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Purchases of Property &amp; Equipment</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(137,647)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(73,699)</w:t>
            </w:r>
          </w:p>
        </w:tc>
      </w:tr>
      <w:tr>
        <w:trPr>
          <w:trHeight w:val="168"/>
        </w:trPr>
        <w:tc>
          <w:tcPr>
            <w:tcW w:w="8200" w:type="dxa"/>
            <w:vAlign w:val="bottom"/>
          </w:tcPr>
          <w:p>
            <w:pPr>
              <w:ind w:left="240"/>
              <w:spacing w:after="0"/>
              <w:rPr>
                <w:sz w:val="20"/>
                <w:szCs w:val="20"/>
                <w:color w:val="auto"/>
              </w:rPr>
            </w:pPr>
            <w:r>
              <w:rPr>
                <w:rFonts w:ascii="Arial" w:cs="Arial" w:eastAsia="Arial" w:hAnsi="Arial"/>
                <w:sz w:val="13"/>
                <w:szCs w:val="13"/>
                <w:color w:val="auto"/>
              </w:rPr>
              <w:t>Proceeds from the Sale of Property &amp; Equipment</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515</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Insurance Settlements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8,865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8200" w:type="dxa"/>
            <w:vAlign w:val="bottom"/>
          </w:tcPr>
          <w:p>
            <w:pPr>
              <w:ind w:left="240"/>
              <w:spacing w:after="0"/>
              <w:rPr>
                <w:sz w:val="20"/>
                <w:szCs w:val="20"/>
                <w:color w:val="auto"/>
              </w:rPr>
            </w:pPr>
            <w:r>
              <w:rPr>
                <w:rFonts w:ascii="Arial" w:cs="Arial" w:eastAsia="Arial" w:hAnsi="Arial"/>
                <w:sz w:val="13"/>
                <w:szCs w:val="13"/>
                <w:color w:val="auto"/>
              </w:rPr>
              <w:t>Purchases of Investments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(71,629)</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(1,436)</w:t>
            </w:r>
          </w:p>
        </w:tc>
      </w:tr>
      <w:tr>
        <w:trPr>
          <w:trHeight w:val="184"/>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the Sale of Investments</w:t>
            </w: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935</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984</w:t>
            </w:r>
          </w:p>
        </w:tc>
      </w:tr>
      <w:tr>
        <w:trPr>
          <w:trHeight w:val="208"/>
        </w:trPr>
        <w:tc>
          <w:tcPr>
            <w:tcW w:w="8200" w:type="dxa"/>
            <w:vAlign w:val="bottom"/>
            <w:tcBorders>
              <w:bottom w:val="single" w:sz="8" w:color="CCEEFF"/>
            </w:tcBorders>
          </w:tcPr>
          <w:p>
            <w:pPr>
              <w:ind w:left="360"/>
              <w:spacing w:after="0"/>
              <w:rPr>
                <w:sz w:val="20"/>
                <w:szCs w:val="20"/>
                <w:color w:val="auto"/>
              </w:rPr>
            </w:pPr>
            <w:r>
              <w:rPr>
                <w:rFonts w:ascii="Arial" w:cs="Arial" w:eastAsia="Arial" w:hAnsi="Arial"/>
                <w:sz w:val="13"/>
                <w:szCs w:val="13"/>
                <w:b w:val="1"/>
                <w:bCs w:val="1"/>
                <w:color w:val="auto"/>
              </w:rPr>
              <w:t>Net Cash Used in Investing Activities</w:t>
            </w: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(198,961)</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(74,151)</w:t>
            </w:r>
          </w:p>
        </w:tc>
      </w:tr>
      <w:tr>
        <w:trPr>
          <w:trHeight w:val="172"/>
        </w:trPr>
        <w:tc>
          <w:tcPr>
            <w:tcW w:w="8200" w:type="dxa"/>
            <w:vAlign w:val="bottom"/>
            <w:tcBorders>
              <w:top w:val="single" w:sz="8" w:color="CCEEFF"/>
            </w:tcBorders>
          </w:tcPr>
          <w:p>
            <w:pPr>
              <w:ind w:left="140"/>
              <w:spacing w:after="0"/>
              <w:rPr>
                <w:sz w:val="20"/>
                <w:szCs w:val="20"/>
                <w:color w:val="auto"/>
              </w:rPr>
            </w:pPr>
            <w:r>
              <w:rPr>
                <w:rFonts w:ascii="Arial" w:cs="Arial" w:eastAsia="Arial" w:hAnsi="Arial"/>
                <w:sz w:val="13"/>
                <w:szCs w:val="13"/>
                <w:b w:val="1"/>
                <w:bCs w:val="1"/>
                <w:color w:val="auto"/>
              </w:rPr>
              <w:t>Cash Flows from Financing Activities:</w:t>
            </w:r>
          </w:p>
        </w:tc>
        <w:tc>
          <w:tcPr>
            <w:tcW w:w="86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560" w:type="dxa"/>
            <w:vAlign w:val="bottom"/>
            <w:tcBorders>
              <w:top w:val="single" w:sz="8" w:color="CCEEFF"/>
            </w:tcBorders>
          </w:tcPr>
          <w:p>
            <w:pPr>
              <w:spacing w:after="0"/>
              <w:rPr>
                <w:sz w:val="14"/>
                <w:szCs w:val="14"/>
                <w:color w:val="auto"/>
              </w:rPr>
            </w:pPr>
          </w:p>
        </w:tc>
      </w:tr>
      <w:tr>
        <w:trPr>
          <w:trHeight w:val="179"/>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Received from Stock Offering</w:t>
            </w:r>
          </w:p>
        </w:tc>
        <w:tc>
          <w:tcPr>
            <w:tcW w:w="8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235,894</w:t>
            </w:r>
          </w:p>
        </w:tc>
      </w:tr>
      <w:tr>
        <w:trPr>
          <w:trHeight w:val="167"/>
        </w:trPr>
        <w:tc>
          <w:tcPr>
            <w:tcW w:w="8200" w:type="dxa"/>
            <w:vAlign w:val="bottom"/>
          </w:tcPr>
          <w:p>
            <w:pPr>
              <w:ind w:left="240"/>
              <w:spacing w:after="0"/>
              <w:rPr>
                <w:sz w:val="20"/>
                <w:szCs w:val="20"/>
                <w:color w:val="auto"/>
              </w:rPr>
            </w:pPr>
            <w:r>
              <w:rPr>
                <w:rFonts w:ascii="Arial" w:cs="Arial" w:eastAsia="Arial" w:hAnsi="Arial"/>
                <w:sz w:val="13"/>
                <w:szCs w:val="13"/>
                <w:color w:val="auto"/>
              </w:rPr>
              <w:t>Costs of Stock Offering</w:t>
            </w:r>
          </w:p>
        </w:tc>
        <w:tc>
          <w:tcPr>
            <w:tcW w:w="8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(8,669)</w:t>
            </w:r>
          </w:p>
        </w:tc>
      </w:tr>
      <w:tr>
        <w:trPr>
          <w:trHeight w:val="184"/>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Stock Option and Warrant Exercises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r>
      <w:tr>
        <w:trPr>
          <w:trHeight w:val="167"/>
        </w:trPr>
        <w:tc>
          <w:tcPr>
            <w:tcW w:w="8200" w:type="dxa"/>
            <w:vAlign w:val="bottom"/>
          </w:tcPr>
          <w:p>
            <w:pPr>
              <w:ind w:left="240"/>
              <w:spacing w:after="0"/>
              <w:rPr>
                <w:sz w:val="20"/>
                <w:szCs w:val="20"/>
                <w:color w:val="auto"/>
              </w:rPr>
            </w:pPr>
            <w:r>
              <w:rPr>
                <w:rFonts w:ascii="Arial" w:cs="Arial" w:eastAsia="Arial" w:hAnsi="Arial"/>
                <w:sz w:val="13"/>
                <w:szCs w:val="13"/>
                <w:color w:val="auto"/>
              </w:rPr>
              <w:t>Taxes Paid for Net Stock Settlement of Stock-Based Awards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Proceeds from Borrowings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172,507</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80,500</w:t>
            </w:r>
          </w:p>
        </w:tc>
      </w:tr>
      <w:tr>
        <w:trPr>
          <w:trHeight w:val="168"/>
        </w:trPr>
        <w:tc>
          <w:tcPr>
            <w:tcW w:w="8200" w:type="dxa"/>
            <w:vAlign w:val="bottom"/>
          </w:tcPr>
          <w:p>
            <w:pPr>
              <w:ind w:left="240"/>
              <w:spacing w:after="0"/>
              <w:rPr>
                <w:sz w:val="20"/>
                <w:szCs w:val="20"/>
                <w:color w:val="auto"/>
              </w:rPr>
            </w:pPr>
            <w:r>
              <w:rPr>
                <w:rFonts w:ascii="Arial" w:cs="Arial" w:eastAsia="Arial" w:hAnsi="Arial"/>
                <w:sz w:val="13"/>
                <w:szCs w:val="13"/>
                <w:color w:val="auto"/>
              </w:rPr>
              <w:t>Repayment of Finance Lease Obligations</w:t>
            </w: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(24,293)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(7,864)</w:t>
            </w:r>
          </w:p>
        </w:tc>
      </w:tr>
      <w:tr>
        <w:trPr>
          <w:trHeight w:val="184"/>
        </w:trPr>
        <w:tc>
          <w:tcPr>
            <w:tcW w:w="8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Repayment of Borrowings</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(86,046)</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(74,709)</w:t>
            </w:r>
          </w:p>
        </w:tc>
      </w:tr>
      <w:tr>
        <w:trPr>
          <w:trHeight w:val="169"/>
        </w:trPr>
        <w:tc>
          <w:tcPr>
            <w:tcW w:w="820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Debt Issuance Costs</w:t>
            </w:r>
          </w:p>
        </w:tc>
        <w:tc>
          <w:tcPr>
            <w:tcW w:w="8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(2,402)</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(2,709)</w:t>
            </w:r>
          </w:p>
        </w:tc>
      </w:tr>
      <w:tr>
        <w:trPr>
          <w:trHeight w:val="175"/>
        </w:trPr>
        <w:tc>
          <w:tcPr>
            <w:tcW w:w="8200" w:type="dxa"/>
            <w:vAlign w:val="bottom"/>
            <w:shd w:val="clear" w:color="auto" w:fill="CCEEFF"/>
          </w:tcPr>
          <w:p>
            <w:pPr>
              <w:ind w:left="360"/>
              <w:spacing w:after="0"/>
              <w:rPr>
                <w:sz w:val="20"/>
                <w:szCs w:val="20"/>
                <w:color w:val="auto"/>
              </w:rPr>
            </w:pPr>
            <w:r>
              <w:rPr>
                <w:rFonts w:ascii="Arial" w:cs="Arial" w:eastAsia="Arial" w:hAnsi="Arial"/>
                <w:sz w:val="13"/>
                <w:szCs w:val="13"/>
                <w:b w:val="1"/>
                <w:bCs w:val="1"/>
                <w:color w:val="auto"/>
              </w:rPr>
              <w:t>Net Cash Provided by Financing Activities</w:t>
            </w: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61,106</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222,469</w:t>
            </w:r>
          </w:p>
        </w:tc>
      </w:tr>
      <w:tr>
        <w:trPr>
          <w:trHeight w:val="34"/>
        </w:trPr>
        <w:tc>
          <w:tcPr>
            <w:tcW w:w="8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5"/>
        </w:trPr>
        <w:tc>
          <w:tcPr>
            <w:tcW w:w="8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(Decrease) Increase in Cash, Cash Equivalents and Restricted Cash</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(100,795)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245,122</w:t>
            </w:r>
          </w:p>
        </w:tc>
      </w:tr>
      <w:tr>
        <w:trPr>
          <w:trHeight w:val="54"/>
        </w:trPr>
        <w:tc>
          <w:tcPr>
            <w:tcW w:w="8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175"/>
        </w:trPr>
        <w:tc>
          <w:tcPr>
            <w:tcW w:w="8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Cash--Beginning of the Period</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317,785</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70,363</w:t>
            </w:r>
          </w:p>
        </w:tc>
      </w:tr>
      <w:tr>
        <w:trPr>
          <w:trHeight w:val="54"/>
        </w:trPr>
        <w:tc>
          <w:tcPr>
            <w:tcW w:w="82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194"/>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Cash Equivalents and Restricted Cash--End of the Period</w:t>
            </w:r>
          </w:p>
        </w:tc>
        <w:tc>
          <w:tcPr>
            <w:tcW w:w="86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216,990</w:t>
            </w: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315,485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7"/>
        </w:trPr>
        <w:tc>
          <w:tcPr>
            <w:tcW w:w="8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4"/>
          </w:tcPr>
          <w:p>
            <w:pPr>
              <w:jc w:val="right"/>
              <w:ind w:right="657"/>
              <w:spacing w:after="0"/>
              <w:rPr>
                <w:sz w:val="20"/>
                <w:szCs w:val="20"/>
                <w:color w:val="auto"/>
              </w:rPr>
            </w:pPr>
            <w:r>
              <w:rPr>
                <w:rFonts w:ascii="Arial" w:cs="Arial" w:eastAsia="Arial" w:hAnsi="Arial"/>
                <w:sz w:val="13"/>
                <w:szCs w:val="13"/>
                <w:b w:val="1"/>
                <w:bCs w:val="1"/>
                <w:color w:val="auto"/>
              </w:rPr>
              <w:t>Six Months Ended June 30,</w:t>
            </w:r>
          </w:p>
        </w:tc>
      </w:tr>
      <w:tr>
        <w:trPr>
          <w:trHeight w:val="172"/>
        </w:trPr>
        <w:tc>
          <w:tcPr>
            <w:tcW w:w="8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2021</w:t>
            </w:r>
          </w:p>
        </w:tc>
      </w:tr>
      <w:tr>
        <w:trPr>
          <w:trHeight w:val="159"/>
        </w:trPr>
        <w:tc>
          <w:tcPr>
            <w:tcW w:w="8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Non-cash transactions:</w:t>
            </w:r>
          </w:p>
        </w:tc>
        <w:tc>
          <w:tcPr>
            <w:tcW w:w="2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68"/>
        </w:trPr>
        <w:tc>
          <w:tcPr>
            <w:tcW w:w="8140" w:type="dxa"/>
            <w:vAlign w:val="bottom"/>
          </w:tcPr>
          <w:p>
            <w:pPr>
              <w:ind w:left="140"/>
              <w:spacing w:after="0"/>
              <w:rPr>
                <w:sz w:val="20"/>
                <w:szCs w:val="20"/>
                <w:color w:val="auto"/>
              </w:rPr>
            </w:pPr>
            <w:r>
              <w:rPr>
                <w:rFonts w:ascii="Arial" w:cs="Arial" w:eastAsia="Arial" w:hAnsi="Arial"/>
                <w:sz w:val="13"/>
                <w:szCs w:val="13"/>
                <w:color w:val="auto"/>
              </w:rPr>
              <w:t>Lease Deposits Applied Against the Purchase of Aircraft</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3,296</w:t>
            </w:r>
          </w:p>
        </w:tc>
      </w:tr>
      <w:tr>
        <w:trPr>
          <w:trHeight w:val="183"/>
        </w:trPr>
        <w:tc>
          <w:tcPr>
            <w:tcW w:w="8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Aircraft and Flight Equipment Acquired through Finance Leases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19,928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42,911</w:t>
            </w:r>
          </w:p>
        </w:tc>
      </w:tr>
      <w:tr>
        <w:trPr>
          <w:trHeight w:val="168"/>
        </w:trPr>
        <w:tc>
          <w:tcPr>
            <w:tcW w:w="8140" w:type="dxa"/>
            <w:vAlign w:val="bottom"/>
          </w:tcPr>
          <w:p>
            <w:pPr>
              <w:ind w:left="140"/>
              <w:spacing w:after="0"/>
              <w:rPr>
                <w:sz w:val="20"/>
                <w:szCs w:val="20"/>
                <w:color w:val="auto"/>
              </w:rPr>
            </w:pPr>
            <w:r>
              <w:rPr>
                <w:rFonts w:ascii="Arial" w:cs="Arial" w:eastAsia="Arial" w:hAnsi="Arial"/>
                <w:sz w:val="13"/>
                <w:szCs w:val="13"/>
                <w:color w:val="auto"/>
              </w:rPr>
              <w:t>Finance Lease Asset Modifications</w:t>
            </w:r>
          </w:p>
        </w:tc>
        <w:tc>
          <w:tcPr>
            <w:tcW w:w="2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46,311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Aircraft Acquired From Exercise of Finance Lease Purchase Option, net of Accumulated Depreciation</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19,083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140" w:type="dxa"/>
            <w:vAlign w:val="bottom"/>
          </w:tcPr>
          <w:p>
            <w:pPr>
              <w:ind w:left="140"/>
              <w:spacing w:after="0"/>
              <w:rPr>
                <w:sz w:val="20"/>
                <w:szCs w:val="20"/>
                <w:color w:val="auto"/>
              </w:rPr>
            </w:pPr>
            <w:r>
              <w:rPr>
                <w:rFonts w:ascii="Arial" w:cs="Arial" w:eastAsia="Arial" w:hAnsi="Arial"/>
                <w:sz w:val="13"/>
                <w:szCs w:val="13"/>
                <w:color w:val="auto"/>
              </w:rPr>
              <w:t>Derecognition of Operating Lease Right-of-Use Assets, net</w:t>
            </w:r>
          </w:p>
        </w:tc>
        <w:tc>
          <w:tcPr>
            <w:tcW w:w="20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41,135</w:t>
            </w:r>
          </w:p>
        </w:tc>
      </w:tr>
      <w:tr>
        <w:trPr>
          <w:trHeight w:val="183"/>
        </w:trPr>
        <w:tc>
          <w:tcPr>
            <w:tcW w:w="81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Derecognition of Operating Lease Obligations</w:t>
            </w: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44,726</w:t>
            </w:r>
          </w:p>
        </w:tc>
      </w:tr>
      <w:tr>
        <w:trPr>
          <w:trHeight w:val="95"/>
        </w:trPr>
        <w:tc>
          <w:tcPr>
            <w:tcW w:w="9640" w:type="dxa"/>
            <w:vAlign w:val="bottom"/>
            <w:gridSpan w:val="3"/>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175"/>
        </w:trPr>
        <w:tc>
          <w:tcPr>
            <w:tcW w:w="972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The following provides a reconciliation of Cash, Cash Equivalents and Restricted Cash to the amounts reported on the Condensed Consolidated Balance Sheets:</w:t>
            </w: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72"/>
        </w:trPr>
        <w:tc>
          <w:tcPr>
            <w:tcW w:w="8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 2022</w:t>
            </w:r>
          </w:p>
        </w:tc>
        <w:tc>
          <w:tcPr>
            <w:tcW w:w="220" w:type="dxa"/>
            <w:vAlign w:val="bottom"/>
          </w:tcPr>
          <w:p>
            <w:pPr>
              <w:spacing w:after="0"/>
              <w:rPr>
                <w:sz w:val="14"/>
                <w:szCs w:val="14"/>
                <w:color w:val="auto"/>
              </w:rPr>
            </w:pPr>
          </w:p>
        </w:tc>
        <w:tc>
          <w:tcPr>
            <w:tcW w:w="1280" w:type="dxa"/>
            <w:vAlign w:val="bottom"/>
          </w:tcPr>
          <w:p>
            <w:pPr>
              <w:jc w:val="right"/>
              <w:ind w:right="277"/>
              <w:spacing w:after="0"/>
              <w:rPr>
                <w:sz w:val="20"/>
                <w:szCs w:val="20"/>
                <w:color w:val="auto"/>
              </w:rPr>
            </w:pPr>
            <w:r>
              <w:rPr>
                <w:rFonts w:ascii="Arial" w:cs="Arial" w:eastAsia="Arial" w:hAnsi="Arial"/>
                <w:sz w:val="13"/>
                <w:szCs w:val="13"/>
                <w:b w:val="1"/>
                <w:bCs w:val="1"/>
                <w:color w:val="auto"/>
              </w:rPr>
              <w:t>June 30, 2021</w:t>
            </w:r>
          </w:p>
        </w:tc>
      </w:tr>
      <w:tr>
        <w:trPr>
          <w:trHeight w:val="173"/>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212,858</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310,723</w:t>
            </w:r>
          </w:p>
        </w:tc>
      </w:tr>
      <w:tr>
        <w:trPr>
          <w:trHeight w:val="16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4,132</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4,762</w:t>
            </w:r>
          </w:p>
        </w:tc>
      </w:tr>
      <w:tr>
        <w:trPr>
          <w:trHeight w:val="201"/>
        </w:trPr>
        <w:tc>
          <w:tcPr>
            <w:tcW w:w="8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Total Cash, Cash Equivalents and Restricted Cash</w:t>
            </w: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216,990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315,485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12"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COMPANY BACKGROUND</w:t>
      </w:r>
    </w:p>
    <w:p>
      <w:pPr>
        <w:spacing w:after="0" w:line="24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Sun Country Airlines Holdings, Inc. is the parent company of Sun Country, Inc., which is a certificated air carrier providing scheduled passenger service, air cargo service, charter air transportation and related services. Services are provided to the general public, cargo customers, military branches, wholesale tour operators, individual entities, schools and companies for air transportation to various U.S. and international destinations. Except as otherwise stated, the financial information, accounting policies, and activities of Sun Country Airlines Holdings, Inc. are referred to as those of the Company (the “Company” or “Sun Country”).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 Transactions</w:t>
      </w:r>
    </w:p>
    <w:p>
      <w:pPr>
        <w:spacing w:after="0" w:line="247" w:lineRule="exact"/>
        <w:rPr>
          <w:sz w:val="20"/>
          <w:szCs w:val="20"/>
          <w:color w:val="auto"/>
        </w:rPr>
      </w:pPr>
    </w:p>
    <w:p>
      <w:pPr>
        <w:jc w:val="both"/>
        <w:ind w:left="34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On April 11, 2018 (the "Acquisition Date"), certain investment funds (the “Apollo Funds”) managed by affiliates of Apollo Global Management, Inc. (“Apollo”) acquired Sun Country, Inc. For more information on the Company’s equity transactions, see </w:t>
      </w:r>
      <w:hyperlink r:id="rId30">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Notes to the Consolidated Financial Statements included in Part II, Item 8 “Financial Statements” in the Company’s Annual Report on Form 10-K for the year ended December 31, 2021 as filed with the U.S. Securities and Exchange Commission (“2021 10-K”).</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Initial Public Offering of Common Stock</w:t>
      </w:r>
    </w:p>
    <w:p>
      <w:pPr>
        <w:spacing w:after="0" w:line="24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On March 16, 2021, the Company priced its initial public offering of 9,090,909 shares of common stock to the public at $24.00 per share. The stock began trading on the NASDAQ on March 17, 2021 under the symbol "SNCY". The underwriters had an option to purchase an additional 1,363,636 shares from the Company at the public offering price, which they exercised. In total, all 10,454,545 shares were issued on March 19, 2021 and the net proceeds to the Company were $225,329 after deducting underwriting discounts and commissions, and other offering expenses.</w:t>
      </w:r>
    </w:p>
    <w:p>
      <w:pPr>
        <w:spacing w:after="0" w:line="205"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Concurrently with the closing of the initial public offering, SCA Horus Holdings, LLC, an affiliate of investment funds managed by affiliates of Apollo (the “Apollo Stockholder”), also completed a private placement in which the Apollo Stockholder sold 2,216,312 and 2,216,308 shares of common stock to PAR Investment Partners, L.P. and certain funds or accounts managed by an investment adviser subsidiary of Blackrock, Inc., respectively. Each of the two sales was based on an aggregate purchase price of $50,000 and a price per share equal to 94% of the initial public offering price of $24.00 per share.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Secondary Offerings</w:t>
      </w:r>
    </w:p>
    <w:p>
      <w:pPr>
        <w:spacing w:after="0" w:line="24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During May 2021 and October 2021, the Apollo Stockholder and other selling stockholders sold 7,250,000 and 8,500,000 shares of the Company's common stock at the public offering prices of $34.50 and $32.50, respectively. Under both transactions, the underwriters were given options to purchase additional shares of the Company's common stock at the public offering price. During the May 2021 and October 2021 offerings, the underwriters elected to purchase 1,087,500 and 435,291 of the option shares, respectively. The Company incurred offering expenses of $1,763 in conjunction with the two secondary offerings and did not receive any of the proceeds from these offerings.</w:t>
      </w:r>
    </w:p>
    <w:p>
      <w:pPr>
        <w:spacing w:after="0" w:line="208" w:lineRule="exact"/>
        <w:rPr>
          <w:sz w:val="20"/>
          <w:szCs w:val="20"/>
          <w:color w:val="auto"/>
        </w:rPr>
      </w:pPr>
    </w:p>
    <w:p>
      <w:pPr>
        <w:jc w:val="both"/>
        <w:ind w:left="34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For more information on the 2021 secondary offerings, see </w:t>
      </w:r>
      <w:hyperlink r:id="rId30">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Notes to the Consolidated Financial Statements included in Part II, Item 8 “Financial Statements” in the 2021 10-K.</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Amazon Agreement</w:t>
      </w:r>
    </w:p>
    <w:p>
      <w:pPr>
        <w:spacing w:after="0" w:line="247"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On December 13, 2019, the Company signed a six-year contract (with two, two-year extension options, for a maximum term of 10 years) with Amazon.com Services, Inc. (together with its affiliates, “Amazon”) to provide cargo services under an Air Transportation Services Agreement (the “ATSA”).</w:t>
      </w:r>
    </w:p>
    <w:p>
      <w:pPr>
        <w:spacing w:after="0" w:line="202"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In connection with the ATSA, the Company issued warrants to Amazon to purchase an aggregate of up to 9,482,606 shares of common stock at an exercise price of approximately $ 15.17 per share. There were 632,183 warrants that vested upon execution of the ATSA and 63,217 warrants will vest for each milestone of $8,000 in qualifying payments made by Amazon to the Company. During the six months ended June 30, 2022 and June 30, 2021, 379,304 warrants vested in each respective period. As of June 30, 2022 and June 30, 2021, the cumulative vested warrants held by Amazon were 2,022,963 and 1,264,356, respectively. The exercise period of these warrants is through the eighth anniversary of the issue date.</w:t>
      </w:r>
    </w:p>
    <w:p>
      <w:pPr>
        <w:spacing w:after="0" w:line="186"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The Company has prepared the Condensed Consolidated Financial Statements according to U.S. Generally Accepted Accounting Principles (“GAAP”) and has included the accounts of Sun Country Airlines Holdings, Inc. and its subsidiaries. The accompanying unaudited Condensed Consolidated Financial Statements of Sun Country Airlines Holdings, Inc. should be read in conjunction with the Consolidated Financial Statements contained in the 2021 10-K. Management believes that all adjustments necessary for the fair presentation of results, consisting of normally recurring items, have been included in the unaudited Condensed Consolidated Financial Statements for the interim periods presented. The Company reclassified certain prior period amounts to conform to the current period presentation. All material intercompany balances and transactions have been eliminated in consolidation.</w:t>
      </w:r>
    </w:p>
    <w:p>
      <w:pPr>
        <w:spacing w:after="0" w:line="20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Significant areas of judgment relate to passenger revenue recognition, maintenance under the built-in overhaul method, equity-based compensation, tax receivable agreement, lease accounting, impairment of goodwill, impairment of long-lived and intangible assets, air traffic liabilities, the loyalty program, as well as the valuation of Amazon warrants. During the six months ended June 30, 2022, there were no significant changes to the Company’s critical accounting policies.</w:t>
      </w:r>
    </w:p>
    <w:p>
      <w:pPr>
        <w:spacing w:after="0" w:line="20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Due to impacts from the global coronavirus (“COVID-19”) pandemic, seasonal variations in the demand for air travel, the volatility of aircraft fuel prices, uncertainties in pilot staffing and other factors, operating results for the six months ended June 30, 2022 are not necessarily indicative of operating results for future quarters or for the year ending December 31, 2022. Air travel is also significantly impacted by general economic conditions, the amount of disposable income available to consumers, unemployment levels, corporate travel budgets, extreme or severe weather and natural disasters, disease outbreaks, fears of terrorism or war, and other factors beyond the Company's control.</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Revision of Previously Issued Consolidated Financial Statements</w:t>
      </w:r>
    </w:p>
    <w:p>
      <w:pPr>
        <w:spacing w:after="0" w:line="24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 xml:space="preserve">During the second quarter of 2022, the Company identified an immaterial misstatement in the Company's Condensed Consolidated Financial Statements for the quarter and year-to-date interim periods in the year ended December 31, 2021 (the "previously issued financial statements"). The error related to the improper application of Accounting Standards Codification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regarding the treatment of the incremental difference between the net purchase price of the leased aircraft and the net operating lease recorded on the balance sheet immediately prior to the transaction. This difference should have been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capitalized as part of the acquisition costs incurred to purchase the aircraft off the operating lease. The Company incorrectly expensed this amount as incurred within Special Items, net on the Condensed Consolidated Statements of Operations. The error resulted in an understatement of the benefit within Special Items, net, partially offset by incremental Depreciation and Amortization Expense for the three and six months ended June 30, 2021, and an understatement of Aircraft and Flight Equipment.</w:t>
      </w:r>
    </w:p>
    <w:p>
      <w:pPr>
        <w:spacing w:after="0" w:line="204"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 xml:space="preserve">The Company assessed the materiality of the errors on the prior period financial statements in accordance with Securities and Exchange Commission Staff Accounting Bulletin No. 99, </w:t>
      </w:r>
      <w:r>
        <w:rPr>
          <w:rFonts w:ascii="Arial" w:cs="Arial" w:eastAsia="Arial" w:hAnsi="Arial"/>
          <w:sz w:val="18"/>
          <w:szCs w:val="18"/>
          <w:i w:val="1"/>
          <w:iCs w:val="1"/>
          <w:color w:val="auto"/>
        </w:rPr>
        <w:t>Materiality</w:t>
      </w:r>
      <w:r>
        <w:rPr>
          <w:rFonts w:ascii="Arial" w:cs="Arial" w:eastAsia="Arial" w:hAnsi="Arial"/>
          <w:sz w:val="18"/>
          <w:szCs w:val="18"/>
          <w:color w:val="auto"/>
        </w:rPr>
        <w:t xml:space="preserve">, codified in ASC 250,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Management concluded it was immaterial to the Company's previously issued annual or interim financial statements.</w:t>
      </w:r>
    </w:p>
    <w:p>
      <w:pPr>
        <w:spacing w:after="0" w:line="202"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While management believes the effect of the error is immaterial, the Company has revised the previously issued financial statements as presented in these Condensed Consolidated Financial Statements included in this Quarterly Report on Form 10-Q. In addition, the immaterial error will be corrected in the comparative amounts presented in the Company’s subsequent quarterly and annual filings.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 of the revision on the Company's previously issued Consolidated Balance Sheets as of December 31, 2021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As Previously Issued</w:t>
            </w:r>
          </w:p>
        </w:tc>
        <w:tc>
          <w:tcPr>
            <w:tcW w:w="26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Correction</w:t>
            </w:r>
          </w:p>
        </w:tc>
        <w:tc>
          <w:tcPr>
            <w:tcW w:w="240" w:type="dxa"/>
            <w:vAlign w:val="bottom"/>
          </w:tcPr>
          <w:p>
            <w:pPr>
              <w:spacing w:after="0"/>
              <w:rPr>
                <w:sz w:val="17"/>
                <w:szCs w:val="17"/>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Revised</w:t>
            </w:r>
          </w:p>
        </w:tc>
      </w:tr>
      <w:tr>
        <w:trPr>
          <w:trHeight w:val="216"/>
        </w:trPr>
        <w:tc>
          <w:tcPr>
            <w:tcW w:w="34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29"/>
        </w:trPr>
        <w:tc>
          <w:tcPr>
            <w:tcW w:w="340" w:type="dxa"/>
            <w:vAlign w:val="bottom"/>
          </w:tcPr>
          <w:p>
            <w:pPr>
              <w:spacing w:after="0"/>
              <w:rPr>
                <w:sz w:val="19"/>
                <w:szCs w:val="19"/>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Aircraft and Flight Equipment</w:t>
            </w:r>
          </w:p>
        </w:tc>
        <w:tc>
          <w:tcPr>
            <w:tcW w:w="18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440,356</w:t>
            </w:r>
          </w:p>
        </w:tc>
        <w:tc>
          <w:tcPr>
            <w:tcW w:w="8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ind w:left="532"/>
              <w:spacing w:after="0"/>
              <w:rPr>
                <w:sz w:val="20"/>
                <w:szCs w:val="20"/>
                <w:color w:val="auto"/>
              </w:rPr>
            </w:pPr>
            <w:r>
              <w:rPr>
                <w:rFonts w:ascii="Arial" w:cs="Arial" w:eastAsia="Arial" w:hAnsi="Arial"/>
                <w:sz w:val="18"/>
                <w:szCs w:val="18"/>
                <w:color w:val="auto"/>
              </w:rPr>
              <w:t>6,963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447,319</w:t>
            </w:r>
          </w:p>
        </w:tc>
        <w:tc>
          <w:tcPr>
            <w:tcW w:w="4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&amp; Equipment</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688,624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32"/>
              <w:spacing w:after="0"/>
              <w:rPr>
                <w:sz w:val="20"/>
                <w:szCs w:val="20"/>
                <w:color w:val="auto"/>
              </w:rPr>
            </w:pPr>
            <w:r>
              <w:rPr>
                <w:rFonts w:ascii="Arial" w:cs="Arial" w:eastAsia="Arial" w:hAnsi="Arial"/>
                <w:sz w:val="18"/>
                <w:szCs w:val="18"/>
                <w:color w:val="auto"/>
              </w:rPr>
              <w:t>6,963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695,587</w:t>
            </w:r>
          </w:p>
        </w:tc>
        <w:tc>
          <w:tcPr>
            <w:tcW w:w="4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Accumulated Depreciation &amp; Amortization</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(115,013)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512"/>
              <w:spacing w:after="0"/>
              <w:rPr>
                <w:sz w:val="20"/>
                <w:szCs w:val="20"/>
                <w:color w:val="auto"/>
              </w:rPr>
            </w:pPr>
            <w:r>
              <w:rPr>
                <w:rFonts w:ascii="Arial" w:cs="Arial" w:eastAsia="Arial" w:hAnsi="Arial"/>
                <w:sz w:val="18"/>
                <w:szCs w:val="18"/>
                <w:color w:val="auto"/>
                <w:w w:val="98"/>
              </w:rPr>
              <w:t>(2,056)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(117,069)</w:t>
            </w:r>
          </w:p>
        </w:tc>
        <w:tc>
          <w:tcPr>
            <w:tcW w:w="4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&amp; Equipment, net</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32"/>
              <w:spacing w:after="0"/>
              <w:rPr>
                <w:sz w:val="20"/>
                <w:szCs w:val="20"/>
                <w:color w:val="auto"/>
              </w:rPr>
            </w:pPr>
            <w:r>
              <w:rPr>
                <w:rFonts w:ascii="Arial" w:cs="Arial" w:eastAsia="Arial" w:hAnsi="Arial"/>
                <w:sz w:val="18"/>
                <w:szCs w:val="18"/>
                <w:color w:val="auto"/>
              </w:rPr>
              <w:t>4,907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578,518</w:t>
            </w:r>
          </w:p>
        </w:tc>
        <w:tc>
          <w:tcPr>
            <w:tcW w:w="46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Deferred Tax Asset</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512"/>
              <w:spacing w:after="0"/>
              <w:rPr>
                <w:sz w:val="20"/>
                <w:szCs w:val="20"/>
                <w:color w:val="auto"/>
              </w:rPr>
            </w:pPr>
            <w:r>
              <w:rPr>
                <w:rFonts w:ascii="Arial" w:cs="Arial" w:eastAsia="Arial" w:hAnsi="Arial"/>
                <w:sz w:val="18"/>
                <w:szCs w:val="18"/>
                <w:color w:val="auto"/>
                <w:w w:val="98"/>
              </w:rPr>
              <w:t>(1,129)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17,608</w:t>
            </w:r>
          </w:p>
        </w:tc>
        <w:tc>
          <w:tcPr>
            <w:tcW w:w="4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Other Assets</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12"/>
              <w:spacing w:after="0"/>
              <w:rPr>
                <w:sz w:val="20"/>
                <w:szCs w:val="20"/>
                <w:color w:val="auto"/>
              </w:rPr>
            </w:pPr>
            <w:r>
              <w:rPr>
                <w:rFonts w:ascii="Arial" w:cs="Arial" w:eastAsia="Arial" w:hAnsi="Arial"/>
                <w:sz w:val="18"/>
                <w:szCs w:val="18"/>
                <w:color w:val="auto"/>
                <w:w w:val="98"/>
              </w:rPr>
              <w:t>(1,129)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426,461</w:t>
            </w:r>
          </w:p>
        </w:tc>
        <w:tc>
          <w:tcPr>
            <w:tcW w:w="4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1,376,644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532"/>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1,380,422</w:t>
            </w:r>
          </w:p>
        </w:tc>
        <w:tc>
          <w:tcPr>
            <w:tcW w:w="4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532"/>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4,372</w:t>
            </w:r>
          </w:p>
        </w:tc>
        <w:tc>
          <w:tcPr>
            <w:tcW w:w="4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Stockholders' Equity</w:t>
            </w:r>
          </w:p>
        </w:tc>
        <w:tc>
          <w:tcPr>
            <w:tcW w:w="14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486,811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32"/>
              <w:spacing w:after="0"/>
              <w:rPr>
                <w:sz w:val="20"/>
                <w:szCs w:val="20"/>
                <w:color w:val="auto"/>
              </w:rPr>
            </w:pPr>
            <w:r>
              <w:rPr>
                <w:rFonts w:ascii="Arial" w:cs="Arial" w:eastAsia="Arial" w:hAnsi="Arial"/>
                <w:sz w:val="18"/>
                <w:szCs w:val="18"/>
                <w:color w:val="auto"/>
              </w:rPr>
              <w:t>3,778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490,589</w:t>
            </w:r>
          </w:p>
        </w:tc>
        <w:tc>
          <w:tcPr>
            <w:tcW w:w="4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Total Liabilities and Stockholders' Equity</w:t>
            </w:r>
          </w:p>
        </w:tc>
        <w:tc>
          <w:tcPr>
            <w:tcW w:w="1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1,376,644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532"/>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1,380,422</w:t>
            </w:r>
          </w:p>
        </w:tc>
        <w:tc>
          <w:tcPr>
            <w:tcW w:w="460" w:type="dxa"/>
            <w:vAlign w:val="bottom"/>
          </w:tcPr>
          <w:p>
            <w:pPr>
              <w:spacing w:after="0"/>
              <w:rPr>
                <w:sz w:val="19"/>
                <w:szCs w:val="19"/>
                <w:color w:val="auto"/>
              </w:rPr>
            </w:pPr>
          </w:p>
        </w:tc>
      </w:tr>
      <w:tr>
        <w:trPr>
          <w:trHeight w:val="905"/>
        </w:trPr>
        <w:tc>
          <w:tcPr>
            <w:tcW w:w="3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2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The impact of the revision on the Company's previously issued Condensed Consolidated Statements of Operations for the three and six-month periods ended June 30, 2021 are as follows: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rPr>
              <w:t>Three Months Ended June 30, 2021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rPr>
              <w:t>Six Months Ended June 30, 2021</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As Previously</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Correction</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Revised</w:t>
            </w:r>
          </w:p>
        </w:tc>
        <w:tc>
          <w:tcPr>
            <w:tcW w:w="12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As Previously</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Correction</w:t>
            </w:r>
          </w:p>
        </w:tc>
        <w:tc>
          <w:tcPr>
            <w:tcW w:w="160" w:type="dxa"/>
            <w:vAlign w:val="bottom"/>
          </w:tcPr>
          <w:p>
            <w:pPr>
              <w:spacing w:after="0"/>
              <w:rPr>
                <w:sz w:val="12"/>
                <w:szCs w:val="12"/>
                <w:color w:val="auto"/>
              </w:rPr>
            </w:pPr>
          </w:p>
        </w:tc>
        <w:tc>
          <w:tcPr>
            <w:tcW w:w="9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13,460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14,208</w:t>
            </w:r>
          </w:p>
        </w:tc>
        <w:tc>
          <w:tcPr>
            <w:tcW w:w="12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26,075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Special Items, net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(72,355)</w:t>
            </w:r>
          </w:p>
        </w:tc>
        <w:tc>
          <w:tcPr>
            <w:tcW w:w="0" w:type="dxa"/>
            <w:vAlign w:val="bottom"/>
          </w:tcPr>
          <w:p>
            <w:pPr>
              <w:spacing w:after="0"/>
              <w:rPr>
                <w:sz w:val="1"/>
                <w:szCs w:val="1"/>
                <w:color w:val="auto"/>
              </w:rPr>
            </w:pPr>
          </w:p>
        </w:tc>
      </w:tr>
      <w:tr>
        <w:trPr>
          <w:trHeight w:val="230"/>
        </w:trPr>
        <w:tc>
          <w:tcPr>
            <w:tcW w:w="312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99,951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99,400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202,630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196,415</w:t>
            </w: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49,238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49,789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74,172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80,387</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85,259</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16,304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68,955</w:t>
            </w:r>
          </w:p>
        </w:tc>
        <w:tc>
          <w:tcPr>
            <w:tcW w:w="0" w:type="dxa"/>
            <w:vAlign w:val="bottom"/>
          </w:tcPr>
          <w:p>
            <w:pPr>
              <w:spacing w:after="0"/>
              <w:rPr>
                <w:sz w:val="1"/>
                <w:szCs w:val="1"/>
                <w:color w:val="auto"/>
              </w:rPr>
            </w:pPr>
          </w:p>
        </w:tc>
      </w:tr>
      <w:tr>
        <w:trPr>
          <w:trHeight w:val="229"/>
        </w:trPr>
        <w:tc>
          <w:tcPr>
            <w:tcW w:w="3120" w:type="dxa"/>
            <w:vAlign w:val="bottom"/>
          </w:tcPr>
          <w:p>
            <w:pPr>
              <w:ind w:left="220"/>
              <w:spacing w:after="0"/>
              <w:rPr>
                <w:sz w:val="20"/>
                <w:szCs w:val="20"/>
                <w:color w:val="auto"/>
              </w:rPr>
            </w:pPr>
            <w:r>
              <w:rPr>
                <w:rFonts w:ascii="Arial" w:cs="Arial" w:eastAsia="Arial" w:hAnsi="Arial"/>
                <w:sz w:val="18"/>
                <w:szCs w:val="18"/>
                <w:color w:val="auto"/>
              </w:rPr>
              <w:t>Basic Income per share</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Income per share</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The revision also impacted the Company's previously issued Condensed Consolidated Statements of Changes in Stockholders Equity as follows: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12"/>
          </w:tcPr>
          <w:p>
            <w:pPr>
              <w:jc w:val="center"/>
              <w:spacing w:after="0"/>
              <w:rPr>
                <w:sz w:val="20"/>
                <w:szCs w:val="20"/>
                <w:color w:val="auto"/>
              </w:rPr>
            </w:pPr>
            <w:r>
              <w:rPr>
                <w:rFonts w:ascii="Arial" w:cs="Arial" w:eastAsia="Arial" w:hAnsi="Arial"/>
                <w:sz w:val="14"/>
                <w:szCs w:val="14"/>
                <w:b w:val="1"/>
                <w:bCs w:val="1"/>
                <w:color w:val="auto"/>
              </w:rPr>
              <w:t>For the Three Months Ended March 31, 2021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As Previously Issued</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106"/>
              <w:spacing w:after="0"/>
              <w:rPr>
                <w:sz w:val="20"/>
                <w:szCs w:val="20"/>
                <w:color w:val="auto"/>
              </w:rPr>
            </w:pPr>
            <w:r>
              <w:rPr>
                <w:rFonts w:ascii="Arial" w:cs="Arial" w:eastAsia="Arial" w:hAnsi="Arial"/>
                <w:sz w:val="14"/>
                <w:szCs w:val="14"/>
                <w:b w:val="1"/>
                <w:bCs w:val="1"/>
                <w:color w:val="auto"/>
              </w:rPr>
              <w:t>Correction</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12,416</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320" w:type="dxa"/>
            <w:vAlign w:val="bottom"/>
            <w:gridSpan w:val="3"/>
            <w:shd w:val="clear" w:color="auto" w:fill="CCEEFF"/>
          </w:tcPr>
          <w:p>
            <w:pPr>
              <w:jc w:val="right"/>
              <w:ind w:right="6"/>
              <w:spacing w:after="0"/>
              <w:rPr>
                <w:sz w:val="20"/>
                <w:szCs w:val="20"/>
                <w:color w:val="auto"/>
              </w:rPr>
            </w:pPr>
            <w:r>
              <w:rPr>
                <w:rFonts w:ascii="Arial" w:cs="Arial" w:eastAsia="Arial" w:hAnsi="Arial"/>
                <w:sz w:val="18"/>
                <w:szCs w:val="18"/>
                <w:color w:val="auto"/>
              </w:rPr>
              <w:t>4,362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16,778</w:t>
            </w:r>
          </w:p>
        </w:tc>
        <w:tc>
          <w:tcPr>
            <w:tcW w:w="0" w:type="dxa"/>
            <w:vAlign w:val="bottom"/>
          </w:tcPr>
          <w:p>
            <w:pPr>
              <w:spacing w:after="0"/>
              <w:rPr>
                <w:sz w:val="1"/>
                <w:szCs w:val="1"/>
                <w:color w:val="auto"/>
              </w:rPr>
            </w:pPr>
          </w:p>
        </w:tc>
      </w:tr>
      <w:tr>
        <w:trPr>
          <w:trHeight w:val="464"/>
        </w:trPr>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gridSpan w:val="5"/>
          </w:tcPr>
          <w:p>
            <w:pPr>
              <w:jc w:val="center"/>
              <w:spacing w:after="0"/>
              <w:rPr>
                <w:sz w:val="20"/>
                <w:szCs w:val="20"/>
                <w:color w:val="auto"/>
              </w:rPr>
            </w:pPr>
            <w:r>
              <w:rPr>
                <w:rFonts w:ascii="Arial" w:cs="Arial" w:eastAsia="Arial" w:hAnsi="Arial"/>
                <w:sz w:val="11"/>
                <w:szCs w:val="11"/>
                <w:b w:val="1"/>
                <w:bCs w:val="1"/>
                <w:color w:val="auto"/>
                <w:w w:val="99"/>
              </w:rPr>
              <w:t>As of March 31, 2022</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gridSpan w:val="5"/>
          </w:tcPr>
          <w:p>
            <w:pPr>
              <w:jc w:val="center"/>
              <w:spacing w:after="0"/>
              <w:rPr>
                <w:sz w:val="20"/>
                <w:szCs w:val="20"/>
                <w:color w:val="auto"/>
              </w:rPr>
            </w:pPr>
            <w:r>
              <w:rPr>
                <w:rFonts w:ascii="Arial" w:cs="Arial" w:eastAsia="Arial" w:hAnsi="Arial"/>
                <w:sz w:val="11"/>
                <w:szCs w:val="11"/>
                <w:b w:val="1"/>
                <w:bCs w:val="1"/>
                <w:color w:val="auto"/>
                <w:w w:val="97"/>
              </w:rPr>
              <w:t>As of June 30, 2021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gridSpan w:val="5"/>
          </w:tcPr>
          <w:p>
            <w:pPr>
              <w:jc w:val="center"/>
              <w:spacing w:after="0"/>
              <w:rPr>
                <w:sz w:val="20"/>
                <w:szCs w:val="20"/>
                <w:color w:val="auto"/>
              </w:rPr>
            </w:pPr>
            <w:r>
              <w:rPr>
                <w:rFonts w:ascii="Arial" w:cs="Arial" w:eastAsia="Arial" w:hAnsi="Arial"/>
                <w:sz w:val="11"/>
                <w:szCs w:val="11"/>
                <w:b w:val="1"/>
                <w:bCs w:val="1"/>
                <w:color w:val="auto"/>
                <w:w w:val="97"/>
              </w:rPr>
              <w:t>As of March 31, 2021</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1620" w:type="dxa"/>
            <w:vAlign w:val="bottom"/>
          </w:tcPr>
          <w:p>
            <w:pPr>
              <w:spacing w:after="0"/>
              <w:rPr>
                <w:sz w:val="8"/>
                <w:szCs w:val="8"/>
                <w:color w:val="auto"/>
              </w:rPr>
            </w:pPr>
          </w:p>
        </w:tc>
        <w:tc>
          <w:tcPr>
            <w:tcW w:w="860" w:type="dxa"/>
            <w:vAlign w:val="bottom"/>
            <w:gridSpan w:val="2"/>
          </w:tcPr>
          <w:p>
            <w:pPr>
              <w:jc w:val="right"/>
              <w:ind w:right="14"/>
              <w:spacing w:after="0" w:line="102" w:lineRule="exact"/>
              <w:rPr>
                <w:sz w:val="20"/>
                <w:szCs w:val="20"/>
                <w:color w:val="auto"/>
              </w:rPr>
            </w:pPr>
            <w:r>
              <w:rPr>
                <w:rFonts w:ascii="Arial" w:cs="Arial" w:eastAsia="Arial" w:hAnsi="Arial"/>
                <w:sz w:val="11"/>
                <w:szCs w:val="11"/>
                <w:b w:val="1"/>
                <w:bCs w:val="1"/>
                <w:color w:val="auto"/>
              </w:rPr>
              <w:t>As Previously</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3"/>
            <w:vMerge w:val="restart"/>
          </w:tcPr>
          <w:p>
            <w:pPr>
              <w:jc w:val="center"/>
              <w:ind w:right="240"/>
              <w:spacing w:after="0"/>
              <w:rPr>
                <w:sz w:val="20"/>
                <w:szCs w:val="20"/>
                <w:color w:val="auto"/>
              </w:rPr>
            </w:pPr>
            <w:r>
              <w:rPr>
                <w:rFonts w:ascii="Arial" w:cs="Arial" w:eastAsia="Arial" w:hAnsi="Arial"/>
                <w:sz w:val="11"/>
                <w:szCs w:val="11"/>
                <w:b w:val="1"/>
                <w:bCs w:val="1"/>
                <w:color w:val="auto"/>
                <w:w w:val="97"/>
              </w:rPr>
              <w:t>Correction</w:t>
            </w:r>
          </w:p>
        </w:tc>
        <w:tc>
          <w:tcPr>
            <w:tcW w:w="120" w:type="dxa"/>
            <w:vAlign w:val="bottom"/>
          </w:tcPr>
          <w:p>
            <w:pPr>
              <w:spacing w:after="0"/>
              <w:rPr>
                <w:sz w:val="8"/>
                <w:szCs w:val="8"/>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As Revised</w:t>
            </w:r>
          </w:p>
        </w:tc>
        <w:tc>
          <w:tcPr>
            <w:tcW w:w="8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8"/>
              </w:rPr>
              <w:t>As Previously</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3"/>
            <w:vMerge w:val="restart"/>
          </w:tcPr>
          <w:p>
            <w:pPr>
              <w:jc w:val="center"/>
              <w:ind w:right="220"/>
              <w:spacing w:after="0"/>
              <w:rPr>
                <w:sz w:val="20"/>
                <w:szCs w:val="20"/>
                <w:color w:val="auto"/>
              </w:rPr>
            </w:pPr>
            <w:r>
              <w:rPr>
                <w:rFonts w:ascii="Arial" w:cs="Arial" w:eastAsia="Arial" w:hAnsi="Arial"/>
                <w:sz w:val="11"/>
                <w:szCs w:val="11"/>
                <w:b w:val="1"/>
                <w:bCs w:val="1"/>
                <w:color w:val="auto"/>
                <w:w w:val="97"/>
              </w:rPr>
              <w:t>Correction</w:t>
            </w:r>
          </w:p>
        </w:tc>
        <w:tc>
          <w:tcPr>
            <w:tcW w:w="120" w:type="dxa"/>
            <w:vAlign w:val="bottom"/>
          </w:tcPr>
          <w:p>
            <w:pPr>
              <w:spacing w:after="0"/>
              <w:rPr>
                <w:sz w:val="8"/>
                <w:szCs w:val="8"/>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1"/>
                <w:szCs w:val="11"/>
                <w:b w:val="1"/>
                <w:bCs w:val="1"/>
                <w:color w:val="auto"/>
              </w:rPr>
              <w:t>As Revised</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98"/>
              </w:rPr>
              <w:t>As Previously</w:t>
            </w:r>
          </w:p>
        </w:tc>
        <w:tc>
          <w:tcPr>
            <w:tcW w:w="100" w:type="dxa"/>
            <w:vAlign w:val="bottom"/>
          </w:tcPr>
          <w:p>
            <w:pPr>
              <w:spacing w:after="0"/>
              <w:rPr>
                <w:sz w:val="8"/>
                <w:szCs w:val="8"/>
                <w:color w:val="auto"/>
              </w:rPr>
            </w:pPr>
          </w:p>
        </w:tc>
        <w:tc>
          <w:tcPr>
            <w:tcW w:w="980" w:type="dxa"/>
            <w:vAlign w:val="bottom"/>
            <w:gridSpan w:val="4"/>
            <w:vMerge w:val="restart"/>
          </w:tcPr>
          <w:p>
            <w:pPr>
              <w:jc w:val="center"/>
              <w:ind w:right="80"/>
              <w:spacing w:after="0"/>
              <w:rPr>
                <w:sz w:val="20"/>
                <w:szCs w:val="20"/>
                <w:color w:val="auto"/>
              </w:rPr>
            </w:pPr>
            <w:r>
              <w:rPr>
                <w:rFonts w:ascii="Arial" w:cs="Arial" w:eastAsia="Arial" w:hAnsi="Arial"/>
                <w:sz w:val="11"/>
                <w:szCs w:val="11"/>
                <w:b w:val="1"/>
                <w:bCs w:val="1"/>
                <w:color w:val="auto"/>
                <w:w w:val="97"/>
              </w:rPr>
              <w:t>Correction</w:t>
            </w:r>
          </w:p>
        </w:tc>
        <w:tc>
          <w:tcPr>
            <w:tcW w:w="140" w:type="dxa"/>
            <w:vAlign w:val="bottom"/>
          </w:tcPr>
          <w:p>
            <w:pPr>
              <w:spacing w:after="0"/>
              <w:rPr>
                <w:sz w:val="8"/>
                <w:szCs w:val="8"/>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1"/>
                <w:szCs w:val="11"/>
                <w:b w:val="1"/>
                <w:bCs w:val="1"/>
                <w:color w:val="auto"/>
              </w:rPr>
              <w:t>As Revised</w:t>
            </w: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4"/>
              <w:spacing w:after="0"/>
              <w:rPr>
                <w:sz w:val="20"/>
                <w:szCs w:val="20"/>
                <w:color w:val="auto"/>
              </w:rPr>
            </w:pPr>
            <w:r>
              <w:rPr>
                <w:rFonts w:ascii="Arial" w:cs="Arial" w:eastAsia="Arial" w:hAnsi="Arial"/>
                <w:sz w:val="11"/>
                <w:szCs w:val="11"/>
                <w:b w:val="1"/>
                <w:bCs w:val="1"/>
                <w:color w:val="auto"/>
              </w:rPr>
              <w:t>Issued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rPr>
              <w:t>Issued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1"/>
                <w:szCs w:val="11"/>
                <w:b w:val="1"/>
                <w:bCs w:val="1"/>
                <w:color w:val="auto"/>
                <w:w w:val="97"/>
              </w:rPr>
              <w:t>Issued</w:t>
            </w:r>
          </w:p>
        </w:tc>
        <w:tc>
          <w:tcPr>
            <w:tcW w:w="10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62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color w:val="auto"/>
              </w:rPr>
              <w:t>Retained Earnings</w:t>
            </w:r>
          </w:p>
        </w:tc>
        <w:tc>
          <w:tcPr>
            <w:tcW w:w="180" w:type="dxa"/>
            <w:vAlign w:val="bottom"/>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4,231</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3,778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8,009</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   (12,707)</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4,786</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(7,921)</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   (64,460)</w:t>
            </w:r>
          </w:p>
        </w:tc>
        <w:tc>
          <w:tcPr>
            <w:tcW w:w="420" w:type="dxa"/>
            <w:vAlign w:val="bottom"/>
            <w:gridSpan w:val="2"/>
            <w:vMerge w:val="restart"/>
            <w:shd w:val="clear" w:color="auto" w:fill="CCEEFF"/>
          </w:tcPr>
          <w:p>
            <w:pPr>
              <w:jc w:val="right"/>
              <w:ind w:right="166"/>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4"/>
              <w:spacing w:after="0"/>
              <w:rPr>
                <w:sz w:val="20"/>
                <w:szCs w:val="20"/>
                <w:color w:val="auto"/>
              </w:rPr>
            </w:pPr>
            <w:r>
              <w:rPr>
                <w:rFonts w:ascii="Arial" w:cs="Arial" w:eastAsia="Arial" w:hAnsi="Arial"/>
                <w:sz w:val="14"/>
                <w:szCs w:val="14"/>
                <w:color w:val="auto"/>
              </w:rPr>
              <w:t>4,362</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(60,098)</w:t>
            </w:r>
          </w:p>
        </w:tc>
        <w:tc>
          <w:tcPr>
            <w:tcW w:w="0" w:type="dxa"/>
            <w:vAlign w:val="bottom"/>
          </w:tcPr>
          <w:p>
            <w:pPr>
              <w:spacing w:after="0"/>
              <w:rPr>
                <w:sz w:val="1"/>
                <w:szCs w:val="1"/>
                <w:color w:val="auto"/>
              </w:rPr>
            </w:pPr>
          </w:p>
        </w:tc>
      </w:tr>
      <w:tr>
        <w:trPr>
          <w:trHeight w:val="171"/>
        </w:trPr>
        <w:tc>
          <w:tcPr>
            <w:tcW w:w="16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(Deficit)</w:t>
            </w:r>
          </w:p>
        </w:tc>
        <w:tc>
          <w:tcPr>
            <w:tcW w:w="18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4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20" w:type="dxa"/>
            <w:vAlign w:val="bottom"/>
          </w:tcPr>
          <w:p>
            <w:pPr>
              <w:ind w:left="100"/>
              <w:spacing w:after="0"/>
              <w:rPr>
                <w:sz w:val="20"/>
                <w:szCs w:val="20"/>
                <w:color w:val="auto"/>
              </w:rPr>
            </w:pPr>
            <w:r>
              <w:rPr>
                <w:rFonts w:ascii="Arial" w:cs="Arial" w:eastAsia="Arial" w:hAnsi="Arial"/>
                <w:sz w:val="14"/>
                <w:szCs w:val="14"/>
                <w:color w:val="auto"/>
              </w:rPr>
              <w:t>Total Stockholders'</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493,291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4"/>
              <w:spacing w:after="0"/>
              <w:rPr>
                <w:sz w:val="20"/>
                <w:szCs w:val="20"/>
                <w:color w:val="auto"/>
              </w:rPr>
            </w:pPr>
            <w:r>
              <w:rPr>
                <w:rFonts w:ascii="Arial" w:cs="Arial" w:eastAsia="Arial" w:hAnsi="Arial"/>
                <w:sz w:val="14"/>
                <w:szCs w:val="14"/>
                <w:color w:val="auto"/>
              </w:rPr>
              <w:t>3,778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497,069</w:t>
            </w: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464,233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4,786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469,019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center"/>
              <w:ind w:left="191"/>
              <w:spacing w:after="0"/>
              <w:rPr>
                <w:sz w:val="20"/>
                <w:szCs w:val="20"/>
                <w:color w:val="auto"/>
              </w:rPr>
            </w:pPr>
            <w:r>
              <w:rPr>
                <w:rFonts w:ascii="Arial" w:cs="Arial" w:eastAsia="Arial" w:hAnsi="Arial"/>
                <w:sz w:val="14"/>
                <w:szCs w:val="14"/>
                <w:color w:val="auto"/>
              </w:rPr>
              <w:t>409,960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restart"/>
          </w:tcPr>
          <w:p>
            <w:pPr>
              <w:jc w:val="right"/>
              <w:ind w:right="4"/>
              <w:spacing w:after="0"/>
              <w:rPr>
                <w:sz w:val="20"/>
                <w:szCs w:val="20"/>
                <w:color w:val="auto"/>
              </w:rPr>
            </w:pPr>
            <w:r>
              <w:rPr>
                <w:rFonts w:ascii="Arial" w:cs="Arial" w:eastAsia="Arial" w:hAnsi="Arial"/>
                <w:sz w:val="14"/>
                <w:szCs w:val="14"/>
                <w:color w:val="auto"/>
              </w:rPr>
              <w:t>4,362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414,322</w:t>
            </w:r>
          </w:p>
        </w:tc>
        <w:tc>
          <w:tcPr>
            <w:tcW w:w="0" w:type="dxa"/>
            <w:vAlign w:val="bottom"/>
          </w:tcPr>
          <w:p>
            <w:pPr>
              <w:spacing w:after="0"/>
              <w:rPr>
                <w:sz w:val="1"/>
                <w:szCs w:val="1"/>
                <w:color w:val="auto"/>
              </w:rPr>
            </w:pPr>
          </w:p>
        </w:tc>
      </w:tr>
      <w:tr>
        <w:trPr>
          <w:trHeight w:val="91"/>
        </w:trPr>
        <w:tc>
          <w:tcPr>
            <w:tcW w:w="1620" w:type="dxa"/>
            <w:vAlign w:val="bottom"/>
            <w:vMerge w:val="restart"/>
          </w:tcPr>
          <w:p>
            <w:pPr>
              <w:ind w:left="260"/>
              <w:spacing w:after="0"/>
              <w:rPr>
                <w:sz w:val="20"/>
                <w:szCs w:val="20"/>
                <w:color w:val="auto"/>
              </w:rPr>
            </w:pPr>
            <w:r>
              <w:rPr>
                <w:rFonts w:ascii="Arial" w:cs="Arial" w:eastAsia="Arial" w:hAnsi="Arial"/>
                <w:sz w:val="14"/>
                <w:szCs w:val="14"/>
                <w:color w:val="auto"/>
              </w:rPr>
              <w:t>Equity</w:t>
            </w:r>
          </w:p>
        </w:tc>
        <w:tc>
          <w:tcPr>
            <w:tcW w:w="1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The Company's Condensed Consolidated Statement of Changes Stockholders' Equity as of December 31, 2021 has been corrected to reflect the changes to the impacted Stockholders' Equity accounts as described above.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340" w:right="20"/>
        <w:spacing w:after="0" w:line="261" w:lineRule="auto"/>
        <w:rPr>
          <w:sz w:val="20"/>
          <w:szCs w:val="20"/>
          <w:color w:val="auto"/>
        </w:rPr>
      </w:pPr>
      <w:r>
        <w:rPr>
          <w:rFonts w:ascii="Arial" w:cs="Arial" w:eastAsia="Arial" w:hAnsi="Arial"/>
          <w:sz w:val="18"/>
          <w:szCs w:val="18"/>
          <w:color w:val="auto"/>
        </w:rPr>
        <w:t>The impact of the revision on the Company's previously issued Condensed Consolidated Statements of Cash Flow for the six months ended June 30, 2021 is as follows:</w:t>
      </w:r>
    </w:p>
    <w:p>
      <w:pPr>
        <w:spacing w:after="0" w:line="226"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6"/>
          </w:tcPr>
          <w:p>
            <w:pPr>
              <w:jc w:val="center"/>
              <w:ind w:left="632"/>
              <w:spacing w:after="0"/>
              <w:rPr>
                <w:sz w:val="20"/>
                <w:szCs w:val="20"/>
                <w:color w:val="auto"/>
              </w:rPr>
            </w:pPr>
            <w:r>
              <w:rPr>
                <w:rFonts w:ascii="Arial" w:cs="Arial" w:eastAsia="Arial" w:hAnsi="Arial"/>
                <w:sz w:val="14"/>
                <w:szCs w:val="14"/>
                <w:b w:val="1"/>
                <w:bCs w:val="1"/>
                <w:color w:val="auto"/>
              </w:rPr>
              <w:t>Six Months Ended June 30, 2021</w:t>
            </w:r>
          </w:p>
        </w:tc>
        <w:tc>
          <w:tcPr>
            <w:tcW w:w="1180" w:type="dxa"/>
            <w:vAlign w:val="bottom"/>
            <w:tcBorders>
              <w:bottom w:val="single" w:sz="8" w:color="auto"/>
            </w:tcBorders>
          </w:tcPr>
          <w:p>
            <w:pPr>
              <w:spacing w:after="0"/>
              <w:rPr>
                <w:sz w:val="17"/>
                <w:szCs w:val="17"/>
                <w:color w:val="auto"/>
              </w:rPr>
            </w:pPr>
          </w:p>
        </w:tc>
      </w:tr>
      <w:tr>
        <w:trPr>
          <w:trHeight w:val="196"/>
        </w:trPr>
        <w:tc>
          <w:tcPr>
            <w:tcW w:w="5780" w:type="dxa"/>
            <w:vAlign w:val="bottom"/>
          </w:tcPr>
          <w:p>
            <w:pPr>
              <w:spacing w:after="0"/>
              <w:rPr>
                <w:sz w:val="17"/>
                <w:szCs w:val="17"/>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As Previously Issued</w:t>
            </w:r>
          </w:p>
        </w:tc>
        <w:tc>
          <w:tcPr>
            <w:tcW w:w="26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Correction</w:t>
            </w:r>
          </w:p>
        </w:tc>
        <w:tc>
          <w:tcPr>
            <w:tcW w:w="300" w:type="dxa"/>
            <w:vAlign w:val="bottom"/>
          </w:tcPr>
          <w:p>
            <w:pPr>
              <w:spacing w:after="0"/>
              <w:rPr>
                <w:sz w:val="17"/>
                <w:szCs w:val="17"/>
                <w:color w:val="auto"/>
              </w:rPr>
            </w:pPr>
          </w:p>
        </w:tc>
        <w:tc>
          <w:tcPr>
            <w:tcW w:w="1180" w:type="dxa"/>
            <w:vAlign w:val="bottom"/>
          </w:tcPr>
          <w:p>
            <w:pPr>
              <w:jc w:val="right"/>
              <w:ind w:right="272"/>
              <w:spacing w:after="0"/>
              <w:rPr>
                <w:sz w:val="20"/>
                <w:szCs w:val="20"/>
                <w:color w:val="auto"/>
              </w:rPr>
            </w:pPr>
            <w:r>
              <w:rPr>
                <w:rFonts w:ascii="Arial" w:cs="Arial" w:eastAsia="Arial" w:hAnsi="Arial"/>
                <w:sz w:val="14"/>
                <w:szCs w:val="14"/>
                <w:b w:val="1"/>
                <w:bCs w:val="1"/>
                <w:color w:val="auto"/>
              </w:rPr>
              <w:t>As Revised</w:t>
            </w:r>
          </w:p>
        </w:tc>
      </w:tr>
      <w:tr>
        <w:trPr>
          <w:trHeight w:val="216"/>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29"/>
        </w:trPr>
        <w:tc>
          <w:tcPr>
            <w:tcW w:w="57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center"/>
              <w:ind w:left="252"/>
              <w:spacing w:after="0"/>
              <w:rPr>
                <w:sz w:val="20"/>
                <w:szCs w:val="20"/>
                <w:color w:val="auto"/>
              </w:rPr>
            </w:pPr>
            <w:r>
              <w:rPr>
                <w:rFonts w:ascii="Arial" w:cs="Arial" w:eastAsia="Arial" w:hAnsi="Arial"/>
                <w:sz w:val="18"/>
                <w:szCs w:val="18"/>
                <w:color w:val="auto"/>
              </w:rPr>
              <w:t>64,169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4,786</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68,955</w:t>
            </w:r>
          </w:p>
        </w:tc>
      </w:tr>
      <w:tr>
        <w:trPr>
          <w:trHeight w:val="229"/>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rPr>
              <w:t>26,075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26,823</w:t>
            </w:r>
          </w:p>
        </w:tc>
      </w:tr>
      <w:tr>
        <w:trPr>
          <w:trHeight w:val="230"/>
        </w:trPr>
        <w:tc>
          <w:tcPr>
            <w:tcW w:w="5780" w:type="dxa"/>
            <w:vAlign w:val="bottom"/>
          </w:tcPr>
          <w:p>
            <w:pPr>
              <w:ind w:left="120"/>
              <w:spacing w:after="0"/>
              <w:rPr>
                <w:sz w:val="20"/>
                <w:szCs w:val="20"/>
                <w:color w:val="auto"/>
              </w:rPr>
            </w:pPr>
            <w:r>
              <w:rPr>
                <w:rFonts w:ascii="Arial" w:cs="Arial" w:eastAsia="Arial" w:hAnsi="Arial"/>
                <w:sz w:val="18"/>
                <w:szCs w:val="18"/>
                <w:color w:val="auto"/>
              </w:rPr>
              <w:t>Non-Cash Gain on Asset Transaction, Net</w:t>
            </w:r>
          </w:p>
        </w:tc>
        <w:tc>
          <w:tcPr>
            <w:tcW w:w="460" w:type="dxa"/>
            <w:vAlign w:val="bottom"/>
          </w:tcPr>
          <w:p>
            <w:pPr>
              <w:spacing w:after="0"/>
              <w:rPr>
                <w:sz w:val="19"/>
                <w:szCs w:val="19"/>
                <w:color w:val="auto"/>
              </w:rPr>
            </w:pPr>
          </w:p>
        </w:tc>
        <w:tc>
          <w:tcPr>
            <w:tcW w:w="1020" w:type="dxa"/>
            <w:vAlign w:val="bottom"/>
          </w:tcPr>
          <w:p>
            <w:pPr>
              <w:jc w:val="center"/>
              <w:ind w:left="232"/>
              <w:spacing w:after="0"/>
              <w:rPr>
                <w:sz w:val="20"/>
                <w:szCs w:val="20"/>
                <w:color w:val="auto"/>
              </w:rPr>
            </w:pPr>
            <w:r>
              <w:rPr>
                <w:rFonts w:ascii="Arial" w:cs="Arial" w:eastAsia="Arial" w:hAnsi="Arial"/>
                <w:sz w:val="18"/>
                <w:szCs w:val="18"/>
                <w:color w:val="auto"/>
                <w:w w:val="98"/>
              </w:rPr>
              <w:t>(12,668)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rPr>
              <w:t>14,875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r>
      <w:tr>
        <w:trPr>
          <w:trHeight w:val="230"/>
        </w:trPr>
        <w:tc>
          <w:tcPr>
            <w:tcW w:w="5780" w:type="dxa"/>
            <w:vAlign w:val="bottom"/>
          </w:tcPr>
          <w:p>
            <w:pPr>
              <w:ind w:left="120"/>
              <w:spacing w:after="0"/>
              <w:rPr>
                <w:sz w:val="20"/>
                <w:szCs w:val="20"/>
                <w:color w:val="auto"/>
              </w:rPr>
            </w:pPr>
            <w:r>
              <w:rPr>
                <w:rFonts w:ascii="Arial" w:cs="Arial" w:eastAsia="Arial" w:hAnsi="Arial"/>
                <w:sz w:val="18"/>
                <w:szCs w:val="18"/>
                <w:color w:val="auto"/>
              </w:rPr>
              <w:t>Operating Lease Obligations</w:t>
            </w:r>
          </w:p>
        </w:tc>
        <w:tc>
          <w:tcPr>
            <w:tcW w:w="460" w:type="dxa"/>
            <w:vAlign w:val="bottom"/>
          </w:tcPr>
          <w:p>
            <w:pPr>
              <w:spacing w:after="0"/>
              <w:rPr>
                <w:sz w:val="19"/>
                <w:szCs w:val="19"/>
                <w:color w:val="auto"/>
              </w:rPr>
            </w:pPr>
          </w:p>
        </w:tc>
        <w:tc>
          <w:tcPr>
            <w:tcW w:w="1020" w:type="dxa"/>
            <w:vAlign w:val="bottom"/>
          </w:tcPr>
          <w:p>
            <w:pPr>
              <w:jc w:val="center"/>
              <w:ind w:left="232"/>
              <w:spacing w:after="0"/>
              <w:rPr>
                <w:sz w:val="20"/>
                <w:szCs w:val="20"/>
                <w:color w:val="auto"/>
              </w:rPr>
            </w:pPr>
            <w:r>
              <w:rPr>
                <w:rFonts w:ascii="Arial" w:cs="Arial" w:eastAsia="Arial" w:hAnsi="Arial"/>
                <w:sz w:val="18"/>
                <w:szCs w:val="18"/>
                <w:color w:val="auto"/>
                <w:w w:val="98"/>
              </w:rPr>
              <w:t>(15,826)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(28,494)</w:t>
            </w:r>
          </w:p>
        </w:tc>
      </w:tr>
      <w:tr>
        <w:trPr>
          <w:trHeight w:val="229"/>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52"/>
              <w:spacing w:after="0"/>
              <w:rPr>
                <w:sz w:val="20"/>
                <w:szCs w:val="20"/>
                <w:color w:val="auto"/>
              </w:rPr>
            </w:pPr>
            <w:r>
              <w:rPr>
                <w:rFonts w:ascii="Arial" w:cs="Arial" w:eastAsia="Arial" w:hAnsi="Arial"/>
                <w:sz w:val="18"/>
                <w:szCs w:val="18"/>
                <w:color w:val="auto"/>
              </w:rPr>
              <w:t>89,841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96,804</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of Property &amp; Equipment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98"/>
              </w:rPr>
              <w:t>(66,736)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(73,699)</w:t>
            </w:r>
          </w:p>
        </w:tc>
      </w:tr>
      <w:tr>
        <w:trPr>
          <w:trHeight w:val="229"/>
        </w:trPr>
        <w:tc>
          <w:tcPr>
            <w:tcW w:w="5780" w:type="dxa"/>
            <w:vAlign w:val="bottom"/>
          </w:tcPr>
          <w:p>
            <w:pPr>
              <w:ind w:left="1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19"/>
                <w:szCs w:val="19"/>
                <w:color w:val="auto"/>
              </w:rPr>
            </w:pPr>
          </w:p>
        </w:tc>
        <w:tc>
          <w:tcPr>
            <w:tcW w:w="1020" w:type="dxa"/>
            <w:vAlign w:val="bottom"/>
          </w:tcPr>
          <w:p>
            <w:pPr>
              <w:jc w:val="center"/>
              <w:ind w:left="232"/>
              <w:spacing w:after="0"/>
              <w:rPr>
                <w:sz w:val="20"/>
                <w:szCs w:val="20"/>
                <w:color w:val="auto"/>
              </w:rPr>
            </w:pPr>
            <w:r>
              <w:rPr>
                <w:rFonts w:ascii="Arial" w:cs="Arial" w:eastAsia="Arial" w:hAnsi="Arial"/>
                <w:sz w:val="18"/>
                <w:szCs w:val="18"/>
                <w:color w:val="auto"/>
                <w:w w:val="98"/>
              </w:rPr>
              <w:t>(67,188)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(6,963)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(74,151)</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revision had no impact on the Company's Net Cash Provided by Financing Activities for the six months ended June 30, 2021.</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Investments</w:t>
      </w:r>
    </w:p>
    <w:p>
      <w:pPr>
        <w:spacing w:after="0" w:line="247"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Investments consist of debt securities and Certificates of Deposit. The Certificates of Deposit are recorded at cost, plus accrued interest. These certificates serve as collateral for letters of credit required by various airports and other vendors. All of the certificates have original maturities greater than 90 days.</w:t>
      </w:r>
    </w:p>
    <w:p>
      <w:pPr>
        <w:spacing w:after="0" w:line="202"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During the quarter ended June 30, 2022, the Company purchased $70,391 of debt securities with original maturities of three months or greater. The investments are classified as current assets on the Condensed Consolidated Balance Sheets because the securities are highly liquid and are available to be quickly converted into cash to fund current operations. Primarily all of the Company's Available-for-Sale securities will mature within one year. The Company limits its exposure to any one issuer or market sector, and largely limits its investments to investment grade quality securities.</w:t>
      </w:r>
    </w:p>
    <w:p>
      <w:pPr>
        <w:spacing w:after="0" w:line="205"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The Company's investment securities are classified as Available-for-Sale and are reported at fair value on the Company's Condensed Consolidated Balance Sheets. Unrealized gains and losses on the Company's Available-for-Sale securities are excluded from net earnings and are reported as a component of Accumulated Other Comprehensive Income (Loss), net of income tax effects, within Stockholders' Equity on the Condensed Consolidated Balance Sheets until realized. Realized gains and losses are recorded using the specific identification method and reflected in Other, net within Non-operating Income (Expense) on the Company's Condensed Consolidated Statement of Operations. Premiums and discounts recorded on Available-for-Sale debt securities are accounted for in Other, net within Non-operating Income (Expense) on the Company's Condensed Consolidated Statement of Operations.</w:t>
      </w:r>
    </w:p>
    <w:p>
      <w:pPr>
        <w:spacing w:after="0" w:line="20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At each reporting period, the Company assesses its Available-for-Sale investments in an unrealized loss position to determine whether an impairment exists. The Company will record an impairment if management intends to sell an impaired security, will likely be required to sell a security before recovery of the entire amortized cost, or the same level of collectible cash flows from the security is no longer expected. The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entire impairment will be included in Other, net within Non-operating Income (Expense) on the Company's Condensed Consolidated Statement of Operations.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4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 xml:space="preserve">On May 3, 2021, the Financial Accounting Standards Board ("FASB") issued Accounting Standard Update ("ASU") 2021-04, Earnings Per Share (Topic 260), </w:t>
      </w:r>
      <w:r>
        <w:rPr>
          <w:rFonts w:ascii="Arial" w:cs="Arial" w:eastAsia="Arial" w:hAnsi="Arial"/>
          <w:sz w:val="18"/>
          <w:szCs w:val="18"/>
          <w:i w:val="1"/>
          <w:iCs w:val="1"/>
          <w:color w:val="auto"/>
        </w:rPr>
        <w:t>Debt—Modifications and Extinguishments (Subtopic 470-50), Compensation—Stock Compensation (Topic 718),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Derivatives and Hedging—Contracts in Entity’s Own Equity (Subtopic 815-40): Issuer’s Accounting for Certain Modifications or Exchanges of Freestanding Equity-Classified Written Call Options. </w:t>
      </w:r>
      <w:r>
        <w:rPr>
          <w:rFonts w:ascii="Arial" w:cs="Arial" w:eastAsia="Arial" w:hAnsi="Arial"/>
          <w:sz w:val="18"/>
          <w:szCs w:val="18"/>
          <w:color w:val="auto"/>
        </w:rPr>
        <w:t>This new standard provides clarification and reduces diversity in an</w:t>
      </w:r>
      <w:r>
        <w:rPr>
          <w:rFonts w:ascii="Arial" w:cs="Arial" w:eastAsia="Arial" w:hAnsi="Arial"/>
          <w:sz w:val="18"/>
          <w:szCs w:val="18"/>
          <w:i w:val="1"/>
          <w:iCs w:val="1"/>
          <w:color w:val="auto"/>
        </w:rPr>
        <w:t xml:space="preserve"> </w:t>
      </w:r>
      <w:r>
        <w:rPr>
          <w:rFonts w:ascii="Arial" w:cs="Arial" w:eastAsia="Arial" w:hAnsi="Arial"/>
          <w:sz w:val="18"/>
          <w:szCs w:val="18"/>
          <w:color w:val="auto"/>
        </w:rPr>
        <w:t>issuer’s accounting for modifications or exchanges of freestanding equity-classified written call options (such as warrants) that remain equity classified after modification or exchange. On January 1, 2022, the Company adopted ASU 2021-04 on a prospective basis, as required by the Standard. There was no financial statement impact upon adoption.</w:t>
      </w:r>
    </w:p>
    <w:p>
      <w:pPr>
        <w:spacing w:after="0" w:line="189"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 xml:space="preserve">In November 2021, the FASB issued ASU 2021-10, Government Assistance (Topic 832), </w:t>
      </w:r>
      <w:r>
        <w:rPr>
          <w:rFonts w:ascii="Arial" w:cs="Arial" w:eastAsia="Arial" w:hAnsi="Arial"/>
          <w:sz w:val="18"/>
          <w:szCs w:val="18"/>
          <w:i w:val="1"/>
          <w:iCs w:val="1"/>
          <w:color w:val="auto"/>
        </w:rPr>
        <w:t>Disclosures by Business Entities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 Assistance</w:t>
      </w:r>
      <w:r>
        <w:rPr>
          <w:rFonts w:ascii="Arial" w:cs="Arial" w:eastAsia="Arial" w:hAnsi="Arial"/>
          <w:sz w:val="18"/>
          <w:szCs w:val="18"/>
          <w:color w:val="auto"/>
        </w:rPr>
        <w:t>. The new standard requires additional disclosures regarding government grants and money contributions.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standard requires disclosures on the nature of the transactions and related accounting policies, including significant terms and conditions, as well as the amounts and specific financial statement line items affected by the transactions. The Company adopted this standard as of January 1, 2022, see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for additional information on COVID-19 related government assistance the Company has received.</w:t>
      </w:r>
    </w:p>
    <w:p>
      <w:pPr>
        <w:spacing w:after="0" w:line="183"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IMPACT OF THE COVID-19 PANDEMIC</w:t>
      </w:r>
    </w:p>
    <w:p>
      <w:pPr>
        <w:spacing w:after="0" w:line="247"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The COVID-19 pandemic resulted in a dramatic decline in passenger demand across the U.S. airline industry. Sun Country experienced a significant decrease in demand related to the COVID-19 pandemic, which caused a material decline in 2021 revenues as compared to pre-pandemic levels, and negatively impacted the Company’s financial condition and operating results.</w:t>
      </w:r>
    </w:p>
    <w:p>
      <w:pPr>
        <w:spacing w:after="0" w:line="202"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During the second quarter of 2022, Sun Country continued to see recovery in demand from the COVID-19 pandemic relative to demand in 2021, which may impact the comparability of results to prior periods. However, the ongoing impact of the COVID-19 pandemic on overall demand for air travel remains uncertain and cannot be predicted at this time.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Coronavirus Aid, Relief, and Economic Security Act (“CARES Act”)</w:t>
      </w:r>
    </w:p>
    <w:p>
      <w:pPr>
        <w:spacing w:after="0" w:line="247"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During 2021 and 2020, the Company received certain funds from the CARES Act. The cash awarded to the Company through the CARES Act was accounted for as grants, debt, and tax credits based on the terms and nature of the funds awarded.</w:t>
      </w:r>
    </w:p>
    <w:p>
      <w:pPr>
        <w:spacing w:after="0" w:line="198" w:lineRule="exact"/>
        <w:rPr>
          <w:sz w:val="20"/>
          <w:szCs w:val="20"/>
          <w:color w:val="auto"/>
        </w:rPr>
      </w:pPr>
    </w:p>
    <w:p>
      <w:pPr>
        <w:jc w:val="both"/>
        <w:ind w:left="34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During the six months ended June 30, 2021, the Company received and recognized as income within Special Items, net $71,587 from the U.S. Treasury under the Payroll Support Program Extension (“PSP2”) and the American Rescue Plan Act of 2021 ("PSP3"). The CARES Act provides an employee retention credit (“CARES Employee Retention Credit”), which is a refundable tax credit against certain employment taxes. During the six months ended June 30, 2021, the Company recorded $780 related to the CARES Employee Retention Credit within Special Items, net. Under the CARES Act Loan Program, the Company received a $45,000 loan (the “CARES Act Loan”) from the U.S. Treasury, which was repaid in full on March 24, 2021 using proceeds from the IPO. For more information on funds awarded through the CARES Act, see </w:t>
      </w:r>
      <w:hyperlink r:id="rId42">
        <w:r>
          <w:rPr>
            <w:rFonts w:ascii="Arial" w:cs="Arial" w:eastAsia="Arial" w:hAnsi="Arial"/>
            <w:sz w:val="18"/>
            <w:szCs w:val="18"/>
            <w:u w:val="single" w:color="auto"/>
            <w:color w:val="0000FF"/>
          </w:rPr>
          <w:t>Note 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Notes to the Consolidated Financial Statements included in Part II, Item 8 “Financial Statements” in the 2021 10-K.</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In accordance with any grants and/or loans received under the CARES Act, the Company is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through March 1, 2022, if ordered by the Department of Transportation ("DOT"); the prohibitions on share repurchases of listed securities and the payment of common stock (or equivalent) dividends through September 30, 2022; and restrictions on the payment of certain executive compensation through April 1, 2023. As of June 30, 2022, the Company was in compliance with these provisions.</w:t>
      </w:r>
    </w:p>
    <w:p>
      <w:pPr>
        <w:spacing w:after="0" w:line="185"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4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Sun Country is a certificated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passenger interface fee and on-board sales. Cargo consists of revenue earned from flying cargo aircraft under the ATSA. Other revenue consists primarily of revenue from services in connection with Sun Country Vacations products.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4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6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r>
      <w:tr>
        <w:trPr>
          <w:trHeight w:val="229"/>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Scheduled Service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121,693</w:t>
            </w:r>
          </w:p>
        </w:tc>
      </w:tr>
      <w:tr>
        <w:trPr>
          <w:trHeight w:val="229"/>
        </w:trPr>
        <w:tc>
          <w:tcPr>
            <w:tcW w:w="4840" w:type="dxa"/>
            <w:vAlign w:val="bottom"/>
          </w:tcPr>
          <w:p>
            <w:pPr>
              <w:ind w:left="120"/>
              <w:spacing w:after="0"/>
              <w:rPr>
                <w:sz w:val="20"/>
                <w:szCs w:val="20"/>
                <w:color w:val="auto"/>
              </w:rPr>
            </w:pPr>
            <w:r>
              <w:rPr>
                <w:rFonts w:ascii="Arial" w:cs="Arial" w:eastAsia="Arial" w:hAnsi="Arial"/>
                <w:sz w:val="18"/>
                <w:szCs w:val="18"/>
                <w:color w:val="auto"/>
              </w:rPr>
              <w:t>Charter Service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42,749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75,628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54,703</w:t>
            </w:r>
          </w:p>
        </w:tc>
      </w:tr>
      <w:tr>
        <w:trPr>
          <w:trHeight w:val="230"/>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Ancillary</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52,929</w:t>
            </w:r>
          </w:p>
        </w:tc>
      </w:tr>
      <w:tr>
        <w:trPr>
          <w:trHeight w:val="223"/>
        </w:trPr>
        <w:tc>
          <w:tcPr>
            <w:tcW w:w="4840" w:type="dxa"/>
            <w:vAlign w:val="bottom"/>
          </w:tcPr>
          <w:p>
            <w:pPr>
              <w:ind w:left="260"/>
              <w:spacing w:after="0"/>
              <w:rPr>
                <w:sz w:val="20"/>
                <w:szCs w:val="20"/>
                <w:color w:val="auto"/>
              </w:rPr>
            </w:pPr>
            <w:r>
              <w:rPr>
                <w:rFonts w:ascii="Arial" w:cs="Arial" w:eastAsia="Arial" w:hAnsi="Arial"/>
                <w:sz w:val="18"/>
                <w:szCs w:val="18"/>
                <w:color w:val="auto"/>
              </w:rPr>
              <w:t>Passenger</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195,362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125,130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397,394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229,325</w:t>
            </w:r>
          </w:p>
        </w:tc>
      </w:tr>
      <w:tr>
        <w:trPr>
          <w:trHeight w:val="230"/>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Cargo</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43,684</w:t>
            </w:r>
          </w:p>
        </w:tc>
      </w:tr>
      <w:tr>
        <w:trPr>
          <w:trHeight w:val="230"/>
        </w:trPr>
        <w:tc>
          <w:tcPr>
            <w:tcW w:w="4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w:t>
            </w:r>
          </w:p>
        </w:tc>
      </w:tr>
      <w:tr>
        <w:trPr>
          <w:trHeight w:val="248"/>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276,802</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The Company attributes and measures its Operating Revenue by geographic region as defined by the DOT for airline reporting based upon the origin of each passenger and cargo flight segment.</w:t>
      </w:r>
    </w:p>
    <w:p>
      <w:pPr>
        <w:spacing w:after="0" w:line="198" w:lineRule="exact"/>
        <w:rPr>
          <w:sz w:val="20"/>
          <w:szCs w:val="20"/>
          <w:color w:val="auto"/>
        </w:rPr>
      </w:pPr>
    </w:p>
    <w:p>
      <w:pPr>
        <w:jc w:val="both"/>
        <w:ind w:left="340" w:right="20"/>
        <w:spacing w:after="0" w:line="261" w:lineRule="auto"/>
        <w:rPr>
          <w:sz w:val="20"/>
          <w:szCs w:val="20"/>
          <w:color w:val="auto"/>
        </w:rPr>
      </w:pPr>
      <w:r>
        <w:rPr>
          <w:rFonts w:ascii="Arial" w:cs="Arial" w:eastAsia="Arial" w:hAnsi="Arial"/>
          <w:sz w:val="18"/>
          <w:szCs w:val="18"/>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Operating Revenues by geographic region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7"/>
                <w:szCs w:val="17"/>
                <w:color w:val="auto"/>
              </w:rPr>
            </w:pPr>
          </w:p>
        </w:tc>
        <w:tc>
          <w:tcPr>
            <w:tcW w:w="31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340" w:type="dxa"/>
            <w:vAlign w:val="bottom"/>
          </w:tcPr>
          <w:p>
            <w:pPr>
              <w:spacing w:after="0"/>
              <w:rPr>
                <w:sz w:val="17"/>
                <w:szCs w:val="17"/>
                <w:color w:val="auto"/>
              </w:rPr>
            </w:pPr>
          </w:p>
        </w:tc>
        <w:tc>
          <w:tcPr>
            <w:tcW w:w="414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7"/>
                <w:szCs w:val="17"/>
                <w:color w:val="auto"/>
              </w:rPr>
            </w:pPr>
          </w:p>
        </w:tc>
      </w:tr>
      <w:tr>
        <w:trPr>
          <w:trHeight w:val="229"/>
        </w:trPr>
        <w:tc>
          <w:tcPr>
            <w:tcW w:w="34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262,020</w:t>
            </w:r>
          </w:p>
        </w:tc>
        <w:tc>
          <w:tcPr>
            <w:tcW w:w="42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14,228</w:t>
            </w:r>
          </w:p>
        </w:tc>
        <w:tc>
          <w:tcPr>
            <w:tcW w:w="42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42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Total Operating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219,067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149,189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445,591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276,802</w:t>
            </w:r>
          </w:p>
        </w:tc>
        <w:tc>
          <w:tcPr>
            <w:tcW w:w="420" w:type="dxa"/>
            <w:vAlign w:val="bottom"/>
          </w:tcPr>
          <w:p>
            <w:pPr>
              <w:spacing w:after="0"/>
              <w:rPr>
                <w:sz w:val="19"/>
                <w:szCs w:val="19"/>
                <w:color w:val="auto"/>
              </w:rPr>
            </w:pPr>
          </w:p>
        </w:tc>
      </w:tr>
      <w:tr>
        <w:trPr>
          <w:trHeight w:val="21"/>
        </w:trPr>
        <w:tc>
          <w:tcPr>
            <w:tcW w:w="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898"/>
        </w:trPr>
        <w:tc>
          <w:tcPr>
            <w:tcW w:w="3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02"/>
        </w:trPr>
        <w:tc>
          <w:tcPr>
            <w:tcW w:w="340" w:type="dxa"/>
            <w:vAlign w:val="bottom"/>
            <w:tcBorders>
              <w:bottom w:val="single" w:sz="8" w:color="9A9A9A"/>
            </w:tcBorders>
          </w:tcPr>
          <w:p>
            <w:pPr>
              <w:spacing w:after="0"/>
              <w:rPr>
                <w:sz w:val="8"/>
                <w:szCs w:val="8"/>
                <w:color w:val="auto"/>
              </w:rPr>
            </w:pPr>
          </w:p>
        </w:tc>
        <w:tc>
          <w:tcPr>
            <w:tcW w:w="4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 Balances</w:t>
      </w:r>
    </w:p>
    <w:p>
      <w:pPr>
        <w:spacing w:after="0" w:line="247"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The Company’s contract assets primarily relate to costs incurred to get Amazon cargo aircraft ready for service. The balances are included in Other Current Assets and Other Assets on the Condensed Consolidated Balance Sheets. These deferred up-front costs are being amortized into Maintenance expense on a pro-rata basis over the initial six years of the ATSA. The amount expensed during the three and six months ended June 30, 2022 was $157 and $318, respectively. The expense for both the three and six months ended June 30, 2021 was $169 and $307, respectively.</w:t>
      </w:r>
    </w:p>
    <w:p>
      <w:pPr>
        <w:spacing w:after="0" w:line="198"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Company’s significant contract liabilities are comprised of, 1) ticket sales for transportation that has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the Amazon Deferred Up-front Payment received (reported within Other Liabilities on the Condensed Consolidated Balance Sheets).</w:t>
      </w:r>
    </w:p>
    <w:p>
      <w:pPr>
        <w:spacing w:after="0" w:line="204"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As part of the ATSA executed in December 2019, Amazon paid the Company $10,300 toward start-up costs. Upon signing the ATSA, Amazon received 632,183 fully vested warrants to purchase the Company’s common stock, with a fair value of $4,667. This fair value was assigned to a portion of the $10,300 cash received from Amazon and the remaining $5,633 was recorded in Other Liabilities on the Company’s Condensed Consolidated Balance Sheets. This deferred up-front payment is being amortized into revenue on a pro-rata basis over the initial six years of the ATSA. For the three and six months ended June 30, 2022, $233 and $474 was amortized into Cargo revenue, respectively. For the three and six months ended June 30, 2021, $237 and $468 was amortized into Cargo revenue, respectively.</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 Assets and Liabilities are as follows:</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7"/>
                <w:szCs w:val="17"/>
                <w:color w:val="auto"/>
              </w:rPr>
            </w:pPr>
          </w:p>
        </w:tc>
        <w:tc>
          <w:tcPr>
            <w:tcW w:w="1600" w:type="dxa"/>
            <w:vAlign w:val="bottom"/>
          </w:tcPr>
          <w:p>
            <w:pPr>
              <w:jc w:val="right"/>
              <w:ind w:right="153"/>
              <w:spacing w:after="0"/>
              <w:rPr>
                <w:sz w:val="20"/>
                <w:szCs w:val="20"/>
                <w:color w:val="auto"/>
              </w:rPr>
            </w:pPr>
            <w:r>
              <w:rPr>
                <w:rFonts w:ascii="Arial" w:cs="Arial" w:eastAsia="Arial" w:hAnsi="Arial"/>
                <w:sz w:val="14"/>
                <w:szCs w:val="14"/>
                <w:b w:val="1"/>
                <w:bCs w:val="1"/>
                <w:color w:val="auto"/>
              </w:rPr>
              <w:t>December 31, 2021</w:t>
            </w:r>
          </w:p>
        </w:tc>
      </w:tr>
      <w:tr>
        <w:trPr>
          <w:trHeight w:val="215"/>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Costs to fulfill contract with Amazon</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6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Air Traffic Liabilities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123,958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118,562</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Loyalty Program Liabilities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19,718</w:t>
            </w:r>
          </w:p>
        </w:tc>
      </w:tr>
      <w:tr>
        <w:trPr>
          <w:trHeight w:val="23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Amazon Deferred Up-front Payment</w:t>
            </w: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w:t>
            </w:r>
          </w:p>
        </w:tc>
      </w:tr>
      <w:tr>
        <w:trPr>
          <w:trHeight w:val="248"/>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Contract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142,480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six months ended June 30, 2022, $105,518 of revenue was recognized in Passenger revenue that was included in the Air Traffic Liabilities as of December 31, 2021.</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Loyalty Program</w:t>
      </w:r>
    </w:p>
    <w:p>
      <w:pPr>
        <w:spacing w:after="0" w:line="24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The Company records a liability for loyalty points earned by passengers under the Sun Country Rewards program using two methods: (1) a liability for points that are earned by passengers on purchases of the Company’s services is established by deferring revenue based on the redemption value, net of estimated loyalty points that will expire unused, or breakage; and (2) a liability for points attributed to</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loyalty points issued to the Company’s Visa card holders is established by deferring a portion of payments received from the Company’s co-branded agreement. The balance of the Loyalty Program Liabilities fluctuates based on seasonal patterns, which impacts the volume of loyalty points awarded through travel or issued to co-branded credit card and other partners (deferral of revenue) and loyalty points redeemed (recognition of revenue). Due to these reasons, the timing of loyalty point redemptions can vary significantly.</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73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229"/>
        </w:trPr>
        <w:tc>
          <w:tcPr>
            <w:tcW w:w="7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22,069</w:t>
            </w: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Loyalty Points Earned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1,904</w:t>
            </w:r>
          </w:p>
        </w:tc>
      </w:tr>
      <w:tr>
        <w:trPr>
          <w:trHeight w:val="229"/>
        </w:trPr>
        <w:tc>
          <w:tcPr>
            <w:tcW w:w="73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Loyalty Points Redeemed </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r>
      <w:tr>
        <w:trPr>
          <w:trHeight w:val="223"/>
        </w:trPr>
        <w:tc>
          <w:tcPr>
            <w:tcW w:w="7340" w:type="dxa"/>
            <w:vAlign w:val="bottom"/>
          </w:tcPr>
          <w:p>
            <w:pPr>
              <w:ind w:left="20"/>
              <w:spacing w:after="0"/>
              <w:rPr>
                <w:sz w:val="20"/>
                <w:szCs w:val="20"/>
                <w:color w:val="auto"/>
              </w:rPr>
            </w:pPr>
            <w:r>
              <w:rPr>
                <w:rFonts w:ascii="Arial" w:cs="Arial" w:eastAsia="Arial" w:hAnsi="Arial"/>
                <w:sz w:val="18"/>
                <w:szCs w:val="18"/>
                <w:color w:val="auto"/>
              </w:rPr>
              <w:t>Balance – June 30</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20,877</w:t>
            </w:r>
          </w:p>
        </w:tc>
      </w:tr>
      <w:tr>
        <w:trPr>
          <w:trHeight w:val="21"/>
        </w:trPr>
        <w:tc>
          <w:tcPr>
            <w:tcW w:w="7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______________________</w:t>
      </w:r>
    </w:p>
    <w:p>
      <w:pPr>
        <w:spacing w:after="0" w:line="55" w:lineRule="exact"/>
        <w:rPr>
          <w:sz w:val="20"/>
          <w:szCs w:val="20"/>
          <w:color w:val="auto"/>
        </w:rPr>
      </w:pPr>
    </w:p>
    <w:p>
      <w:pPr>
        <w:jc w:val="both"/>
        <w:ind w:left="600" w:right="500" w:hanging="574"/>
        <w:spacing w:after="0" w:line="249" w:lineRule="auto"/>
        <w:tabs>
          <w:tab w:leader="none" w:pos="600" w:val="left"/>
        </w:tabs>
        <w:numPr>
          <w:ilvl w:val="1"/>
          <w:numId w:val="7"/>
        </w:numPr>
        <w:rPr>
          <w:rFonts w:ascii="Arial" w:cs="Arial" w:eastAsia="Arial" w:hAnsi="Arial"/>
          <w:sz w:val="14"/>
          <w:szCs w:val="14"/>
          <w:color w:val="auto"/>
        </w:rPr>
      </w:pPr>
      <w:r>
        <w:rPr>
          <w:rFonts w:ascii="Arial" w:cs="Arial" w:eastAsia="Arial" w:hAnsi="Arial"/>
          <w:sz w:val="14"/>
          <w:szCs w:val="14"/>
          <w:color w:val="auto"/>
        </w:rPr>
        <w:t>Loyalty points are combined in one homogenous pool, that includes both air and non-air travel awards, and are not separately identifiable. As such, the revenue recognized is comprised of points that were part of the Loyalty Program Liabilities balance at the beginning of the period, as well as points that were earned during the period.</w:t>
      </w:r>
    </w:p>
    <w:p>
      <w:pPr>
        <w:spacing w:after="0" w:line="294" w:lineRule="exact"/>
        <w:rPr>
          <w:rFonts w:ascii="Arial" w:cs="Arial" w:eastAsia="Arial" w:hAnsi="Arial"/>
          <w:sz w:val="14"/>
          <w:szCs w:val="14"/>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computation of basic and diluted earnings per share:</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7"/>
                <w:szCs w:val="17"/>
                <w:color w:val="auto"/>
              </w:rPr>
            </w:pPr>
          </w:p>
        </w:tc>
        <w:tc>
          <w:tcPr>
            <w:tcW w:w="248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66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r>
      <w:tr>
        <w:trPr>
          <w:trHeight w:val="188"/>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7"/>
        </w:trPr>
        <w:tc>
          <w:tcPr>
            <w:tcW w:w="4660" w:type="dxa"/>
            <w:vAlign w:val="bottom"/>
          </w:tcPr>
          <w:p>
            <w:pPr>
              <w:ind w:left="80"/>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(3,922)</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52,177</w:t>
            </w:r>
          </w:p>
        </w:tc>
        <w:tc>
          <w:tcPr>
            <w:tcW w:w="1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68,955</w:t>
            </w:r>
          </w:p>
        </w:tc>
      </w:tr>
      <w:tr>
        <w:trPr>
          <w:trHeight w:val="263"/>
        </w:trPr>
        <w:tc>
          <w:tcPr>
            <w:tcW w:w="46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197"/>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Denominator: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4660" w:type="dxa"/>
            <w:vAlign w:val="bottom"/>
            <w:shd w:val="clear" w:color="auto" w:fill="CCEEFF"/>
          </w:tcPr>
          <w:p>
            <w:pPr>
              <w:ind w:left="80"/>
              <w:spacing w:after="0"/>
              <w:rPr>
                <w:sz w:val="20"/>
                <w:szCs w:val="20"/>
                <w:color w:val="auto"/>
              </w:rPr>
            </w:pPr>
            <w:r>
              <w:rPr>
                <w:rFonts w:ascii="Arial" w:cs="Arial" w:eastAsia="Arial" w:hAnsi="Arial"/>
                <w:sz w:val="14"/>
                <w:szCs w:val="14"/>
                <w:color w:val="auto"/>
              </w:rPr>
              <w:t>Weighted Average Common Shares Outstanding - Basic</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58,060,716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57,156,159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57,984,608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52,850,041</w:t>
            </w:r>
          </w:p>
        </w:tc>
      </w:tr>
      <w:tr>
        <w:trPr>
          <w:trHeight w:val="203"/>
        </w:trPr>
        <w:tc>
          <w:tcPr>
            <w:tcW w:w="4660" w:type="dxa"/>
            <w:vAlign w:val="bottom"/>
          </w:tcPr>
          <w:p>
            <w:pPr>
              <w:ind w:left="80"/>
              <w:spacing w:after="0" w:line="202" w:lineRule="exact"/>
              <w:rPr>
                <w:sz w:val="20"/>
                <w:szCs w:val="20"/>
                <w:color w:val="auto"/>
              </w:rPr>
            </w:pPr>
            <w:r>
              <w:rPr>
                <w:rFonts w:ascii="Arial" w:cs="Arial" w:eastAsia="Arial" w:hAnsi="Arial"/>
                <w:sz w:val="14"/>
                <w:szCs w:val="14"/>
                <w:color w:val="auto"/>
              </w:rPr>
              <w:t xml:space="preserve">Dilutive effect of Stock Options, RSUs and Warrants </w:t>
            </w:r>
            <w:r>
              <w:rPr>
                <w:rFonts w:ascii="Arial" w:cs="Arial" w:eastAsia="Arial" w:hAnsi="Arial"/>
                <w:sz w:val="18"/>
                <w:szCs w:val="18"/>
                <w:color w:val="auto"/>
                <w:vertAlign w:val="superscript"/>
              </w:rPr>
              <w:t>(1)</w:t>
            </w:r>
          </w:p>
        </w:tc>
        <w:tc>
          <w:tcPr>
            <w:tcW w:w="2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4,826,282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4,553,552</w:t>
            </w:r>
          </w:p>
        </w:tc>
      </w:tr>
      <w:tr>
        <w:trPr>
          <w:trHeight w:val="221"/>
        </w:trPr>
        <w:tc>
          <w:tcPr>
            <w:tcW w:w="466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Weighted Average Common Shares Outstanding - Diluted</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58,060,716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61,982,441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57,984,608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57,403,593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0.91</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r>
      <w:tr>
        <w:trPr>
          <w:trHeight w:val="191"/>
        </w:trPr>
        <w:tc>
          <w:tcPr>
            <w:tcW w:w="46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0.84</w:t>
            </w:r>
          </w:p>
        </w:tc>
        <w:tc>
          <w:tcPr>
            <w:tcW w:w="18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0.00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1.20</w:t>
            </w:r>
          </w:p>
        </w:tc>
      </w:tr>
    </w:tbl>
    <w:p>
      <w:pPr>
        <w:spacing w:after="0" w:line="10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______________________</w:t>
      </w:r>
    </w:p>
    <w:p>
      <w:pPr>
        <w:spacing w:after="0" w:line="42" w:lineRule="exact"/>
        <w:rPr>
          <w:sz w:val="20"/>
          <w:szCs w:val="20"/>
          <w:color w:val="auto"/>
        </w:rPr>
      </w:pPr>
    </w:p>
    <w:p>
      <w:pPr>
        <w:jc w:val="both"/>
        <w:ind w:left="900" w:right="500" w:hanging="550"/>
        <w:spacing w:after="0" w:line="246" w:lineRule="auto"/>
        <w:tabs>
          <w:tab w:leader="none" w:pos="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There were 3,372,527 and 3,547,524 performance-based stock options outstanding at June 30, 2022 and 2021, respectively. As a result of the IPO and other ongoing factors, the Company estimated that approximately 74% of these options are expected to meet the performance conditions as of June 30, 2022 and are included in the measure above to the extent they are dilutive. As of June 30, 2022, 25% of the eligible outstanding performance-based stock options vested and were considered exercisable. The vested performance-based stock options are included in the measure above to the extent they are dilutive.</w:t>
      </w:r>
    </w:p>
    <w:p>
      <w:pPr>
        <w:spacing w:after="0" w:line="200" w:lineRule="exact"/>
        <w:rPr>
          <w:sz w:val="20"/>
          <w:szCs w:val="20"/>
          <w:color w:val="auto"/>
        </w:rPr>
      </w:pPr>
    </w:p>
    <w:p>
      <w:pPr>
        <w:spacing w:after="0" w:line="29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Due to the Net Loss for the three and six months ended June 30, 2022, there were 3,529,406 and 3,676,847 stock options, restricted stock units, and vested warrants that were not included in the computation of diluted earnings per share due to their anti-dilutive effect. The Company's anti-dilutive shares for all other periods presented were not material to the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Warrants held by Amazon are included in the calculation of dilutive weighted average shares outstanding as of the date the warrants vest. The unvested warrants held by Amazon have not been included in dilutive shares as their performance condition had not been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AIRCRAFT</w:t>
      </w:r>
    </w:p>
    <w:p>
      <w:pPr>
        <w:spacing w:after="0" w:line="247"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As of June 30, 2022, Sun Country operated a fleet of 53 Boeing 737-NG aircraft, consisting of 52 Boeing 737-800s and one Boeing 737-700.</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Company’s aircraft fleet activity for the six months ended June 30, 2022 and 2021, respectively:</w:t>
      </w:r>
    </w:p>
    <w:p>
      <w:pPr>
        <w:spacing w:after="0" w:line="267"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2021</w:t>
            </w:r>
          </w:p>
        </w:tc>
        <w:tc>
          <w:tcPr>
            <w:tcW w:w="1460" w:type="dxa"/>
            <w:vAlign w:val="bottom"/>
            <w:gridSpan w:val="2"/>
          </w:tcPr>
          <w:p>
            <w:pPr>
              <w:ind w:left="340"/>
              <w:spacing w:after="0"/>
              <w:rPr>
                <w:sz w:val="20"/>
                <w:szCs w:val="20"/>
                <w:color w:val="auto"/>
              </w:rPr>
            </w:pPr>
            <w:r>
              <w:rPr>
                <w:rFonts w:ascii="Arial" w:cs="Arial" w:eastAsia="Arial" w:hAnsi="Arial"/>
                <w:sz w:val="14"/>
                <w:szCs w:val="14"/>
                <w:b w:val="1"/>
                <w:bCs w:val="1"/>
                <w:color w:val="auto"/>
              </w:rPr>
              <w:t>Additions</w:t>
            </w: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Reclassifications</w:t>
            </w:r>
          </w:p>
        </w:tc>
        <w:tc>
          <w:tcPr>
            <w:tcW w:w="1400" w:type="dxa"/>
            <w:vAlign w:val="bottom"/>
            <w:gridSpan w:val="2"/>
          </w:tcPr>
          <w:p>
            <w:pPr>
              <w:ind w:left="300"/>
              <w:spacing w:after="0"/>
              <w:rPr>
                <w:sz w:val="20"/>
                <w:szCs w:val="20"/>
                <w:color w:val="auto"/>
              </w:rPr>
            </w:pPr>
            <w:r>
              <w:rPr>
                <w:rFonts w:ascii="Arial" w:cs="Arial" w:eastAsia="Arial" w:hAnsi="Arial"/>
                <w:sz w:val="14"/>
                <w:szCs w:val="14"/>
                <w:b w:val="1"/>
                <w:bCs w:val="1"/>
                <w:color w:val="auto"/>
              </w:rPr>
              <w:t>Removals</w:t>
            </w:r>
          </w:p>
        </w:tc>
        <w:tc>
          <w:tcPr>
            <w:tcW w:w="1540" w:type="dxa"/>
            <w:vAlign w:val="bottom"/>
          </w:tcPr>
          <w:p>
            <w:pPr>
              <w:jc w:val="right"/>
              <w:ind w:right="213"/>
              <w:spacing w:after="0"/>
              <w:rPr>
                <w:sz w:val="20"/>
                <w:szCs w:val="20"/>
                <w:color w:val="auto"/>
              </w:rPr>
            </w:pPr>
            <w:r>
              <w:rPr>
                <w:rFonts w:ascii="Arial" w:cs="Arial" w:eastAsia="Arial" w:hAnsi="Arial"/>
                <w:sz w:val="14"/>
                <w:szCs w:val="14"/>
                <w:b w:val="1"/>
                <w:bCs w:val="1"/>
                <w:color w:val="auto"/>
              </w:rPr>
              <w:t>June 30, 2022</w:t>
            </w:r>
          </w:p>
        </w:tc>
      </w:tr>
      <w:tr>
        <w:trPr>
          <w:trHeight w:val="24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r>
      <w:tr>
        <w:trPr>
          <w:trHeight w:val="250"/>
        </w:trPr>
        <w:tc>
          <w:tcPr>
            <w:tcW w:w="2620" w:type="dxa"/>
            <w:vAlign w:val="bottom"/>
          </w:tcPr>
          <w:p>
            <w:pPr>
              <w:ind w:left="80"/>
              <w:spacing w:after="0"/>
              <w:rPr>
                <w:sz w:val="20"/>
                <w:szCs w:val="20"/>
                <w:color w:val="auto"/>
              </w:rPr>
            </w:pPr>
            <w:r>
              <w:rPr>
                <w:rFonts w:ascii="Arial" w:cs="Arial" w:eastAsia="Arial" w:hAnsi="Arial"/>
                <w:sz w:val="18"/>
                <w:szCs w:val="18"/>
                <w:color w:val="auto"/>
              </w:rPr>
              <w:t>Owned</w:t>
            </w:r>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40" w:type="dxa"/>
            <w:vAlign w:val="bottom"/>
          </w:tcPr>
          <w:p>
            <w:pPr>
              <w:jc w:val="center"/>
              <w:ind w:left="1213"/>
              <w:spacing w:after="0"/>
              <w:rPr>
                <w:sz w:val="20"/>
                <w:szCs w:val="20"/>
                <w:color w:val="auto"/>
              </w:rPr>
            </w:pPr>
            <w:r>
              <w:rPr>
                <w:rFonts w:ascii="Arial" w:cs="Arial" w:eastAsia="Arial" w:hAnsi="Arial"/>
                <w:sz w:val="18"/>
                <w:szCs w:val="18"/>
                <w:color w:val="auto"/>
                <w:w w:val="99"/>
              </w:rPr>
              <w:t>26</w:t>
            </w:r>
          </w:p>
        </w:tc>
      </w:tr>
      <w:tr>
        <w:trPr>
          <w:trHeight w:val="263"/>
        </w:trPr>
        <w:tc>
          <w:tcPr>
            <w:tcW w:w="2620" w:type="dxa"/>
            <w:vAlign w:val="bottom"/>
            <w:shd w:val="clear" w:color="auto" w:fill="CCEEFF"/>
          </w:tcPr>
          <w:p>
            <w:pPr>
              <w:ind w:left="80"/>
              <w:spacing w:after="0" w:line="263" w:lineRule="exact"/>
              <w:rPr>
                <w:sz w:val="20"/>
                <w:szCs w:val="20"/>
                <w:color w:val="auto"/>
              </w:rPr>
            </w:pPr>
            <w:r>
              <w:rPr>
                <w:rFonts w:ascii="Arial" w:cs="Arial" w:eastAsia="Arial" w:hAnsi="Arial"/>
                <w:sz w:val="18"/>
                <w:szCs w:val="18"/>
                <w:color w:val="auto"/>
              </w:rPr>
              <w:t xml:space="preserve">Finance leases </w:t>
            </w:r>
            <w:r>
              <w:rPr>
                <w:rFonts w:ascii="Arial" w:cs="Arial" w:eastAsia="Arial" w:hAnsi="Arial"/>
                <w:sz w:val="23"/>
                <w:szCs w:val="23"/>
                <w:color w:val="auto"/>
                <w:vertAlign w:val="superscript"/>
              </w:rPr>
              <w:t>(1)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center"/>
              <w:ind w:left="1213"/>
              <w:spacing w:after="0"/>
              <w:rPr>
                <w:sz w:val="20"/>
                <w:szCs w:val="20"/>
                <w:color w:val="auto"/>
              </w:rPr>
            </w:pPr>
            <w:r>
              <w:rPr>
                <w:rFonts w:ascii="Arial" w:cs="Arial" w:eastAsia="Arial" w:hAnsi="Arial"/>
                <w:sz w:val="18"/>
                <w:szCs w:val="18"/>
                <w:color w:val="auto"/>
                <w:w w:val="99"/>
              </w:rPr>
              <w:t>11</w:t>
            </w:r>
          </w:p>
        </w:tc>
      </w:tr>
      <w:tr>
        <w:trPr>
          <w:trHeight w:val="250"/>
        </w:trPr>
        <w:tc>
          <w:tcPr>
            <w:tcW w:w="26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Operating leases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Sun Country Airlines’ Fleet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jc w:val="center"/>
              <w:ind w:left="1213"/>
              <w:spacing w:after="0"/>
              <w:rPr>
                <w:sz w:val="20"/>
                <w:szCs w:val="20"/>
                <w:color w:val="auto"/>
              </w:rPr>
            </w:pPr>
            <w:r>
              <w:rPr>
                <w:rFonts w:ascii="Arial" w:cs="Arial" w:eastAsia="Arial" w:hAnsi="Arial"/>
                <w:sz w:val="18"/>
                <w:szCs w:val="18"/>
                <w:color w:val="auto"/>
                <w:w w:val="99"/>
              </w:rPr>
              <w:t>41</w:t>
            </w:r>
          </w:p>
        </w:tc>
      </w:tr>
      <w:tr>
        <w:trPr>
          <w:trHeight w:val="250"/>
        </w:trPr>
        <w:tc>
          <w:tcPr>
            <w:tcW w:w="2620" w:type="dxa"/>
            <w:vAlign w:val="bottom"/>
          </w:tcPr>
          <w:p>
            <w:pPr>
              <w:ind w:left="20"/>
              <w:spacing w:after="0"/>
              <w:rPr>
                <w:sz w:val="20"/>
                <w:szCs w:val="20"/>
                <w:color w:val="auto"/>
              </w:rPr>
            </w:pPr>
            <w:r>
              <w:rPr>
                <w:rFonts w:ascii="Arial" w:cs="Arial" w:eastAsia="Arial" w:hAnsi="Arial"/>
                <w:sz w:val="18"/>
                <w:szCs w:val="18"/>
                <w:color w:val="auto"/>
              </w:rPr>
              <w:t>Cargo:</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57"/>
        </w:trPr>
        <w:tc>
          <w:tcPr>
            <w:tcW w:w="2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Operated for Amazon</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center"/>
              <w:ind w:left="1213"/>
              <w:spacing w:after="0"/>
              <w:rPr>
                <w:sz w:val="20"/>
                <w:szCs w:val="20"/>
                <w:color w:val="auto"/>
              </w:rPr>
            </w:pPr>
            <w:r>
              <w:rPr>
                <w:rFonts w:ascii="Arial" w:cs="Arial" w:eastAsia="Arial" w:hAnsi="Arial"/>
                <w:sz w:val="18"/>
                <w:szCs w:val="18"/>
                <w:color w:val="auto"/>
                <w:w w:val="99"/>
              </w:rPr>
              <w:t>12</w:t>
            </w:r>
          </w:p>
        </w:tc>
      </w:tr>
      <w:tr>
        <w:trPr>
          <w:trHeight w:val="256"/>
        </w:trPr>
        <w:tc>
          <w:tcPr>
            <w:tcW w:w="2620" w:type="dxa"/>
            <w:vAlign w:val="bottom"/>
          </w:tcPr>
          <w:p>
            <w:pPr>
              <w:ind w:left="180"/>
              <w:spacing w:after="0"/>
              <w:rPr>
                <w:sz w:val="20"/>
                <w:szCs w:val="20"/>
                <w:color w:val="auto"/>
              </w:rPr>
            </w:pPr>
            <w:r>
              <w:rPr>
                <w:rFonts w:ascii="Arial" w:cs="Arial" w:eastAsia="Arial" w:hAnsi="Arial"/>
                <w:sz w:val="18"/>
                <w:szCs w:val="18"/>
                <w:color w:val="auto"/>
              </w:rPr>
              <w:t>Total Aircraft Operated</w:t>
            </w:r>
          </w:p>
        </w:tc>
        <w:tc>
          <w:tcPr>
            <w:tcW w:w="16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540" w:type="dxa"/>
            <w:vAlign w:val="bottom"/>
          </w:tcPr>
          <w:p>
            <w:pPr>
              <w:jc w:val="center"/>
              <w:ind w:left="1213"/>
              <w:spacing w:after="0"/>
              <w:rPr>
                <w:sz w:val="20"/>
                <w:szCs w:val="20"/>
                <w:color w:val="auto"/>
              </w:rPr>
            </w:pPr>
            <w:r>
              <w:rPr>
                <w:rFonts w:ascii="Arial" w:cs="Arial" w:eastAsia="Arial" w:hAnsi="Arial"/>
                <w:sz w:val="18"/>
                <w:szCs w:val="18"/>
                <w:color w:val="auto"/>
                <w:w w:val="99"/>
              </w:rPr>
              <w:t>53</w:t>
            </w: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26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10"/>
        </w:trPr>
        <w:tc>
          <w:tcPr>
            <w:tcW w:w="2620" w:type="dxa"/>
            <w:vAlign w:val="bottom"/>
          </w:tcPr>
          <w:p>
            <w:pPr>
              <w:spacing w:after="0"/>
              <w:rPr>
                <w:sz w:val="18"/>
                <w:szCs w:val="18"/>
                <w:color w:val="auto"/>
              </w:rPr>
            </w:pPr>
          </w:p>
        </w:tc>
        <w:tc>
          <w:tcPr>
            <w:tcW w:w="17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2020</w:t>
            </w:r>
          </w:p>
        </w:tc>
        <w:tc>
          <w:tcPr>
            <w:tcW w:w="1460" w:type="dxa"/>
            <w:vAlign w:val="bottom"/>
            <w:gridSpan w:val="2"/>
          </w:tcPr>
          <w:p>
            <w:pPr>
              <w:ind w:left="340"/>
              <w:spacing w:after="0"/>
              <w:rPr>
                <w:sz w:val="20"/>
                <w:szCs w:val="20"/>
                <w:color w:val="auto"/>
              </w:rPr>
            </w:pPr>
            <w:r>
              <w:rPr>
                <w:rFonts w:ascii="Arial" w:cs="Arial" w:eastAsia="Arial" w:hAnsi="Arial"/>
                <w:sz w:val="14"/>
                <w:szCs w:val="14"/>
                <w:b w:val="1"/>
                <w:bCs w:val="1"/>
                <w:color w:val="auto"/>
              </w:rPr>
              <w:t>Additions</w:t>
            </w: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Reclassifications</w:t>
            </w:r>
          </w:p>
        </w:tc>
        <w:tc>
          <w:tcPr>
            <w:tcW w:w="1400" w:type="dxa"/>
            <w:vAlign w:val="bottom"/>
            <w:gridSpan w:val="2"/>
          </w:tcPr>
          <w:p>
            <w:pPr>
              <w:ind w:left="300"/>
              <w:spacing w:after="0"/>
              <w:rPr>
                <w:sz w:val="20"/>
                <w:szCs w:val="20"/>
                <w:color w:val="auto"/>
              </w:rPr>
            </w:pPr>
            <w:r>
              <w:rPr>
                <w:rFonts w:ascii="Arial" w:cs="Arial" w:eastAsia="Arial" w:hAnsi="Arial"/>
                <w:sz w:val="14"/>
                <w:szCs w:val="14"/>
                <w:b w:val="1"/>
                <w:bCs w:val="1"/>
                <w:color w:val="auto"/>
              </w:rPr>
              <w:t>Removals</w:t>
            </w:r>
          </w:p>
        </w:tc>
        <w:tc>
          <w:tcPr>
            <w:tcW w:w="1540" w:type="dxa"/>
            <w:vAlign w:val="bottom"/>
          </w:tcPr>
          <w:p>
            <w:pPr>
              <w:jc w:val="right"/>
              <w:ind w:right="213"/>
              <w:spacing w:after="0"/>
              <w:rPr>
                <w:sz w:val="20"/>
                <w:szCs w:val="20"/>
                <w:color w:val="auto"/>
              </w:rPr>
            </w:pPr>
            <w:r>
              <w:rPr>
                <w:rFonts w:ascii="Arial" w:cs="Arial" w:eastAsia="Arial" w:hAnsi="Arial"/>
                <w:sz w:val="14"/>
                <w:szCs w:val="14"/>
                <w:b w:val="1"/>
                <w:bCs w:val="1"/>
                <w:color w:val="auto"/>
              </w:rPr>
              <w:t>June 30, 2021</w:t>
            </w:r>
          </w:p>
        </w:tc>
      </w:tr>
      <w:tr>
        <w:trPr>
          <w:trHeight w:val="215"/>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30"/>
        </w:trPr>
        <w:tc>
          <w:tcPr>
            <w:tcW w:w="2620" w:type="dxa"/>
            <w:vAlign w:val="bottom"/>
          </w:tcPr>
          <w:p>
            <w:pPr>
              <w:ind w:left="120"/>
              <w:spacing w:after="0"/>
              <w:rPr>
                <w:sz w:val="20"/>
                <w:szCs w:val="20"/>
                <w:color w:val="auto"/>
              </w:rPr>
            </w:pPr>
            <w:r>
              <w:rPr>
                <w:rFonts w:ascii="Arial" w:cs="Arial" w:eastAsia="Arial" w:hAnsi="Arial"/>
                <w:sz w:val="18"/>
                <w:szCs w:val="18"/>
                <w:color w:val="auto"/>
              </w:rPr>
              <w:t>Owned</w:t>
            </w: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center"/>
              <w:ind w:left="1233"/>
              <w:spacing w:after="0"/>
              <w:rPr>
                <w:sz w:val="20"/>
                <w:szCs w:val="20"/>
                <w:color w:val="auto"/>
              </w:rPr>
            </w:pPr>
            <w:r>
              <w:rPr>
                <w:rFonts w:ascii="Arial" w:cs="Arial" w:eastAsia="Arial" w:hAnsi="Arial"/>
                <w:sz w:val="18"/>
                <w:szCs w:val="18"/>
                <w:color w:val="auto"/>
                <w:w w:val="99"/>
              </w:rPr>
              <w:t>7</w:t>
            </w:r>
          </w:p>
        </w:tc>
      </w:tr>
      <w:tr>
        <w:trPr>
          <w:trHeight w:val="230"/>
        </w:trPr>
        <w:tc>
          <w:tcPr>
            <w:tcW w:w="2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Operating leases</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ind w:left="1233"/>
              <w:spacing w:after="0"/>
              <w:rPr>
                <w:sz w:val="20"/>
                <w:szCs w:val="20"/>
                <w:color w:val="auto"/>
              </w:rPr>
            </w:pPr>
            <w:r>
              <w:rPr>
                <w:rFonts w:ascii="Arial" w:cs="Arial" w:eastAsia="Arial" w:hAnsi="Arial"/>
                <w:sz w:val="18"/>
                <w:szCs w:val="18"/>
                <w:color w:val="auto"/>
                <w:w w:val="99"/>
              </w:rPr>
              <w:t>6</w:t>
            </w:r>
          </w:p>
        </w:tc>
      </w:tr>
      <w:tr>
        <w:trPr>
          <w:trHeight w:val="223"/>
        </w:trPr>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Sun Country Airlines’ Fleet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Cargo:</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Aircraft Operated for Amazon</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2620" w:type="dxa"/>
            <w:vAlign w:val="bottom"/>
          </w:tcPr>
          <w:p>
            <w:pPr>
              <w:ind w:left="220"/>
              <w:spacing w:after="0"/>
              <w:rPr>
                <w:sz w:val="20"/>
                <w:szCs w:val="20"/>
                <w:color w:val="auto"/>
              </w:rPr>
            </w:pPr>
            <w:r>
              <w:rPr>
                <w:rFonts w:ascii="Arial" w:cs="Arial" w:eastAsia="Arial" w:hAnsi="Arial"/>
                <w:sz w:val="18"/>
                <w:szCs w:val="18"/>
                <w:color w:val="auto"/>
              </w:rPr>
              <w:t>Total Aircraft Operated</w:t>
            </w:r>
          </w:p>
        </w:tc>
        <w:tc>
          <w:tcPr>
            <w:tcW w:w="16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26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900" w:right="500" w:hanging="550"/>
        <w:spacing w:after="0" w:line="258" w:lineRule="auto"/>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Two aircraft operating leases were reclassified into finance lease and a separate aircraft finance lease purchase option was exercised, resulting in a net change of one finance lease reclassification.</w:t>
      </w:r>
    </w:p>
    <w:p>
      <w:pPr>
        <w:spacing w:after="0" w:line="310"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 xml:space="preserve">During the six months ended June 30, 2022, the Company acquired six incremental aircraft, five of which were financed using proceeds from the issuance of Class A and Class B pass-through trust certificates (the "2022-1 EETC"), and one through a finance lease arrangement that is set to expire in fiscal year 2030. As of June 30, 2022, 25 of the aircraft were financed and one aircraft was unencumbered. For more information on the Company's financing arrangements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of these Condensed Consolidated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During the six months ended June 30, 2022, the Company completed transactions that adjusted the composition of its fleet. The Company executed lease amendments to purchase two aircraft at the end of the lease term, which modified the classification from operating leases to finance leases with expiration dates in fiscal year 2026. Further, the Company purchased an aircraft previously classified as a finance lease using proceeds from the 2022-1 EETC.</w:t>
      </w:r>
    </w:p>
    <w:p>
      <w:pPr>
        <w:spacing w:after="0" w:line="204"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 xml:space="preserve">During the six months ended June 30, 2022, an owned aircraft was retired due to the aircraft sustaining damage beyond economic repair. The retirement had no impact on the Company's Condensed Consolidated Results of Operations, see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for more information.</w:t>
      </w:r>
    </w:p>
    <w:p>
      <w:pPr>
        <w:spacing w:after="0" w:line="202" w:lineRule="exact"/>
        <w:rPr>
          <w:sz w:val="20"/>
          <w:szCs w:val="20"/>
          <w:color w:val="auto"/>
        </w:rPr>
      </w:pPr>
    </w:p>
    <w:p>
      <w:pPr>
        <w:jc w:val="both"/>
        <w:ind w:left="340" w:right="20"/>
        <w:spacing w:after="0" w:line="261" w:lineRule="auto"/>
        <w:rPr>
          <w:sz w:val="20"/>
          <w:szCs w:val="20"/>
          <w:color w:val="auto"/>
        </w:rPr>
      </w:pPr>
      <w:r>
        <w:rPr>
          <w:rFonts w:ascii="Arial" w:cs="Arial" w:eastAsia="Arial" w:hAnsi="Arial"/>
          <w:sz w:val="18"/>
          <w:szCs w:val="18"/>
          <w:color w:val="auto"/>
        </w:rPr>
        <w:t>Subsequent to June 30, 2022, the Company took delivery of an aircraft contracted under a six-year lease, with lease payments approximating $2,220 per year.</w:t>
      </w:r>
    </w:p>
    <w:p>
      <w:pPr>
        <w:spacing w:after="0" w:line="198"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color w:val="auto"/>
        </w:rPr>
        <w:t xml:space="preserve">The six aircraft purchased during the six months ended June 30, 2021 were financed through the Delayed Draw Term Loan Facility (see </w:t>
      </w:r>
      <w:r>
        <w:rPr>
          <w:rFonts w:ascii="Arial" w:cs="Arial" w:eastAsia="Arial" w:hAnsi="Arial"/>
          <w:sz w:val="18"/>
          <w:szCs w:val="18"/>
          <w:u w:val="single" w:color="auto"/>
          <w:color w:val="0000FF"/>
        </w:rPr>
        <w:t>Note 7</w:t>
      </w:r>
      <w:r>
        <w:rPr>
          <w:rFonts w:ascii="Arial" w:cs="Arial" w:eastAsia="Arial" w:hAnsi="Arial"/>
          <w:sz w:val="18"/>
          <w:szCs w:val="18"/>
          <w:color w:val="000000"/>
        </w:rPr>
        <w:t>). All six aircraft were previously accounted for as operating leases. Additionally, the Company obtained an additional two aircraft</w:t>
      </w:r>
      <w:r>
        <w:rPr>
          <w:rFonts w:ascii="Arial" w:cs="Arial" w:eastAsia="Arial" w:hAnsi="Arial"/>
          <w:sz w:val="18"/>
          <w:szCs w:val="18"/>
          <w:color w:val="0000FF"/>
        </w:rPr>
        <w:t xml:space="preserve"> </w:t>
      </w:r>
      <w:r>
        <w:rPr>
          <w:rFonts w:ascii="Arial" w:cs="Arial" w:eastAsia="Arial" w:hAnsi="Arial"/>
          <w:sz w:val="18"/>
          <w:szCs w:val="18"/>
          <w:color w:val="000000"/>
        </w:rPr>
        <w:t>under finance leases.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amortization, and rent expense on aircraft are as follows:</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18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7"/>
                <w:szCs w:val="17"/>
                <w:color w:val="auto"/>
              </w:rPr>
            </w:pPr>
          </w:p>
        </w:tc>
        <w:tc>
          <w:tcPr>
            <w:tcW w:w="272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Six Months Ended June 30,</w:t>
            </w:r>
          </w:p>
        </w:tc>
      </w:tr>
      <w:tr>
        <w:trPr>
          <w:trHeight w:val="197"/>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Aircraft Status</w:t>
            </w:r>
          </w:p>
        </w:tc>
        <w:tc>
          <w:tcPr>
            <w:tcW w:w="226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Expense Type</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9"/>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23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17,230</w:t>
            </w: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Finance Leased</w:t>
            </w:r>
          </w:p>
        </w:tc>
        <w:tc>
          <w:tcPr>
            <w:tcW w:w="2360" w:type="dxa"/>
            <w:vAlign w:val="bottom"/>
            <w:gridSpan w:val="2"/>
          </w:tcPr>
          <w:p>
            <w:pPr>
              <w:ind w:left="40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4,870</w:t>
            </w:r>
          </w:p>
        </w:tc>
      </w:tr>
      <w:tr>
        <w:trPr>
          <w:trHeight w:val="230"/>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Leased</w:t>
            </w:r>
          </w:p>
        </w:tc>
        <w:tc>
          <w:tcPr>
            <w:tcW w:w="2360" w:type="dxa"/>
            <w:vAlign w:val="bottom"/>
            <w:gridSpan w:val="2"/>
            <w:shd w:val="clear" w:color="auto" w:fill="CCEEFF"/>
          </w:tcPr>
          <w:p>
            <w:pPr>
              <w:ind w:left="400"/>
              <w:spacing w:after="0" w:line="230" w:lineRule="exact"/>
              <w:rPr>
                <w:sz w:val="20"/>
                <w:szCs w:val="20"/>
                <w:color w:val="auto"/>
              </w:rPr>
            </w:pPr>
            <w:r>
              <w:rPr>
                <w:rFonts w:ascii="Arial" w:cs="Arial" w:eastAsia="Arial" w:hAnsi="Arial"/>
                <w:sz w:val="18"/>
                <w:szCs w:val="18"/>
                <w:color w:val="auto"/>
              </w:rPr>
              <w:t xml:space="preserve">Aircraft Rent </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9,414</w:t>
            </w:r>
          </w:p>
        </w:tc>
      </w:tr>
      <w:tr>
        <w:trPr>
          <w:trHeight w:val="223"/>
        </w:trPr>
        <w:tc>
          <w:tcPr>
            <w:tcW w:w="18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15,650</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31,514</w:t>
            </w:r>
          </w:p>
        </w:tc>
      </w:tr>
      <w:tr>
        <w:trPr>
          <w:trHeight w:val="20"/>
        </w:trPr>
        <w:tc>
          <w:tcPr>
            <w:tcW w:w="18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900" w:hanging="550"/>
        <w:spacing w:after="0"/>
        <w:tabs>
          <w:tab w:leader="none" w:pos="9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Aircraft Rent expense includes credits for the amortization of over-market liabilities established at the Acquisition Date.</w:t>
      </w:r>
    </w:p>
    <w:p>
      <w:pPr>
        <w:spacing w:after="0" w:line="333"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Depreciation expense on owned aircraft and amortization expense on finance leased aircraft are both classified in Depreciation and Amortization on the Condensed Consolidated Statements of Operations.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Aircraft Maintenance Deposits Contra-Assets</w:t>
      </w:r>
    </w:p>
    <w:p>
      <w:pPr>
        <w:spacing w:after="0" w:line="24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As of the Acquisition Date, the Company established a maintenance deposit contra-asset to offset the acquired maintenance deposits assets included in Short-term Lessor Maintenance Deposits on the Condensed Consolidated Balance Sheets. The assets represent funds paid by the previous owners of the Company to the lessor that were kept as funds on deposit for maintenance events and the contra-assets represent the Company’s obligation to perform planned maintenance events on leased aircraft held as of the Acquisition date. As reimbursable maintenance events are performed and Maintenance Expense is incurred, a portion of the contra-asset is recognized as a reduction to Maintenance Expense on the Condensed Consolidated Statements of Operations due to the fact that the previously acquired maintenance deposit is partially funding the maintenance event. As of June 30, 2022 and December 31, 2021, the remaining balance of the contra-asset was $21,897 and $22,348, respectively.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Over-market Liabilities</w:t>
      </w:r>
    </w:p>
    <w:p>
      <w:pPr>
        <w:spacing w:after="0" w:line="24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As of the Acquisition Date, the Company recognized a liability representing lease terms which are unfavorable compared with market terms of similar leases. The over-market lease liability is recorded as a contra-asset offsetting the corresponding lease asset. The remaining unamortized balance of this contra-asset as of June 30, 2022 and December 31, 2021 was $344 and $10,363, respectively and is recorded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within Operating Lease Right-of-Use Assets. During the six months ended June 30, 2022, the Company executed lease amendments which modified two aircraft from operating leases to finance leases. As a result of the modifications, the Company reclassified $9,687 of the over-market lease liability from Operating Lease Right-of-Use Assets to Finance Lease Assets. The resulting reclassification reduced the go-forward Depreciation and Amortization for the related Finance Lease Assets.</w:t>
      </w:r>
    </w:p>
    <w:p>
      <w:pPr>
        <w:spacing w:after="0" w:line="204"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As of the Acquisition Date, Sun Country’s existing leases included payments for maintenance reserves in addition to the stated aircraft lease payments. For a substantial portion of these maintenance reserve payments, the Company does not expect to be reimbursed by the lessor. Therefore, a liability was established representing over-market maintenance reserve lease terms compared to market terms of similar leases. The remaining balance of this liability at June 30, 2022 and December 31, 2021 was $7,027 and $14,737, respectively. Of the $7,710 reduction in the over-market maintenance reserve liabilities during the six months ended June 30, 2022, $6,023 was incorporated into the Finance Lease Assets in accordance with the terms of the executed lease amendments, as described above.</w:t>
      </w:r>
    </w:p>
    <w:p>
      <w:pPr>
        <w:spacing w:after="0" w:line="186"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sz w:val="20"/>
          <w:szCs w:val="20"/>
          <w:color w:val="auto"/>
        </w:rPr>
      </w:pPr>
    </w:p>
    <w:p>
      <w:pPr>
        <w:jc w:val="both"/>
        <w:ind w:left="260"/>
        <w:spacing w:after="0" w:line="255"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On February 10, 2021, the Company executed a five-year credit agreement (the “Credit Agreement”) with a group of</w:t>
      </w:r>
      <w:r>
        <w:rPr>
          <w:rFonts w:ascii="Arial" w:cs="Arial" w:eastAsia="Arial" w:hAnsi="Arial"/>
          <w:sz w:val="18"/>
          <w:szCs w:val="18"/>
          <w:b w:val="1"/>
          <w:bCs w:val="1"/>
          <w:color w:val="auto"/>
        </w:rPr>
        <w:t xml:space="preserve"> </w:t>
      </w:r>
      <w:r>
        <w:rPr>
          <w:rFonts w:ascii="Arial" w:cs="Arial" w:eastAsia="Arial" w:hAnsi="Arial"/>
          <w:sz w:val="18"/>
          <w:szCs w:val="18"/>
          <w:color w:val="auto"/>
        </w:rPr>
        <w:t>lenders that replaced the Company’s prior $25,000 asset-based revolving credit facility. The Credit Agreement includes a $25,000 Revolving Credit Facility (the "Revolving Credit Facility") and a $90,000 Delayed Draw Term Loan Facility (“DDTL”), which are collectively referred to as the “Credit Facilities.” The proceeds from the Revolving Credit Facility can be used for general corporate purposes, whereas the proceeds from the DDTL were to be used solely to finance the acquisition of aircraft or engines to be registered in the United States. The Credit Agreement includes financial covenants that require a minimum trailing 12-month EBITDAR ($87,700 as of March 31, 2022 and beyond) and minimum liquidity of $30,000 at the close of any business day. The Company was in compliance with these covenants as of June 30, 2022.</w:t>
      </w:r>
    </w:p>
    <w:p>
      <w:pPr>
        <w:spacing w:after="0" w:line="207" w:lineRule="exact"/>
        <w:rPr>
          <w:sz w:val="20"/>
          <w:szCs w:val="20"/>
          <w:color w:val="auto"/>
        </w:rPr>
      </w:pPr>
    </w:p>
    <w:p>
      <w:pPr>
        <w:jc w:val="both"/>
        <w:ind w:left="260"/>
        <w:spacing w:after="0" w:line="252" w:lineRule="auto"/>
        <w:rPr>
          <w:sz w:val="20"/>
          <w:szCs w:val="20"/>
          <w:color w:val="auto"/>
        </w:rPr>
      </w:pPr>
      <w:r>
        <w:rPr>
          <w:rFonts w:ascii="Arial" w:cs="Arial" w:eastAsia="Arial" w:hAnsi="Arial"/>
          <w:sz w:val="18"/>
          <w:szCs w:val="18"/>
          <w:color w:val="auto"/>
        </w:rPr>
        <w:t>During 2021, the Company drew $ 80,500 on the DDTL to purchase six aircraft, which were previously under operating leases. During the six months ended June 30, 2022, the Company repaid the outstanding balance of the DDTL in full using proceeds it received from the 2022-1 EETC, which terminated the DDTL. As a result, no amounts under the DDTL were available to the Company as of June 30, 2022. The Company recorded a $1,557 loss on extinguishment of debt related to the repayment of the DDTL, which represents the write-off of the unamortized deferred financing costs. As of June 30, 2022, the Revolving Credit Facility remained undrawn and available to the Company.</w:t>
      </w:r>
    </w:p>
    <w:p>
      <w:pPr>
        <w:spacing w:after="0" w:line="186" w:lineRule="exact"/>
        <w:rPr>
          <w:sz w:val="20"/>
          <w:szCs w:val="20"/>
          <w:color w:val="auto"/>
        </w:rPr>
      </w:pPr>
    </w:p>
    <w:p>
      <w:pPr>
        <w:jc w:val="both"/>
        <w:ind w:left="260"/>
        <w:spacing w:after="0" w:line="268"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 In December 2019, the Company arranged for the issuance of Class A, Class B and Class C pass-through trust</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Series 2019-1 (the “2019-1 EETC”), in an aggregate face amount of $248,587 for the purpose of financing or refinancing 13 used aircraft, which was completed in 2020.</w:t>
      </w:r>
    </w:p>
    <w:p>
      <w:pPr>
        <w:spacing w:after="0" w:line="206" w:lineRule="exact"/>
        <w:rPr>
          <w:sz w:val="20"/>
          <w:szCs w:val="20"/>
          <w:color w:val="auto"/>
        </w:rPr>
      </w:pPr>
    </w:p>
    <w:p>
      <w:pPr>
        <w:jc w:val="both"/>
        <w:ind w:left="260"/>
        <w:spacing w:after="0" w:line="234" w:lineRule="auto"/>
        <w:rPr>
          <w:sz w:val="20"/>
          <w:szCs w:val="20"/>
          <w:color w:val="auto"/>
        </w:rPr>
      </w:pPr>
      <w:r>
        <w:rPr>
          <w:rFonts w:ascii="Arial" w:cs="Arial" w:eastAsia="Arial" w:hAnsi="Arial"/>
          <w:sz w:val="18"/>
          <w:szCs w:val="18"/>
          <w:color w:val="auto"/>
        </w:rPr>
        <w:t>In March 2022, the Company arranged for the issuance of the 2022-1 EETC in an aggregate face amount of $188,277 for the purpose of financing or refinancing 13 aircraft. The Company recorded $2,402 in debt issuance costs associated with the 2022-1 EETC. Of the 12 aircraft financed by the 2022-1 EETC during the six months ended June 30, 2022, five were existing owned aircraft previously financed by the DDTL, two of the aircraft were owned outright, four of the aircraft were acquired incrementally, and one aircraft was bought-out from an existing finance lease. The 13th and final aircraft to be financed by the 2022-1 EETC is currently under lease and is expected to be purchased from the lessor in the third quarter of 2022. During the six months ended June 30, 2022, the Company received gross</w:t>
      </w:r>
    </w:p>
    <w:p>
      <w:pPr>
        <w:spacing w:after="0" w:line="4" w:lineRule="exact"/>
        <w:rPr>
          <w:sz w:val="20"/>
          <w:szCs w:val="20"/>
          <w:color w:val="auto"/>
        </w:rPr>
      </w:pPr>
    </w:p>
    <w:p>
      <w:pPr>
        <w:jc w:val="both"/>
        <w:ind w:left="260"/>
        <w:spacing w:after="0" w:line="226" w:lineRule="auto"/>
        <w:rPr>
          <w:sz w:val="20"/>
          <w:szCs w:val="20"/>
          <w:color w:val="auto"/>
        </w:rPr>
      </w:pPr>
      <w:r>
        <w:rPr>
          <w:rFonts w:ascii="Arial" w:cs="Arial" w:eastAsia="Arial" w:hAnsi="Arial"/>
          <w:sz w:val="18"/>
          <w:szCs w:val="18"/>
          <w:color w:val="auto"/>
        </w:rPr>
        <w:t>proceeds of $172,507 with respect to 12 of the aircraft. The remaining $15,770 of gross proceeds is expected to be received on or before September 15, 2022 in connection with purchasing the 13th aircraft from the lessor. The Company is required to make semi-annual</w:t>
      </w:r>
    </w:p>
    <w:p>
      <w:pPr>
        <w:spacing w:after="0" w:line="2" w:lineRule="exact"/>
        <w:rPr>
          <w:sz w:val="20"/>
          <w:szCs w:val="20"/>
          <w:color w:val="auto"/>
        </w:rPr>
      </w:pPr>
    </w:p>
    <w:p>
      <w:pPr>
        <w:jc w:val="both"/>
        <w:ind w:left="260"/>
        <w:spacing w:after="0" w:line="246" w:lineRule="auto"/>
        <w:rPr>
          <w:sz w:val="20"/>
          <w:szCs w:val="20"/>
          <w:color w:val="auto"/>
        </w:rPr>
      </w:pPr>
      <w:r>
        <w:rPr>
          <w:rFonts w:ascii="Arial" w:cs="Arial" w:eastAsia="Arial" w:hAnsi="Arial"/>
          <w:sz w:val="18"/>
          <w:szCs w:val="18"/>
          <w:color w:val="auto"/>
        </w:rPr>
        <w:t>principal and interest payments each March and September beginning with the first payment on September 15, 2022. The 2022-1 EETC is secured by a lien on the financed or refinanced aircraft and will be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60"/>
        <w:spacing w:after="0" w:line="246" w:lineRule="auto"/>
        <w:rPr>
          <w:sz w:val="20"/>
          <w:szCs w:val="20"/>
          <w:color w:val="auto"/>
        </w:rPr>
      </w:pPr>
      <w:r>
        <w:rPr>
          <w:rFonts w:ascii="Arial" w:cs="Arial" w:eastAsia="Arial" w:hAnsi="Arial"/>
          <w:sz w:val="18"/>
          <w:szCs w:val="18"/>
          <w:color w:val="auto"/>
        </w:rPr>
        <w:t>cross-collateralized by the other aircraft financed through the issuance. Total appraised value of the 12 currently financed aircraft was approximately $237,936 as of the original date of the agreement.</w:t>
      </w:r>
    </w:p>
    <w:p>
      <w:pPr>
        <w:spacing w:after="0" w:line="210" w:lineRule="exact"/>
        <w:rPr>
          <w:sz w:val="20"/>
          <w:szCs w:val="20"/>
          <w:color w:val="auto"/>
        </w:rPr>
      </w:pPr>
    </w:p>
    <w:p>
      <w:pPr>
        <w:ind w:left="260"/>
        <w:spacing w:after="0" w:line="261" w:lineRule="auto"/>
        <w:rPr>
          <w:sz w:val="20"/>
          <w:szCs w:val="20"/>
          <w:color w:val="auto"/>
        </w:rPr>
      </w:pPr>
      <w:r>
        <w:rPr>
          <w:rFonts w:ascii="Arial" w:cs="Arial" w:eastAsia="Arial" w:hAnsi="Arial"/>
          <w:sz w:val="18"/>
          <w:szCs w:val="18"/>
          <w:color w:val="auto"/>
        </w:rPr>
        <w:t>During the six months ended June 30, 2022, the Company capitalized $ 1,278 of Interest Expense related to aircraft financed with the proceeds of the 2022-1 EETC. The Company expects these aircrafts to be placed into service by the end of 2022.</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Long-term Debt includes the following:</w:t>
      </w:r>
    </w:p>
    <w:p>
      <w:pPr>
        <w:spacing w:after="0" w:line="253" w:lineRule="exact"/>
        <w:rPr>
          <w:sz w:val="20"/>
          <w:szCs w:val="20"/>
          <w:color w:val="auto"/>
        </w:rPr>
      </w:pPr>
    </w:p>
    <w:tbl>
      <w:tblPr>
        <w:tblLayout w:type="fixed"/>
        <w:tblInd w:w="260" w:type="dxa"/>
        <w:tblCellMar>
          <w:top w:w="0" w:type="dxa"/>
          <w:left w:w="0" w:type="dxa"/>
          <w:bottom w:w="0" w:type="dxa"/>
          <w:right w:w="0" w:type="dxa"/>
        </w:tblCellMar>
      </w:tblPr>
      <w:tr>
        <w:trPr>
          <w:trHeight w:val="196"/>
        </w:trPr>
        <w:tc>
          <w:tcPr>
            <w:tcW w:w="5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7"/>
                <w:szCs w:val="17"/>
                <w:color w:val="auto"/>
              </w:rPr>
            </w:pPr>
          </w:p>
        </w:tc>
        <w:tc>
          <w:tcPr>
            <w:tcW w:w="1560" w:type="dxa"/>
            <w:vAlign w:val="bottom"/>
          </w:tcPr>
          <w:p>
            <w:pPr>
              <w:jc w:val="right"/>
              <w:ind w:right="132"/>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980" w:type="dxa"/>
            <w:vAlign w:val="bottom"/>
            <w:tcBorders>
              <w:top w:val="single" w:sz="8" w:color="CCEEFF"/>
            </w:tcBorders>
            <w:gridSpan w:val="4"/>
            <w:shd w:val="clear" w:color="auto" w:fill="CCEEFF"/>
          </w:tcPr>
          <w:p>
            <w:pPr>
              <w:spacing w:after="0" w:line="174" w:lineRule="exact"/>
              <w:rPr>
                <w:sz w:val="20"/>
                <w:szCs w:val="20"/>
                <w:color w:val="auto"/>
              </w:rPr>
            </w:pPr>
            <w:r>
              <w:rPr>
                <w:rFonts w:ascii="Arial" w:cs="Arial" w:eastAsia="Arial" w:hAnsi="Arial"/>
                <w:sz w:val="18"/>
                <w:szCs w:val="18"/>
                <w:color w:val="auto"/>
              </w:rPr>
              <w:t>Notes payable under the Company's 2019-1 EETC agreement dated December 2019,</w:t>
            </w:r>
          </w:p>
        </w:tc>
        <w:tc>
          <w:tcPr>
            <w:tcW w:w="14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8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with original loan amounts of $248,587 payable in bi-annual installments, in June and</w:t>
            </w: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9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December, through December 2027. These notes bear interest at an annual rate</w:t>
            </w: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between 4.13% and 6.95% and the weighted average interest rate is 4.73% as of</w:t>
            </w: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June 30, 2022.</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80" w:type="dxa"/>
            <w:vAlign w:val="bottom"/>
            <w:gridSpan w:val="3"/>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698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Notes payable under the Company's 2022-1 EETC agreement dated March 2022, with</w:t>
            </w: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98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a face amount of $188,277 payable in bi-annual installments, in March and September,</w:t>
            </w:r>
          </w:p>
        </w:tc>
        <w:tc>
          <w:tcPr>
            <w:tcW w:w="1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9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through March 2031. These notes bear interest at an annual rate between 4.84% and</w:t>
            </w: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5.75% and the weighted average interest rate is 5.06% as of June 30, 2022.</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Delayed Draw Term Loan Facility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Notes payable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5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 of Long-term Debt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120"/>
              <w:spacing w:after="0"/>
              <w:rPr>
                <w:sz w:val="20"/>
                <w:szCs w:val="20"/>
                <w:color w:val="auto"/>
              </w:rPr>
            </w:pPr>
            <w:r>
              <w:rPr>
                <w:rFonts w:ascii="Arial" w:cs="Arial" w:eastAsia="Arial" w:hAnsi="Arial"/>
                <w:sz w:val="18"/>
                <w:szCs w:val="18"/>
                <w:color w:val="auto"/>
              </w:rPr>
              <w:t>Total Long-term Debt</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319,733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Future maturities of the outstanding Debt are as follows:</w:t>
            </w: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1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Debt Principal</w:t>
            </w:r>
          </w:p>
        </w:tc>
        <w:tc>
          <w:tcPr>
            <w:tcW w:w="140" w:type="dxa"/>
            <w:vAlign w:val="bottom"/>
          </w:tcPr>
          <w:p>
            <w:pPr>
              <w:spacing w:after="0"/>
              <w:rPr>
                <w:sz w:val="24"/>
                <w:szCs w:val="2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Amortization of Debt</w:t>
            </w:r>
          </w:p>
        </w:tc>
        <w:tc>
          <w:tcPr>
            <w:tcW w:w="180" w:type="dxa"/>
            <w:vAlign w:val="bottom"/>
          </w:tcPr>
          <w:p>
            <w:pPr>
              <w:spacing w:after="0"/>
              <w:rPr>
                <w:sz w:val="24"/>
                <w:szCs w:val="24"/>
                <w:color w:val="auto"/>
              </w:rPr>
            </w:pPr>
          </w:p>
        </w:tc>
        <w:tc>
          <w:tcPr>
            <w:tcW w:w="15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Net Debt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Payments</w:t>
            </w:r>
          </w:p>
        </w:tc>
        <w:tc>
          <w:tcPr>
            <w:tcW w:w="140" w:type="dxa"/>
            <w:vAlign w:val="bottom"/>
          </w:tcPr>
          <w:p>
            <w:pPr>
              <w:spacing w:after="0"/>
              <w:rPr>
                <w:sz w:val="16"/>
                <w:szCs w:val="16"/>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Issuance Costs</w:t>
            </w: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Remainder of 2022</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26,935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56,791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55,853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63,514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62,930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43,540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116,612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as of June 30, 2022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363,543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260"/>
        <w:spacing w:after="0" w:line="261" w:lineRule="auto"/>
        <w:rPr>
          <w:sz w:val="20"/>
          <w:szCs w:val="20"/>
          <w:color w:val="auto"/>
        </w:rPr>
      </w:pPr>
      <w:r>
        <w:rPr>
          <w:rFonts w:ascii="Arial" w:cs="Arial" w:eastAsia="Arial" w:hAnsi="Arial"/>
          <w:sz w:val="18"/>
          <w:szCs w:val="18"/>
          <w:color w:val="auto"/>
        </w:rPr>
        <w:t>The fair value of Debt was $357,039 as of June 30, 2022 and $272,004 as of December 31, 2021. The fair value of the Company’s debt was based on the discounted amount of future cash flows using the Company’s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end-of-period incremental borrowing rate for similar obligations. The estimates were primarily based on Level 3 inputs.</w:t>
      </w:r>
    </w:p>
    <w:p>
      <w:pPr>
        <w:spacing w:after="0" w:line="203"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FUEL DERIVATIVES AND RISK MANAGEMENT</w:t>
      </w:r>
    </w:p>
    <w:p>
      <w:pPr>
        <w:spacing w:after="0" w:line="24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 As of June 30, 2022 and December 31, 2021, the Company had no outstanding fuel derivative contracts.</w:t>
      </w:r>
    </w:p>
    <w:p>
      <w:pPr>
        <w:spacing w:after="0" w:line="204"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Fuel derivative contracts are recognized at fair value on the Condensed Consolidated Balance Sheets as Derivative Assets, if the fair value is in an asset position, or as Derivative Liabilities, if the fair value is in a liability position. Derivatives where the payment due date is greater than one year from the balance sheet date are classified as long-term. Fuel derivative gains and losses are classified in Aircraft Fuel on the Condensed Consolidated Statements of Operations.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Derivative Assets (Liabilities)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40" w:type="dxa"/>
            <w:vAlign w:val="bottom"/>
            <w:gridSpan w:val="7"/>
          </w:tcPr>
          <w:p>
            <w:pPr>
              <w:ind w:left="3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58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bottom w:val="single" w:sz="8" w:color="CCEEFF"/>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January 1</w:t>
            </w: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Non-cash Gains</w:t>
            </w: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3,599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Settlements</w:t>
            </w: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Balance - June 30</w:t>
            </w: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ind w:left="9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1,598</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Fuel Derivative Gains consist of the following:</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47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7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40" w:type="dxa"/>
            <w:vAlign w:val="bottom"/>
            <w:gridSpan w:val="7"/>
          </w:tcPr>
          <w:p>
            <w:pPr>
              <w:ind w:left="3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58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CCEEFF"/>
            </w:tcBorders>
          </w:tcPr>
          <w:p>
            <w:pPr>
              <w:spacing w:after="0"/>
              <w:rPr>
                <w:sz w:val="17"/>
                <w:szCs w:val="17"/>
                <w:color w:val="auto"/>
              </w:rPr>
            </w:pPr>
          </w:p>
        </w:tc>
        <w:tc>
          <w:tcPr>
            <w:tcW w:w="4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Gains</w:t>
            </w: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4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Premiums Paid</w:t>
            </w:r>
          </w:p>
        </w:tc>
        <w:tc>
          <w:tcPr>
            <w:tcW w:w="1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10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3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Fuel Derivative Gains</w:t>
            </w:r>
          </w:p>
        </w:tc>
        <w:tc>
          <w:tcPr>
            <w:tcW w:w="118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4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0" w:type="dxa"/>
            <w:vAlign w:val="bottom"/>
            <w:gridSpan w:val="3"/>
          </w:tcPr>
          <w:p>
            <w:pPr>
              <w:jc w:val="right"/>
              <w:ind w:right="836"/>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INVESTMENTS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debt securities by major security type:</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June 30, 2022</w:t>
            </w:r>
            <w:r>
              <w:rPr>
                <w:rFonts w:ascii="Arial" w:cs="Arial" w:eastAsia="Arial" w:hAnsi="Arial"/>
                <w:sz w:val="18"/>
                <w:szCs w:val="18"/>
                <w:color w:val="auto"/>
                <w:vertAlign w:val="superscript"/>
              </w:rPr>
              <w:t>(1)</w:t>
            </w: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Amortized Cost</w:t>
            </w:r>
          </w:p>
        </w:tc>
        <w:tc>
          <w:tcPr>
            <w:tcW w:w="1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Unrealized Gains</w:t>
            </w:r>
          </w:p>
        </w:tc>
        <w:tc>
          <w:tcPr>
            <w:tcW w:w="200" w:type="dxa"/>
            <w:vAlign w:val="bottom"/>
          </w:tcPr>
          <w:p>
            <w:pPr>
              <w:spacing w:after="0"/>
              <w:rPr>
                <w:sz w:val="12"/>
                <w:szCs w:val="12"/>
                <w:color w:val="auto"/>
              </w:rPr>
            </w:pPr>
          </w:p>
        </w:tc>
        <w:tc>
          <w:tcPr>
            <w:tcW w:w="162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Gross Unrealized</w:t>
            </w:r>
          </w:p>
        </w:tc>
        <w:tc>
          <w:tcPr>
            <w:tcW w:w="320" w:type="dxa"/>
            <w:vAlign w:val="bottom"/>
          </w:tcPr>
          <w:p>
            <w:pPr>
              <w:spacing w:after="0"/>
              <w:rPr>
                <w:sz w:val="12"/>
                <w:szCs w:val="12"/>
                <w:color w:val="auto"/>
              </w:rPr>
            </w:pPr>
          </w:p>
        </w:tc>
        <w:tc>
          <w:tcPr>
            <w:tcW w:w="14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Available-for-Sale Securities</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00"/>
              <w:spacing w:after="0"/>
              <w:rPr>
                <w:sz w:val="20"/>
                <w:szCs w:val="20"/>
                <w:color w:val="auto"/>
              </w:rPr>
            </w:pPr>
            <w:r>
              <w:rPr>
                <w:rFonts w:ascii="Arial" w:cs="Arial" w:eastAsia="Arial" w:hAnsi="Arial"/>
                <w:sz w:val="18"/>
                <w:szCs w:val="18"/>
                <w:color w:val="auto"/>
              </w:rPr>
              <w:t>Municipal Debt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26,263</w:t>
            </w:r>
          </w:p>
        </w:tc>
        <w:tc>
          <w:tcPr>
            <w:tcW w:w="100" w:type="dxa"/>
            <w:vAlign w:val="bottom"/>
          </w:tcPr>
          <w:p>
            <w:pPr>
              <w:spacing w:after="0"/>
              <w:rPr>
                <w:sz w:val="19"/>
                <w:szCs w:val="19"/>
                <w:color w:val="auto"/>
              </w:rPr>
            </w:pPr>
          </w:p>
        </w:tc>
        <w:tc>
          <w:tcPr>
            <w:tcW w:w="680" w:type="dxa"/>
            <w:vAlign w:val="bottom"/>
          </w:tcPr>
          <w:p>
            <w:pPr>
              <w:jc w:val="right"/>
              <w:ind w:right="47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26,180</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43,958</w:t>
            </w:r>
          </w:p>
        </w:tc>
        <w:tc>
          <w:tcPr>
            <w:tcW w:w="0" w:type="dxa"/>
            <w:vAlign w:val="bottom"/>
          </w:tcPr>
          <w:p>
            <w:pPr>
              <w:spacing w:after="0"/>
              <w:rPr>
                <w:sz w:val="1"/>
                <w:szCs w:val="1"/>
                <w:color w:val="auto"/>
              </w:rPr>
            </w:pPr>
          </w:p>
        </w:tc>
      </w:tr>
      <w:tr>
        <w:trPr>
          <w:trHeight w:val="223"/>
        </w:trPr>
        <w:tc>
          <w:tcPr>
            <w:tcW w:w="370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70,424</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70,138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760" w:hanging="410"/>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the Company purchased these investments during the three months ended June 30, 2022, there is no comparable prior period information.</w:t>
      </w:r>
    </w:p>
    <w:p>
      <w:pPr>
        <w:spacing w:after="0" w:line="55" w:lineRule="exact"/>
        <w:rPr>
          <w:rFonts w:ascii="Arial" w:cs="Arial" w:eastAsia="Arial" w:hAnsi="Arial"/>
          <w:sz w:val="14"/>
          <w:szCs w:val="14"/>
          <w:color w:val="auto"/>
        </w:rPr>
      </w:pPr>
    </w:p>
    <w:p>
      <w:pPr>
        <w:ind w:left="760" w:right="200" w:hanging="410"/>
        <w:spacing w:after="0" w:line="258" w:lineRule="auto"/>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also holds Certificates of Deposit that are included in Investments on the Condensed Consolidated Balance Sheets totaling $6,586 and $6,283 as of June 30, 2022 and December 31, 2021, respectively.</w:t>
      </w:r>
    </w:p>
    <w:p>
      <w:pPr>
        <w:spacing w:after="0" w:line="296"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As of June 30, 2022, the Company's investments that have unrealized losses have been in a continuous unrealized loss position for less than 12 months. The unrealized losses were the result of increases in market interest rates and were not the result of a deterioration in the credit quality of the securities. As of June 30, 2022, the Company had the intent and ability to hold its Available-for-Sale securities that are in an unrealized loss position to maturity. Therefore, the Company believes these losses to be temporary.</w:t>
      </w:r>
    </w:p>
    <w:p>
      <w:pPr>
        <w:spacing w:after="0" w:line="196"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jc w:val="both"/>
        <w:ind w:left="34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For a description of the methods and assumptions that are used to estimate the fair value and determine the fair value hierarchy classification of each class of financial instrument, see </w:t>
      </w:r>
      <w:hyperlink r:id="rId63">
        <w:r>
          <w:rPr>
            <w:rFonts w:ascii="Arial" w:cs="Arial" w:eastAsia="Arial" w:hAnsi="Arial"/>
            <w:sz w:val="18"/>
            <w:szCs w:val="18"/>
            <w:u w:val="single" w:color="auto"/>
            <w:color w:val="0000FF"/>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Part II, Item 8, “Financial Statements” in the 2021 10-K.</w:t>
      </w:r>
    </w:p>
    <w:p>
      <w:pPr>
        <w:spacing w:after="0" w:line="180" w:lineRule="exact"/>
        <w:rPr>
          <w:sz w:val="20"/>
          <w:szCs w:val="20"/>
          <w:color w:val="auto"/>
        </w:rPr>
      </w:pPr>
    </w:p>
    <w:p>
      <w:pPr>
        <w:jc w:val="both"/>
        <w:ind w:left="340" w:right="20"/>
        <w:spacing w:after="0" w:line="287"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 Financial instruments including Restricted Cash, Certificates of Deposit, Accounts Receivable,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and all other Current Liabilities have carrying values that approximate fair value.</w:t>
      </w:r>
    </w:p>
    <w:p>
      <w:pPr>
        <w:spacing w:after="0" w:line="153" w:lineRule="exact"/>
        <w:rPr>
          <w:sz w:val="20"/>
          <w:szCs w:val="20"/>
          <w:color w:val="auto"/>
        </w:rPr>
      </w:pPr>
    </w:p>
    <w:p>
      <w:pPr>
        <w:jc w:val="both"/>
        <w:ind w:left="340"/>
        <w:spacing w:after="0" w:line="287" w:lineRule="auto"/>
        <w:rPr>
          <w:sz w:val="20"/>
          <w:szCs w:val="20"/>
          <w:color w:val="auto"/>
        </w:rPr>
      </w:pPr>
      <w:r>
        <w:rPr>
          <w:rFonts w:ascii="Arial" w:cs="Arial" w:eastAsia="Arial" w:hAnsi="Arial"/>
          <w:sz w:val="18"/>
          <w:szCs w:val="18"/>
          <w:b w:val="1"/>
          <w:bCs w:val="1"/>
          <w:color w:val="auto"/>
        </w:rPr>
        <w:t xml:space="preserve">Cash &amp; Cash Equivalents </w:t>
      </w:r>
      <w:r>
        <w:rPr>
          <w:rFonts w:ascii="Arial" w:cs="Arial" w:eastAsia="Arial" w:hAnsi="Arial"/>
          <w:sz w:val="18"/>
          <w:szCs w:val="18"/>
          <w:color w:val="auto"/>
        </w:rPr>
        <w:t>– The carrying value of cash and cash equivalents approximates fair value. Fair values of cash equivalent</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that do not trade on a regular basis in active markets are classified as Level 2.</w:t>
      </w:r>
    </w:p>
    <w:p>
      <w:pPr>
        <w:spacing w:after="0" w:line="153"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b w:val="1"/>
          <w:bCs w:val="1"/>
          <w:color w:val="auto"/>
        </w:rPr>
        <w:t xml:space="preserve">Available-for-Sale Securities </w:t>
      </w:r>
      <w:r>
        <w:rPr>
          <w:rFonts w:ascii="Arial" w:cs="Arial" w:eastAsia="Arial" w:hAnsi="Arial"/>
          <w:sz w:val="18"/>
          <w:szCs w:val="18"/>
          <w:color w:val="auto"/>
        </w:rPr>
        <w:t>- Available-for-Sale investment securities include debt securities such as municipal and corporate notes.</w:t>
      </w:r>
      <w:r>
        <w:rPr>
          <w:rFonts w:ascii="Arial" w:cs="Arial" w:eastAsia="Arial" w:hAnsi="Arial"/>
          <w:sz w:val="18"/>
          <w:szCs w:val="18"/>
          <w:b w:val="1"/>
          <w:bCs w:val="1"/>
          <w:color w:val="auto"/>
        </w:rPr>
        <w:t xml:space="preserve"> </w:t>
      </w:r>
      <w:r>
        <w:rPr>
          <w:rFonts w:ascii="Arial" w:cs="Arial" w:eastAsia="Arial" w:hAnsi="Arial"/>
          <w:sz w:val="18"/>
          <w:szCs w:val="18"/>
          <w:color w:val="auto"/>
        </w:rPr>
        <w:t>All of these investments are classified as Level 2 because they do not trade in active markets on a regular basis. The Company obtains its pricing per security from a third-party, which uses quoted market prices, when available, or other observable inputs for determination of fair value.</w:t>
      </w:r>
    </w:p>
    <w:p>
      <w:pPr>
        <w:spacing w:after="0" w:line="176"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b w:val="1"/>
          <w:bCs w:val="1"/>
          <w:color w:val="auto"/>
        </w:rPr>
        <w:t xml:space="preserve">Derivative Instruments </w:t>
      </w:r>
      <w:r>
        <w:rPr>
          <w:rFonts w:ascii="Arial" w:cs="Arial" w:eastAsia="Arial" w:hAnsi="Arial"/>
          <w:sz w:val="18"/>
          <w:szCs w:val="18"/>
          <w:color w:val="auto"/>
        </w:rPr>
        <w:t>– Derivative instruments are accounted for as either assets or liabilities and are carried at fair value.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for fuel derivative options and swaps is determined utilizing an option pricing model that uses inputs that are readily available in active markets or can be derived from information available in active markets and are classified within Level 2.</w:t>
      </w:r>
    </w:p>
    <w:p>
      <w:pPr>
        <w:spacing w:after="0" w:line="171" w:lineRule="exact"/>
        <w:rPr>
          <w:sz w:val="20"/>
          <w:szCs w:val="20"/>
          <w:color w:val="auto"/>
        </w:rPr>
      </w:pPr>
    </w:p>
    <w:p>
      <w:pPr>
        <w:jc w:val="both"/>
        <w:ind w:left="340"/>
        <w:spacing w:after="0" w:line="262" w:lineRule="auto"/>
        <w:rPr>
          <w:sz w:val="20"/>
          <w:szCs w:val="20"/>
          <w:color w:val="auto"/>
        </w:rPr>
      </w:pPr>
      <w:r>
        <w:rPr>
          <w:rFonts w:ascii="Arial" w:cs="Arial" w:eastAsia="Arial" w:hAnsi="Arial"/>
          <w:sz w:val="18"/>
          <w:szCs w:val="18"/>
          <w:b w:val="1"/>
          <w:bCs w:val="1"/>
          <w:color w:val="auto"/>
        </w:rPr>
        <w:t xml:space="preserve">Non-Financial Assets </w:t>
      </w:r>
      <w:r>
        <w:rPr>
          <w:rFonts w:ascii="Arial" w:cs="Arial" w:eastAsia="Arial" w:hAnsi="Arial"/>
          <w:sz w:val="18"/>
          <w:szCs w:val="18"/>
          <w:color w:val="auto"/>
        </w:rPr>
        <w:t>– Certain assets are measured at fair value on a nonrecurring basis. The Company’s non-financial assets, which</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consist of Property &amp; Equipment, Goodwill and Other Intangible Assets are not required to be measured at fair value on a recurring basis and are reported at carrying value. However, on a periodic basis whenever events or changes in circumstances indicate that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their carrying value may not be recoverable, non-financial assets are assessed for impairment and, if applicable, written down to fair value using significant unobservable inputs, classified as Level 3.</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See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Note 7</w:t>
      </w:r>
      <w:r>
        <w:rPr>
          <w:rFonts w:ascii="Arial" w:cs="Arial" w:eastAsia="Arial" w:hAnsi="Arial"/>
          <w:sz w:val="18"/>
          <w:szCs w:val="18"/>
          <w:b w:val="1"/>
          <w:bCs w:val="1"/>
          <w:color w:val="auto"/>
        </w:rPr>
        <w:t xml:space="preserve"> </w:t>
      </w:r>
      <w:r>
        <w:rPr>
          <w:rFonts w:ascii="Arial" w:cs="Arial" w:eastAsia="Arial" w:hAnsi="Arial"/>
          <w:sz w:val="18"/>
          <w:szCs w:val="18"/>
          <w:color w:val="auto"/>
        </w:rPr>
        <w:t>for more information on the Company's debt financings and related fair values.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assets measured at fair value on a recurring basis: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18"/>
        </w:trPr>
        <w:tc>
          <w:tcPr>
            <w:tcW w:w="3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6"/>
                <w:szCs w:val="16"/>
                <w:b w:val="1"/>
                <w:bCs w:val="1"/>
                <w:color w:val="auto"/>
              </w:rPr>
              <w:t>June 30, 2022</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gridSpan w:val="2"/>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Level 3</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116,762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3"/>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212,858</w:t>
            </w:r>
          </w:p>
        </w:tc>
        <w:tc>
          <w:tcPr>
            <w:tcW w:w="0" w:type="dxa"/>
            <w:vAlign w:val="bottom"/>
          </w:tcPr>
          <w:p>
            <w:pPr>
              <w:spacing w:after="0"/>
              <w:rPr>
                <w:sz w:val="1"/>
                <w:szCs w:val="1"/>
                <w:color w:val="auto"/>
              </w:rPr>
            </w:pPr>
          </w:p>
        </w:tc>
      </w:tr>
      <w:tr>
        <w:trPr>
          <w:trHeight w:val="210"/>
        </w:trPr>
        <w:tc>
          <w:tcPr>
            <w:tcW w:w="388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32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26,180</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43,958</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Available-for-Sale Securities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70,138</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70,138</w:t>
            </w:r>
          </w:p>
        </w:tc>
        <w:tc>
          <w:tcPr>
            <w:tcW w:w="0" w:type="dxa"/>
            <w:vAlign w:val="bottom"/>
          </w:tcPr>
          <w:p>
            <w:pPr>
              <w:spacing w:after="0"/>
              <w:rPr>
                <w:sz w:val="1"/>
                <w:szCs w:val="1"/>
                <w:color w:val="auto"/>
              </w:rPr>
            </w:pPr>
          </w:p>
        </w:tc>
      </w:tr>
      <w:tr>
        <w:trPr>
          <w:trHeight w:val="168"/>
        </w:trPr>
        <w:tc>
          <w:tcPr>
            <w:tcW w:w="3880" w:type="dxa"/>
            <w:vAlign w:val="bottom"/>
          </w:tcPr>
          <w:p>
            <w:pPr>
              <w:ind w:left="340"/>
              <w:spacing w:after="0" w:line="168" w:lineRule="exact"/>
              <w:rPr>
                <w:sz w:val="20"/>
                <w:szCs w:val="20"/>
                <w:color w:val="auto"/>
              </w:rPr>
            </w:pPr>
            <w:r>
              <w:rPr>
                <w:rFonts w:ascii="Arial" w:cs="Arial" w:eastAsia="Arial" w:hAnsi="Arial"/>
                <w:sz w:val="18"/>
                <w:szCs w:val="18"/>
                <w:color w:val="auto"/>
              </w:rPr>
              <w:t>Total Assets Measured at Fair Value on a</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96,096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186,900</w:t>
            </w:r>
          </w:p>
        </w:tc>
        <w:tc>
          <w:tcPr>
            <w:tcW w:w="100" w:type="dxa"/>
            <w:vAlign w:val="bottom"/>
          </w:tcPr>
          <w:p>
            <w:pPr>
              <w:spacing w:after="0"/>
              <w:rPr>
                <w:sz w:val="14"/>
                <w:szCs w:val="14"/>
                <w:color w:val="auto"/>
              </w:rPr>
            </w:pPr>
          </w:p>
        </w:tc>
        <w:tc>
          <w:tcPr>
            <w:tcW w:w="1200" w:type="dxa"/>
            <w:vAlign w:val="bottom"/>
            <w:vMerge w:val="restart"/>
          </w:tcPr>
          <w:p>
            <w:pPr>
              <w:jc w:val="right"/>
              <w:ind w:right="993"/>
              <w:spacing w:after="0"/>
              <w:rPr>
                <w:sz w:val="20"/>
                <w:szCs w:val="20"/>
                <w:color w:val="auto"/>
              </w:rPr>
            </w:pPr>
            <w:r>
              <w:rPr>
                <w:rFonts w:ascii="Arial" w:cs="Arial" w:eastAsia="Arial" w:hAnsi="Arial"/>
                <w:sz w:val="18"/>
                <w:szCs w:val="18"/>
                <w:color w:val="auto"/>
                <w:w w:val="99"/>
              </w:rPr>
              <w:t>$</w:t>
            </w:r>
          </w:p>
        </w:tc>
        <w:tc>
          <w:tcPr>
            <w:tcW w:w="38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4"/>
                <w:szCs w:val="14"/>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282,996</w:t>
            </w:r>
          </w:p>
        </w:tc>
        <w:tc>
          <w:tcPr>
            <w:tcW w:w="0" w:type="dxa"/>
            <w:vAlign w:val="bottom"/>
          </w:tcPr>
          <w:p>
            <w:pPr>
              <w:spacing w:after="0"/>
              <w:rPr>
                <w:sz w:val="1"/>
                <w:szCs w:val="1"/>
                <w:color w:val="auto"/>
              </w:rPr>
            </w:pPr>
          </w:p>
        </w:tc>
      </w:tr>
      <w:tr>
        <w:trPr>
          <w:trHeight w:val="208"/>
        </w:trPr>
        <w:tc>
          <w:tcPr>
            <w:tcW w:w="3880" w:type="dxa"/>
            <w:vAlign w:val="bottom"/>
          </w:tcPr>
          <w:p>
            <w:pPr>
              <w:ind w:left="500"/>
              <w:spacing w:after="0" w:line="203" w:lineRule="exact"/>
              <w:rPr>
                <w:sz w:val="20"/>
                <w:szCs w:val="20"/>
                <w:color w:val="auto"/>
              </w:rPr>
            </w:pPr>
            <w:r>
              <w:rPr>
                <w:rFonts w:ascii="Arial" w:cs="Arial" w:eastAsia="Arial" w:hAnsi="Arial"/>
                <w:sz w:val="18"/>
                <w:szCs w:val="18"/>
                <w:color w:val="auto"/>
              </w:rPr>
              <w:t>Recurring Basis</w:t>
            </w:r>
          </w:p>
        </w:tc>
        <w:tc>
          <w:tcPr>
            <w:tcW w:w="32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9"/>
        </w:trPr>
        <w:tc>
          <w:tcPr>
            <w:tcW w:w="3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6"/>
                <w:szCs w:val="16"/>
                <w:b w:val="1"/>
                <w:bCs w:val="1"/>
                <w:color w:val="auto"/>
              </w:rPr>
              <w:t>December 31, 2021</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8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rPr>
              <w:t>Level 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Level 3</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4"/>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&amp;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309,338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93"/>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309,338</w:t>
            </w:r>
          </w:p>
        </w:tc>
        <w:tc>
          <w:tcPr>
            <w:tcW w:w="0" w:type="dxa"/>
            <w:vAlign w:val="bottom"/>
          </w:tcPr>
          <w:p>
            <w:pPr>
              <w:spacing w:after="0"/>
              <w:rPr>
                <w:sz w:val="1"/>
                <w:szCs w:val="1"/>
                <w:color w:val="auto"/>
              </w:rPr>
            </w:pPr>
          </w:p>
        </w:tc>
      </w:tr>
      <w:tr>
        <w:trPr>
          <w:trHeight w:val="168"/>
        </w:trPr>
        <w:tc>
          <w:tcPr>
            <w:tcW w:w="3880" w:type="dxa"/>
            <w:vAlign w:val="bottom"/>
          </w:tcPr>
          <w:p>
            <w:pPr>
              <w:ind w:left="340"/>
              <w:spacing w:after="0" w:line="168" w:lineRule="exact"/>
              <w:rPr>
                <w:sz w:val="20"/>
                <w:szCs w:val="20"/>
                <w:color w:val="auto"/>
              </w:rPr>
            </w:pPr>
            <w:r>
              <w:rPr>
                <w:rFonts w:ascii="Arial" w:cs="Arial" w:eastAsia="Arial" w:hAnsi="Arial"/>
                <w:sz w:val="18"/>
                <w:szCs w:val="18"/>
                <w:color w:val="auto"/>
              </w:rPr>
              <w:t>Total Assets Measured at Fair Value on a</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309,338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vMerge w:val="restart"/>
          </w:tcPr>
          <w:p>
            <w:pPr>
              <w:jc w:val="right"/>
              <w:ind w:right="993"/>
              <w:spacing w:after="0"/>
              <w:rPr>
                <w:sz w:val="20"/>
                <w:szCs w:val="20"/>
                <w:color w:val="auto"/>
              </w:rPr>
            </w:pPr>
            <w:r>
              <w:rPr>
                <w:rFonts w:ascii="Arial" w:cs="Arial" w:eastAsia="Arial" w:hAnsi="Arial"/>
                <w:sz w:val="18"/>
                <w:szCs w:val="18"/>
                <w:color w:val="auto"/>
                <w:w w:val="99"/>
              </w:rPr>
              <w:t>$</w:t>
            </w:r>
          </w:p>
        </w:tc>
        <w:tc>
          <w:tcPr>
            <w:tcW w:w="48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309,338</w:t>
            </w:r>
          </w:p>
        </w:tc>
        <w:tc>
          <w:tcPr>
            <w:tcW w:w="0" w:type="dxa"/>
            <w:vAlign w:val="bottom"/>
          </w:tcPr>
          <w:p>
            <w:pPr>
              <w:spacing w:after="0"/>
              <w:rPr>
                <w:sz w:val="1"/>
                <w:szCs w:val="1"/>
                <w:color w:val="auto"/>
              </w:rPr>
            </w:pPr>
          </w:p>
        </w:tc>
      </w:tr>
      <w:tr>
        <w:trPr>
          <w:trHeight w:val="203"/>
        </w:trPr>
        <w:tc>
          <w:tcPr>
            <w:tcW w:w="3880" w:type="dxa"/>
            <w:vAlign w:val="bottom"/>
          </w:tcPr>
          <w:p>
            <w:pPr>
              <w:ind w:left="500"/>
              <w:spacing w:after="0" w:line="203" w:lineRule="exact"/>
              <w:rPr>
                <w:sz w:val="20"/>
                <w:szCs w:val="20"/>
                <w:color w:val="auto"/>
              </w:rPr>
            </w:pPr>
            <w:r>
              <w:rPr>
                <w:rFonts w:ascii="Arial" w:cs="Arial" w:eastAsia="Arial" w:hAnsi="Arial"/>
                <w:sz w:val="18"/>
                <w:szCs w:val="18"/>
                <w:color w:val="auto"/>
              </w:rPr>
              <w:t>Recurring Basis</w:t>
            </w:r>
          </w:p>
        </w:tc>
        <w:tc>
          <w:tcPr>
            <w:tcW w:w="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4"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Company's effective tax rate for the three and six months ended June 30, 2022 was 19.0% and 118.1%, respectively. The effective tax rate for the three and six months ended June 30, 2021 was 15.5% and 19.1%, respectively. The effective tax rate represents a blend of federal and state taxes and includes the impact of certain nondeductible or nontaxable items. The increase for the three and six months ended June 30, 2022 effective tax rate is primarily due to a non-deductible expense related to the Tax Receivable Agreement (the "Tax Receivable Agreement" or "TRA") liability, partially offset by stock compensation benefits.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Tax Receivable Agreement</w:t>
      </w:r>
    </w:p>
    <w:p>
      <w:pPr>
        <w:spacing w:after="0" w:line="24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In connection with the Company’s IPO, the Company entered into the TRA with our pre-IPO stockholders (the “TRA holders”). The TRA provides for the payment by the Company to the TRA holders of 85% of the amount of cash savings, if any, in U.S. federal, state, local, and foreign income tax that the Company actually realizes (or are deemed to realize in certain circumstances) as a result of certain tax attributes that existed at the time of the IPO (the “Pre-IPO Tax Attributes”). The Company will retain the benefit of the remaining 15% of these cash savings.</w:t>
      </w:r>
    </w:p>
    <w:p>
      <w:pPr>
        <w:spacing w:after="0" w:line="20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Upon the closing of the IPO in the first quarter of 2021, the Company recognized a non-current liability of $115,200, which represented undiscounted aggregate payments that were expected to be paid to the TRA holders under the TRA, with an offset to Stockholders’ Equity. The TRA balance as of June 30, 2022 and December 31, 2021 was $107,300 and $98,800, respectively. The TRA liability is an estimate and actual amounts payable under the Tax Receivable Agreement could differ from this estimate. During the six</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right="20"/>
        <w:spacing w:after="0" w:line="261" w:lineRule="auto"/>
        <w:rPr>
          <w:sz w:val="20"/>
          <w:szCs w:val="20"/>
          <w:color w:val="auto"/>
        </w:rPr>
      </w:pPr>
      <w:r>
        <w:rPr>
          <w:rFonts w:ascii="Arial" w:cs="Arial" w:eastAsia="Arial" w:hAnsi="Arial"/>
          <w:sz w:val="18"/>
          <w:szCs w:val="18"/>
          <w:color w:val="auto"/>
        </w:rPr>
        <w:t>months ended June 30, 2022, the Company recorded an adjustment to the estimated TRA liability of $8,500. Adjustments to the TRA are recorded in Other, net Non-Operating Income (Expense) on the Company’s Condensed Consolidated Statements of Operations.</w:t>
      </w:r>
    </w:p>
    <w:p>
      <w:pPr>
        <w:spacing w:after="0" w:line="198" w:lineRule="exact"/>
        <w:rPr>
          <w:sz w:val="20"/>
          <w:szCs w:val="20"/>
          <w:color w:val="auto"/>
        </w:rPr>
      </w:pPr>
    </w:p>
    <w:p>
      <w:pPr>
        <w:ind w:left="34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For more information on the TRA, see </w:t>
      </w:r>
      <w:hyperlink r:id="rId68">
        <w:r>
          <w:rPr>
            <w:rFonts w:ascii="Arial" w:cs="Arial" w:eastAsia="Arial" w:hAnsi="Arial"/>
            <w:sz w:val="18"/>
            <w:szCs w:val="18"/>
            <w:u w:val="single" w:color="auto"/>
            <w:color w:val="0000FF"/>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Part II, Item 8, “Financial Statements” in the 2021 10-K.</w:t>
      </w:r>
    </w:p>
    <w:p>
      <w:pPr>
        <w:spacing w:after="0" w:line="17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SPECIAL ITEMS, NET</w:t>
      </w:r>
    </w:p>
    <w:p>
      <w:pPr>
        <w:spacing w:after="0" w:line="234" w:lineRule="exact"/>
        <w:rPr>
          <w:sz w:val="20"/>
          <w:szCs w:val="20"/>
          <w:color w:val="auto"/>
        </w:rPr>
      </w:pPr>
    </w:p>
    <w:p>
      <w:pPr>
        <w:ind w:left="340" w:right="340"/>
        <w:spacing w:after="0" w:line="235" w:lineRule="auto"/>
        <w:rPr>
          <w:sz w:val="20"/>
          <w:szCs w:val="20"/>
          <w:color w:val="auto"/>
        </w:rPr>
      </w:pPr>
      <w:r>
        <w:rPr>
          <w:rFonts w:ascii="Arial" w:cs="Arial" w:eastAsia="Arial" w:hAnsi="Arial"/>
          <w:sz w:val="18"/>
          <w:szCs w:val="18"/>
          <w:color w:val="auto"/>
        </w:rPr>
        <w:t>Special Items, net reflects expenses, or credits to expense, that are not representative of our ongoing costs for the periods presented and may vary from period to period in nature, frequency, and amount.</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Special Items, net on the Condensed Consolidated Statements of Operations consist of the following:</w:t>
      </w:r>
    </w:p>
    <w:p>
      <w:pPr>
        <w:spacing w:after="0" w:line="253"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6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7"/>
                <w:szCs w:val="17"/>
                <w:color w:val="auto"/>
              </w:rPr>
            </w:pPr>
          </w:p>
        </w:tc>
        <w:tc>
          <w:tcPr>
            <w:tcW w:w="2640" w:type="dxa"/>
            <w:vAlign w:val="bottom"/>
            <w:gridSpan w:val="4"/>
          </w:tcPr>
          <w:p>
            <w:pPr>
              <w:ind w:left="240"/>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22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162"/>
        </w:trPr>
        <w:tc>
          <w:tcPr>
            <w:tcW w:w="440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 xml:space="preserve">CARES Act grant recognition (see </w:t>
            </w:r>
            <w:r>
              <w:rPr>
                <w:rFonts w:ascii="Arial" w:cs="Arial" w:eastAsia="Arial" w:hAnsi="Arial"/>
                <w:sz w:val="14"/>
                <w:szCs w:val="14"/>
                <w:color w:val="0000FF"/>
              </w:rPr>
              <w:t>Note 3</w:t>
            </w:r>
            <w:r>
              <w:rPr>
                <w:rFonts w:ascii="Arial" w:cs="Arial" w:eastAsia="Arial" w:hAnsi="Arial"/>
                <w:sz w:val="14"/>
                <w:szCs w:val="14"/>
                <w:color w:val="auto"/>
              </w:rPr>
              <w:t>)</w:t>
            </w: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(39,378)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(71,587)</w:t>
            </w:r>
          </w:p>
        </w:tc>
      </w:tr>
      <w:tr>
        <w:trPr>
          <w:trHeight w:val="20"/>
        </w:trPr>
        <w:tc>
          <w:tcPr>
            <w:tcW w:w="2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4400" w:type="dxa"/>
            <w:vAlign w:val="bottom"/>
            <w:gridSpan w:val="5"/>
          </w:tcPr>
          <w:p>
            <w:pPr>
              <w:ind w:left="20"/>
              <w:spacing w:after="0"/>
              <w:rPr>
                <w:sz w:val="20"/>
                <w:szCs w:val="20"/>
                <w:color w:val="auto"/>
              </w:rPr>
            </w:pPr>
            <w:r>
              <w:rPr>
                <w:rFonts w:ascii="Arial" w:cs="Arial" w:eastAsia="Arial" w:hAnsi="Arial"/>
                <w:sz w:val="14"/>
                <w:szCs w:val="14"/>
                <w:color w:val="auto"/>
              </w:rPr>
              <w:t xml:space="preserve">CARES Act employee retention credit (See </w:t>
            </w:r>
            <w:r>
              <w:rPr>
                <w:rFonts w:ascii="Arial" w:cs="Arial" w:eastAsia="Arial" w:hAnsi="Arial"/>
                <w:sz w:val="14"/>
                <w:szCs w:val="14"/>
                <w:color w:val="0000FF"/>
              </w:rPr>
              <w:t>Note 3</w:t>
            </w:r>
            <w:r>
              <w:rPr>
                <w:rFonts w:ascii="Arial" w:cs="Arial" w:eastAsia="Arial" w:hAnsi="Arial"/>
                <w:sz w:val="14"/>
                <w:szCs w:val="14"/>
                <w:color w:val="auto"/>
              </w:rPr>
              <w:t>)</w:t>
            </w:r>
          </w:p>
        </w:tc>
        <w:tc>
          <w:tcPr>
            <w:tcW w:w="1060" w:type="dxa"/>
            <w:vAlign w:val="bottom"/>
          </w:tcPr>
          <w:p>
            <w:pPr>
              <w:spacing w:after="0"/>
              <w:rPr>
                <w:sz w:val="14"/>
                <w:szCs w:val="14"/>
                <w:color w:val="auto"/>
              </w:rPr>
            </w:pP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(780)</w:t>
            </w:r>
          </w:p>
        </w:tc>
      </w:tr>
      <w:tr>
        <w:trPr>
          <w:trHeight w:val="20"/>
        </w:trPr>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440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02"/>
        </w:trPr>
        <w:tc>
          <w:tcPr>
            <w:tcW w:w="4400" w:type="dxa"/>
            <w:vAlign w:val="bottom"/>
            <w:gridSpan w:val="5"/>
          </w:tcPr>
          <w:p>
            <w:pPr>
              <w:ind w:left="120"/>
              <w:spacing w:after="0"/>
              <w:rPr>
                <w:sz w:val="20"/>
                <w:szCs w:val="20"/>
                <w:color w:val="auto"/>
              </w:rPr>
            </w:pPr>
            <w:r>
              <w:rPr>
                <w:rFonts w:ascii="Arial" w:cs="Arial" w:eastAsia="Arial" w:hAnsi="Arial"/>
                <w:sz w:val="14"/>
                <w:szCs w:val="14"/>
                <w:color w:val="auto"/>
              </w:rPr>
              <w:t>Total Special Items, net</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(39,819)</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(72,355)</w:t>
            </w:r>
          </w:p>
        </w:tc>
      </w:tr>
      <w:tr>
        <w:trPr>
          <w:trHeight w:val="20"/>
        </w:trPr>
        <w:tc>
          <w:tcPr>
            <w:tcW w:w="2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47"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color w:val="auto"/>
        </w:rPr>
        <w:t xml:space="preserve">The Company has contractual obligations and commitments primarily with regard to lease arrangements, repayment of debt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7</w:t>
      </w:r>
      <w:r>
        <w:rPr>
          <w:rFonts w:ascii="Arial" w:cs="Arial" w:eastAsia="Arial" w:hAnsi="Arial"/>
          <w:sz w:val="18"/>
          <w:szCs w:val="18"/>
          <w:color w:val="000000"/>
        </w:rPr>
        <w:t>), payments under the TRA (see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 11</w:t>
      </w:r>
      <w:r>
        <w:rPr>
          <w:rFonts w:ascii="Arial" w:cs="Arial" w:eastAsia="Arial" w:hAnsi="Arial"/>
          <w:sz w:val="18"/>
          <w:szCs w:val="18"/>
          <w:color w:val="000000"/>
        </w:rPr>
        <w:t>), and probable future purchases of aircraft.</w:t>
      </w:r>
    </w:p>
    <w:p>
      <w:pPr>
        <w:spacing w:after="0" w:line="198"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During the six months ended June 30, 2022, an owned aircraft was retired due to the aircraft sustaining damage beyond economic repair. The best estimate of this event was recorded as of June 30, 2022 and had no financial impact on the Company's Condensed Consolidated Statement of Operations. The estimate will be revised if any additional information becomes available during the third quarter when the contingency is expected to be finalized. The Company does not believe the finalization of the contingency will have a material effect on the Company's Condensed Consolidated Results of Operations.</w:t>
      </w:r>
    </w:p>
    <w:p>
      <w:pPr>
        <w:spacing w:after="0" w:line="205"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During the six months ended June 30, 2022, the Company executed an agreement to purchase a flight simulator at a total purchase price of $9,745. An initial installment of $2,934 was remitted to the seller during the first half of 2022 and a second installment of $5,847 was remitted to the seller during July 2022, prior to shipment. The remaining purchase price will be remitted to the seller upon receipt and installation of the simulator. The first installment payment for the simulator is accounted for within Property &amp; Equipment on the Condensed Consolidated Balance Sheets as of June 30, 2022.</w:t>
      </w:r>
    </w:p>
    <w:p>
      <w:pPr>
        <w:spacing w:after="0" w:line="20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During the six months ended June 30, 2022, the Company gave an irrevocable notice to the lessor of its intent to purchase an aircraft currently under lease for approximately $12,000. This lease is currently accounted for as a finance lease and the purchase price will be financed with the remaining proceeds from the 2022-1 EETC. The Company expects for this transaction to be complete in September 2022.</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subject to various legal proceedings in the normal course of business and expenses legal costs as incurred.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does not believe these proceedings will have a materially adverse effect on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ind w:right="5380"/>
        <w:spacing w:after="0" w:line="268"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247" w:lineRule="exact"/>
        <w:rPr>
          <w:sz w:val="20"/>
          <w:szCs w:val="20"/>
          <w:color w:val="auto"/>
        </w:rPr>
      </w:pPr>
    </w:p>
    <w:p>
      <w:pPr>
        <w:jc w:val="both"/>
        <w:ind w:left="34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The following tables present financial information for the Company’s two operating segments: Passenger and Cargo. For more information on the Company’s segments, see </w:t>
      </w:r>
      <w:hyperlink r:id="rId71">
        <w:r>
          <w:rPr>
            <w:rFonts w:ascii="Arial" w:cs="Arial" w:eastAsia="Arial" w:hAnsi="Arial"/>
            <w:sz w:val="18"/>
            <w:szCs w:val="18"/>
            <w:u w:val="single" w:color="auto"/>
            <w:color w:val="0000FF"/>
          </w:rPr>
          <w:t>Note 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Part II, Item 8, “Financial Statements” in the 2021 10-K.</w:t>
      </w:r>
    </w:p>
    <w:p>
      <w:pPr>
        <w:spacing w:after="0" w:line="257"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7"/>
          </w:tcPr>
          <w:p>
            <w:pPr>
              <w:jc w:val="right"/>
              <w:ind w:right="672"/>
              <w:spacing w:after="0"/>
              <w:rPr>
                <w:sz w:val="20"/>
                <w:szCs w:val="20"/>
                <w:color w:val="auto"/>
              </w:rPr>
            </w:pPr>
            <w:r>
              <w:rPr>
                <w:rFonts w:ascii="Arial" w:cs="Arial" w:eastAsia="Arial" w:hAnsi="Arial"/>
                <w:sz w:val="14"/>
                <w:szCs w:val="14"/>
                <w:b w:val="1"/>
                <w:bCs w:val="1"/>
                <w:color w:val="auto"/>
              </w:rPr>
              <w:t>Three Months Ended June 30, 2022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7"/>
          </w:tcPr>
          <w:p>
            <w:pPr>
              <w:jc w:val="center"/>
              <w:ind w:right="92"/>
              <w:spacing w:after="0"/>
              <w:rPr>
                <w:sz w:val="20"/>
                <w:szCs w:val="20"/>
                <w:color w:val="auto"/>
              </w:rPr>
            </w:pPr>
            <w:r>
              <w:rPr>
                <w:rFonts w:ascii="Arial" w:cs="Arial" w:eastAsia="Arial" w:hAnsi="Arial"/>
                <w:sz w:val="14"/>
                <w:szCs w:val="14"/>
                <w:b w:val="1"/>
                <w:bCs w:val="1"/>
                <w:color w:val="auto"/>
              </w:rPr>
              <w:t>Three Months Ended June 30, 2021</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Passenger</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Cargo</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Passenger</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Cargo</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197,877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219,067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149,189</w:t>
            </w:r>
          </w:p>
        </w:tc>
        <w:tc>
          <w:tcPr>
            <w:tcW w:w="0" w:type="dxa"/>
            <w:vAlign w:val="bottom"/>
          </w:tcPr>
          <w:p>
            <w:pPr>
              <w:spacing w:after="0"/>
              <w:rPr>
                <w:sz w:val="1"/>
                <w:szCs w:val="1"/>
                <w:color w:val="auto"/>
              </w:rPr>
            </w:pPr>
          </w:p>
        </w:tc>
      </w:tr>
      <w:tr>
        <w:trPr>
          <w:trHeight w:val="223"/>
        </w:trPr>
        <w:tc>
          <w:tcPr>
            <w:tcW w:w="2620" w:type="dxa"/>
            <w:vAlign w:val="bottom"/>
          </w:tcPr>
          <w:p>
            <w:pPr>
              <w:ind w:left="100"/>
              <w:spacing w:after="0"/>
              <w:rPr>
                <w:sz w:val="20"/>
                <w:szCs w:val="20"/>
                <w:color w:val="auto"/>
              </w:rPr>
            </w:pPr>
            <w:r>
              <w:rPr>
                <w:rFonts w:ascii="Arial" w:cs="Arial" w:eastAsia="Arial" w:hAnsi="Arial"/>
                <w:sz w:val="18"/>
                <w:szCs w:val="18"/>
                <w:color w:val="auto"/>
              </w:rPr>
              <w:t>Non-Fuel Operating Expenses</w:t>
            </w: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117,297</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21,454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138,751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93,109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109,510</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Aircraft Fuel</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29,709</w:t>
            </w:r>
          </w:p>
        </w:tc>
        <w:tc>
          <w:tcPr>
            <w:tcW w:w="0" w:type="dxa"/>
            <w:vAlign w:val="bottom"/>
          </w:tcPr>
          <w:p>
            <w:pPr>
              <w:spacing w:after="0"/>
              <w:rPr>
                <w:sz w:val="1"/>
                <w:szCs w:val="1"/>
                <w:color w:val="auto"/>
              </w:rPr>
            </w:pPr>
          </w:p>
        </w:tc>
      </w:tr>
      <w:tr>
        <w:trPr>
          <w:trHeight w:val="230"/>
        </w:trPr>
        <w:tc>
          <w:tcPr>
            <w:tcW w:w="2620" w:type="dxa"/>
            <w:vAlign w:val="bottom"/>
          </w:tcPr>
          <w:p>
            <w:pPr>
              <w:ind w:left="120"/>
              <w:spacing w:after="0"/>
              <w:rPr>
                <w:sz w:val="20"/>
                <w:szCs w:val="20"/>
                <w:color w:val="auto"/>
              </w:rPr>
            </w:pPr>
            <w:r>
              <w:rPr>
                <w:rFonts w:ascii="Arial" w:cs="Arial" w:eastAsia="Arial" w:hAnsi="Arial"/>
                <w:sz w:val="18"/>
                <w:szCs w:val="18"/>
                <w:color w:val="auto"/>
              </w:rPr>
              <w:t>Special Items, net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(39,819)</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194,244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215,698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99,400</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3,633</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34,408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49,789</w:t>
            </w:r>
          </w:p>
        </w:tc>
        <w:tc>
          <w:tcPr>
            <w:tcW w:w="0" w:type="dxa"/>
            <w:vAlign w:val="bottom"/>
          </w:tcPr>
          <w:p>
            <w:pPr>
              <w:spacing w:after="0"/>
              <w:rPr>
                <w:sz w:val="1"/>
                <w:szCs w:val="1"/>
                <w:color w:val="auto"/>
              </w:rPr>
            </w:pPr>
          </w:p>
        </w:tc>
      </w:tr>
      <w:tr>
        <w:trPr>
          <w:trHeight w:val="45"/>
        </w:trPr>
        <w:tc>
          <w:tcPr>
            <w:tcW w:w="2620" w:type="dxa"/>
            <w:vAlign w:val="bottom"/>
            <w:tcBorders>
              <w:bottom w:val="single" w:sz="8" w:color="CCEEFF"/>
            </w:tcBorders>
          </w:tcPr>
          <w:p>
            <w:pPr>
              <w:spacing w:after="0"/>
              <w:rPr>
                <w:sz w:val="3"/>
                <w:szCs w:val="3"/>
                <w:color w:val="auto"/>
              </w:rPr>
            </w:pPr>
          </w:p>
        </w:tc>
        <w:tc>
          <w:tcPr>
            <w:tcW w:w="180" w:type="dxa"/>
            <w:vAlign w:val="bottom"/>
            <w:tcBorders>
              <w:top w:val="single" w:sz="8" w:color="auto"/>
              <w:bottom w:val="single" w:sz="8" w:color="CCEEFF"/>
            </w:tcBorders>
          </w:tcPr>
          <w:p>
            <w:pPr>
              <w:spacing w:after="0"/>
              <w:rPr>
                <w:sz w:val="3"/>
                <w:szCs w:val="3"/>
                <w:color w:val="auto"/>
              </w:rPr>
            </w:pPr>
          </w:p>
        </w:tc>
        <w:tc>
          <w:tcPr>
            <w:tcW w:w="106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top w:val="single" w:sz="8" w:color="auto"/>
              <w:bottom w:val="single" w:sz="8" w:color="CCEEFF"/>
            </w:tcBorders>
          </w:tcPr>
          <w:p>
            <w:pPr>
              <w:spacing w:after="0"/>
              <w:rPr>
                <w:sz w:val="3"/>
                <w:szCs w:val="3"/>
                <w:color w:val="auto"/>
              </w:rPr>
            </w:pPr>
          </w:p>
        </w:tc>
        <w:tc>
          <w:tcPr>
            <w:tcW w:w="98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top w:val="single" w:sz="8" w:color="auto"/>
              <w:bottom w:val="single" w:sz="8" w:color="CCEEFF"/>
            </w:tcBorders>
          </w:tcPr>
          <w:p>
            <w:pPr>
              <w:spacing w:after="0"/>
              <w:rPr>
                <w:sz w:val="3"/>
                <w:szCs w:val="3"/>
                <w:color w:val="auto"/>
              </w:rPr>
            </w:pPr>
          </w:p>
        </w:tc>
        <w:tc>
          <w:tcPr>
            <w:tcW w:w="106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top w:val="single" w:sz="8" w:color="auto"/>
              <w:bottom w:val="single" w:sz="8" w:color="CCEEFF"/>
            </w:tcBorders>
          </w:tcPr>
          <w:p>
            <w:pPr>
              <w:spacing w:after="0"/>
              <w:rPr>
                <w:sz w:val="3"/>
                <w:szCs w:val="3"/>
                <w:color w:val="auto"/>
              </w:rPr>
            </w:pPr>
          </w:p>
        </w:tc>
        <w:tc>
          <w:tcPr>
            <w:tcW w:w="96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620" w:type="dxa"/>
            <w:vAlign w:val="bottom"/>
            <w:tcBorders>
              <w:top w:val="single" w:sz="8" w:color="CCEEFF"/>
            </w:tcBorders>
            <w:shd w:val="clear" w:color="auto" w:fill="CCEEFF"/>
          </w:tcPr>
          <w:p>
            <w:pPr>
              <w:ind w:left="120"/>
              <w:spacing w:after="0" w:line="190" w:lineRule="exact"/>
              <w:rPr>
                <w:sz w:val="20"/>
                <w:szCs w:val="20"/>
                <w:color w:val="auto"/>
              </w:rPr>
            </w:pPr>
            <w:r>
              <w:rPr>
                <w:rFonts w:ascii="Arial" w:cs="Arial" w:eastAsia="Arial" w:hAnsi="Arial"/>
                <w:sz w:val="18"/>
                <w:szCs w:val="18"/>
                <w:color w:val="auto"/>
              </w:rPr>
              <w:t>Interest Income</w:t>
            </w: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532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6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(6,080)</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18,054</w:t>
            </w:r>
          </w:p>
        </w:tc>
        <w:tc>
          <w:tcPr>
            <w:tcW w:w="0" w:type="dxa"/>
            <w:vAlign w:val="bottom"/>
          </w:tcPr>
          <w:p>
            <w:pPr>
              <w:spacing w:after="0"/>
              <w:rPr>
                <w:sz w:val="1"/>
                <w:szCs w:val="1"/>
                <w:color w:val="auto"/>
              </w:rPr>
            </w:pPr>
          </w:p>
        </w:tc>
      </w:tr>
      <w:tr>
        <w:trPr>
          <w:trHeight w:val="168"/>
        </w:trPr>
        <w:tc>
          <w:tcPr>
            <w:tcW w:w="2620" w:type="dxa"/>
            <w:vAlign w:val="bottom"/>
          </w:tcPr>
          <w:p>
            <w:pPr>
              <w:ind w:left="20"/>
              <w:spacing w:after="0" w:line="168" w:lineRule="exact"/>
              <w:rPr>
                <w:sz w:val="20"/>
                <w:szCs w:val="20"/>
                <w:color w:val="auto"/>
              </w:rPr>
            </w:pPr>
            <w:r>
              <w:rPr>
                <w:rFonts w:ascii="Arial" w:cs="Arial" w:eastAsia="Arial" w:hAnsi="Arial"/>
                <w:sz w:val="18"/>
                <w:szCs w:val="18"/>
                <w:color w:val="auto"/>
              </w:rPr>
              <w:t>Income (Loss) Before Income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(4,843)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61,772</w:t>
            </w:r>
          </w:p>
        </w:tc>
        <w:tc>
          <w:tcPr>
            <w:tcW w:w="0" w:type="dxa"/>
            <w:vAlign w:val="bottom"/>
          </w:tcPr>
          <w:p>
            <w:pPr>
              <w:spacing w:after="0"/>
              <w:rPr>
                <w:sz w:val="1"/>
                <w:szCs w:val="1"/>
                <w:color w:val="auto"/>
              </w:rPr>
            </w:pPr>
          </w:p>
        </w:tc>
      </w:tr>
      <w:tr>
        <w:trPr>
          <w:trHeight w:val="208"/>
        </w:trPr>
        <w:tc>
          <w:tcPr>
            <w:tcW w:w="2620" w:type="dxa"/>
            <w:vAlign w:val="bottom"/>
          </w:tcPr>
          <w:p>
            <w:pPr>
              <w:ind w:left="100"/>
              <w:spacing w:after="0" w:line="203" w:lineRule="exact"/>
              <w:rPr>
                <w:sz w:val="20"/>
                <w:szCs w:val="20"/>
                <w:color w:val="auto"/>
              </w:rPr>
            </w:pPr>
            <w:r>
              <w:rPr>
                <w:rFonts w:ascii="Arial" w:cs="Arial" w:eastAsia="Arial" w:hAnsi="Arial"/>
                <w:sz w:val="18"/>
                <w:szCs w:val="18"/>
                <w:color w:val="auto"/>
              </w:rPr>
              <w:t>Tax</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2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jc w:val="right"/>
              <w:ind w:right="712"/>
              <w:spacing w:after="0"/>
              <w:rPr>
                <w:sz w:val="20"/>
                <w:szCs w:val="20"/>
                <w:color w:val="auto"/>
              </w:rPr>
            </w:pPr>
            <w:r>
              <w:rPr>
                <w:rFonts w:ascii="Arial" w:cs="Arial" w:eastAsia="Arial" w:hAnsi="Arial"/>
                <w:sz w:val="14"/>
                <w:szCs w:val="14"/>
                <w:b w:val="1"/>
                <w:bCs w:val="1"/>
                <w:color w:val="auto"/>
              </w:rPr>
              <w:t>Six Months Ended June 30, 2022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7"/>
          </w:tcPr>
          <w:p>
            <w:pPr>
              <w:jc w:val="center"/>
              <w:ind w:right="112"/>
              <w:spacing w:after="0"/>
              <w:rPr>
                <w:sz w:val="20"/>
                <w:szCs w:val="20"/>
                <w:color w:val="auto"/>
              </w:rPr>
            </w:pPr>
            <w:r>
              <w:rPr>
                <w:rFonts w:ascii="Arial" w:cs="Arial" w:eastAsia="Arial" w:hAnsi="Arial"/>
                <w:sz w:val="14"/>
                <w:szCs w:val="14"/>
                <w:b w:val="1"/>
                <w:bCs w:val="1"/>
                <w:color w:val="auto"/>
              </w:rPr>
              <w:t>Six Months Ended June 30, 2021</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Passenger</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Cargo</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Consolidated</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Passenger</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Cargo</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403,348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445,591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276,802</w:t>
            </w:r>
          </w:p>
        </w:tc>
        <w:tc>
          <w:tcPr>
            <w:tcW w:w="0" w:type="dxa"/>
            <w:vAlign w:val="bottom"/>
          </w:tcPr>
          <w:p>
            <w:pPr>
              <w:spacing w:after="0"/>
              <w:rPr>
                <w:sz w:val="1"/>
                <w:szCs w:val="1"/>
                <w:color w:val="auto"/>
              </w:rPr>
            </w:pPr>
          </w:p>
        </w:tc>
      </w:tr>
      <w:tr>
        <w:trPr>
          <w:trHeight w:val="223"/>
        </w:trPr>
        <w:tc>
          <w:tcPr>
            <w:tcW w:w="2620" w:type="dxa"/>
            <w:vAlign w:val="bottom"/>
          </w:tcPr>
          <w:p>
            <w:pPr>
              <w:ind w:left="100"/>
              <w:spacing w:after="0"/>
              <w:rPr>
                <w:sz w:val="20"/>
                <w:szCs w:val="20"/>
                <w:color w:val="auto"/>
              </w:rPr>
            </w:pPr>
            <w:r>
              <w:rPr>
                <w:rFonts w:ascii="Arial" w:cs="Arial" w:eastAsia="Arial" w:hAnsi="Arial"/>
                <w:sz w:val="18"/>
                <w:szCs w:val="18"/>
                <w:color w:val="auto"/>
              </w:rPr>
              <w:t>Non-Fuel Operating Expenses</w:t>
            </w: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238,105</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40,793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278,898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180,314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34,472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214,786</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Aircraft Fuel</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141,492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53,984</w:t>
            </w:r>
          </w:p>
        </w:tc>
        <w:tc>
          <w:tcPr>
            <w:tcW w:w="0" w:type="dxa"/>
            <w:vAlign w:val="bottom"/>
          </w:tcPr>
          <w:p>
            <w:pPr>
              <w:spacing w:after="0"/>
              <w:rPr>
                <w:sz w:val="1"/>
                <w:szCs w:val="1"/>
                <w:color w:val="auto"/>
              </w:rPr>
            </w:pPr>
          </w:p>
        </w:tc>
      </w:tr>
      <w:tr>
        <w:trPr>
          <w:trHeight w:val="230"/>
        </w:trPr>
        <w:tc>
          <w:tcPr>
            <w:tcW w:w="2620" w:type="dxa"/>
            <w:vAlign w:val="bottom"/>
          </w:tcPr>
          <w:p>
            <w:pPr>
              <w:ind w:left="120"/>
              <w:spacing w:after="0"/>
              <w:rPr>
                <w:sz w:val="20"/>
                <w:szCs w:val="20"/>
                <w:color w:val="auto"/>
              </w:rPr>
            </w:pPr>
            <w:r>
              <w:rPr>
                <w:rFonts w:ascii="Arial" w:cs="Arial" w:eastAsia="Arial" w:hAnsi="Arial"/>
                <w:sz w:val="18"/>
                <w:szCs w:val="18"/>
                <w:color w:val="auto"/>
              </w:rPr>
              <w:t>Special Items, net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(72,355)</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379,597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180,272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196,415</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23,751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25,201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52,846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27,541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80,387</w:t>
            </w:r>
          </w:p>
        </w:tc>
        <w:tc>
          <w:tcPr>
            <w:tcW w:w="0" w:type="dxa"/>
            <w:vAlign w:val="bottom"/>
          </w:tcPr>
          <w:p>
            <w:pPr>
              <w:spacing w:after="0"/>
              <w:rPr>
                <w:sz w:val="1"/>
                <w:szCs w:val="1"/>
                <w:color w:val="auto"/>
              </w:rPr>
            </w:pPr>
          </w:p>
        </w:tc>
      </w:tr>
      <w:tr>
        <w:trPr>
          <w:trHeight w:val="45"/>
        </w:trPr>
        <w:tc>
          <w:tcPr>
            <w:tcW w:w="2620" w:type="dxa"/>
            <w:vAlign w:val="bottom"/>
            <w:tcBorders>
              <w:bottom w:val="single" w:sz="8" w:color="CCEEFF"/>
            </w:tcBorders>
          </w:tcPr>
          <w:p>
            <w:pPr>
              <w:spacing w:after="0"/>
              <w:rPr>
                <w:sz w:val="3"/>
                <w:szCs w:val="3"/>
                <w:color w:val="auto"/>
              </w:rPr>
            </w:pPr>
          </w:p>
        </w:tc>
        <w:tc>
          <w:tcPr>
            <w:tcW w:w="180" w:type="dxa"/>
            <w:vAlign w:val="bottom"/>
            <w:tcBorders>
              <w:top w:val="single" w:sz="8" w:color="auto"/>
              <w:bottom w:val="single" w:sz="8" w:color="CCEEFF"/>
            </w:tcBorders>
          </w:tcPr>
          <w:p>
            <w:pPr>
              <w:spacing w:after="0"/>
              <w:rPr>
                <w:sz w:val="3"/>
                <w:szCs w:val="3"/>
                <w:color w:val="auto"/>
              </w:rPr>
            </w:pPr>
          </w:p>
        </w:tc>
        <w:tc>
          <w:tcPr>
            <w:tcW w:w="106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top w:val="single" w:sz="8" w:color="auto"/>
              <w:bottom w:val="single" w:sz="8" w:color="CCEEFF"/>
            </w:tcBorders>
          </w:tcPr>
          <w:p>
            <w:pPr>
              <w:spacing w:after="0"/>
              <w:rPr>
                <w:sz w:val="3"/>
                <w:szCs w:val="3"/>
                <w:color w:val="auto"/>
              </w:rPr>
            </w:pPr>
          </w:p>
        </w:tc>
        <w:tc>
          <w:tcPr>
            <w:tcW w:w="98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top w:val="single" w:sz="8" w:color="auto"/>
              <w:bottom w:val="single" w:sz="8" w:color="CCEEFF"/>
            </w:tcBorders>
          </w:tcPr>
          <w:p>
            <w:pPr>
              <w:spacing w:after="0"/>
              <w:rPr>
                <w:sz w:val="3"/>
                <w:szCs w:val="3"/>
                <w:color w:val="auto"/>
              </w:rPr>
            </w:pPr>
          </w:p>
        </w:tc>
        <w:tc>
          <w:tcPr>
            <w:tcW w:w="106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top w:val="single" w:sz="8" w:color="auto"/>
              <w:bottom w:val="single" w:sz="8" w:color="CCEEFF"/>
            </w:tcBorders>
          </w:tcPr>
          <w:p>
            <w:pPr>
              <w:spacing w:after="0"/>
              <w:rPr>
                <w:sz w:val="3"/>
                <w:szCs w:val="3"/>
                <w:color w:val="auto"/>
              </w:rPr>
            </w:pPr>
          </w:p>
        </w:tc>
        <w:tc>
          <w:tcPr>
            <w:tcW w:w="960" w:type="dxa"/>
            <w:vAlign w:val="bottom"/>
            <w:tcBorders>
              <w:top w:val="single" w:sz="8" w:color="auto"/>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620" w:type="dxa"/>
            <w:vAlign w:val="bottom"/>
            <w:tcBorders>
              <w:top w:val="single" w:sz="8" w:color="CCEEFF"/>
            </w:tcBorders>
            <w:shd w:val="clear" w:color="auto" w:fill="CCEEFF"/>
          </w:tcPr>
          <w:p>
            <w:pPr>
              <w:ind w:left="120"/>
              <w:spacing w:after="0" w:line="190" w:lineRule="exact"/>
              <w:rPr>
                <w:sz w:val="20"/>
                <w:szCs w:val="20"/>
                <w:color w:val="auto"/>
              </w:rPr>
            </w:pPr>
            <w:r>
              <w:rPr>
                <w:rFonts w:ascii="Arial" w:cs="Arial" w:eastAsia="Arial" w:hAnsi="Arial"/>
                <w:sz w:val="18"/>
                <w:szCs w:val="18"/>
                <w:color w:val="auto"/>
              </w:rPr>
              <w:t>Interest Income</w:t>
            </w: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556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62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(13,201)</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18,049</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color w:val="auto"/>
              </w:rPr>
              <w:t>Income Before Income Tax</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85,259</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sz w:val="20"/>
          <w:szCs w:val="20"/>
          <w:color w:val="auto"/>
        </w:rPr>
      </w:pPr>
    </w:p>
    <w:p>
      <w:pPr>
        <w:ind w:left="340" w:right="20"/>
        <w:spacing w:after="0" w:line="261" w:lineRule="auto"/>
        <w:rPr>
          <w:sz w:val="20"/>
          <w:szCs w:val="20"/>
          <w:color w:val="auto"/>
        </w:rPr>
      </w:pPr>
      <w:r>
        <w:rPr>
          <w:rFonts w:ascii="Arial" w:cs="Arial" w:eastAsia="Arial" w:hAnsi="Arial"/>
          <w:sz w:val="18"/>
          <w:szCs w:val="18"/>
          <w:color w:val="auto"/>
        </w:rPr>
        <w:t>The Company evaluated subsequent events for the period from the Balance Sheet date through August 10, 2022, the date that the Condensed Consolidated Financial Statements were available to be issued.</w:t>
      </w:r>
    </w:p>
    <w:p>
      <w:pPr>
        <w:spacing w:after="0" w:line="198" w:lineRule="exact"/>
        <w:rPr>
          <w:sz w:val="20"/>
          <w:szCs w:val="20"/>
          <w:color w:val="auto"/>
        </w:rPr>
      </w:pPr>
    </w:p>
    <w:p>
      <w:pPr>
        <w:ind w:left="340"/>
        <w:spacing w:after="0" w:line="261" w:lineRule="auto"/>
        <w:rPr>
          <w:sz w:val="20"/>
          <w:szCs w:val="20"/>
          <w:color w:val="auto"/>
        </w:rPr>
      </w:pPr>
      <w:r>
        <w:rPr>
          <w:rFonts w:ascii="Arial" w:cs="Arial" w:eastAsia="Arial" w:hAnsi="Arial"/>
          <w:sz w:val="18"/>
          <w:szCs w:val="18"/>
          <w:color w:val="auto"/>
        </w:rPr>
        <w:t xml:space="preserve">For more information on the subsequent events,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of the Notes to the Condensed Consolidated Financial Statements included elsewhere in this report.</w:t>
      </w:r>
    </w:p>
    <w:p>
      <w:pPr>
        <w:spacing w:after="0" w:line="1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 * * * * *</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the terms “Sun Country,” “we,” “us” and “our” refer to Sun Country Airlines Holdings, Inc., and its subsidiaries.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revenues and expenses, and the disclosure of contingent assets and liabilities at the date of the financial statements. We believe our estimates and assumptions are reasonable; however, actual results could differ from those estimates.</w:t>
      </w:r>
    </w:p>
    <w:p>
      <w:pPr>
        <w:spacing w:after="0" w:line="204"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Our significant accounting policies are described in </w:t>
      </w:r>
      <w:hyperlink r:id="rId74">
        <w:r>
          <w:rPr>
            <w:rFonts w:ascii="Arial" w:cs="Arial" w:eastAsia="Arial" w:hAnsi="Arial"/>
            <w:sz w:val="18"/>
            <w:szCs w:val="18"/>
            <w:u w:val="single" w:color="auto"/>
            <w:color w:val="0000FF"/>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Part II, Item 8, “Financial Statements” in the 2021 10-K. Some of those significant accounting policies require us to make difficult, subjective, or complex judgments, or estimates. An accounting estimate is considered to be critical if it meets both of the following criteria:</w:t>
      </w:r>
    </w:p>
    <w:p>
      <w:pPr>
        <w:spacing w:after="0" w:line="20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estimate requires assumptions about matters that are highly uncertain at the time the accounting estimate is made, and</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different estimates reasonably could have been used, or changes in the estimate that are reasonably likely to occur from period to period may have a material impact on the presentation of our financial condition, changes in financial condition, or results of operations.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identified the following critical accounting policies: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Revenue Recognition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Loyalty Program Accounting</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Asset Impairment Analysis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Valuation of the TRA Liability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Scheduled passenger service, charter service, and most ancillary revenues are recognized when the passenger flight occurs. Revenues exclude amounts collected on behalf of other parties, including transportation taxes.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initially defers ticket sales as an air traffic liability and recognizes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including ancillary fees, less applicable change fees. Revenue for change fees is deferred and recognized when the passenger travel is provided.</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Travel credits may generally be redeemed toward future travel for up to 12 months after the date of the original booking. As of June 30, 2022, the Company’s air traffic liability included $8,107 related to travel credits for future travel. The Company records an estimate for travel credits that will expire unused, otherwise known as breakage, in Passenger Revenue upon issuance of the travel credit. During the six months ended June 30, 2022, the Company recorded $5,617 of estimated travel credit breakage. A portion of travel credits will expire unused, at which time any remaining revenue is recognized.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estimated breakage rate is primarily based on historical experience of travel credit activity and other factors that may not be indicative of future trends, such as the COVID-19 pandemic, program changes or modifications that could affect the ultimate usage patterns of tickets and travel credits. The Company continuously monitors its breakage rate assumptions and may adjust its estimated breakage rate in the future. Changes in the Company’s estimated breakage rate impact revenue recognition prospectively.</w:t>
      </w:r>
    </w:p>
    <w:p>
      <w:pPr>
        <w:spacing w:after="0" w:line="2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the six months ended June 30, 2022, a 10% change in the Company’s estimated travel credit breakage rate would have resulted in a change to Passenger Revenue of approximately $445.</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are no critical accounting estimates associated with Charter or Cargo revenue recognition that would materially impact the amount of revenue recognized in any specific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Program Accounting</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The Company records a liability for loyalty points earned by passengers under the Sun Country Rewards program using two methods: (1) a liability for points that are earned by passengers on purchases of the Company’s services is established by deferring revenue based on the redemption value, net of breakage; and (2) a liability for points attributed to loyalty points issued to the Company’s Visa card holders is established by deferring a portion of payments received from the Company’s co-branded agreement. The Company’s Sun Country Rewards program allows for the redemption of points to include payment towards air travel, land travel, taxes, and other ancillary purchases. The balance of the Loyalty Program Liabilities fluctuates based on seasonal patterns, which impact the volume of loyalty points awarded through travel or issued to co-branded credit card and other partners (deferral of revenue) and loyalty points redeemed (recognition of revenue). The Company records an estimate for loyalty points breakage in Passenger Revenue upon issuance of the loyalty points. Loyalty points held by co-branded credit card members do not expire. All other loyalty points expire if unused after three years.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Points Earned Through Travel Purchases</w:t>
      </w:r>
      <w:r>
        <w:rPr>
          <w:rFonts w:ascii="Arial" w:cs="Arial" w:eastAsia="Arial" w:hAnsi="Arial"/>
          <w:sz w:val="18"/>
          <w:szCs w:val="18"/>
          <w:color w:val="auto"/>
        </w:rPr>
        <w:t>. Passenger sales that earn Sun Country Rewards provide customers with travel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loyalty points, which are each considered distinct performance obligations. The Company values each performance obligation on a standalone basis. The Company determines the standalone selling price of loyalty points issued using a redemption value approach which considers the value a passenger will receive upon redemption of the loyalty points. Consideration allocated to loyalty points is deferred, net of estimated breakage, and recognized as Passenger Revenue when both the loyalty points have been redeemed and the passenger travel occurs.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Points Earned through the Co-Branded Credit Card Program</w:t>
      </w:r>
      <w:r>
        <w:rPr>
          <w:rFonts w:ascii="Arial" w:cs="Arial" w:eastAsia="Arial" w:hAnsi="Arial"/>
          <w:sz w:val="18"/>
          <w:szCs w:val="18"/>
          <w:color w:val="auto"/>
        </w:rPr>
        <w:t>. Under the Company's co-branded credit card program, funds received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of a co-branded credit card and delivery of loyalty points are accounted for as a multiple-deliverable arrangement. The Company determined the arrangement has two distinct performance obligations: loyalty points to be awarded; and use of our brand and access to our customer lists, and certain other advertising and marketing elements (collectively, the marketing performance obligation). Funds received from the co-branded credit card program are allocated to the two performance obligations based on relative standalone selling price. The assumptions used to allocate the funds received are not considered critical to the application of the accounting model for the Company’s loyalty program. Consideration allocated to loyalty points is deferred and recognized as Passenger Revenue when both the loyalty points have been redeemed and the passenger travel occurs. Consideration allocated to the marketing performance obligation is recognized as revenue as the spend occurs and is recorded in Other Revenue.</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estimates breakage for loyalty points that are not likely to be redeemed. Loyalty points are combined in one homogenous pool, that includes both air and non-air travel awards, and are not separately identifiable. The estimated breakage rate is primarily based on historical experience of loyalty point redemption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activity and other factors that may not be indicative of future trends, such as the COVID-19 pandemic, program changes or modifications that could affect the ultimate usage pattern of loyalty points. The Company continuously monitors its breakage rate assumptions and may adjust its estimated breakage rate for loyalty points in the future. Changes in the Company’s estimated breakage rate assumptions impact revenue recognition prospectively.</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six months ended June 30, 2022, the Company recognized $780 of loyalty points breakage within Passenger Revenue. A 10% change in the Company’s loyalty point estimated breakage rate would have resulted in a change to Passenger Revenue of approximately $99.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 Analysis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long-lived assets, such as Property &amp; Equipment and finite-lived Intangible Assets, are reviewed for impairment whenever events or changes in circumstances indicate that the carrying amount of an asset may not be recoverable. The Company’s assets include aircraft and associated engines, operating and finance lease assets, the Company’s customer relationship finite-lived intangible assets, and other long-lived assets. The Company reviews the current economic and operating environment to determine whether events or circumstances indicate that these assets may be impaired. Such indicators include, but are not limited to (1) significant, permanent decrease in the market price of the Company’s long-lived assets, (2) significant decrease in the projected cash flows generated from the use of its long-lived assets, (3) changes in the estimated useful life or productive capacity of the asset, (4) changes in the regulatory environment in which the Company operates, and (5) a decision to permanently remove flight equipment or other long-lived assets from operations. If such factors are identified and the Company determines that the carrying amount of the long-lived asset (or asset group) is not recoverable on an undiscounted cash flow basis, an impairment is recognized to the extent that the asset (or asset group’s) carrying amount exceeds its fair value. Fair value is determined using various valuation techniques, including discounted cash flow models, quoted market values and third-party independent appraisals, as considered necessary.</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the Company assesses its long-lived assets for impairment, it utilizes certain assumptions, including, but not limited to: (1) estimated fair value of the assets and (2) estimated future undiscounted cash flows expected to be generated by those assets. Cash flow estimates are determined based on additional assumptions, including asset utilization, average fares, projected fuel costs and other operating costs, along with the estimated service life of the asset. Certain of these assumptions are highly volatile and could change significantly from period to period due to various macroeconomic and industry-specific events.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determine whether impairment exists, the Company groups its assets based on the lowest level of identifiable cash flows, which is its operating segments. This is due to the Company operating a Passenger Service fleet comprised exclusively of one type of aircraft, the Boeing 737-NG. None of the Company’s long-lived assets are owned by, or associated with, the Cargo operating segment.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fiscal year 2020, the Company identified a triggering event within the Passenger Segment due to the significant negative impacts of the COVID-19 pandemic on the demand for air travel and assessed its long-lived assets for impairment. The assessment completed during 2020 indicated that no impairment was necessary, as the fair value of the asset group exceeded the carrying value. The Company has not recorded an impairment on its long-lived assets for any of the periods presented in these Condensed Consolidated Financial Statements, nor did it identify any triggering events during the six months ended June 30, 2022 and for the year ended December 31, 2021.</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the TRA Liability</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its IPO, the Company entered into a TRA with pre-IPO stockholders (the “TRA holders”). The TRA provides for the payment by the Company to the TRA holders of 85% of the amount of cash savings, if any, in U.S. federal, state, local, and foreign income tax that the Company actually realizes (or are deemed to realize in certain circumstances) as a result of certain tax attributes that existed at the time of the IPO (the “Pre-IPO Tax Attributes”). Amounts payable under the TRA are contingent upon, among other things, (i) generation of future taxable income over the term of the TRA, (ii) the Company’s participation in future government programs, (iii) stock option activity during periods prior to the commencement of payments under the TRA and (iv) future changes in tax laws. These factors could result in an increase or decrease in the related liability which would be recognized in the Company’s earnings in the period of such change.</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the Company does not generate sufficient taxable income in the aggregate over the term of the TRA to utilize the tax benefits, then it would not be required to make the related TRA payments. Estimating future taxable income is inherently uncertain and requires judgment. In projecting future taxable income, the Company considers its historical results and incorporates certain assumptions, including revenue growth, operating margin, stock option exercises and tax depreciation expense. The TRA liability estimates related to the generation of future taxable income and stock option activity during the periods prior to the commencement of payments only applies through fiscal year 2022, due to the expiration of the CARES Act dividend and capital distribution restrictions in 2022.</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$10,000 increase in forecasted taxable income would decrease the TRA Liability by approximately $1,200. A decrease in taxable income would not increase the total TRA Liability, subject to any 2021 tax return adjustments. Stock option exercises during the six months ended June 30, 2022 did not significantly impact the TRA liability. Adjustments to the TRA are recorded in the current period in Other, net within Non-Operating Income (Expense) on the Company’s Condensed Consolidated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to our Condensed Consolidated Financial Statements included elsewhere in this Quarterly Report on Form 10-Q for more information regarding recently adopted accounting pronouncements.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4"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following discussion and analysis presents factors that had a material effect on our results of operations during the six months ended June 30, 2022 and 2021. Also discussed is our financial position as of June 30, 2022 and December 31, 2021. This section should be read in conjunction with our unaudited Condensed Consolidated Financial Statements and related notes appearing elsewhere in this Quarterly Report on Form 10-Q and our audited Consolidated Financial Statements and related notes and discussion under the heading “Management’s Discussion and Analysis of Financial Condition and Results of Operations” in our 2021 10-K.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report titled “Risk Factors” and elsewhere in this report. You should carefully read the “</w:t>
      </w:r>
      <w:hyperlink r:id="rId81">
        <w:r>
          <w:rPr>
            <w:rFonts w:ascii="Arial" w:cs="Arial" w:eastAsia="Arial" w:hAnsi="Arial"/>
            <w:sz w:val="18"/>
            <w:szCs w:val="18"/>
            <w:i w:val="1"/>
            <w:iCs w:val="1"/>
            <w:u w:val="single" w:color="auto"/>
            <w:color w:val="0000FF"/>
          </w:rPr>
          <w:t>Risk Factors</w:t>
        </w:r>
      </w:hyperlink>
      <w:r>
        <w:rPr>
          <w:rFonts w:ascii="Arial" w:cs="Arial" w:eastAsia="Arial" w:hAnsi="Arial"/>
          <w:sz w:val="18"/>
          <w:szCs w:val="18"/>
          <w:i w:val="1"/>
          <w:iCs w:val="1"/>
          <w:color w:val="auto"/>
        </w:rPr>
        <w:t>” included in our 2021 10-K to gain an understanding of the important factors that could cause actual results to differ materially from our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Sun Country is a new breed of hybrid low-cost air carrier that dynamically deploys shared resources across our synergistic scheduled service, charter, and cargo businesses. By doing so, we believe we are able to generate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high growth, high margins and strong cash flows with greater resilience than other passenger airlines. We focus on serving leisure and visiting friends and relatives ("VFR") passengers and charter customers as well as providing crew, maintenance and insurance (“CMI”) services to Amazon, with flights throughout the United States and to destinations in Canada, Mexico, Central America and the Caribbean. Based in Minnesota, we operate an agile network that includes our scheduled service business,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scheduled service business combines low costs with a high-quality product to generate higher Total Revenue per Available Seat Mile (“TRASM”) than Ultra Low-Cost Carriers (“ULCCs”) while maintaining lower Adjusted Cost per Available Seat Mile (“CASM”) than Low Cost Carriers (“LCCs”), resulting in best-in-class unit profitability. Our business includes many cost characteristics of ULCCs (which includes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high-quality product that we believe is superior to ULCCs and consistent with that of LCCs (which includes Southwest Airlines and JetBlue Airways). For example, our product includes more legroom than ULCCs, complimentary beverages, in-flight entertainment, and in-seat power, none of which are offered by ULCCs.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charter business, which is one of the largest narrow body charter operations in the United States, is a key component of our strategy because it provides both inherent diversification and downside protection because it is synergistic with our other businesses.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and professional sports teams. Our charter business includes ad hoc, repeat, short-term and long-term service contracts with pass through fuel arrangements and annual rate escalations. Most of our business is non-cyclical because the U.S. Department of Defense and sports teams continue to fly during normal economic downturns and our casino contracts are long-term in nature.</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13, 2019, we signed the ATSA with Amazon to provide air cargo services. We are currently flying 12 Boeing 737-800 cargo aircraft for Amazon.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Our cargo business also enables us to leverage certain assets, capabilities, and fixed costs to enhance profitability and promote growth across our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in Review</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a key component of our success is establishing Sun Country as a high growth, low-cost carrier in the United States by attracting customers with low fares and garnering repeat business by delivering a high-quality passenger experience, offering state-of-the-art interiors, free streaming of in-flight entertainment to passenger devices, seat reclining and seat-back power in all of our aircraft.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COVID-19 pandemic resulted in a dramatic decline in passenger demand across the U.S. airline industry. We experienced a significant decrease in demand related to the COVID-19 pandemic, which caused a material decline in our 2021 results as compared to pre-pandemic levels, and negatively impacted our financial condition and operating results.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the second quarter of 2022, we have continued to see recovery in demand from the COVID-19 pandemic relative to demand in 2021, which may impact the comparability of results presented. However, the ongoing impact of the COVID-19 pandemic on overall demand for air travel remains uncertain and cannot be predicted at this time. In addition, the impact of COVID-19 vaccine mandates and uncertainties in pilot staffing, as well as higher fuel prices, could impact our business and results of operations in the near term. While the COVID-19 pandemic-induced industry downturn delayed our growth in 2020 and 2021, we believe that our investments have positioned us to profitably grow our business in the long term following a rebound in the U.S. airline industry.</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Operational challenges, driven by training throughput issues, and fuel price increases have impacted the Company, as well as the industry. In the near term, current airline travel demand will partially offset the additional costs associated with operational challenges and fuel price increases. Our flexible business model gives us the ability to adjust our services in response to these market conditions, which is targeted at producing the highest possible returns for Sun Country.</w:t>
      </w:r>
    </w:p>
    <w:p>
      <w:pPr>
        <w:spacing w:after="0" w:line="204"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For more information on our business and strategic advantages, see the "Business" and “Management’s Discussion and Analysis of Operations” sections within Part I, </w:t>
      </w:r>
      <w:hyperlink r:id="rId86">
        <w:r>
          <w:rPr>
            <w:rFonts w:ascii="Arial" w:cs="Arial" w:eastAsia="Arial" w:hAnsi="Arial"/>
            <w:sz w:val="18"/>
            <w:szCs w:val="18"/>
            <w:u w:val="single" w:color="auto"/>
            <w:color w:val="0000FF"/>
          </w:rPr>
          <w:t>Item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Part II, </w:t>
      </w:r>
      <w:hyperlink r:id="rId87">
        <w:r>
          <w:rPr>
            <w:rFonts w:ascii="Arial" w:cs="Arial" w:eastAsia="Arial" w:hAnsi="Arial"/>
            <w:sz w:val="18"/>
            <w:szCs w:val="18"/>
            <w:u w:val="single" w:color="auto"/>
            <w:color w:val="0000FF"/>
          </w:rPr>
          <w:t>Item 7</w:t>
        </w:r>
      </w:hyperlink>
      <w:r>
        <w:rPr>
          <w:rFonts w:ascii="Arial" w:cs="Arial" w:eastAsia="Arial" w:hAnsi="Arial"/>
          <w:sz w:val="18"/>
          <w:szCs w:val="18"/>
          <w:color w:val="auto"/>
        </w:rPr>
        <w:t>, respectively, in our 2021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Operations</w:t>
      </w:r>
    </w:p>
    <w:p>
      <w:pPr>
        <w:spacing w:after="0" w:line="247"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For a more detailed discussion on the nature of transactions included in the separate line items of our Condensed Consolidated Statement of Operations, see “Management’s Discussion and Analysis of Operations” in Part II, </w:t>
      </w:r>
      <w:hyperlink r:id="rId87">
        <w:r>
          <w:rPr>
            <w:rFonts w:ascii="Arial" w:cs="Arial" w:eastAsia="Arial" w:hAnsi="Arial"/>
            <w:sz w:val="18"/>
            <w:szCs w:val="18"/>
            <w:u w:val="single" w:color="auto"/>
            <w:color w:val="0000FF"/>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in our 2021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Periods' Financial Statement Revisions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As described in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to the Condensed Consolidated Financial Statements, we have revised previously issued financial statements to correct an immaterial misstatement. Accordingly, all prior period numbers included in this Management's Discussion and Analysis of Financial Condition reflect the effect of the revisions.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80"/>
              <w:spacing w:after="0"/>
              <w:rPr>
                <w:sz w:val="20"/>
                <w:szCs w:val="20"/>
                <w:color w:val="auto"/>
              </w:rPr>
            </w:pPr>
            <w:r>
              <w:rPr>
                <w:rFonts w:ascii="Arial" w:cs="Arial" w:eastAsia="Arial" w:hAnsi="Arial"/>
                <w:sz w:val="11"/>
                <w:szCs w:val="11"/>
                <w:b w:val="1"/>
                <w:bCs w:val="1"/>
                <w:color w:val="auto"/>
              </w:rPr>
              <w:t xml:space="preserve">Three Months Ended June 30, 2022 </w:t>
            </w:r>
            <w:r>
              <w:rPr>
                <w:rFonts w:ascii="Arial" w:cs="Arial" w:eastAsia="Arial" w:hAnsi="Arial"/>
                <w:sz w:val="14"/>
                <w:szCs w:val="14"/>
                <w:b w:val="1"/>
                <w:bCs w:val="1"/>
                <w:color w:val="auto"/>
                <w:vertAlign w:val="superscript"/>
              </w:rPr>
              <w:t>(1)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right"/>
              <w:ind w:right="360"/>
              <w:spacing w:after="0"/>
              <w:rPr>
                <w:sz w:val="20"/>
                <w:szCs w:val="20"/>
                <w:color w:val="auto"/>
              </w:rPr>
            </w:pPr>
            <w:r>
              <w:rPr>
                <w:rFonts w:ascii="Arial" w:cs="Arial" w:eastAsia="Arial" w:hAnsi="Arial"/>
                <w:sz w:val="11"/>
                <w:szCs w:val="11"/>
                <w:b w:val="1"/>
                <w:bCs w:val="1"/>
                <w:color w:val="auto"/>
              </w:rPr>
              <w:t xml:space="preserve">Three Months Ended June 30, 2021 </w:t>
            </w:r>
            <w:r>
              <w:rPr>
                <w:rFonts w:ascii="Arial" w:cs="Arial" w:eastAsia="Arial" w:hAnsi="Arial"/>
                <w:sz w:val="14"/>
                <w:szCs w:val="14"/>
                <w:b w:val="1"/>
                <w:bCs w:val="1"/>
                <w:color w:val="auto"/>
                <w:vertAlign w:val="superscript"/>
              </w:rPr>
              <w:t>(1)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346"/>
              <w:spacing w:after="0" w:line="102" w:lineRule="exact"/>
              <w:rPr>
                <w:sz w:val="20"/>
                <w:szCs w:val="20"/>
                <w:color w:val="auto"/>
              </w:rPr>
            </w:pPr>
            <w:r>
              <w:rPr>
                <w:rFonts w:ascii="Arial" w:cs="Arial" w:eastAsia="Arial" w:hAnsi="Arial"/>
                <w:sz w:val="11"/>
                <w:szCs w:val="11"/>
                <w:b w:val="1"/>
                <w:bCs w:val="1"/>
                <w:color w:val="auto"/>
              </w:rPr>
              <w:t>Scheduled</w:t>
            </w:r>
          </w:p>
        </w:tc>
        <w:tc>
          <w:tcPr>
            <w:tcW w:w="8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06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Cargo</w:t>
            </w:r>
          </w:p>
        </w:tc>
        <w:tc>
          <w:tcPr>
            <w:tcW w:w="240" w:type="dxa"/>
            <w:vAlign w:val="bottom"/>
          </w:tcPr>
          <w:p>
            <w:pPr>
              <w:spacing w:after="0"/>
              <w:rPr>
                <w:sz w:val="8"/>
                <w:szCs w:val="8"/>
                <w:color w:val="auto"/>
              </w:rPr>
            </w:pPr>
          </w:p>
        </w:tc>
        <w:tc>
          <w:tcPr>
            <w:tcW w:w="1040" w:type="dxa"/>
            <w:vAlign w:val="bottom"/>
            <w:gridSpan w:val="3"/>
            <w:vMerge w:val="restart"/>
          </w:tcPr>
          <w:p>
            <w:pPr>
              <w:jc w:val="right"/>
              <w:ind w:right="640"/>
              <w:spacing w:after="0"/>
              <w:rPr>
                <w:sz w:val="20"/>
                <w:szCs w:val="20"/>
                <w:color w:val="auto"/>
              </w:rPr>
            </w:pPr>
            <w:r>
              <w:rPr>
                <w:rFonts w:ascii="Arial" w:cs="Arial" w:eastAsia="Arial" w:hAnsi="Arial"/>
                <w:sz w:val="11"/>
                <w:szCs w:val="11"/>
                <w:b w:val="1"/>
                <w:bCs w:val="1"/>
                <w:color w:val="auto"/>
              </w:rPr>
              <w:t>Total</w:t>
            </w:r>
          </w:p>
        </w:tc>
        <w:tc>
          <w:tcPr>
            <w:tcW w:w="1140" w:type="dxa"/>
            <w:vAlign w:val="bottom"/>
            <w:gridSpan w:val="3"/>
          </w:tcPr>
          <w:p>
            <w:pPr>
              <w:jc w:val="center"/>
              <w:ind w:right="440"/>
              <w:spacing w:after="0" w:line="102" w:lineRule="exact"/>
              <w:rPr>
                <w:sz w:val="20"/>
                <w:szCs w:val="20"/>
                <w:color w:val="auto"/>
              </w:rPr>
            </w:pPr>
            <w:r>
              <w:rPr>
                <w:rFonts w:ascii="Arial" w:cs="Arial" w:eastAsia="Arial" w:hAnsi="Arial"/>
                <w:sz w:val="11"/>
                <w:szCs w:val="11"/>
                <w:b w:val="1"/>
                <w:bCs w:val="1"/>
                <w:color w:val="auto"/>
                <w:w w:val="96"/>
              </w:rPr>
              <w:t>Scheduled</w:t>
            </w:r>
          </w:p>
        </w:tc>
        <w:tc>
          <w:tcPr>
            <w:tcW w:w="8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240" w:type="dxa"/>
            <w:vAlign w:val="bottom"/>
            <w:gridSpan w:val="3"/>
            <w:vMerge w:val="restart"/>
          </w:tcPr>
          <w:p>
            <w:pPr>
              <w:jc w:val="right"/>
              <w:ind w:right="600"/>
              <w:spacing w:after="0"/>
              <w:rPr>
                <w:sz w:val="20"/>
                <w:szCs w:val="20"/>
                <w:color w:val="auto"/>
              </w:rPr>
            </w:pPr>
            <w:r>
              <w:rPr>
                <w:rFonts w:ascii="Arial" w:cs="Arial" w:eastAsia="Arial" w:hAnsi="Arial"/>
                <w:sz w:val="11"/>
                <w:szCs w:val="11"/>
                <w:b w:val="1"/>
                <w:bCs w:val="1"/>
                <w:color w:val="auto"/>
              </w:rPr>
              <w:t>Cargo</w:t>
            </w:r>
          </w:p>
        </w:tc>
        <w:tc>
          <w:tcPr>
            <w:tcW w:w="74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326"/>
              <w:spacing w:after="0"/>
              <w:rPr>
                <w:sz w:val="20"/>
                <w:szCs w:val="20"/>
                <w:color w:val="auto"/>
              </w:rPr>
            </w:pPr>
            <w:r>
              <w:rPr>
                <w:rFonts w:ascii="Arial" w:cs="Arial" w:eastAsia="Arial" w:hAnsi="Arial"/>
                <w:sz w:val="11"/>
                <w:szCs w:val="11"/>
                <w:b w:val="1"/>
                <w:bCs w:val="1"/>
                <w:color w:val="auto"/>
                <w:w w:val="96"/>
              </w:rPr>
              <w:t>Service</w:t>
            </w:r>
          </w:p>
        </w:tc>
        <w:tc>
          <w:tcPr>
            <w:tcW w:w="8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140" w:type="dxa"/>
            <w:vAlign w:val="bottom"/>
            <w:gridSpan w:val="3"/>
          </w:tcPr>
          <w:p>
            <w:pPr>
              <w:jc w:val="center"/>
              <w:ind w:right="440"/>
              <w:spacing w:after="0"/>
              <w:rPr>
                <w:sz w:val="20"/>
                <w:szCs w:val="20"/>
                <w:color w:val="auto"/>
              </w:rPr>
            </w:pPr>
            <w:r>
              <w:rPr>
                <w:rFonts w:ascii="Arial" w:cs="Arial" w:eastAsia="Arial" w:hAnsi="Arial"/>
                <w:sz w:val="11"/>
                <w:szCs w:val="11"/>
                <w:b w:val="1"/>
                <w:bCs w:val="1"/>
                <w:color w:val="auto"/>
                <w:w w:val="96"/>
              </w:rPr>
              <w:t>Service</w:t>
            </w:r>
          </w:p>
        </w:tc>
        <w:tc>
          <w:tcPr>
            <w:tcW w:w="84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860" w:type="dxa"/>
            <w:vAlign w:val="bottom"/>
            <w:shd w:val="clear" w:color="auto" w:fill="CCEEFF"/>
          </w:tcPr>
          <w:p>
            <w:pPr>
              <w:ind w:left="20"/>
              <w:spacing w:after="0" w:line="155" w:lineRule="exact"/>
              <w:rPr>
                <w:sz w:val="20"/>
                <w:szCs w:val="20"/>
                <w:color w:val="auto"/>
              </w:rPr>
            </w:pPr>
            <w:r>
              <w:rPr>
                <w:rFonts w:ascii="Arial" w:cs="Arial" w:eastAsia="Arial" w:hAnsi="Arial"/>
                <w:sz w:val="11"/>
                <w:szCs w:val="11"/>
                <w:color w:val="auto"/>
              </w:rPr>
              <w:t xml:space="preserve">Departures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5,674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2,235</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2,693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10,687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4,921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1,727</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2,752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9,445</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Block hours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18,205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4,573</w:t>
            </w:r>
          </w:p>
        </w:tc>
        <w:tc>
          <w:tcPr>
            <w:tcW w:w="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7,762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30,755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15,900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3,656</w:t>
            </w:r>
          </w:p>
        </w:tc>
        <w:tc>
          <w:tcPr>
            <w:tcW w:w="8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8,198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27,874</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Aircraft miles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7,233,722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1,621,748</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3,000,546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11,914,350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6,478,328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1,360,043</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3,222,967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11,098,716</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Available seat miles (ASMs) (thousands)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1,343,116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278,804</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1,632,501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1,198,768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237,723</w:t>
            </w:r>
          </w:p>
        </w:tc>
        <w:tc>
          <w:tcPr>
            <w:tcW w:w="80" w:type="dxa"/>
            <w:vAlign w:val="bottom"/>
          </w:tcPr>
          <w:p>
            <w:pPr>
              <w:spacing w:after="0"/>
              <w:rPr>
                <w:sz w:val="14"/>
                <w:szCs w:val="1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1,442,744</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revenue per ASM (TRASM) (cents)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15.33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12.16</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8.81</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passenger aircraft during the period </w:t>
            </w:r>
            <w:r>
              <w:rPr>
                <w:rFonts w:ascii="Arial" w:cs="Arial" w:eastAsia="Arial" w:hAnsi="Arial"/>
                <w:sz w:val="14"/>
                <w:szCs w:val="14"/>
                <w:color w:val="auto"/>
                <w:vertAlign w:val="superscript"/>
              </w:rPr>
              <w:t>(3)</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34.5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31.0</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Passenger aircraft at end of period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Cargo aircraft at end of period</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Average daily aircraft utilization (hours)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Average stage length (miles)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1,120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1,179</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Revenue passengers carried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884,088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700,019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Revenue passenger miles (RPMs) (thousands)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1,126,030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919,034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Load factor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83.8 %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76.7 %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base fare per passenger </w:t>
            </w:r>
            <w:r>
              <w:rPr>
                <w:rFonts w:ascii="Arial" w:cs="Arial" w:eastAsia="Arial" w:hAnsi="Arial"/>
                <w:sz w:val="14"/>
                <w:szCs w:val="14"/>
                <w:color w:val="auto"/>
                <w:vertAlign w:val="superscript"/>
              </w:rPr>
              <w:t>(4)</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106"/>
              <w:spacing w:after="0"/>
              <w:rPr>
                <w:sz w:val="20"/>
                <w:szCs w:val="20"/>
                <w:color w:val="auto"/>
              </w:rPr>
            </w:pPr>
            <w:r>
              <w:rPr>
                <w:rFonts w:ascii="Arial" w:cs="Arial" w:eastAsia="Arial" w:hAnsi="Arial"/>
                <w:sz w:val="11"/>
                <w:szCs w:val="11"/>
                <w:color w:val="auto"/>
              </w:rPr>
              <w:t>122.63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95.81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Ancillary revenue per passenger </w:t>
            </w:r>
            <w:r>
              <w:rPr>
                <w:rFonts w:ascii="Arial" w:cs="Arial" w:eastAsia="Arial" w:hAnsi="Arial"/>
                <w:sz w:val="14"/>
                <w:szCs w:val="14"/>
                <w:color w:val="auto"/>
                <w:vertAlign w:val="superscript"/>
              </w:rPr>
              <w:t>(4)</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50.00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41.66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Charter revenue per block hour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1080" w:type="dxa"/>
            <w:vAlign w:val="bottom"/>
            <w:gridSpan w:val="3"/>
          </w:tcPr>
          <w:p>
            <w:pPr>
              <w:jc w:val="right"/>
              <w:ind w:right="4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9,349</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7,904</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Fuel gallons consumed (thousands)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14,187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3,271</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17,568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12,267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2,622</w:t>
            </w: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14,955</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Fuel cost per gallon, excluding derivatives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4.39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2.07</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Employees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2,282</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1,815</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Cost per available seat mile (CASM) (cents) </w:t>
            </w:r>
            <w:r>
              <w:rPr>
                <w:rFonts w:ascii="Arial" w:cs="Arial" w:eastAsia="Arial" w:hAnsi="Arial"/>
                <w:sz w:val="14"/>
                <w:szCs w:val="14"/>
                <w:color w:val="auto"/>
                <w:vertAlign w:val="superscript"/>
              </w:rPr>
              <w:t>(5)</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13.21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6.89</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4"/>
                <w:szCs w:val="14"/>
                <w:color w:val="auto"/>
                <w:vertAlign w:val="superscript"/>
              </w:rPr>
              <w:t>(6)</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6.40</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w:t>
      </w:r>
    </w:p>
    <w:p>
      <w:pPr>
        <w:spacing w:after="0" w:line="1"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Scheduled service and charter service utilize the same fleet of aircraft. Aircraft counts and utilization metrics are shown on a system basis only.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service revenue is driven by flight statistics.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14" w:lineRule="exact"/>
        <w:rPr>
          <w:rFonts w:ascii="Arial" w:cs="Arial" w:eastAsia="Arial" w:hAnsi="Arial"/>
          <w:sz w:val="14"/>
          <w:szCs w:val="14"/>
          <w:color w:val="auto"/>
        </w:rPr>
      </w:pPr>
    </w:p>
    <w:p>
      <w:pPr>
        <w:ind w:left="340" w:hanging="332"/>
        <w:spacing w:after="0" w:line="258" w:lineRule="auto"/>
        <w:tabs>
          <w:tab w:leader="none" w:pos="327"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Adjusted CASM is a non-GAAP measure derived from CASM by excluding fuel costs, costs related to our cargo operations, special items, and certain other costs that are unrelated to our airline operations.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40"/>
              <w:spacing w:after="0"/>
              <w:rPr>
                <w:sz w:val="20"/>
                <w:szCs w:val="20"/>
                <w:color w:val="auto"/>
              </w:rPr>
            </w:pPr>
            <w:r>
              <w:rPr>
                <w:rFonts w:ascii="Arial" w:cs="Arial" w:eastAsia="Arial" w:hAnsi="Arial"/>
                <w:sz w:val="11"/>
                <w:szCs w:val="11"/>
                <w:b w:val="1"/>
                <w:bCs w:val="1"/>
                <w:color w:val="auto"/>
              </w:rPr>
              <w:t xml:space="preserve">Six Months Ended June 30, 2022 </w:t>
            </w:r>
            <w:r>
              <w:rPr>
                <w:rFonts w:ascii="Arial" w:cs="Arial" w:eastAsia="Arial" w:hAnsi="Arial"/>
                <w:sz w:val="14"/>
                <w:szCs w:val="14"/>
                <w:b w:val="1"/>
                <w:bCs w:val="1"/>
                <w:color w:val="auto"/>
                <w:vertAlign w:val="superscript"/>
              </w:rPr>
              <w:t>(1)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1"/>
                <w:szCs w:val="11"/>
                <w:b w:val="1"/>
                <w:bCs w:val="1"/>
                <w:color w:val="auto"/>
                <w:w w:val="98"/>
              </w:rPr>
              <w:t xml:space="preserve">Six Months Ended June 30, 2021 </w:t>
            </w:r>
            <w:r>
              <w:rPr>
                <w:rFonts w:ascii="Arial" w:cs="Arial" w:eastAsia="Arial" w:hAnsi="Arial"/>
                <w:sz w:val="14"/>
                <w:szCs w:val="14"/>
                <w:b w:val="1"/>
                <w:bCs w:val="1"/>
                <w:color w:val="auto"/>
                <w:w w:val="98"/>
                <w:vertAlign w:val="superscript"/>
              </w:rPr>
              <w:t>(1)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3"/>
          </w:tcPr>
          <w:p>
            <w:pPr>
              <w:jc w:val="center"/>
              <w:ind w:right="340"/>
              <w:spacing w:after="0" w:line="102" w:lineRule="exact"/>
              <w:rPr>
                <w:sz w:val="20"/>
                <w:szCs w:val="20"/>
                <w:color w:val="auto"/>
              </w:rPr>
            </w:pPr>
            <w:r>
              <w:rPr>
                <w:rFonts w:ascii="Arial" w:cs="Arial" w:eastAsia="Arial" w:hAnsi="Arial"/>
                <w:sz w:val="11"/>
                <w:szCs w:val="11"/>
                <w:b w:val="1"/>
                <w:bCs w:val="1"/>
                <w:color w:val="auto"/>
              </w:rPr>
              <w:t>Scheduled</w:t>
            </w:r>
          </w:p>
        </w:tc>
        <w:tc>
          <w:tcPr>
            <w:tcW w:w="9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Charter</w:t>
            </w:r>
          </w:p>
        </w:tc>
        <w:tc>
          <w:tcPr>
            <w:tcW w:w="1060" w:type="dxa"/>
            <w:vAlign w:val="bottom"/>
            <w:gridSpan w:val="2"/>
            <w:vMerge w:val="restart"/>
          </w:tcPr>
          <w:p>
            <w:pPr>
              <w:ind w:left="320"/>
              <w:spacing w:after="0"/>
              <w:rPr>
                <w:sz w:val="20"/>
                <w:szCs w:val="20"/>
                <w:color w:val="auto"/>
              </w:rPr>
            </w:pPr>
            <w:r>
              <w:rPr>
                <w:rFonts w:ascii="Arial" w:cs="Arial" w:eastAsia="Arial" w:hAnsi="Arial"/>
                <w:sz w:val="11"/>
                <w:szCs w:val="11"/>
                <w:b w:val="1"/>
                <w:bCs w:val="1"/>
                <w:color w:val="auto"/>
              </w:rPr>
              <w:t>Cargo</w:t>
            </w:r>
          </w:p>
        </w:tc>
        <w:tc>
          <w:tcPr>
            <w:tcW w:w="240" w:type="dxa"/>
            <w:vAlign w:val="bottom"/>
          </w:tcPr>
          <w:p>
            <w:pPr>
              <w:spacing w:after="0"/>
              <w:rPr>
                <w:sz w:val="8"/>
                <w:szCs w:val="8"/>
                <w:color w:val="auto"/>
              </w:rPr>
            </w:pPr>
          </w:p>
        </w:tc>
        <w:tc>
          <w:tcPr>
            <w:tcW w:w="1040" w:type="dxa"/>
            <w:vAlign w:val="bottom"/>
            <w:gridSpan w:val="3"/>
            <w:vMerge w:val="restart"/>
          </w:tcPr>
          <w:p>
            <w:pPr>
              <w:jc w:val="right"/>
              <w:ind w:right="640"/>
              <w:spacing w:after="0"/>
              <w:rPr>
                <w:sz w:val="20"/>
                <w:szCs w:val="20"/>
                <w:color w:val="auto"/>
              </w:rPr>
            </w:pPr>
            <w:r>
              <w:rPr>
                <w:rFonts w:ascii="Arial" w:cs="Arial" w:eastAsia="Arial" w:hAnsi="Arial"/>
                <w:sz w:val="11"/>
                <w:szCs w:val="11"/>
                <w:b w:val="1"/>
                <w:bCs w:val="1"/>
                <w:color w:val="auto"/>
              </w:rPr>
              <w:t>Total</w:t>
            </w:r>
          </w:p>
        </w:tc>
        <w:tc>
          <w:tcPr>
            <w:tcW w:w="1140" w:type="dxa"/>
            <w:vAlign w:val="bottom"/>
            <w:gridSpan w:val="3"/>
          </w:tcPr>
          <w:p>
            <w:pPr>
              <w:jc w:val="center"/>
              <w:ind w:right="386"/>
              <w:spacing w:after="0" w:line="102" w:lineRule="exact"/>
              <w:rPr>
                <w:sz w:val="20"/>
                <w:szCs w:val="20"/>
                <w:color w:val="auto"/>
              </w:rPr>
            </w:pPr>
            <w:r>
              <w:rPr>
                <w:rFonts w:ascii="Arial" w:cs="Arial" w:eastAsia="Arial" w:hAnsi="Arial"/>
                <w:sz w:val="11"/>
                <w:szCs w:val="11"/>
                <w:b w:val="1"/>
                <w:bCs w:val="1"/>
                <w:color w:val="auto"/>
                <w:w w:val="96"/>
              </w:rPr>
              <w:t>Scheduled</w:t>
            </w:r>
          </w:p>
        </w:tc>
        <w:tc>
          <w:tcPr>
            <w:tcW w:w="8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Charter</w:t>
            </w:r>
          </w:p>
        </w:tc>
        <w:tc>
          <w:tcPr>
            <w:tcW w:w="1240" w:type="dxa"/>
            <w:vAlign w:val="bottom"/>
            <w:gridSpan w:val="3"/>
            <w:vMerge w:val="restart"/>
          </w:tcPr>
          <w:p>
            <w:pPr>
              <w:jc w:val="right"/>
              <w:ind w:right="600"/>
              <w:spacing w:after="0"/>
              <w:rPr>
                <w:sz w:val="20"/>
                <w:szCs w:val="20"/>
                <w:color w:val="auto"/>
              </w:rPr>
            </w:pPr>
            <w:r>
              <w:rPr>
                <w:rFonts w:ascii="Arial" w:cs="Arial" w:eastAsia="Arial" w:hAnsi="Arial"/>
                <w:sz w:val="11"/>
                <w:szCs w:val="11"/>
                <w:b w:val="1"/>
                <w:bCs w:val="1"/>
                <w:color w:val="auto"/>
              </w:rPr>
              <w:t>Cargo</w:t>
            </w:r>
          </w:p>
        </w:tc>
        <w:tc>
          <w:tcPr>
            <w:tcW w:w="740" w:type="dxa"/>
            <w:vAlign w:val="bottom"/>
            <w:vMerge w:val="restart"/>
          </w:tcPr>
          <w:p>
            <w:pPr>
              <w:jc w:val="right"/>
              <w:ind w:right="28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96"/>
              </w:rPr>
              <w:t>Service</w:t>
            </w:r>
          </w:p>
        </w:tc>
        <w:tc>
          <w:tcPr>
            <w:tcW w:w="9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140" w:type="dxa"/>
            <w:vAlign w:val="bottom"/>
            <w:gridSpan w:val="3"/>
          </w:tcPr>
          <w:p>
            <w:pPr>
              <w:jc w:val="center"/>
              <w:ind w:right="386"/>
              <w:spacing w:after="0"/>
              <w:rPr>
                <w:sz w:val="20"/>
                <w:szCs w:val="20"/>
                <w:color w:val="auto"/>
              </w:rPr>
            </w:pPr>
            <w:r>
              <w:rPr>
                <w:rFonts w:ascii="Arial" w:cs="Arial" w:eastAsia="Arial" w:hAnsi="Arial"/>
                <w:sz w:val="11"/>
                <w:szCs w:val="11"/>
                <w:b w:val="1"/>
                <w:bCs w:val="1"/>
                <w:color w:val="auto"/>
                <w:w w:val="96"/>
              </w:rPr>
              <w:t>Service</w:t>
            </w:r>
          </w:p>
        </w:tc>
        <w:tc>
          <w:tcPr>
            <w:tcW w:w="84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860" w:type="dxa"/>
            <w:vAlign w:val="bottom"/>
            <w:shd w:val="clear" w:color="auto" w:fill="CCEEFF"/>
          </w:tcPr>
          <w:p>
            <w:pPr>
              <w:ind w:left="20"/>
              <w:spacing w:after="0" w:line="155" w:lineRule="exact"/>
              <w:rPr>
                <w:sz w:val="20"/>
                <w:szCs w:val="20"/>
                <w:color w:val="auto"/>
              </w:rPr>
            </w:pPr>
            <w:r>
              <w:rPr>
                <w:rFonts w:ascii="Arial" w:cs="Arial" w:eastAsia="Arial" w:hAnsi="Arial"/>
                <w:sz w:val="11"/>
                <w:szCs w:val="11"/>
                <w:color w:val="auto"/>
              </w:rPr>
              <w:t xml:space="preserve">Departures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11,901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3,855</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5,267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21,174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9,244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3,238</w:t>
            </w: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5,317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17,897</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Block hours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40,638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8,377</w:t>
            </w:r>
          </w:p>
        </w:tc>
        <w:tc>
          <w:tcPr>
            <w:tcW w:w="8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15,152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64,560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31,107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6,987</w:t>
            </w:r>
          </w:p>
        </w:tc>
        <w:tc>
          <w:tcPr>
            <w:tcW w:w="8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16,440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54,806</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Aircraft miles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16,334,436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3,001,196</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5,810,328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25,249,223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12,711,512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2,582,494</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6,508,492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21,883,259</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Available seat miles (ASMs) (thousands) </w:t>
            </w:r>
            <w:r>
              <w:rPr>
                <w:rFonts w:ascii="Arial" w:cs="Arial" w:eastAsia="Arial" w:hAnsi="Arial"/>
                <w:sz w:val="14"/>
                <w:szCs w:val="14"/>
                <w:color w:val="auto"/>
                <w:vertAlign w:val="superscript"/>
              </w:rPr>
              <w:t>(2)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3,027,648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514,509</w:t>
            </w:r>
          </w:p>
        </w:tc>
        <w:tc>
          <w:tcPr>
            <w:tcW w:w="8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3,560,651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2,356,780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449,444</w:t>
            </w:r>
          </w:p>
        </w:tc>
        <w:tc>
          <w:tcPr>
            <w:tcW w:w="80" w:type="dxa"/>
            <w:vAlign w:val="bottom"/>
          </w:tcPr>
          <w:p>
            <w:pPr>
              <w:spacing w:after="0"/>
              <w:rPr>
                <w:sz w:val="14"/>
                <w:szCs w:val="14"/>
                <w:color w:val="auto"/>
              </w:rPr>
            </w:pPr>
          </w:p>
        </w:tc>
        <w:tc>
          <w:tcPr>
            <w:tcW w:w="124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2,819,540</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Total revenue per ASM (TRASM) (cents)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14.70</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11.33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12.17</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8.27</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passenger aircraft during the period </w:t>
            </w:r>
            <w:r>
              <w:rPr>
                <w:rFonts w:ascii="Arial" w:cs="Arial" w:eastAsia="Arial" w:hAnsi="Arial"/>
                <w:sz w:val="14"/>
                <w:szCs w:val="14"/>
                <w:color w:val="auto"/>
                <w:vertAlign w:val="superscript"/>
              </w:rPr>
              <w:t>(3)</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34.3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31.0</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Passenger aircraft at end of period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Cargo aircraft at end of period</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Average daily aircraft utilization (hours) </w:t>
            </w:r>
            <w:r>
              <w:rPr>
                <w:rFonts w:ascii="Arial" w:cs="Arial" w:eastAsia="Arial" w:hAnsi="Arial"/>
                <w:sz w:val="14"/>
                <w:szCs w:val="14"/>
                <w:color w:val="auto"/>
                <w:vertAlign w:val="superscript"/>
              </w:rPr>
              <w:t>(3)</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Average stage length (miles)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1,227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1,225</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Revenue passengers carried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1,806,740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1,253,051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Revenue passenger miles (RPMs) (thousands)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2,464,490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1,694,033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Load factor </w:t>
            </w:r>
            <w:r>
              <w:rPr>
                <w:rFonts w:ascii="Arial" w:cs="Arial" w:eastAsia="Arial" w:hAnsi="Arial"/>
                <w:sz w:val="14"/>
                <w:szCs w:val="14"/>
                <w:color w:val="auto"/>
                <w:vertAlign w:val="superscript"/>
              </w:rPr>
              <w:t>(4)</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81.4 %</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71.9 %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Average base fare per passenger </w:t>
            </w:r>
            <w:r>
              <w:rPr>
                <w:rFonts w:ascii="Arial" w:cs="Arial" w:eastAsia="Arial" w:hAnsi="Arial"/>
                <w:sz w:val="14"/>
                <w:szCs w:val="14"/>
                <w:color w:val="auto"/>
                <w:vertAlign w:val="superscript"/>
              </w:rPr>
              <w:t>(4)</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ind w:right="106"/>
              <w:spacing w:after="0"/>
              <w:rPr>
                <w:sz w:val="20"/>
                <w:szCs w:val="20"/>
                <w:color w:val="auto"/>
              </w:rPr>
            </w:pPr>
            <w:r>
              <w:rPr>
                <w:rFonts w:ascii="Arial" w:cs="Arial" w:eastAsia="Arial" w:hAnsi="Arial"/>
                <w:sz w:val="11"/>
                <w:szCs w:val="11"/>
                <w:color w:val="auto"/>
              </w:rPr>
              <w:t>128.67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97.12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Ancillary revenue per passenger </w:t>
            </w:r>
            <w:r>
              <w:rPr>
                <w:rFonts w:ascii="Arial" w:cs="Arial" w:eastAsia="Arial" w:hAnsi="Arial"/>
                <w:sz w:val="14"/>
                <w:szCs w:val="14"/>
                <w:color w:val="auto"/>
                <w:vertAlign w:val="superscript"/>
              </w:rPr>
              <w:t>(4)</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49.42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42.24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Charter revenue per block hour </w:t>
            </w:r>
            <w:r>
              <w:rPr>
                <w:rFonts w:ascii="Arial" w:cs="Arial" w:eastAsia="Arial" w:hAnsi="Arial"/>
                <w:sz w:val="14"/>
                <w:szCs w:val="14"/>
                <w:color w:val="auto"/>
                <w:vertAlign w:val="superscript"/>
              </w:rPr>
              <w:t>(4)</w:t>
            </w:r>
          </w:p>
        </w:tc>
        <w:tc>
          <w:tcPr>
            <w:tcW w:w="140" w:type="dxa"/>
            <w:vAlign w:val="bottom"/>
          </w:tcPr>
          <w:p>
            <w:pPr>
              <w:spacing w:after="0"/>
              <w:rPr>
                <w:sz w:val="14"/>
                <w:szCs w:val="14"/>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1"/>
                <w:szCs w:val="11"/>
                <w:color w:val="auto"/>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9,028</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right"/>
              <w:ind w:right="46"/>
              <w:spacing w:after="0"/>
              <w:rPr>
                <w:sz w:val="20"/>
                <w:szCs w:val="20"/>
                <w:color w:val="auto"/>
              </w:rPr>
            </w:pPr>
            <w:r>
              <w:rPr>
                <w:rFonts w:ascii="Arial" w:cs="Arial" w:eastAsia="Arial" w:hAnsi="Arial"/>
                <w:sz w:val="11"/>
                <w:szCs w:val="11"/>
                <w:color w:val="auto"/>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7,829</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Fuel gallons consumed (thousands) </w:t>
            </w:r>
            <w:r>
              <w:rPr>
                <w:rFonts w:ascii="Arial" w:cs="Arial" w:eastAsia="Arial" w:hAnsi="Arial"/>
                <w:sz w:val="14"/>
                <w:szCs w:val="14"/>
                <w:color w:val="auto"/>
                <w:vertAlign w:val="superscript"/>
              </w:rPr>
              <w:t>(2)</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31,587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6,029</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37,813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23,824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4,979</w:t>
            </w:r>
          </w:p>
        </w:tc>
        <w:tc>
          <w:tcPr>
            <w:tcW w:w="80" w:type="dxa"/>
            <w:vAlign w:val="bottom"/>
            <w:shd w:val="clear" w:color="auto" w:fill="CCEEFF"/>
          </w:tcPr>
          <w:p>
            <w:pPr>
              <w:spacing w:after="0"/>
              <w:rPr>
                <w:sz w:val="14"/>
                <w:szCs w:val="14"/>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28,948</w:t>
            </w:r>
          </w:p>
        </w:tc>
        <w:tc>
          <w:tcPr>
            <w:tcW w:w="0" w:type="dxa"/>
            <w:vAlign w:val="bottom"/>
          </w:tcPr>
          <w:p>
            <w:pPr>
              <w:spacing w:after="0"/>
              <w:rPr>
                <w:sz w:val="1"/>
                <w:szCs w:val="1"/>
                <w:color w:val="auto"/>
              </w:rPr>
            </w:pPr>
          </w:p>
        </w:tc>
      </w:tr>
      <w:tr>
        <w:trPr>
          <w:trHeight w:val="140"/>
        </w:trPr>
        <w:tc>
          <w:tcPr>
            <w:tcW w:w="2860" w:type="dxa"/>
            <w:vAlign w:val="bottom"/>
          </w:tcPr>
          <w:p>
            <w:pPr>
              <w:ind w:left="20"/>
              <w:spacing w:after="0"/>
              <w:rPr>
                <w:sz w:val="20"/>
                <w:szCs w:val="20"/>
                <w:color w:val="auto"/>
              </w:rPr>
            </w:pPr>
            <w:r>
              <w:rPr>
                <w:rFonts w:ascii="Arial" w:cs="Arial" w:eastAsia="Arial" w:hAnsi="Arial"/>
                <w:sz w:val="11"/>
                <w:szCs w:val="11"/>
                <w:color w:val="auto"/>
              </w:rPr>
              <w:t>Fuel cost per gallon, excluding derivatives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3.76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1.99</w:t>
            </w:r>
          </w:p>
        </w:tc>
        <w:tc>
          <w:tcPr>
            <w:tcW w:w="0" w:type="dxa"/>
            <w:vAlign w:val="bottom"/>
          </w:tcPr>
          <w:p>
            <w:pPr>
              <w:spacing w:after="0"/>
              <w:rPr>
                <w:sz w:val="1"/>
                <w:szCs w:val="1"/>
                <w:color w:val="auto"/>
              </w:rPr>
            </w:pPr>
          </w:p>
        </w:tc>
      </w:tr>
      <w:tr>
        <w:trPr>
          <w:trHeight w:val="22"/>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Employees at end of period</w:t>
            </w: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2,282</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1,815</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rPr>
                <w:sz w:val="20"/>
                <w:szCs w:val="20"/>
                <w:color w:val="auto"/>
              </w:rPr>
            </w:pPr>
            <w:r>
              <w:rPr>
                <w:rFonts w:ascii="Arial" w:cs="Arial" w:eastAsia="Arial" w:hAnsi="Arial"/>
                <w:sz w:val="11"/>
                <w:szCs w:val="11"/>
                <w:color w:val="auto"/>
              </w:rPr>
              <w:t xml:space="preserve">Cost per available seat mile (CASM) (cents) </w:t>
            </w:r>
            <w:r>
              <w:rPr>
                <w:rFonts w:ascii="Arial" w:cs="Arial" w:eastAsia="Arial" w:hAnsi="Arial"/>
                <w:sz w:val="14"/>
                <w:szCs w:val="14"/>
                <w:color w:val="auto"/>
                <w:vertAlign w:val="superscript"/>
              </w:rPr>
              <w:t>(5)</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Arial" w:cs="Arial" w:eastAsia="Arial" w:hAnsi="Arial"/>
                <w:sz w:val="11"/>
                <w:szCs w:val="11"/>
                <w:color w:val="auto"/>
              </w:rPr>
              <w:t>11.81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6.97</w:t>
            </w:r>
          </w:p>
        </w:tc>
        <w:tc>
          <w:tcPr>
            <w:tcW w:w="0" w:type="dxa"/>
            <w:vAlign w:val="bottom"/>
          </w:tcPr>
          <w:p>
            <w:pPr>
              <w:spacing w:after="0"/>
              <w:rPr>
                <w:sz w:val="1"/>
                <w:szCs w:val="1"/>
                <w:color w:val="auto"/>
              </w:rPr>
            </w:pPr>
          </w:p>
        </w:tc>
      </w:tr>
      <w:tr>
        <w:trPr>
          <w:trHeight w:val="162"/>
        </w:trPr>
        <w:tc>
          <w:tcPr>
            <w:tcW w:w="2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Adjusted CASM (cents) </w:t>
            </w:r>
            <w:r>
              <w:rPr>
                <w:rFonts w:ascii="Arial" w:cs="Arial" w:eastAsia="Arial" w:hAnsi="Arial"/>
                <w:sz w:val="14"/>
                <w:szCs w:val="14"/>
                <w:color w:val="auto"/>
                <w:vertAlign w:val="superscript"/>
              </w:rPr>
              <w:t>(6)</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6.64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6.28</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w:t>
      </w:r>
    </w:p>
    <w:p>
      <w:pPr>
        <w:spacing w:after="0" w:line="1"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4" w:lineRule="exact"/>
        <w:rPr>
          <w:rFonts w:ascii="Arial" w:cs="Arial" w:eastAsia="Arial" w:hAnsi="Arial"/>
          <w:sz w:val="14"/>
          <w:szCs w:val="14"/>
          <w:color w:val="auto"/>
        </w:rPr>
      </w:pPr>
    </w:p>
    <w:p>
      <w:pPr>
        <w:ind w:left="340" w:right="20" w:hanging="332"/>
        <w:spacing w:after="0" w:line="25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ASMs and Fuel gallons consumed include amounts related to flights operated for maintenance; therefore the Total System amounts are higher than the sum of Scheduled Service, Charter Service and Cargo amounts.</w:t>
      </w: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Scheduled service and charter service utilize the same fleet of aircraft. Aircraft counts and utilization metrics are shown on a system basis only.</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service revenue is driven by flight statistics.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14" w:lineRule="exact"/>
        <w:rPr>
          <w:rFonts w:ascii="Arial" w:cs="Arial" w:eastAsia="Arial" w:hAnsi="Arial"/>
          <w:sz w:val="14"/>
          <w:szCs w:val="14"/>
          <w:color w:val="auto"/>
        </w:rPr>
      </w:pPr>
    </w:p>
    <w:p>
      <w:pPr>
        <w:ind w:left="340" w:hanging="332"/>
        <w:spacing w:after="0" w:line="258"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Adjusted CASM is a non-GAAP measure derived from CASM by excluding fuel costs, costs related to our cargo operations, special items, and certain other costs that are unrelated to our airline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 2022 and 2021</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7"/>
                <w:szCs w:val="17"/>
                <w:color w:val="auto"/>
              </w:rPr>
            </w:pPr>
          </w:p>
        </w:tc>
        <w:tc>
          <w:tcPr>
            <w:tcW w:w="118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00" w:type="dxa"/>
            <w:vAlign w:val="bottom"/>
            <w:vMerge w:val="restart"/>
          </w:tcPr>
          <w:p>
            <w:pPr>
              <w:jc w:val="right"/>
              <w:ind w:right="6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160" w:type="dxa"/>
            <w:vAlign w:val="bottom"/>
            <w:tcBorders>
              <w:top w:val="single" w:sz="8" w:color="auto"/>
            </w:tcBorders>
            <w:vMerge w:val="restart"/>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600" w:type="dxa"/>
            <w:vAlign w:val="bottom"/>
          </w:tcPr>
          <w:p>
            <w:pPr>
              <w:jc w:val="right"/>
              <w:ind w:right="45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Scheduled Service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108,412</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67,073</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41,339</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Charter Service</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28,898</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Ancillary</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44,201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29,159</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15,042</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w:t>
            </w: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195,362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125,130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Cargo</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22,098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Revenues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219,067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149,189</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69,878</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29,709</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47,238</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Salaries, Wages, and Benefits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60,298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42,316</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17,982</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Rent</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12,782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11,300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14,208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2,646</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Landing Fees and Airport Rent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9,496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8,752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3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(39,819)</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39,819</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Operating, net</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16,746</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215,698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99,400</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116,298</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49,789</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(46,420)</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Non-operating (Expense) Income:</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(6,080)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18,054</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(19,756)</w:t>
            </w:r>
          </w:p>
        </w:tc>
        <w:tc>
          <w:tcPr>
            <w:tcW w:w="10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4940" w:type="dxa"/>
            <w:vAlign w:val="bottom"/>
          </w:tcPr>
          <w:p>
            <w:pPr>
              <w:ind w:left="360"/>
              <w:spacing w:after="0"/>
              <w:rPr>
                <w:sz w:val="20"/>
                <w:szCs w:val="20"/>
                <w:color w:val="auto"/>
              </w:rPr>
            </w:pPr>
            <w:r>
              <w:rPr>
                <w:rFonts w:ascii="Arial" w:cs="Arial" w:eastAsia="Arial" w:hAnsi="Arial"/>
                <w:sz w:val="18"/>
                <w:szCs w:val="18"/>
                <w:color w:val="auto"/>
              </w:rPr>
              <w:t>Total Non-operating (Expense) Income, net</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11,983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(20,195)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Before Income Tax</w:t>
            </w: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61,772</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(66,615)</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(10,516)</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52,177</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(56,099)</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"NM" stands for not meaningful</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Operating Revenues increased $69,878, or 47%, to $219,067 for the three months ended June 30, 2022 from $ 149,189 for the three months ended June 30, 2021. The increase was largely driven by an increase in demand for passenger service during 2022 as compared to 2021, which was significantly impacted by a decrease in passenger demand due to the COVID-19 pandemic.</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Scheduled Service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Scheduled service revenue increased by $41,339, or 62%, to $108,412 for the three months ended June 30, 2022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$67,073 for the three months ended June 30, 2021. The table below presents select operating data for scheduled service, expressed as quarter-over-quarter changes: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4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60" w:type="dxa"/>
            <w:vAlign w:val="bottom"/>
          </w:tcPr>
          <w:p>
            <w:pPr>
              <w:jc w:val="right"/>
              <w:ind w:right="4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Departures</w:t>
            </w:r>
          </w:p>
        </w:tc>
        <w:tc>
          <w:tcPr>
            <w:tcW w:w="3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5,674</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4,921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753</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Passengers</w:t>
            </w:r>
          </w:p>
        </w:tc>
        <w:tc>
          <w:tcPr>
            <w:tcW w:w="34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884,088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700,019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184,069</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base fare per 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122.63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95.81</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26.82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RPMs (thousands)</w:t>
            </w:r>
          </w:p>
        </w:tc>
        <w:tc>
          <w:tcPr>
            <w:tcW w:w="34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1,126,030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919,034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206,996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ASMs (thousands)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1,343,116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1,198,768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144,348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TRASM (cents)</w:t>
            </w:r>
          </w:p>
        </w:tc>
        <w:tc>
          <w:tcPr>
            <w:tcW w:w="34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11.55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load factor</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7.1 pts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quarter-over-quarter increases in all scheduled service operating data was primarily the result of the continued recovery in demand from the COVID-19 pandemic in the second quarter of 2022 relative to the same period in 2021. The quarter-over-quarter increase in demand is demonstrated by a 15% increase in departures, a 26% increase in passengers, and a 28% increase in the average base fare per passenger.</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Charter Service. </w:t>
      </w:r>
      <w:r>
        <w:rPr>
          <w:rFonts w:ascii="Arial" w:cs="Arial" w:eastAsia="Arial" w:hAnsi="Arial"/>
          <w:sz w:val="18"/>
          <w:szCs w:val="18"/>
          <w:color w:val="auto"/>
        </w:rPr>
        <w:t>Charter service revenue increased $13,851, or 48%, to $42,749 for the three months ended June 30, 2022, from $28,898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months ended June 30, 2021. Charter revenue per block hour was $9,349 for the three months ended June 30, 2022, as compared to $7,904 for the three months ended June 30, 2021, for an increase of 18%. The increase in Charter service revenue was driven by the increase in rates and a 25% increase in Charter block hours due to the continued recovery from the COVID-19 pandemic and a new charter agreement with Caesars Entertainment, Inc. that began operations in the first quarter of 2022. Rates in 2021 suffered from significant competitive pressure because other carriers had excess aircraft, crew, and resources to operate charter capacity.</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Ancillary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Ancillary revenue increased by $15,042, or 52%, to $44,201 for the three months ended June 30, 2022, from $ 29,159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2021. The 26% increase in scheduled passengers during the period resulted in greater sales of air travel-related services, such as; baggage fees, seat selection and upgrade fees, and on-board sales. Ancillary revenue was $50.00 per passenger in the three months ended June 30, 2022, up $8.34, or 20%, from the three months ended June 30, 2021. Revenue per passenger increased due to the inclusion of a new ancillary product that reclassified portions of revenue from Scheduled Service to Ancillary, the return of onboard food and beverage sales, and increased demand.</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decreased by $908, or 4%, to $21,190 for the three months ended June 30, 2022, from $22,098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2021. Cargo block hours and departures decreased quarter-over-quarter by 5% and 2%, respectively, driven by heavy maintenance events impacting the Cargo flight schedule. Operational factors also contributed to the year-over-year revenue decrease.</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was $2,515 for the three months ended June 30, 2022, as compared to $1,961 for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The revenue and period over period increase was not material.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We believe Aircraft Fuel expenses, excluding derivatives and other items, is the best measure of the effect of fuel prices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business as it consists solely of items associated with fuel for our operations and is consistent with how management analyzes our operating performance. This measure is defined as GAAP Aircraft Fuel expense, excluding gains related to fuel hedge derivative contracts and other items.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Aircraft Fuel expense are shown in the following table: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20" w:type="dxa"/>
            <w:vAlign w:val="bottom"/>
            <w:gridSpan w:val="2"/>
            <w:vMerge w:val="restart"/>
          </w:tcPr>
          <w:p>
            <w:pPr>
              <w:jc w:val="right"/>
              <w:ind w:right="6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16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Change</w:t>
            </w:r>
          </w:p>
        </w:tc>
        <w:tc>
          <w:tcPr>
            <w:tcW w:w="1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9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Aircraft Fuel Expenses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Exclude: Fuel Derivative Gains</w:t>
            </w: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Excluded Items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168"/>
        </w:trPr>
        <w:tc>
          <w:tcPr>
            <w:tcW w:w="4920" w:type="dxa"/>
            <w:vAlign w:val="bottom"/>
          </w:tcPr>
          <w:p>
            <w:pPr>
              <w:ind w:left="20"/>
              <w:spacing w:after="0" w:line="168" w:lineRule="exact"/>
              <w:rPr>
                <w:sz w:val="20"/>
                <w:szCs w:val="20"/>
                <w:color w:val="auto"/>
              </w:rPr>
            </w:pPr>
            <w:r>
              <w:rPr>
                <w:rFonts w:ascii="Arial" w:cs="Arial" w:eastAsia="Arial" w:hAnsi="Arial"/>
                <w:sz w:val="18"/>
                <w:szCs w:val="18"/>
                <w:color w:val="auto"/>
              </w:rPr>
              <w:t>Aircraft Fuel Expenses, Excluding Derivatives and Other</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Items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46,157</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Fuel Gallons Consumed (thousands)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Fuel Cost per Gallon, Excluding Derivatives and Other Items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increase in Aircraft Fuel expense was mainly driven by the 112% year-over-year increase in the average price per gallon of fuel, and a 17% increase in fuel gallons consumed resulting from a recovery in demand as demonstrated by a 16% increase in passenger service block hours.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Salaries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Wages, and Benefits</w:t>
      </w:r>
      <w:r>
        <w:rPr>
          <w:rFonts w:ascii="Arial" w:cs="Arial" w:eastAsia="Arial" w:hAnsi="Arial"/>
          <w:sz w:val="18"/>
          <w:szCs w:val="18"/>
          <w:color w:val="auto"/>
        </w:rPr>
        <w:t>. Salaries, wages, and benefits expense increased $17,982, or 42%, to $60,298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2022, as compared to $42,316 for the three months ended June 30, 2021. The increase was primarily driven by the new Collective Bargaining Agreement ("CBA") for our pilots, which went into effect in the first quarter of 2022, increased per unit costs, and an increase in passenger service related block hours. The employee headcount as of June 30, 2022 was 2,282, as compared to 1,815 as of June 30, 2021, for an increase of 467, or 26%. The increase in employee headcount was to support all lines of business during the ongoing recovery from the impacts of the COVID-19 pandemic.</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Aircraft Rent</w:t>
      </w:r>
      <w:r>
        <w:rPr>
          <w:rFonts w:ascii="Arial" w:cs="Arial" w:eastAsia="Arial" w:hAnsi="Arial"/>
          <w:sz w:val="18"/>
          <w:szCs w:val="18"/>
          <w:color w:val="auto"/>
        </w:rPr>
        <w:t>. Aircraft Rent expense decreased $1,604, or 42%, to $2,211 for the three months ended June 30, 2022,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$3,815 for the three months ended June 30, 2021. Aircraft Rent expense decreased primarily due to the composition of our aircraft fleet shifting from aircraft under operating leases (expense is recorded within Aircraft Rent) to owned aircraft or finance leases (expense is recorded through Depreciation and Amortization and Interest Expense). Specifically, in the first quarter of 2022, we executed lease amendments which modified two aircraft from operating leases to finance leases. For the three months ended June 30, 2022 and 2021, there were four and six aircraft under operating leases, respectively</w:t>
      </w:r>
      <w:r>
        <w:rPr>
          <w:rFonts w:ascii="Arial" w:cs="Arial" w:eastAsia="Arial" w:hAnsi="Arial"/>
          <w:sz w:val="19"/>
          <w:szCs w:val="19"/>
          <w:color w:val="auto"/>
        </w:rPr>
        <w:t>.</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materials and repair expense increased $1,482, or 13%, to $12,782 for the three months ended June 30,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to $11,300 for the three months ended June 30, 2021. The increase in maintenance expense was primarily driven by increased departures and block hours across the Passenger segment, as well as increased per unit costs due to incremental contractor spend.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increased $2,059, or 35%, to $7,881 for the three months ended June 30,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$5,822 for the three months ended June 30, 2021. Passenger revenue increased 56% between these two periods which resulted in an approximately $1,800 increase in credit card processing and global distribution system fees.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$2,646, or 19%, to $16,854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2022, as compared to $14,208 for the three months ended June 30, 2021. The increase was primarily due to the impact of a change in the composition of our aircraft fleet to an increased number of owned aircraft and aircraft under finance leases (the expense is recorded as Depreciation and Amortization and Interest Expense). For the three months ended June 30, 2022 and 2021, there were 26 and 20 owned aircraft and 11 and seven finance leases, respectively.</w:t>
      </w:r>
    </w:p>
    <w:p>
      <w:pPr>
        <w:spacing w:after="0" w:line="17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increased $ 1,661, or 25%, to $8,212 for the three months ended June 30, 2022,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$6,551 for the three months ended June 30, 2021. The increase was primarily due to the 15% increase in Scheduled Service departures during the same time periods.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$744, or 9%, to $9,496 for the three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as compared to $8,752 for the three months ended June 30, 2021. The increase was primarily driven by the 15% increase in Scheduled Service departures for the three months ended June 30, 2022.</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Special Items, net</w:t>
      </w:r>
      <w:r>
        <w:rPr>
          <w:rFonts w:ascii="Arial" w:cs="Arial" w:eastAsia="Arial" w:hAnsi="Arial"/>
          <w:sz w:val="18"/>
          <w:szCs w:val="18"/>
          <w:color w:val="auto"/>
        </w:rPr>
        <w:t>. There were no Special Items recorded for the three months ended June 30, 2022. Special Items had a net benefit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$39,819 for the three months ended June 30, 2021. The net benefit was primarily driven by the payroll support received under the CARES Act, of which the Cargo segment was allocated $9,736. These credits within the Cargo segment results were based on the respective segment salaries, wages, and benefits. For more information on Special Items, see </w:t>
      </w:r>
      <w:r>
        <w:rPr>
          <w:rFonts w:ascii="Arial" w:cs="Arial" w:eastAsia="Arial" w:hAnsi="Arial"/>
          <w:sz w:val="18"/>
          <w:szCs w:val="18"/>
          <w:u w:val="single" w:color="auto"/>
          <w:color w:val="0000FF"/>
        </w:rPr>
        <w:t>Note 12</w:t>
      </w:r>
      <w:r>
        <w:rPr>
          <w:rFonts w:ascii="Arial" w:cs="Arial" w:eastAsia="Arial" w:hAnsi="Arial"/>
          <w:sz w:val="18"/>
          <w:szCs w:val="18"/>
          <w:color w:val="auto"/>
        </w:rPr>
        <w:t xml:space="preserve"> of the Condensed Consolidated Financial Statements included in Part I, Item I of this report.</w:t>
      </w:r>
    </w:p>
    <w:p>
      <w:pPr>
        <w:spacing w:after="0" w:line="17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expense increased $ 4,271, or 26%, to $21,017 for the three months ended June 30,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$16,746 for the three months ended June 30, 2021, mainly due to increased departures within the Passenger segment, which resulted in higher crew and other employee travel costs, catering expenses, and other operational overhead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was $532 for the three months ended June 30, 2022 primarily due to the purchase of debt securities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quarter. Interest income for the three months ended June 30, 2021 was nominal.</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$962, or 16%, to $7,042 for the three months ended June 30, 2022, as compared to $6,080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months ended June 30, 2021. The increase was primarily due to a larger mix of owned aircraft that were financed or refinanced with the proceeds from the 2022-1 EETC, as well as an increase in aircraft accounted for as finance leases during the three months ended June 30, 2022.</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decreased by $19,756 to a net expense of $ 1,702 for the three months ended June 30, 2022, as compared to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benefit of $18,054 for the three months ended June 30, 2021. The decrease was primarily due to the $1,700 adjustment to increase the estimated TRA liability in the current year, as compared to the $18,700 adjustment to decrease the estimated TRA liability in the prior year. For more information on the TRA liability, 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of the Condensed Consolidated Financial Statements included in Part I, Item I of this report.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The Company's effective tax rate for the three months ended June 30, 2022 was 19.0% compared to 15.5%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2021. The increase in the effective tax rate was primarily due to the non-deductible expense related to the adjustment of the TRA liability, partially offset by stock compensation benefits.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2022 and 2021</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300" w:type="dxa"/>
            <w:vAlign w:val="bottom"/>
          </w:tcPr>
          <w:p>
            <w:pPr>
              <w:spacing w:after="0"/>
              <w:rPr>
                <w:sz w:val="17"/>
                <w:szCs w:val="17"/>
                <w:color w:val="auto"/>
              </w:rPr>
            </w:pPr>
          </w:p>
        </w:tc>
        <w:tc>
          <w:tcPr>
            <w:tcW w:w="1180" w:type="dxa"/>
            <w:vAlign w:val="bottom"/>
            <w:vMerge w:val="restart"/>
          </w:tcPr>
          <w:p>
            <w:pPr>
              <w:jc w:val="right"/>
              <w:ind w:right="61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600" w:type="dxa"/>
            <w:vAlign w:val="bottom"/>
            <w:vMerge w:val="restart"/>
          </w:tcPr>
          <w:p>
            <w:pPr>
              <w:jc w:val="right"/>
              <w:ind w:right="65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vMerge w:val="restart"/>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1600" w:type="dxa"/>
            <w:vAlign w:val="bottom"/>
          </w:tcPr>
          <w:p>
            <w:pPr>
              <w:jc w:val="right"/>
              <w:ind w:right="45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0"/>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Scheduled Service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232,479</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121,693</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110,786</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Charter Service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54,703</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20,925</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Ancillary</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89,287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52,929</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36,358</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Passenger</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229,325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168,069</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Cargo</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43,684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0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Revenues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445,591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276,802</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168,789</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141,492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53,984</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87,508</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Salaries, Wages, and Benefits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119,915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86,392</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33,523</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Rent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Maintenance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24,777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20,510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4,267</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32,182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26,823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5,359</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Ground Handling</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Landing Fees and Airport Rent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19,782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17,537</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3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(72,355)</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72,355</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49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Operating, net</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31,397</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12,769</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420,390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196,415</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223,975</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80,387</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(55,186)</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49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(13,201)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18,049</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(26,626)</w:t>
            </w:r>
          </w:p>
        </w:tc>
        <w:tc>
          <w:tcPr>
            <w:tcW w:w="100" w:type="dxa"/>
            <w:vAlign w:val="bottom"/>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0"/>
        </w:trPr>
        <w:tc>
          <w:tcPr>
            <w:tcW w:w="4940" w:type="dxa"/>
            <w:vAlign w:val="bottom"/>
          </w:tcPr>
          <w:p>
            <w:pPr>
              <w:ind w:left="360"/>
              <w:spacing w:after="0"/>
              <w:rPr>
                <w:sz w:val="20"/>
                <w:szCs w:val="20"/>
                <w:color w:val="auto"/>
              </w:rPr>
            </w:pPr>
            <w:r>
              <w:rPr>
                <w:rFonts w:ascii="Arial" w:cs="Arial" w:eastAsia="Arial" w:hAnsi="Arial"/>
                <w:sz w:val="18"/>
                <w:szCs w:val="18"/>
                <w:color w:val="auto"/>
              </w:rPr>
              <w:t>Total Non-operating Income (Expense),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(28,497)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Before Income Tax</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85,259</w:t>
            </w: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(83,683)</w:t>
            </w:r>
          </w:p>
        </w:tc>
        <w:tc>
          <w:tcPr>
            <w:tcW w:w="100" w:type="dxa"/>
            <w:vAlign w:val="bottom"/>
            <w:tcBorders>
              <w:bottom w:val="single" w:sz="8" w:color="CCEEFF"/>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50"/>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(14,443)</w:t>
            </w:r>
          </w:p>
        </w:tc>
        <w:tc>
          <w:tcPr>
            <w:tcW w:w="100" w:type="dxa"/>
            <w:vAlign w:val="bottom"/>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68,955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(69,240)</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Arial" w:cs="Arial" w:eastAsia="Arial" w:hAnsi="Arial"/>
          <w:sz w:val="14"/>
          <w:szCs w:val="14"/>
          <w:color w:val="auto"/>
        </w:rPr>
        <w:t>"NM" stands for not meaningful</w:t>
      </w:r>
    </w:p>
    <w:p>
      <w:pPr>
        <w:spacing w:after="0" w:line="33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Total Operating Revenues increased by $168,789, or 61%, to $445,591 for the six months ended June 30, 2022 from $276,802 for the six months ended June 30, 2021. The increase was largely driven by an increase in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demand for passenger service during the first half of 2022 as compared to 2021, which was significantly impacted by a decrease in passenger demand due to the COVID-19 pandemic.</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Scheduled Service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Scheduled service revenue increased by $110,786, or 91%, to $232,479 for the six months ended June 30, 2022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$121,693 for the six months ended June 30, 2021. The table below presents select operating data for scheduled service: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6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1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560" w:type="dxa"/>
            <w:vAlign w:val="bottom"/>
          </w:tcPr>
          <w:p>
            <w:pPr>
              <w:jc w:val="right"/>
              <w:ind w:right="43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Departures</w:t>
            </w:r>
          </w:p>
        </w:tc>
        <w:tc>
          <w:tcPr>
            <w:tcW w:w="3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11,901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9,244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2,657</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Passengers</w:t>
            </w:r>
          </w:p>
        </w:tc>
        <w:tc>
          <w:tcPr>
            <w:tcW w:w="34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1,806,740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1,253,051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553,689</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base fare per passenger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128.67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97.12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31.55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RPMs (thousands)</w:t>
            </w:r>
          </w:p>
        </w:tc>
        <w:tc>
          <w:tcPr>
            <w:tcW w:w="34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2,464,490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1,694,033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770,457</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ASMs (thousands)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3,027,648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2,356,780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670,868</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TRASM (cents)</w:t>
            </w:r>
          </w:p>
        </w:tc>
        <w:tc>
          <w:tcPr>
            <w:tcW w:w="34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10.82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Passenger load factor</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9.5 pts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significant year-over-year increases in all scheduled service operating data was primarily the result of the continued recovery in demand from the COVID-19 pandemic in the first half of 2022 relative to the same period in 2021. The year-over-year increase in demand is demonstrated by a 29% increase in departures, a 44% increase in passengers, and a 32% increase in the average base fare per passenger.</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Charter Service. </w:t>
      </w:r>
      <w:r>
        <w:rPr>
          <w:rFonts w:ascii="Arial" w:cs="Arial" w:eastAsia="Arial" w:hAnsi="Arial"/>
          <w:sz w:val="18"/>
          <w:szCs w:val="18"/>
          <w:color w:val="auto"/>
        </w:rPr>
        <w:t>Charter service revenue increased $20,925, or 38%, to $ 75,628 for the six months ended June 30, 2022, from $54,703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six months ended June 30, 2021. Charter revenue per block hour was $ 9,028 for the six months ended June 30, 2022, as compared to $7,829 for the six months ended June 30, 2021, for an increase of 15%. The increase in Charter service revenue was driven by the increase in rates and a 20% increase in Charter block hours due to the continued recovery from the COVID-19 pandemic and a new charter agreement with Caesars Entertainment, Inc. that began operations in the first quarter of 2022. Rates in 2021 suffered from significant competitive pressure because other carriers had excess aircraft, crew, and resources to operate charter capacity.</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Ancillary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Ancillary revenue increased by $36,358, or 69%, to $89,287 for the six months ended June 30, 2022, from $52,929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2021. The 44% increase in scheduled passengers during the period resulted in greater sales of air travel-related services, such as: baggage fees, seat selection and upgrade fees, and on-board sales. Ancillary revenue was $49.42 per passenger in the six months ended June 30, 2022, up $7.18, or 17%, from the six months ended June 30, 2021. Revenue per passenger increased due to the inclusion of a new ancillary product that reclassified portions of revenue from Scheduled Service to Ancillary, the return of onboard food and beverage sales, and increased demand.</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Cargo</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cargo services slightly decreased by $1,441, or 3%, to $42,243 for the six months ended June 30, 2022, from $43,684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six months ended June 30, 2021. The number of departures were materially consistent year-over-year; however, block hours declined 8%. The decrease in block hours was driven by the year-over-year difference in the flight schedules received from Amazon, which were influenced by heavy maintenance events. Operational factors also contributed to the year-over-year revenue decrease.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revenue was $5,954 for the six months ended June 30, 2022, as compared to $3,793 for the six months ended June 30, 2021.</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driven by an increase in revenue from Sun Country Vacations as a result of higher year-over-year bookings.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Aircraft Fuel</w:t>
      </w:r>
      <w:r>
        <w:rPr>
          <w:rFonts w:ascii="Arial" w:cs="Arial" w:eastAsia="Arial" w:hAnsi="Arial"/>
          <w:sz w:val="18"/>
          <w:szCs w:val="18"/>
          <w:color w:val="auto"/>
        </w:rPr>
        <w:t>. We believe Aircraft Fuel expenses, excluding derivatives and other items, is the best measure of the effect of fuel prices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business as it consists solely of items associated with fuel for our operations and is consistent with how management analyzes our operating performance. This measure is defined as GAAP Aircraft Fuel expense, excluding gains related to fuel hedge derivative contracts and other items.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Aircraft Fuel expense are shown in the following table: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20" w:type="dxa"/>
            <w:vAlign w:val="bottom"/>
            <w:gridSpan w:val="2"/>
            <w:vMerge w:val="restart"/>
          </w:tcPr>
          <w:p>
            <w:pPr>
              <w:jc w:val="right"/>
              <w:ind w:right="6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Change</w:t>
            </w:r>
          </w:p>
        </w:tc>
        <w:tc>
          <w:tcPr>
            <w:tcW w:w="1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9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Aircraft Fuel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141,492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Exclude: Fuel Derivative Gains</w:t>
            </w:r>
          </w:p>
        </w:tc>
        <w:tc>
          <w:tcPr>
            <w:tcW w:w="3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Excluded Items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270 %</w:t>
            </w:r>
          </w:p>
        </w:tc>
        <w:tc>
          <w:tcPr>
            <w:tcW w:w="0" w:type="dxa"/>
            <w:vAlign w:val="bottom"/>
          </w:tcPr>
          <w:p>
            <w:pPr>
              <w:spacing w:after="0"/>
              <w:rPr>
                <w:sz w:val="1"/>
                <w:szCs w:val="1"/>
                <w:color w:val="auto"/>
              </w:rPr>
            </w:pPr>
          </w:p>
        </w:tc>
      </w:tr>
      <w:tr>
        <w:trPr>
          <w:trHeight w:val="168"/>
        </w:trPr>
        <w:tc>
          <w:tcPr>
            <w:tcW w:w="4920" w:type="dxa"/>
            <w:vAlign w:val="bottom"/>
          </w:tcPr>
          <w:p>
            <w:pPr>
              <w:ind w:left="20"/>
              <w:spacing w:after="0" w:line="168" w:lineRule="exact"/>
              <w:rPr>
                <w:sz w:val="20"/>
                <w:szCs w:val="20"/>
                <w:color w:val="auto"/>
              </w:rPr>
            </w:pPr>
            <w:r>
              <w:rPr>
                <w:rFonts w:ascii="Arial" w:cs="Arial" w:eastAsia="Arial" w:hAnsi="Arial"/>
                <w:sz w:val="18"/>
                <w:szCs w:val="18"/>
                <w:color w:val="auto"/>
              </w:rPr>
              <w:t>Aircraft Fuel Expenses, Excluding Derivatives and Other</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Items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142,018</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84,293</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Fuel Gallons Consumed (thousands)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color w:val="auto"/>
              </w:rPr>
              <w:t>Fuel Cost per Gallon, Excluding Derivatives and Other Items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increase in Aircraft Fuel expense was mainly driven by the 89% increase in the average price per gallon of fuel, and a 31% increase in fuel gallons consumed resulting from a recovery in demand as demonstrated by a 29% increase in passenger service block hours.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Salaries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Wages, and Benefits</w:t>
      </w:r>
      <w:r>
        <w:rPr>
          <w:rFonts w:ascii="Arial" w:cs="Arial" w:eastAsia="Arial" w:hAnsi="Arial"/>
          <w:sz w:val="18"/>
          <w:szCs w:val="18"/>
          <w:color w:val="auto"/>
        </w:rPr>
        <w:t>. Salaries, wages, and benefits expense increased $33,523, or 39%, to $119,915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2022, as compared to $86,392 for the six months ended June 30, 2021. The increase was driven by the new Collective Bargaining Agreement ("CBA") for our pilots, which went into effect in the first quarter of 2022, increased per unit costs, and an increase in passenger service related block hours. The employee headcount as of June 30, 2022 was 2,282, as compared to 1,815 as of June 30, 2021, for an increase of 467, or 26%. The increase in employee headcount was to support all lines of business during the ongoing recovery from the impacts of the COVID-19 pandemic.</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Aircraft Rent</w:t>
      </w:r>
      <w:r>
        <w:rPr>
          <w:rFonts w:ascii="Arial" w:cs="Arial" w:eastAsia="Arial" w:hAnsi="Arial"/>
          <w:sz w:val="18"/>
          <w:szCs w:val="18"/>
          <w:color w:val="auto"/>
        </w:rPr>
        <w:t>. Aircraft Rent expense decreased $4,017, or 43%, to $5,397 for the six months ended June 30, 2022, as compared to $9,414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six months ended June 30, 2021. Aircraft Rent expense decreased primarily due to the composition of our aircraft fleet shifting from aircraft under operating leases (expense is recorded within Aircraft Rent) to owned aircraft or finance leases (expense is recorded through Depreciation and Amortization and Interest Expense). Specifically, in the first six months of 2022, we executed lease amendments which modified two aircraft from operating leases to finance leases and entered into an additional finance lease. For the six months ended June 30, 2022 and 2021, there were an average of five and eight aircraft under operating leases, respectively</w:t>
      </w:r>
      <w:r>
        <w:rPr>
          <w:rFonts w:ascii="Arial" w:cs="Arial" w:eastAsia="Arial" w:hAnsi="Arial"/>
          <w:sz w:val="19"/>
          <w:szCs w:val="19"/>
          <w:color w:val="auto"/>
        </w:rPr>
        <w:t>.</w:t>
      </w:r>
    </w:p>
    <w:p>
      <w:pPr>
        <w:spacing w:after="0" w:line="17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Maintenance</w:t>
      </w:r>
      <w:r>
        <w:rPr>
          <w:rFonts w:ascii="Arial" w:cs="Arial" w:eastAsia="Arial" w:hAnsi="Arial"/>
          <w:sz w:val="18"/>
          <w:szCs w:val="18"/>
          <w:color w:val="auto"/>
        </w:rPr>
        <w:t>. Maintenance materials and repair expense increased $ 4,267, or 21%, to $24,777 for the six months ended June 30,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$20,510 for the six months ended June 30, 2021. The increase in maintenance expense was primarily driven by increased departures and block hours across the Passenger segment, as well as increased per unit costs due to incremental contractor spend.</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Sales and Marketing</w:t>
      </w:r>
      <w:r>
        <w:rPr>
          <w:rFonts w:ascii="Arial" w:cs="Arial" w:eastAsia="Arial" w:hAnsi="Arial"/>
          <w:sz w:val="18"/>
          <w:szCs w:val="18"/>
          <w:color w:val="auto"/>
        </w:rPr>
        <w:t>. Sales and Marketing expense increased $5,577, or 51%, to $16,509 for the six months ended June 30,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$ 10,932 for the six months ended June 30, 2021. Passenger revenue increased 73% between these two periods leading to an approximately $3,800 increase in credit card</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processing and global distribution system fees. Additionally, there was an increase of approximately $1,200 in advertising expense year-over-year.</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Depreciation and Amortization expense increased $5,359, or 20%, to $32,182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2022, as compared to $26,823 for the six months ended June 30, 2021. The increase was primarily due to the impact of a change in the composition of our aircraft fleet to an increased number of owned aircraft and aircraft under finance leases (the expense is recorded as Depreciation and Amortization and Interest Expense). For the six months ended June 30, 2022 and 2021, there was an average of 23 and 18 owned aircraft and 11 and six finance leases, respectively.</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Ground Handling</w:t>
      </w:r>
      <w:r>
        <w:rPr>
          <w:rFonts w:ascii="Arial" w:cs="Arial" w:eastAsia="Arial" w:hAnsi="Arial"/>
          <w:sz w:val="18"/>
          <w:szCs w:val="18"/>
          <w:color w:val="auto"/>
        </w:rPr>
        <w:t>. Ground Handling expense increased $4,389, or 37%, to $16,170 for the six months ended June 30, 2022,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$11,781 for the six months ended June 30, 2021. The increase was primarily due to the 29% increase in Scheduled Service departures during the same time periods.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Landing Fees and Airport Rent</w:t>
      </w:r>
      <w:r>
        <w:rPr>
          <w:rFonts w:ascii="Arial" w:cs="Arial" w:eastAsia="Arial" w:hAnsi="Arial"/>
          <w:sz w:val="18"/>
          <w:szCs w:val="18"/>
          <w:color w:val="auto"/>
        </w:rPr>
        <w:t>. Landing Fees and Airport Rent increased $2,245, or 13%, to $19,782 for the six months ended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as compared to $17,537 for the six months ended June 30, 2021. The increase was primarily driven by the 29% increase in Scheduled Service departures for the six months ended June 30, 2022.</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Special Items, net</w:t>
      </w:r>
      <w:r>
        <w:rPr>
          <w:rFonts w:ascii="Arial" w:cs="Arial" w:eastAsia="Arial" w:hAnsi="Arial"/>
          <w:sz w:val="18"/>
          <w:szCs w:val="18"/>
          <w:color w:val="auto"/>
        </w:rPr>
        <w:t>. There were no Special Items recorded during the six months ended June 30, 2022. Special Items had a net benefit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$72,355 for the six months ended June 30, 2021. The net benefit was primarily driven by the payroll support received under the CARES Act, of which the Cargo segment was allocated $18,401. These credits within the Cargo segment results were based on the respective segment salaries, wages, and benefits. For more information on Special Items, see </w:t>
      </w:r>
      <w:r>
        <w:rPr>
          <w:rFonts w:ascii="Arial" w:cs="Arial" w:eastAsia="Arial" w:hAnsi="Arial"/>
          <w:sz w:val="18"/>
          <w:szCs w:val="18"/>
          <w:u w:val="single" w:color="auto"/>
          <w:color w:val="0000FF"/>
        </w:rPr>
        <w:t>Note 12</w:t>
      </w:r>
      <w:r>
        <w:rPr>
          <w:rFonts w:ascii="Arial" w:cs="Arial" w:eastAsia="Arial" w:hAnsi="Arial"/>
          <w:sz w:val="18"/>
          <w:szCs w:val="18"/>
          <w:color w:val="auto"/>
        </w:rPr>
        <w:t xml:space="preserve"> of the Condensed Consolidated Financial Statements included in Part I, Item I of this report.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Other Operating, net</w:t>
      </w:r>
      <w:r>
        <w:rPr>
          <w:rFonts w:ascii="Arial" w:cs="Arial" w:eastAsia="Arial" w:hAnsi="Arial"/>
          <w:sz w:val="18"/>
          <w:szCs w:val="18"/>
          <w:color w:val="auto"/>
        </w:rPr>
        <w:t>. Other operating, net expense increased $12,769, or 41%, to $44,166 for the six months ended June 30,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$31,397 for the six months ended June 30, 2021, mainly due to increased departures within the Passenger segment, which resulted in higher crew and other employee travel costs, catering expenses, and other operational overhead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was $556 for the six months ended June 30, 2022 primarily due to the purchase of debt securities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second quarter. Interest income for the six months ended June 30, 2021 was nominal.</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increased $2,403, or 18%, to $15,604 for the six months ended June 30, 2022, as compared to $13,201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six months ended June 30, 2021. The increase was primarily due to a larger mix of owned aircraft that were financed or refinanced with the proceeds from the 2022-1 EETC, as well as an increase in aircraft accounted for as finance leases during the six months ended June 30, 2022.</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decreased $26,626 to a net expense of $ 8,577 for the six months ended June 30, 2022, as compared to net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$18,049 for the six months ended June 30, 2021. The decrease was primarily due to the $8,500 adjustment to increase the estimated TRA liability in the current year, as compared to the $18,700 adjustment to decrease the estimated TRA liability in the prior year. For more information on the TRA liability, see </w:t>
      </w:r>
      <w:r>
        <w:rPr>
          <w:rFonts w:ascii="Arial" w:cs="Arial" w:eastAsia="Arial" w:hAnsi="Arial"/>
          <w:sz w:val="18"/>
          <w:szCs w:val="18"/>
          <w:u w:val="single" w:color="auto"/>
          <w:color w:val="0000FF"/>
        </w:rPr>
        <w:t>Note 11</w:t>
      </w:r>
      <w:r>
        <w:rPr>
          <w:rFonts w:ascii="Arial" w:cs="Arial" w:eastAsia="Arial" w:hAnsi="Arial"/>
          <w:sz w:val="18"/>
          <w:szCs w:val="18"/>
          <w:color w:val="auto"/>
        </w:rPr>
        <w:t xml:space="preserve"> of the Condensed Consolidated Financial Statements included in Part I, Item I of this report.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Income Tax. </w:t>
      </w:r>
      <w:r>
        <w:rPr>
          <w:rFonts w:ascii="Arial" w:cs="Arial" w:eastAsia="Arial" w:hAnsi="Arial"/>
          <w:sz w:val="18"/>
          <w:szCs w:val="18"/>
          <w:color w:val="auto"/>
        </w:rPr>
        <w:t>The Company's effective tax rate for the six months ended June 30, 2022 was 118.1% compared to 19.1% for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2021. The increase in the effective tax rate was primarily due to the non-deductible expense related to the adjustment of the TRA liability, partially offset by stock compensation benefits.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June 30, 2022 and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gridSpan w:val="6"/>
          </w:tcPr>
          <w:p>
            <w:pPr>
              <w:jc w:val="center"/>
              <w:ind w:left="592"/>
              <w:spacing w:after="0"/>
              <w:rPr>
                <w:sz w:val="20"/>
                <w:szCs w:val="20"/>
                <w:color w:val="auto"/>
              </w:rPr>
            </w:pPr>
            <w:r>
              <w:rPr>
                <w:rFonts w:ascii="Arial" w:cs="Arial" w:eastAsia="Arial" w:hAnsi="Arial"/>
                <w:sz w:val="14"/>
                <w:szCs w:val="14"/>
                <w:b w:val="1"/>
                <w:bCs w:val="1"/>
                <w:color w:val="auto"/>
              </w:rPr>
              <w:t>Three Months Ended June 30, 2022</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6"/>
          </w:tcPr>
          <w:p>
            <w:pPr>
              <w:jc w:val="center"/>
              <w:ind w:left="592"/>
              <w:spacing w:after="0"/>
              <w:rPr>
                <w:sz w:val="20"/>
                <w:szCs w:val="20"/>
                <w:color w:val="auto"/>
              </w:rPr>
            </w:pPr>
            <w:r>
              <w:rPr>
                <w:rFonts w:ascii="Arial" w:cs="Arial" w:eastAsia="Arial" w:hAnsi="Arial"/>
                <w:sz w:val="14"/>
                <w:szCs w:val="14"/>
                <w:b w:val="1"/>
                <w:bCs w:val="1"/>
                <w:color w:val="auto"/>
              </w:rPr>
              <w:t>Three Months Ended June 30, 2021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3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Cargo</w:t>
            </w:r>
          </w:p>
        </w:tc>
        <w:tc>
          <w:tcPr>
            <w:tcW w:w="48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Cargo</w:t>
            </w:r>
          </w:p>
        </w:tc>
        <w:tc>
          <w:tcPr>
            <w:tcW w:w="480" w:type="dxa"/>
            <w:vAlign w:val="bottom"/>
          </w:tcPr>
          <w:p>
            <w:pPr>
              <w:spacing w:after="0"/>
              <w:rPr>
                <w:sz w:val="17"/>
                <w:szCs w:val="17"/>
                <w:color w:val="auto"/>
              </w:rPr>
            </w:pPr>
          </w:p>
        </w:tc>
        <w:tc>
          <w:tcPr>
            <w:tcW w:w="88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2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219,067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149,189</w:t>
            </w: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76,947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76,947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29,709</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Salaries, Wages,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60,298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42,316</w:t>
            </w:r>
          </w:p>
        </w:tc>
        <w:tc>
          <w:tcPr>
            <w:tcW w:w="0" w:type="dxa"/>
            <w:vAlign w:val="bottom"/>
          </w:tcPr>
          <w:p>
            <w:pPr>
              <w:spacing w:after="0"/>
              <w:rPr>
                <w:sz w:val="1"/>
                <w:szCs w:val="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Aircraft Rent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0" w:type="dxa"/>
            <w:vAlign w:val="bottom"/>
          </w:tcPr>
          <w:p>
            <w:pPr>
              <w:spacing w:after="0"/>
              <w:rPr>
                <w:sz w:val="1"/>
                <w:szCs w:val="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7,881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14,208</w:t>
            </w:r>
          </w:p>
        </w:tc>
        <w:tc>
          <w:tcPr>
            <w:tcW w:w="0" w:type="dxa"/>
            <w:vAlign w:val="bottom"/>
          </w:tcPr>
          <w:p>
            <w:pPr>
              <w:spacing w:after="0"/>
              <w:rPr>
                <w:sz w:val="1"/>
                <w:szCs w:val="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8,212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6,551</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Landing Fees and Airport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Rent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Special Items, net</w:t>
            </w: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center"/>
              <w:ind w:left="351"/>
              <w:spacing w:after="0"/>
              <w:rPr>
                <w:sz w:val="20"/>
                <w:szCs w:val="20"/>
                <w:color w:val="auto"/>
              </w:rPr>
            </w:pPr>
            <w:r>
              <w:rPr>
                <w:rFonts w:ascii="Arial" w:cs="Arial" w:eastAsia="Arial" w:hAnsi="Arial"/>
                <w:sz w:val="18"/>
                <w:szCs w:val="18"/>
                <w:color w:val="auto"/>
              </w:rPr>
              <w:t>(9,736)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(39,819)</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16,746</w:t>
            </w:r>
          </w:p>
        </w:tc>
        <w:tc>
          <w:tcPr>
            <w:tcW w:w="0" w:type="dxa"/>
            <w:vAlign w:val="bottom"/>
          </w:tcPr>
          <w:p>
            <w:pPr>
              <w:spacing w:after="0"/>
              <w:rPr>
                <w:sz w:val="1"/>
                <w:szCs w:val="1"/>
                <w:color w:val="auto"/>
              </w:rPr>
            </w:pPr>
          </w:p>
        </w:tc>
      </w:tr>
      <w:tr>
        <w:trPr>
          <w:trHeight w:val="237"/>
        </w:trPr>
        <w:tc>
          <w:tcPr>
            <w:tcW w:w="26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194,244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21,454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215,698</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92,683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6,717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99,400</w:t>
            </w:r>
          </w:p>
        </w:tc>
        <w:tc>
          <w:tcPr>
            <w:tcW w:w="0" w:type="dxa"/>
            <w:vAlign w:val="bottom"/>
          </w:tcPr>
          <w:p>
            <w:pPr>
              <w:spacing w:after="0"/>
              <w:rPr>
                <w:sz w:val="1"/>
                <w:szCs w:val="1"/>
                <w:color w:val="auto"/>
              </w:rPr>
            </w:pPr>
          </w:p>
        </w:tc>
      </w:tr>
      <w:tr>
        <w:trPr>
          <w:trHeight w:val="27"/>
        </w:trPr>
        <w:tc>
          <w:tcPr>
            <w:tcW w:w="2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for Special Items,</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351"/>
              <w:spacing w:after="0"/>
              <w:rPr>
                <w:sz w:val="20"/>
                <w:szCs w:val="20"/>
                <w:color w:val="auto"/>
              </w:rPr>
            </w:pPr>
            <w:r>
              <w:rPr>
                <w:rFonts w:ascii="Arial" w:cs="Arial" w:eastAsia="Arial" w:hAnsi="Arial"/>
                <w:sz w:val="18"/>
                <w:szCs w:val="18"/>
                <w:color w:val="auto"/>
              </w:rPr>
              <w:t>(9,736)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(39,819)</w:t>
            </w: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00" w:type="dxa"/>
            <w:vAlign w:val="bottom"/>
            <w:shd w:val="clear" w:color="auto" w:fill="CCEEFF"/>
          </w:tcPr>
          <w:p>
            <w:pPr>
              <w:spacing w:after="0"/>
              <w:rPr>
                <w:sz w:val="21"/>
                <w:szCs w:val="21"/>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1"/>
                <w:szCs w:val="21"/>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3,369</w:t>
            </w:r>
          </w:p>
        </w:tc>
        <w:tc>
          <w:tcPr>
            <w:tcW w:w="80" w:type="dxa"/>
            <w:vAlign w:val="bottom"/>
            <w:shd w:val="clear" w:color="auto" w:fill="CCEEFF"/>
          </w:tcPr>
          <w:p>
            <w:pPr>
              <w:spacing w:after="0"/>
              <w:rPr>
                <w:sz w:val="21"/>
                <w:szCs w:val="21"/>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00" w:type="dxa"/>
            <w:vAlign w:val="bottom"/>
            <w:shd w:val="clear" w:color="auto" w:fill="CCEEFF"/>
          </w:tcPr>
          <w:p>
            <w:pPr>
              <w:spacing w:after="0"/>
              <w:rPr>
                <w:sz w:val="21"/>
                <w:szCs w:val="21"/>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100" w:type="dxa"/>
            <w:vAlign w:val="bottom"/>
            <w:shd w:val="clear" w:color="auto" w:fill="CCEEFF"/>
          </w:tcPr>
          <w:p>
            <w:pPr>
              <w:spacing w:after="0"/>
              <w:rPr>
                <w:sz w:val="21"/>
                <w:szCs w:val="21"/>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Excluding Special Items, net</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 %, Excluding</w:t>
            </w:r>
          </w:p>
        </w:tc>
        <w:tc>
          <w:tcPr>
            <w:tcW w:w="200" w:type="dxa"/>
            <w:vAlign w:val="bottom"/>
            <w:shd w:val="clear" w:color="auto" w:fill="CCEEFF"/>
          </w:tcPr>
          <w:p>
            <w:pPr>
              <w:spacing w:after="0"/>
              <w:rPr>
                <w:sz w:val="21"/>
                <w:szCs w:val="21"/>
                <w:color w:val="auto"/>
              </w:rPr>
            </w:pP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vMerge w:val="restart"/>
            <w:shd w:val="clear" w:color="auto" w:fill="CCEEFF"/>
          </w:tcPr>
          <w:p>
            <w:pPr>
              <w:jc w:val="center"/>
              <w:ind w:left="371"/>
              <w:spacing w:after="0"/>
              <w:rPr>
                <w:sz w:val="20"/>
                <w:szCs w:val="20"/>
                <w:color w:val="auto"/>
              </w:rPr>
            </w:pPr>
            <w:r>
              <w:rPr>
                <w:rFonts w:ascii="Arial" w:cs="Arial" w:eastAsia="Arial" w:hAnsi="Arial"/>
                <w:sz w:val="18"/>
                <w:szCs w:val="18"/>
                <w:color w:val="auto"/>
                <w:w w:val="99"/>
              </w:rPr>
              <w:t>26%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operating income decreased by $30,775 to $3,633 for the three months ended June 30, 2022 from $34,408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2021. The year-over-year decrease in Passenger operating income is mainly driven by the increase in Aircraft Fuel Expense. For more information on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changes in the components of operating income for the Passenger segment, refer to the Condensed Consolidated Results of Operations discussion above</w:t>
      </w:r>
      <w:r>
        <w:rPr>
          <w:rFonts w:ascii="Arial" w:cs="Arial" w:eastAsia="Arial" w:hAnsi="Arial"/>
          <w:sz w:val="19"/>
          <w:szCs w:val="19"/>
          <w:color w:val="auto"/>
        </w:rPr>
        <w:t>.</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Cargo. </w:t>
      </w:r>
      <w:r>
        <w:rPr>
          <w:rFonts w:ascii="Arial" w:cs="Arial" w:eastAsia="Arial" w:hAnsi="Arial"/>
          <w:sz w:val="18"/>
          <w:szCs w:val="18"/>
          <w:color w:val="auto"/>
        </w:rPr>
        <w:t>Cargo operating income decreased by $15,645, resulting in an operating loss of $264 for the three months ended June 30, 2022,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operating income of $ 15,381 for the three months ended June 30, 2021. The decrease was primarily driven by the allocated payroll support received under the CARES Act during the second quarter of 2021, recognized within Special Items, net, year-over-year increase in Salaries, Wages, and Benefits driven by the new CBA for our pilots that went into effect in the beginning of 2022, decreased block hours and departures driven by heavy maintenance events that impacted the Cargo flight schedule, and operational factors that reduced revenue. For more information on the components of operating income for the Cargo segment, refer to the Condensed Consolidated Results of Operations discussion above, where we describe the cargo expenses embedded within each financial statement line item.</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 2022 and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6"/>
          </w:tcPr>
          <w:p>
            <w:pPr>
              <w:jc w:val="center"/>
              <w:ind w:left="632"/>
              <w:spacing w:after="0"/>
              <w:rPr>
                <w:sz w:val="20"/>
                <w:szCs w:val="20"/>
                <w:color w:val="auto"/>
              </w:rPr>
            </w:pPr>
            <w:r>
              <w:rPr>
                <w:rFonts w:ascii="Arial" w:cs="Arial" w:eastAsia="Arial" w:hAnsi="Arial"/>
                <w:sz w:val="14"/>
                <w:szCs w:val="14"/>
                <w:b w:val="1"/>
                <w:bCs w:val="1"/>
                <w:color w:val="auto"/>
              </w:rPr>
              <w:t>Six Months Ended June 30, 2022</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gridSpan w:val="6"/>
          </w:tcPr>
          <w:p>
            <w:pPr>
              <w:jc w:val="center"/>
              <w:ind w:left="632"/>
              <w:spacing w:after="0"/>
              <w:rPr>
                <w:sz w:val="20"/>
                <w:szCs w:val="20"/>
                <w:color w:val="auto"/>
              </w:rPr>
            </w:pPr>
            <w:r>
              <w:rPr>
                <w:rFonts w:ascii="Arial" w:cs="Arial" w:eastAsia="Arial" w:hAnsi="Arial"/>
                <w:sz w:val="14"/>
                <w:szCs w:val="14"/>
                <w:b w:val="1"/>
                <w:bCs w:val="1"/>
                <w:color w:val="auto"/>
              </w:rPr>
              <w:t>Six Months Ended June 30, 2021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Cargo</w:t>
            </w:r>
          </w:p>
        </w:tc>
        <w:tc>
          <w:tcPr>
            <w:tcW w:w="4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Passenger</w:t>
            </w:r>
          </w:p>
        </w:tc>
        <w:tc>
          <w:tcPr>
            <w:tcW w:w="280" w:type="dxa"/>
            <w:vAlign w:val="bottom"/>
          </w:tcPr>
          <w:p>
            <w:pPr>
              <w:spacing w:after="0"/>
              <w:rPr>
                <w:sz w:val="17"/>
                <w:szCs w:val="17"/>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Cargo</w:t>
            </w:r>
          </w:p>
        </w:tc>
        <w:tc>
          <w:tcPr>
            <w:tcW w:w="400" w:type="dxa"/>
            <w:vAlign w:val="bottom"/>
          </w:tcPr>
          <w:p>
            <w:pPr>
              <w:spacing w:after="0"/>
              <w:rPr>
                <w:sz w:val="17"/>
                <w:szCs w:val="17"/>
                <w:color w:val="auto"/>
              </w:rPr>
            </w:pPr>
          </w:p>
        </w:tc>
        <w:tc>
          <w:tcPr>
            <w:tcW w:w="940" w:type="dxa"/>
            <w:vAlign w:val="bottom"/>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403,348</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42,243</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445,591</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233,118</w:t>
            </w:r>
          </w:p>
        </w:tc>
        <w:tc>
          <w:tcPr>
            <w:tcW w:w="1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43,684</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276,802</w:t>
            </w: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Aircraft Fuel</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141,492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141,492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53,912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53,984</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Wages, and</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Benefits</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94,385</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25,530</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119,915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64,997</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21,395</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86,392</w:t>
            </w:r>
          </w:p>
        </w:tc>
        <w:tc>
          <w:tcPr>
            <w:tcW w:w="0" w:type="dxa"/>
            <w:vAlign w:val="bottom"/>
          </w:tcPr>
          <w:p>
            <w:pPr>
              <w:spacing w:after="0"/>
              <w:rPr>
                <w:sz w:val="1"/>
                <w:szCs w:val="1"/>
                <w:color w:val="auto"/>
              </w:rPr>
            </w:pP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Aircraft Rent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5,397</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9,414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9,414</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Maintenance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18,375</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24,777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15,242</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20,510</w:t>
            </w:r>
          </w:p>
        </w:tc>
        <w:tc>
          <w:tcPr>
            <w:tcW w:w="0" w:type="dxa"/>
            <w:vAlign w:val="bottom"/>
          </w:tcPr>
          <w:p>
            <w:pPr>
              <w:spacing w:after="0"/>
              <w:rPr>
                <w:sz w:val="1"/>
                <w:szCs w:val="1"/>
                <w:color w:val="auto"/>
              </w:rPr>
            </w:pP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16,509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16,509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10,932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10,932</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32,130</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26,770</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Ground Handling</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16,162</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16,170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11,781</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11,781</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Landing Fees and Airport</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Rent</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19,563</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17,279</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17,537</w:t>
            </w:r>
          </w:p>
        </w:tc>
        <w:tc>
          <w:tcPr>
            <w:tcW w:w="0" w:type="dxa"/>
            <w:vAlign w:val="bottom"/>
          </w:tcPr>
          <w:p>
            <w:pPr>
              <w:spacing w:after="0"/>
              <w:rPr>
                <w:sz w:val="1"/>
                <w:szCs w:val="1"/>
                <w:color w:val="auto"/>
              </w:rPr>
            </w:pP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Special Items, net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(53,954)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(18,401)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(72,355)</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net</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35,584</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44,166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23,899</w:t>
            </w:r>
          </w:p>
        </w:tc>
        <w:tc>
          <w:tcPr>
            <w:tcW w:w="1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31,397</w:t>
            </w:r>
          </w:p>
        </w:tc>
        <w:tc>
          <w:tcPr>
            <w:tcW w:w="0" w:type="dxa"/>
            <w:vAlign w:val="bottom"/>
          </w:tcPr>
          <w:p>
            <w:pPr>
              <w:spacing w:after="0"/>
              <w:rPr>
                <w:sz w:val="1"/>
                <w:szCs w:val="1"/>
                <w:color w:val="auto"/>
              </w:rPr>
            </w:pPr>
          </w:p>
        </w:tc>
      </w:tr>
      <w:tr>
        <w:trPr>
          <w:trHeight w:val="237"/>
        </w:trPr>
        <w:tc>
          <w:tcPr>
            <w:tcW w:w="25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379,597</w:t>
            </w:r>
          </w:p>
        </w:tc>
        <w:tc>
          <w:tcPr>
            <w:tcW w:w="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40,793</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420,390</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180,272</w:t>
            </w:r>
          </w:p>
        </w:tc>
        <w:tc>
          <w:tcPr>
            <w:tcW w:w="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16,143</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196,415</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23,751</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52,846</w:t>
            </w:r>
          </w:p>
        </w:tc>
        <w:tc>
          <w:tcPr>
            <w:tcW w:w="1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27,541</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80,387</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for Special Items,</w:t>
            </w: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(53,954)</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(72,355)</w:t>
            </w: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23,751</w:t>
            </w:r>
          </w:p>
        </w:tc>
        <w:tc>
          <w:tcPr>
            <w:tcW w:w="160" w:type="dxa"/>
            <w:vAlign w:val="bottom"/>
            <w:shd w:val="clear" w:color="auto" w:fill="CCEEFF"/>
          </w:tcPr>
          <w:p>
            <w:pPr>
              <w:spacing w:after="0"/>
              <w:rPr>
                <w:sz w:val="21"/>
                <w:szCs w:val="21"/>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40" w:type="dxa"/>
            <w:vAlign w:val="bottom"/>
            <w:shd w:val="clear" w:color="auto" w:fill="CCEEFF"/>
          </w:tcPr>
          <w:p>
            <w:pPr>
              <w:spacing w:after="0"/>
              <w:rPr>
                <w:sz w:val="21"/>
                <w:szCs w:val="21"/>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25,201</w:t>
            </w:r>
          </w:p>
        </w:tc>
        <w:tc>
          <w:tcPr>
            <w:tcW w:w="80" w:type="dxa"/>
            <w:vAlign w:val="bottom"/>
            <w:shd w:val="clear" w:color="auto" w:fill="CCEEFF"/>
          </w:tcPr>
          <w:p>
            <w:pPr>
              <w:spacing w:after="0"/>
              <w:rPr>
                <w:sz w:val="21"/>
                <w:szCs w:val="21"/>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160" w:type="dxa"/>
            <w:vAlign w:val="bottom"/>
            <w:shd w:val="clear" w:color="auto" w:fill="CCEEFF"/>
          </w:tcPr>
          <w:p>
            <w:pPr>
              <w:spacing w:after="0"/>
              <w:rPr>
                <w:sz w:val="21"/>
                <w:szCs w:val="21"/>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9,140</w:t>
            </w:r>
          </w:p>
        </w:tc>
        <w:tc>
          <w:tcPr>
            <w:tcW w:w="140" w:type="dxa"/>
            <w:vAlign w:val="bottom"/>
            <w:shd w:val="clear" w:color="auto" w:fill="CCEEFF"/>
          </w:tcPr>
          <w:p>
            <w:pPr>
              <w:spacing w:after="0"/>
              <w:rPr>
                <w:sz w:val="21"/>
                <w:szCs w:val="21"/>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8,032</w:t>
            </w: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Excluding Special Items, net</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 %, Excluding</w:t>
            </w:r>
          </w:p>
        </w:tc>
        <w:tc>
          <w:tcPr>
            <w:tcW w:w="220" w:type="dxa"/>
            <w:vAlign w:val="bottom"/>
            <w:shd w:val="clear" w:color="auto" w:fill="CCEEFF"/>
          </w:tcPr>
          <w:p>
            <w:pPr>
              <w:spacing w:after="0"/>
              <w:rPr>
                <w:sz w:val="21"/>
                <w:szCs w:val="21"/>
                <w:color w:val="auto"/>
              </w:rPr>
            </w:pPr>
          </w:p>
        </w:tc>
        <w:tc>
          <w:tcPr>
            <w:tcW w:w="11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vMerge w:val="restart"/>
            <w:shd w:val="clear" w:color="auto" w:fill="CCEEFF"/>
          </w:tcPr>
          <w:p>
            <w:pPr>
              <w:jc w:val="right"/>
              <w:ind w:right="51"/>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Items, net</w:t>
            </w:r>
          </w:p>
        </w:tc>
        <w:tc>
          <w:tcPr>
            <w:tcW w:w="2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Passenger. </w:t>
      </w:r>
      <w:r>
        <w:rPr>
          <w:rFonts w:ascii="Arial" w:cs="Arial" w:eastAsia="Arial" w:hAnsi="Arial"/>
          <w:sz w:val="18"/>
          <w:szCs w:val="18"/>
          <w:color w:val="auto"/>
        </w:rPr>
        <w:t>Passenger operating income decreased by $29,095 to $23,751 for the six months ended June 30, 2022 from $52,846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2021. The year-over-year decrease in Passenger operating income is mainly driven by the increase in Aircraft Fuel Expense. For more information on the changes in the components of operating income for the Passenger segment, refer to the Condensed Consolidated Results of Operations discussion above</w:t>
      </w:r>
      <w:r>
        <w:rPr>
          <w:rFonts w:ascii="Arial" w:cs="Arial" w:eastAsia="Arial" w:hAnsi="Arial"/>
          <w:sz w:val="19"/>
          <w:szCs w:val="19"/>
          <w:color w:val="auto"/>
        </w:rPr>
        <w:t>.</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 xml:space="preserve">Cargo. </w:t>
      </w:r>
      <w:r>
        <w:rPr>
          <w:rFonts w:ascii="Arial" w:cs="Arial" w:eastAsia="Arial" w:hAnsi="Arial"/>
          <w:sz w:val="18"/>
          <w:szCs w:val="18"/>
          <w:color w:val="auto"/>
        </w:rPr>
        <w:t>Cargo operating income decreased by $ 26,091 to $1,450 for the six months ended June 30, 2022, as compared to $27,541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ended June 30, 2021. The decrease was primarily driven by the allocated payroll support received under the CARES Act during the first half of 2021, recognized within Special</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Items, net, year-over-year increase in Salaries, Wages, and Benefits driven by the new CBA for our pilots that went into effect in the beginning of 2022, decreased block hours and departures driven by heavy maintenance events that impacted the Cargo flight schedule, and operational factors that reduced revenue. For more information on the components of operating income for the Cargo segment, refer to the Condensed Consolidated Results of Operations discussion above, where we describe the cargo expenses embedded within each financial statement line item.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sometimes use information that is derived from the Condensed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report to the most directly comparable GAAP financial measures.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Operating Income, Adjusted Operating Income Margin, Adjusted Net Income (Loss) and Adjusted EBITDA</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Adjusted Operating Income, Adjusted Operating Income Margin, Adjusted Net Income (Loss), and Adjusted EBITDA are non-GAAP measures included as supplemental disclosure because we believe they are useful indicators of our operating performance. Derivations of operating income and net income are well recognized performance measurements in the airline industry that are frequently used by our management, as well as by investors, securities analysts and other interested parties in comparing the operating performance of companies in our industry.</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Adjusted Operating Income, Adjusted Operating Income Margin, Adjusted Net Income (Loss), and Adjusted EBITDA have limitations as analytical tools. Some of the limitations applicable to these measures include: Adjusted Operating Income, Adjusted Operating Income Margin, Adjusted Net Income (Loss), and Adjusted EBITDA do not reflect the impact of certain cash charges resulting from matters we consider not to be indicative of our ongoing operations; and other companies in our industry may calculate Adjusted Operating Income, Adjusted Operating Income Margin, Adjusted Net Income (Loss), and Adjusted EBITDA differently than we do, limiting each measure’s usefulness as a comparative measure. Because of these limitations, the following non-GAAP measures should not be considered in isolation or as a substitute for performance measures calculated in accordance with GAAP and may not be the same as or comparable to similarly titled measures presented by other companies due to the possible differences in the method of calculation and in the items being adjusted.</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foregoing reasons, Adjusted Operating Income, Adjusted Operating Income Margin, Adjusted Net Income (Loss) and Adjusted EBITDA have significant limitations which affect their use as indicators of our profitability. Accordingly, readers are cautioned not to place</w:t>
      </w:r>
    </w:p>
    <w:p>
      <w:pPr>
        <w:spacing w:after="0"/>
        <w:rPr>
          <w:sz w:val="20"/>
          <w:szCs w:val="20"/>
          <w:color w:val="auto"/>
        </w:rPr>
      </w:pPr>
      <w:r>
        <w:rPr>
          <w:rFonts w:ascii="Arial" w:cs="Arial" w:eastAsia="Arial" w:hAnsi="Arial"/>
          <w:sz w:val="18"/>
          <w:szCs w:val="18"/>
          <w:color w:val="auto"/>
        </w:rPr>
        <w:t>undue reliance on this information</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the reconciliation of Operating Income to Adjusted Operating Income, and Adjusted Operating Income Margin for the periods presented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7"/>
                <w:szCs w:val="17"/>
                <w:color w:val="auto"/>
              </w:rPr>
            </w:pPr>
          </w:p>
        </w:tc>
        <w:tc>
          <w:tcPr>
            <w:tcW w:w="288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62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r>
      <w:tr>
        <w:trPr>
          <w:trHeight w:val="21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 Reconciliation:</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Operating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219,067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149,189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445,591</w:t>
            </w:r>
          </w:p>
        </w:tc>
        <w:tc>
          <w:tcPr>
            <w:tcW w:w="1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276,802</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3,369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49,789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25,201</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80,387</w:t>
            </w:r>
          </w:p>
        </w:tc>
      </w:tr>
      <w:tr>
        <w:trPr>
          <w:trHeight w:val="162"/>
        </w:trPr>
        <w:tc>
          <w:tcPr>
            <w:tcW w:w="4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70"/>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(a)</w:t>
            </w:r>
          </w:p>
        </w:tc>
        <w:tc>
          <w:tcPr>
            <w:tcW w:w="3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(39,819)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(72,355)</w:t>
            </w:r>
          </w:p>
        </w:tc>
      </w:tr>
      <w:tr>
        <w:trPr>
          <w:trHeight w:val="229"/>
        </w:trPr>
        <w:tc>
          <w:tcPr>
            <w:tcW w:w="4620" w:type="dxa"/>
            <w:vAlign w:val="bottom"/>
          </w:tcPr>
          <w:p>
            <w:pPr>
              <w:ind w:left="140"/>
              <w:spacing w:after="0"/>
              <w:rPr>
                <w:sz w:val="20"/>
                <w:szCs w:val="20"/>
                <w:color w:val="auto"/>
              </w:rPr>
            </w:pPr>
            <w:r>
              <w:rPr>
                <w:rFonts w:ascii="Arial" w:cs="Arial" w:eastAsia="Arial" w:hAnsi="Arial"/>
                <w:sz w:val="18"/>
                <w:szCs w:val="18"/>
                <w:color w:val="auto"/>
              </w:rPr>
              <w:t>Stock compensation expense</w:t>
            </w:r>
          </w:p>
        </w:tc>
        <w:tc>
          <w:tcPr>
            <w:tcW w:w="360" w:type="dxa"/>
            <w:vAlign w:val="bottom"/>
          </w:tcPr>
          <w:p>
            <w:pPr>
              <w:spacing w:after="0"/>
              <w:rPr>
                <w:sz w:val="19"/>
                <w:szCs w:val="19"/>
                <w:color w:val="auto"/>
              </w:rPr>
            </w:pPr>
          </w:p>
        </w:tc>
        <w:tc>
          <w:tcPr>
            <w:tcW w:w="1220" w:type="dxa"/>
            <w:vAlign w:val="bottom"/>
          </w:tcPr>
          <w:p>
            <w:pPr>
              <w:jc w:val="right"/>
              <w:ind w:right="54"/>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1,495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3,613</w:t>
            </w:r>
          </w:p>
        </w:tc>
      </w:tr>
      <w:tr>
        <w:trPr>
          <w:trHeight w:val="230"/>
        </w:trPr>
        <w:tc>
          <w:tcPr>
            <w:tcW w:w="46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TRA expenses </w:t>
            </w:r>
            <w:r>
              <w:rPr>
                <w:rFonts w:ascii="Arial" w:cs="Arial" w:eastAsia="Arial" w:hAnsi="Arial"/>
                <w:sz w:val="23"/>
                <w:szCs w:val="23"/>
                <w:color w:val="auto"/>
                <w:vertAlign w:val="superscript"/>
              </w:rPr>
              <w:t>(b)</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315</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3,944</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10,765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26,696</w:t>
            </w:r>
          </w:p>
        </w:tc>
        <w:tc>
          <w:tcPr>
            <w:tcW w:w="1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11,960</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29"/>
        </w:trPr>
        <w:tc>
          <w:tcPr>
            <w:tcW w:w="4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5.7 %</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29.0 %</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Operating Income Margin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w:t>
      </w:r>
    </w:p>
    <w:p>
      <w:pPr>
        <w:spacing w:after="0" w:line="42" w:lineRule="exact"/>
        <w:rPr>
          <w:sz w:val="20"/>
          <w:szCs w:val="20"/>
          <w:color w:val="auto"/>
        </w:rPr>
      </w:pPr>
    </w:p>
    <w:p>
      <w:pPr>
        <w:ind w:left="580" w:hanging="554"/>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presented in </w:t>
      </w:r>
      <w:r>
        <w:rPr>
          <w:rFonts w:ascii="Arial" w:cs="Arial" w:eastAsia="Arial" w:hAnsi="Arial"/>
          <w:sz w:val="14"/>
          <w:szCs w:val="14"/>
          <w:u w:val="single" w:color="auto"/>
          <w:color w:val="0000FF"/>
        </w:rPr>
        <w:t>Note 12</w:t>
      </w:r>
      <w:r>
        <w:rPr>
          <w:rFonts w:ascii="Arial" w:cs="Arial" w:eastAsia="Arial" w:hAnsi="Arial"/>
          <w:sz w:val="14"/>
          <w:szCs w:val="14"/>
          <w:color w:val="auto"/>
        </w:rPr>
        <w:t xml:space="preserve"> of the Company's Condensed Consolidated Financial Statements.</w:t>
      </w:r>
    </w:p>
    <w:p>
      <w:pPr>
        <w:spacing w:after="0" w:line="68" w:lineRule="exact"/>
        <w:rPr>
          <w:rFonts w:ascii="Arial" w:cs="Arial" w:eastAsia="Arial" w:hAnsi="Arial"/>
          <w:sz w:val="14"/>
          <w:szCs w:val="14"/>
          <w:color w:val="auto"/>
        </w:rPr>
      </w:pPr>
    </w:p>
    <w:p>
      <w:pPr>
        <w:ind w:left="580" w:hanging="554"/>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This represents the one-time costs to establish the TRA liability with our TRA holders. See </w:t>
      </w:r>
      <w:r>
        <w:rPr>
          <w:rFonts w:ascii="Arial" w:cs="Arial" w:eastAsia="Arial" w:hAnsi="Arial"/>
          <w:sz w:val="14"/>
          <w:szCs w:val="14"/>
          <w:u w:val="single" w:color="auto"/>
          <w:color w:val="0000FF"/>
        </w:rPr>
        <w:t>Note 11</w:t>
      </w:r>
      <w:r>
        <w:rPr>
          <w:rFonts w:ascii="Arial" w:cs="Arial" w:eastAsia="Arial" w:hAnsi="Arial"/>
          <w:sz w:val="14"/>
          <w:szCs w:val="14"/>
          <w:color w:val="auto"/>
        </w:rPr>
        <w:t xml:space="preserve"> of the Company’s Condensed Consolidated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(Loss) to Adjusted Net Income (Loss) for the periods presented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7"/>
                <w:szCs w:val="17"/>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(Loss) Reconciliation:</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52,177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68,955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(a)</w:t>
            </w:r>
          </w:p>
        </w:tc>
        <w:tc>
          <w:tcPr>
            <w:tcW w:w="24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(39,819)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(72,355)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Compensation Expense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Gain on Asset Transactions, net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Early pay-off of US Treasury loan</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Loss on refinancing credit facility</w:t>
            </w:r>
          </w:p>
        </w:tc>
        <w:tc>
          <w:tcPr>
            <w:tcW w:w="2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Secondary Offering Costs</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180"/>
              <w:spacing w:after="0"/>
              <w:rPr>
                <w:sz w:val="20"/>
                <w:szCs w:val="20"/>
                <w:color w:val="auto"/>
              </w:rPr>
            </w:pPr>
            <w:r>
              <w:rPr>
                <w:rFonts w:ascii="Arial" w:cs="Arial" w:eastAsia="Arial" w:hAnsi="Arial"/>
                <w:sz w:val="18"/>
                <w:szCs w:val="18"/>
                <w:color w:val="auto"/>
              </w:rPr>
              <w:t xml:space="preserve">TRA expenses </w:t>
            </w:r>
            <w:r>
              <w:rPr>
                <w:rFonts w:ascii="Arial" w:cs="Arial" w:eastAsia="Arial" w:hAnsi="Arial"/>
                <w:sz w:val="23"/>
                <w:szCs w:val="23"/>
                <w:color w:val="auto"/>
                <w:vertAlign w:val="superscript"/>
              </w:rPr>
              <w:t>(b)</w:t>
            </w:r>
          </w:p>
        </w:tc>
        <w:tc>
          <w:tcPr>
            <w:tcW w:w="24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TRA adjustment </w:t>
            </w:r>
            <w:r>
              <w:rPr>
                <w:rFonts w:ascii="Arial" w:cs="Arial" w:eastAsia="Arial" w:hAnsi="Arial"/>
                <w:sz w:val="23"/>
                <w:szCs w:val="23"/>
                <w:color w:val="auto"/>
                <w:vertAlign w:val="superscript"/>
              </w:rPr>
              <w:t>(c)</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 xml:space="preserve">Income tax effect of adjusting items, net </w:t>
            </w:r>
            <w:r>
              <w:rPr>
                <w:rFonts w:ascii="Arial" w:cs="Arial" w:eastAsia="Arial" w:hAnsi="Arial"/>
                <w:sz w:val="23"/>
                <w:szCs w:val="23"/>
                <w:color w:val="auto"/>
                <w:vertAlign w:val="superscript"/>
              </w:rPr>
              <w:t>(d)</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08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24"/>
        </w:trPr>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65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80" w:hanging="554"/>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presented in </w:t>
      </w:r>
      <w:r>
        <w:rPr>
          <w:rFonts w:ascii="Arial" w:cs="Arial" w:eastAsia="Arial" w:hAnsi="Arial"/>
          <w:sz w:val="14"/>
          <w:szCs w:val="14"/>
          <w:u w:val="single" w:color="auto"/>
          <w:color w:val="0000FF"/>
        </w:rPr>
        <w:t>Note 12</w:t>
      </w:r>
      <w:r>
        <w:rPr>
          <w:rFonts w:ascii="Arial" w:cs="Arial" w:eastAsia="Arial" w:hAnsi="Arial"/>
          <w:sz w:val="14"/>
          <w:szCs w:val="14"/>
          <w:color w:val="auto"/>
        </w:rPr>
        <w:t xml:space="preserve"> of the Company's Condensed Consolidated Financial Statements.</w:t>
      </w:r>
    </w:p>
    <w:p>
      <w:pPr>
        <w:spacing w:after="0" w:line="68" w:lineRule="exact"/>
        <w:rPr>
          <w:rFonts w:ascii="Arial" w:cs="Arial" w:eastAsia="Arial" w:hAnsi="Arial"/>
          <w:sz w:val="14"/>
          <w:szCs w:val="14"/>
          <w:color w:val="auto"/>
        </w:rPr>
      </w:pPr>
    </w:p>
    <w:p>
      <w:pPr>
        <w:ind w:left="580" w:hanging="554"/>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This represents the one-time costs to establish the TRA liability with our TRA holders. See </w:t>
      </w:r>
      <w:r>
        <w:rPr>
          <w:rFonts w:ascii="Arial" w:cs="Arial" w:eastAsia="Arial" w:hAnsi="Arial"/>
          <w:sz w:val="14"/>
          <w:szCs w:val="14"/>
          <w:u w:val="single" w:color="auto"/>
          <w:color w:val="0000FF"/>
        </w:rPr>
        <w:t>Note 11</w:t>
      </w:r>
      <w:r>
        <w:rPr>
          <w:rFonts w:ascii="Arial" w:cs="Arial" w:eastAsia="Arial" w:hAnsi="Arial"/>
          <w:sz w:val="14"/>
          <w:szCs w:val="14"/>
          <w:color w:val="auto"/>
        </w:rPr>
        <w:t xml:space="preserve"> of the Company’s Condensed Consolidated Financial Statements.</w:t>
      </w:r>
    </w:p>
    <w:p>
      <w:pPr>
        <w:spacing w:after="0" w:line="55" w:lineRule="exact"/>
        <w:rPr>
          <w:rFonts w:ascii="Arial" w:cs="Arial" w:eastAsia="Arial" w:hAnsi="Arial"/>
          <w:sz w:val="14"/>
          <w:szCs w:val="14"/>
          <w:color w:val="auto"/>
        </w:rPr>
      </w:pPr>
    </w:p>
    <w:p>
      <w:pPr>
        <w:ind w:left="580" w:hanging="554"/>
        <w:spacing w:after="0"/>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This represents the adjustment to the TRA for the period, which is recorded in Non-Operating Income (Expense).</w:t>
      </w:r>
    </w:p>
    <w:p>
      <w:pPr>
        <w:spacing w:after="0" w:line="41" w:lineRule="exact"/>
        <w:rPr>
          <w:rFonts w:ascii="Arial" w:cs="Arial" w:eastAsia="Arial" w:hAnsi="Arial"/>
          <w:sz w:val="14"/>
          <w:szCs w:val="14"/>
          <w:color w:val="auto"/>
        </w:rPr>
      </w:pPr>
    </w:p>
    <w:p>
      <w:pPr>
        <w:ind w:left="580" w:right="120" w:hanging="554"/>
        <w:spacing w:after="0" w:line="239" w:lineRule="auto"/>
        <w:tabs>
          <w:tab w:leader="none" w:pos="5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tax effect of adjusting items, net is calculated at the Company's statutory rate for the applicable period. The TRA adjustment is not included within the income tax effect calculation.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reconciliation of Net Income (Loss) to Adjusted EBITDA for the periods presented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6"/>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Reconciliation:</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(3,922)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52,177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68,955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(a)</w:t>
            </w: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(72,355)</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on Asset Transactions, net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Secondary Offering Costs</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TRA expenses </w:t>
            </w:r>
            <w:r>
              <w:rPr>
                <w:rFonts w:ascii="Arial" w:cs="Arial" w:eastAsia="Arial" w:hAnsi="Arial"/>
                <w:sz w:val="23"/>
                <w:szCs w:val="23"/>
                <w:color w:val="auto"/>
                <w:vertAlign w:val="superscript"/>
              </w:rPr>
              <w:t>(b)</w:t>
            </w: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0"/>
        </w:trPr>
        <w:tc>
          <w:tcPr>
            <w:tcW w:w="4860" w:type="dxa"/>
            <w:vAlign w:val="bottom"/>
          </w:tcPr>
          <w:p>
            <w:pPr>
              <w:ind w:left="180"/>
              <w:spacing w:after="0"/>
              <w:rPr>
                <w:sz w:val="20"/>
                <w:szCs w:val="20"/>
                <w:color w:val="auto"/>
              </w:rPr>
            </w:pPr>
            <w:r>
              <w:rPr>
                <w:rFonts w:ascii="Arial" w:cs="Arial" w:eastAsia="Arial" w:hAnsi="Arial"/>
                <w:sz w:val="18"/>
                <w:szCs w:val="18"/>
                <w:color w:val="auto"/>
              </w:rPr>
              <w:t xml:space="preserve">TRA adjustment </w:t>
            </w:r>
            <w:r>
              <w:rPr>
                <w:rFonts w:ascii="Arial" w:cs="Arial" w:eastAsia="Arial" w:hAnsi="Arial"/>
                <w:sz w:val="23"/>
                <w:szCs w:val="23"/>
                <w:color w:val="auto"/>
                <w:vertAlign w:val="superscript"/>
              </w:rPr>
              <w:t>(c)</w:t>
            </w:r>
          </w:p>
        </w:tc>
        <w:tc>
          <w:tcPr>
            <w:tcW w:w="3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(18,700)</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13,201</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16,854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26,823</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86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80" w:hanging="554"/>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presented in </w:t>
      </w:r>
      <w:r>
        <w:rPr>
          <w:rFonts w:ascii="Arial" w:cs="Arial" w:eastAsia="Arial" w:hAnsi="Arial"/>
          <w:sz w:val="14"/>
          <w:szCs w:val="14"/>
          <w:u w:val="single" w:color="auto"/>
          <w:color w:val="0000FF"/>
        </w:rPr>
        <w:t>Note 12</w:t>
      </w:r>
      <w:r>
        <w:rPr>
          <w:rFonts w:ascii="Arial" w:cs="Arial" w:eastAsia="Arial" w:hAnsi="Arial"/>
          <w:sz w:val="14"/>
          <w:szCs w:val="14"/>
          <w:color w:val="auto"/>
        </w:rPr>
        <w:t xml:space="preserve"> of the Company's Condensed Consolidated Financial Statements.</w:t>
      </w:r>
    </w:p>
    <w:p>
      <w:pPr>
        <w:spacing w:after="0" w:line="68" w:lineRule="exact"/>
        <w:rPr>
          <w:rFonts w:ascii="Arial" w:cs="Arial" w:eastAsia="Arial" w:hAnsi="Arial"/>
          <w:sz w:val="14"/>
          <w:szCs w:val="14"/>
          <w:color w:val="auto"/>
        </w:rPr>
      </w:pPr>
    </w:p>
    <w:p>
      <w:pPr>
        <w:ind w:left="580" w:hanging="554"/>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This represents the one-time costs to establish the TRA liability with our TRA holders. See </w:t>
      </w:r>
      <w:r>
        <w:rPr>
          <w:rFonts w:ascii="Arial" w:cs="Arial" w:eastAsia="Arial" w:hAnsi="Arial"/>
          <w:sz w:val="14"/>
          <w:szCs w:val="14"/>
          <w:u w:val="single" w:color="auto"/>
          <w:color w:val="0000FF"/>
        </w:rPr>
        <w:t>Note 11</w:t>
      </w:r>
      <w:r>
        <w:rPr>
          <w:rFonts w:ascii="Arial" w:cs="Arial" w:eastAsia="Arial" w:hAnsi="Arial"/>
          <w:sz w:val="14"/>
          <w:szCs w:val="14"/>
          <w:color w:val="auto"/>
        </w:rPr>
        <w:t xml:space="preserve"> of the Company’s Condensed Consolidated Financial Statements.</w:t>
      </w:r>
    </w:p>
    <w:p>
      <w:pPr>
        <w:spacing w:after="0" w:line="55" w:lineRule="exact"/>
        <w:rPr>
          <w:rFonts w:ascii="Arial" w:cs="Arial" w:eastAsia="Arial" w:hAnsi="Arial"/>
          <w:sz w:val="14"/>
          <w:szCs w:val="14"/>
          <w:color w:val="auto"/>
        </w:rPr>
      </w:pPr>
    </w:p>
    <w:p>
      <w:pPr>
        <w:ind w:left="580" w:hanging="554"/>
        <w:spacing w:after="0"/>
        <w:tabs>
          <w:tab w:leader="none" w:pos="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represents the adjustment to the TRA for the period, which is recorded in Non-Operating Income (Expense).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CASM and Adjusted CASM</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Cost per Available Seat Mile (“CASM”) is a key airline cost metric defined as operating expenses divided by total available seat miles. Adjusted CASM is a non-GAAP measure derived from CASM by excluding fuel costs, costs related to our cargo operations, certain commissions and other costs of selling our vacation products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20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Adjusted CASM excludes fuel costs. By excluding volatile fuel expenses that are outside of our control from our unit metrics, we believe that we have better visibility into the results of operations and our non-fuel cost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excluded costs related to the cargo operations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period. Thus, stock-based compensation expense varies for reasons that are generally unrelated to operational decisions and performance in any period.</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readers are cautioned not to place undue reliance on this information.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reconciliation of CASM to Adjusted CASM.</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1220" w:type="dxa"/>
            <w:vAlign w:val="bottom"/>
            <w:tcBorders>
              <w:bottom w:val="single" w:sz="8" w:color="auto"/>
            </w:tcBorders>
          </w:tcPr>
          <w:p>
            <w:pPr>
              <w:spacing w:after="0"/>
              <w:rPr>
                <w:sz w:val="17"/>
                <w:szCs w:val="17"/>
                <w:color w:val="auto"/>
              </w:rPr>
            </w:pPr>
          </w:p>
        </w:tc>
      </w:tr>
      <w:tr>
        <w:trPr>
          <w:trHeight w:val="196"/>
        </w:trPr>
        <w:tc>
          <w:tcPr>
            <w:tcW w:w="5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2022</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spacing w:after="0"/>
              <w:rPr>
                <w:sz w:val="17"/>
                <w:szCs w:val="17"/>
                <w:color w:val="auto"/>
              </w:rPr>
            </w:pPr>
          </w:p>
        </w:tc>
      </w:tr>
      <w:tr>
        <w:trPr>
          <w:trHeight w:val="148"/>
        </w:trPr>
        <w:tc>
          <w:tcPr>
            <w:tcW w:w="5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Operating</w:t>
            </w:r>
          </w:p>
        </w:tc>
        <w:tc>
          <w:tcPr>
            <w:tcW w:w="13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Per ASM</w:t>
            </w:r>
          </w:p>
        </w:tc>
        <w:tc>
          <w:tcPr>
            <w:tcW w:w="260" w:type="dxa"/>
            <w:vAlign w:val="bottom"/>
          </w:tcPr>
          <w:p>
            <w:pPr>
              <w:spacing w:after="0"/>
              <w:rPr>
                <w:sz w:val="12"/>
                <w:szCs w:val="12"/>
                <w:color w:val="auto"/>
              </w:rPr>
            </w:pPr>
          </w:p>
        </w:tc>
        <w:tc>
          <w:tcPr>
            <w:tcW w:w="158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Operating</w:t>
            </w:r>
          </w:p>
        </w:tc>
        <w:tc>
          <w:tcPr>
            <w:tcW w:w="12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Per ASM</w:t>
            </w:r>
          </w:p>
        </w:tc>
      </w:tr>
      <w:tr>
        <w:trPr>
          <w:trHeight w:val="189"/>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cents)</w:t>
            </w:r>
          </w:p>
        </w:tc>
        <w:tc>
          <w:tcPr>
            <w:tcW w:w="260" w:type="dxa"/>
            <w:vAlign w:val="bottom"/>
          </w:tcPr>
          <w:p>
            <w:pPr>
              <w:spacing w:after="0"/>
              <w:rPr>
                <w:sz w:val="16"/>
                <w:szCs w:val="16"/>
                <w:color w:val="auto"/>
              </w:rPr>
            </w:pPr>
          </w:p>
        </w:tc>
        <w:tc>
          <w:tcPr>
            <w:tcW w:w="158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220" w:type="dxa"/>
            <w:vAlign w:val="bottom"/>
          </w:tcPr>
          <w:p>
            <w:pPr>
              <w:ind w:left="160"/>
              <w:spacing w:after="0"/>
              <w:rPr>
                <w:sz w:val="20"/>
                <w:szCs w:val="20"/>
                <w:color w:val="auto"/>
              </w:rPr>
            </w:pPr>
            <w:r>
              <w:rPr>
                <w:rFonts w:ascii="Arial" w:cs="Arial" w:eastAsia="Arial" w:hAnsi="Arial"/>
                <w:sz w:val="14"/>
                <w:szCs w:val="14"/>
                <w:b w:val="1"/>
                <w:bCs w:val="1"/>
                <w:color w:val="auto"/>
              </w:rPr>
              <w:t>(in cents)</w:t>
            </w:r>
          </w:p>
        </w:tc>
      </w:tr>
      <w:tr>
        <w:trPr>
          <w:trHeight w:val="25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215,698</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99,400</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76,947</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29,709</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70"/>
        </w:trPr>
        <w:tc>
          <w:tcPr>
            <w:tcW w:w="502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23"/>
                <w:szCs w:val="23"/>
                <w:color w:val="auto"/>
              </w:rPr>
            </w:pP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(39,819)</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70"/>
        </w:trPr>
        <w:tc>
          <w:tcPr>
            <w:tcW w:w="5020" w:type="dxa"/>
            <w:vAlign w:val="bottom"/>
          </w:tcPr>
          <w:p>
            <w:pPr>
              <w:ind w:left="180"/>
              <w:spacing w:after="0"/>
              <w:rPr>
                <w:sz w:val="20"/>
                <w:szCs w:val="20"/>
                <w:color w:val="auto"/>
              </w:rPr>
            </w:pPr>
            <w:r>
              <w:rPr>
                <w:rFonts w:ascii="Arial" w:cs="Arial" w:eastAsia="Arial" w:hAnsi="Arial"/>
                <w:sz w:val="18"/>
                <w:szCs w:val="18"/>
                <w:color w:val="auto"/>
              </w:rPr>
              <w:t xml:space="preserve">TRA expense </w:t>
            </w:r>
            <w:r>
              <w:rPr>
                <w:rFonts w:ascii="Arial" w:cs="Arial" w:eastAsia="Arial" w:hAnsi="Arial"/>
                <w:sz w:val="23"/>
                <w:szCs w:val="23"/>
                <w:color w:val="auto"/>
                <w:vertAlign w:val="superscript"/>
              </w:rPr>
              <w:t>(b)</w:t>
            </w:r>
          </w:p>
        </w:tc>
        <w:tc>
          <w:tcPr>
            <w:tcW w:w="280" w:type="dxa"/>
            <w:vAlign w:val="bottom"/>
          </w:tcPr>
          <w:p>
            <w:pPr>
              <w:spacing w:after="0"/>
              <w:rPr>
                <w:sz w:val="23"/>
                <w:szCs w:val="23"/>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Cargo expenses, not already adjusted above</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21,326</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16,183</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70"/>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Sun Country Vacations</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CASM</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116,635</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92,359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ASM (thousands)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1,632,501</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1,442,744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318"/>
        </w:trPr>
        <w:tc>
          <w:tcPr>
            <w:tcW w:w="5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1220" w:type="dxa"/>
            <w:vAlign w:val="bottom"/>
            <w:tcBorders>
              <w:bottom w:val="single" w:sz="8" w:color="auto"/>
            </w:tcBorders>
          </w:tcPr>
          <w:p>
            <w:pPr>
              <w:spacing w:after="0"/>
              <w:rPr>
                <w:sz w:val="24"/>
                <w:szCs w:val="24"/>
                <w:color w:val="auto"/>
              </w:rPr>
            </w:pPr>
          </w:p>
        </w:tc>
      </w:tr>
      <w:tr>
        <w:trPr>
          <w:trHeight w:val="196"/>
        </w:trPr>
        <w:tc>
          <w:tcPr>
            <w:tcW w:w="5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2022</w:t>
            </w: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2021</w:t>
            </w:r>
          </w:p>
        </w:tc>
        <w:tc>
          <w:tcPr>
            <w:tcW w:w="1220" w:type="dxa"/>
            <w:vAlign w:val="bottom"/>
            <w:tcBorders>
              <w:bottom w:val="single" w:sz="8" w:color="auto"/>
            </w:tcBorders>
          </w:tcPr>
          <w:p>
            <w:pPr>
              <w:spacing w:after="0"/>
              <w:rPr>
                <w:sz w:val="17"/>
                <w:szCs w:val="17"/>
                <w:color w:val="auto"/>
              </w:rPr>
            </w:pPr>
          </w:p>
        </w:tc>
      </w:tr>
      <w:tr>
        <w:trPr>
          <w:trHeight w:val="148"/>
        </w:trPr>
        <w:tc>
          <w:tcPr>
            <w:tcW w:w="5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3"/>
          </w:tcPr>
          <w:p>
            <w:pPr>
              <w:ind w:left="140"/>
              <w:spacing w:after="0" w:line="148" w:lineRule="exact"/>
              <w:rPr>
                <w:sz w:val="20"/>
                <w:szCs w:val="20"/>
                <w:color w:val="auto"/>
              </w:rPr>
            </w:pPr>
            <w:r>
              <w:rPr>
                <w:rFonts w:ascii="Arial" w:cs="Arial" w:eastAsia="Arial" w:hAnsi="Arial"/>
                <w:sz w:val="14"/>
                <w:szCs w:val="14"/>
                <w:b w:val="1"/>
                <w:bCs w:val="1"/>
                <w:color w:val="auto"/>
              </w:rPr>
              <w:t>Operating</w:t>
            </w:r>
          </w:p>
        </w:tc>
        <w:tc>
          <w:tcPr>
            <w:tcW w:w="1300" w:type="dxa"/>
            <w:vAlign w:val="bottom"/>
            <w:gridSpan w:val="2"/>
          </w:tcPr>
          <w:p>
            <w:pPr>
              <w:ind w:left="160"/>
              <w:spacing w:after="0" w:line="148" w:lineRule="exact"/>
              <w:rPr>
                <w:sz w:val="20"/>
                <w:szCs w:val="20"/>
                <w:color w:val="auto"/>
              </w:rPr>
            </w:pPr>
            <w:r>
              <w:rPr>
                <w:rFonts w:ascii="Arial" w:cs="Arial" w:eastAsia="Arial" w:hAnsi="Arial"/>
                <w:sz w:val="14"/>
                <w:szCs w:val="14"/>
                <w:b w:val="1"/>
                <w:bCs w:val="1"/>
                <w:color w:val="auto"/>
              </w:rPr>
              <w:t>Per ASM</w:t>
            </w:r>
          </w:p>
        </w:tc>
        <w:tc>
          <w:tcPr>
            <w:tcW w:w="260" w:type="dxa"/>
            <w:vAlign w:val="bottom"/>
          </w:tcPr>
          <w:p>
            <w:pPr>
              <w:spacing w:after="0"/>
              <w:rPr>
                <w:sz w:val="12"/>
                <w:szCs w:val="12"/>
                <w:color w:val="auto"/>
              </w:rPr>
            </w:pPr>
          </w:p>
        </w:tc>
        <w:tc>
          <w:tcPr>
            <w:tcW w:w="1580" w:type="dxa"/>
            <w:vAlign w:val="bottom"/>
            <w:gridSpan w:val="3"/>
          </w:tcPr>
          <w:p>
            <w:pPr>
              <w:ind w:left="140"/>
              <w:spacing w:after="0" w:line="148" w:lineRule="exact"/>
              <w:rPr>
                <w:sz w:val="20"/>
                <w:szCs w:val="20"/>
                <w:color w:val="auto"/>
              </w:rPr>
            </w:pPr>
            <w:r>
              <w:rPr>
                <w:rFonts w:ascii="Arial" w:cs="Arial" w:eastAsia="Arial" w:hAnsi="Arial"/>
                <w:sz w:val="14"/>
                <w:szCs w:val="14"/>
                <w:b w:val="1"/>
                <w:bCs w:val="1"/>
                <w:color w:val="auto"/>
              </w:rPr>
              <w:t>Operating</w:t>
            </w:r>
          </w:p>
        </w:tc>
        <w:tc>
          <w:tcPr>
            <w:tcW w:w="1220" w:type="dxa"/>
            <w:vAlign w:val="bottom"/>
          </w:tcPr>
          <w:p>
            <w:pPr>
              <w:ind w:left="180"/>
              <w:spacing w:after="0" w:line="148" w:lineRule="exact"/>
              <w:rPr>
                <w:sz w:val="20"/>
                <w:szCs w:val="20"/>
                <w:color w:val="auto"/>
              </w:rPr>
            </w:pPr>
            <w:r>
              <w:rPr>
                <w:rFonts w:ascii="Arial" w:cs="Arial" w:eastAsia="Arial" w:hAnsi="Arial"/>
                <w:sz w:val="14"/>
                <w:szCs w:val="14"/>
                <w:b w:val="1"/>
                <w:bCs w:val="1"/>
                <w:color w:val="auto"/>
              </w:rPr>
              <w:t>Per ASM</w:t>
            </w:r>
          </w:p>
        </w:tc>
      </w:tr>
      <w:tr>
        <w:trPr>
          <w:trHeight w:val="189"/>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cents)</w:t>
            </w:r>
          </w:p>
        </w:tc>
        <w:tc>
          <w:tcPr>
            <w:tcW w:w="260" w:type="dxa"/>
            <w:vAlign w:val="bottom"/>
          </w:tcPr>
          <w:p>
            <w:pPr>
              <w:spacing w:after="0"/>
              <w:rPr>
                <w:sz w:val="16"/>
                <w:szCs w:val="16"/>
                <w:color w:val="auto"/>
              </w:rPr>
            </w:pPr>
          </w:p>
        </w:tc>
        <w:tc>
          <w:tcPr>
            <w:tcW w:w="1580" w:type="dxa"/>
            <w:vAlign w:val="bottom"/>
            <w:gridSpan w:val="3"/>
          </w:tcPr>
          <w:p>
            <w:pPr>
              <w:ind w:left="140"/>
              <w:spacing w:after="0"/>
              <w:rPr>
                <w:sz w:val="20"/>
                <w:szCs w:val="20"/>
                <w:color w:val="auto"/>
              </w:rPr>
            </w:pPr>
            <w:r>
              <w:rPr>
                <w:rFonts w:ascii="Arial" w:cs="Arial" w:eastAsia="Arial" w:hAnsi="Arial"/>
                <w:sz w:val="14"/>
                <w:szCs w:val="14"/>
                <w:b w:val="1"/>
                <w:bCs w:val="1"/>
                <w:color w:val="auto"/>
              </w:rPr>
              <w:t>Expenses</w:t>
            </w:r>
          </w:p>
        </w:tc>
        <w:tc>
          <w:tcPr>
            <w:tcW w:w="1220" w:type="dxa"/>
            <w:vAlign w:val="bottom"/>
          </w:tcPr>
          <w:p>
            <w:pPr>
              <w:ind w:left="160"/>
              <w:spacing w:after="0"/>
              <w:rPr>
                <w:sz w:val="20"/>
                <w:szCs w:val="20"/>
                <w:color w:val="auto"/>
              </w:rPr>
            </w:pPr>
            <w:r>
              <w:rPr>
                <w:rFonts w:ascii="Arial" w:cs="Arial" w:eastAsia="Arial" w:hAnsi="Arial"/>
                <w:sz w:val="14"/>
                <w:szCs w:val="14"/>
                <w:b w:val="1"/>
                <w:bCs w:val="1"/>
                <w:color w:val="auto"/>
              </w:rPr>
              <w:t>(in cents)</w:t>
            </w:r>
          </w:p>
        </w:tc>
      </w:tr>
      <w:tr>
        <w:trPr>
          <w:trHeight w:val="25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CASM</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420,390</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196,415</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r>
      <w:tr>
        <w:trPr>
          <w:trHeight w:val="243"/>
        </w:trPr>
        <w:tc>
          <w:tcPr>
            <w:tcW w:w="5020" w:type="dxa"/>
            <w:vAlign w:val="bottom"/>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Aircraft Fuel</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141,492</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53,984</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70"/>
        </w:trPr>
        <w:tc>
          <w:tcPr>
            <w:tcW w:w="502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Special Items, net </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23"/>
                <w:szCs w:val="23"/>
                <w:color w:val="auto"/>
              </w:rPr>
            </w:pPr>
          </w:p>
        </w:tc>
        <w:tc>
          <w:tcPr>
            <w:tcW w:w="15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70"/>
        </w:trPr>
        <w:tc>
          <w:tcPr>
            <w:tcW w:w="5020" w:type="dxa"/>
            <w:vAlign w:val="bottom"/>
          </w:tcPr>
          <w:p>
            <w:pPr>
              <w:ind w:left="180"/>
              <w:spacing w:after="0"/>
              <w:rPr>
                <w:sz w:val="20"/>
                <w:szCs w:val="20"/>
                <w:color w:val="auto"/>
              </w:rPr>
            </w:pPr>
            <w:r>
              <w:rPr>
                <w:rFonts w:ascii="Arial" w:cs="Arial" w:eastAsia="Arial" w:hAnsi="Arial"/>
                <w:sz w:val="18"/>
                <w:szCs w:val="18"/>
                <w:color w:val="auto"/>
              </w:rPr>
              <w:t xml:space="preserve">TRA expense </w:t>
            </w:r>
            <w:r>
              <w:rPr>
                <w:rFonts w:ascii="Arial" w:cs="Arial" w:eastAsia="Arial" w:hAnsi="Arial"/>
                <w:sz w:val="23"/>
                <w:szCs w:val="23"/>
                <w:color w:val="auto"/>
                <w:vertAlign w:val="superscript"/>
              </w:rPr>
              <w:t>(b)</w:t>
            </w:r>
          </w:p>
        </w:tc>
        <w:tc>
          <w:tcPr>
            <w:tcW w:w="280" w:type="dxa"/>
            <w:vAlign w:val="bottom"/>
          </w:tcPr>
          <w:p>
            <w:pPr>
              <w:spacing w:after="0"/>
              <w:rPr>
                <w:sz w:val="23"/>
                <w:szCs w:val="23"/>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70"/>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Cargo expenses, not already adjusted above</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40,438</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33,379</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70"/>
        </w:trPr>
        <w:tc>
          <w:tcPr>
            <w:tcW w:w="5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Sun Country Vacations</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CASM</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236,348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177,092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5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ASM (thousands)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3,560,651</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2,819,540</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97"/>
        </w:trPr>
        <w:tc>
          <w:tcPr>
            <w:tcW w:w="502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45" w:lineRule="exact"/>
        <w:rPr>
          <w:sz w:val="20"/>
          <w:szCs w:val="20"/>
          <w:color w:val="auto"/>
        </w:rPr>
      </w:pPr>
    </w:p>
    <w:p>
      <w:pPr>
        <w:ind w:left="580" w:hanging="554"/>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The adjustments include Special Items, net, as presented in </w:t>
      </w:r>
      <w:r>
        <w:rPr>
          <w:rFonts w:ascii="Arial" w:cs="Arial" w:eastAsia="Arial" w:hAnsi="Arial"/>
          <w:sz w:val="14"/>
          <w:szCs w:val="14"/>
          <w:u w:val="single" w:color="auto"/>
          <w:color w:val="0000FF"/>
        </w:rPr>
        <w:t>Note 12</w:t>
      </w:r>
      <w:r>
        <w:rPr>
          <w:rFonts w:ascii="Arial" w:cs="Arial" w:eastAsia="Arial" w:hAnsi="Arial"/>
          <w:sz w:val="14"/>
          <w:szCs w:val="14"/>
          <w:color w:val="auto"/>
        </w:rPr>
        <w:t xml:space="preserve"> of the Company's Condensed Consolidated Financial Statements.</w:t>
      </w:r>
    </w:p>
    <w:p>
      <w:pPr>
        <w:spacing w:after="0" w:line="68" w:lineRule="exact"/>
        <w:rPr>
          <w:rFonts w:ascii="Arial" w:cs="Arial" w:eastAsia="Arial" w:hAnsi="Arial"/>
          <w:sz w:val="14"/>
          <w:szCs w:val="14"/>
          <w:color w:val="auto"/>
        </w:rPr>
      </w:pPr>
    </w:p>
    <w:p>
      <w:pPr>
        <w:ind w:left="580" w:hanging="554"/>
        <w:spacing w:after="0"/>
        <w:tabs>
          <w:tab w:leader="none" w:pos="5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This represents the one-time costs to establish the TRA liability with our TRA holders. See </w:t>
      </w:r>
      <w:r>
        <w:rPr>
          <w:rFonts w:ascii="Arial" w:cs="Arial" w:eastAsia="Arial" w:hAnsi="Arial"/>
          <w:sz w:val="14"/>
          <w:szCs w:val="14"/>
          <w:u w:val="single" w:color="auto"/>
          <w:color w:val="0000FF"/>
        </w:rPr>
        <w:t>Note 11</w:t>
      </w:r>
      <w:r>
        <w:rPr>
          <w:rFonts w:ascii="Arial" w:cs="Arial" w:eastAsia="Arial" w:hAnsi="Arial"/>
          <w:sz w:val="14"/>
          <w:szCs w:val="14"/>
          <w:color w:val="auto"/>
        </w:rPr>
        <w:t xml:space="preserve"> of the Company’s Condensed Consolidated Financial Statements.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airline business is capital intensive. Our ability to successfully execute our business strategy is largely dependent on the continued availability of capital on attractive terms and maintaining sufficient liquidity. We have historically funded our operations and capital expenditures primarily through cash from operations, proceeds from stockholders’ capital contributions, the issuance of promissory notes, and debt financing.</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primary sources of liquidity as of June 30, 2022 included our existing cash and cash equivalents of $212,858 and short-term investments of $76,724, our expected cash generated from operations, and our $25,000 Revolving Credit Facility. In addition, we had restricted cash of $4,132 as of June 30, 2022 which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the charter transportation is provided.</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primary uses of liquidity are for operating expenses, capital expenditures, lease rentals and maintenance reserve deposits, debt repayments and working capital requirements. Our single largest capital expenditure requirement relates to the acquisition of aircraft, which we have historically acquired through operating leases, finance leases, and debt. Our management team retains broad discretion to allocate liquidity.</w:t>
      </w: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unrestricted cash and cash equivalents, short-term investments, and availability under our Revolving Credit Facility, combined with expected future cash flows from operations, will be sufficient to fund our operations and meet our debt payment obligations for at least the next twelve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regulations, or acts of terrorism.</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Aircraft </w:t>
      </w:r>
      <w:r>
        <w:rPr>
          <w:rFonts w:ascii="Arial" w:cs="Arial" w:eastAsia="Arial" w:hAnsi="Arial"/>
          <w:sz w:val="18"/>
          <w:szCs w:val="18"/>
          <w:color w:val="auto"/>
        </w:rPr>
        <w:t>– As of June 30, 2022, we owned or leased a fleet of 53 Boeing 737-NG aircraft. This includes 41 aircraft in the passenger fleet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12 of cargo operated aircraft through the ATSA. We may finance additional aircraft through debt financing or finance leases based on market conditions, our prevailing level of liquidity and capital market availability. We may also enter into new operating leases on an opportunistic basis. For more information on our fleet,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of the Condensed Consolidated Financial Statements included in Part I, Item I of this report.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Maintenance Deposits </w:t>
      </w:r>
      <w:r>
        <w:rPr>
          <w:rFonts w:ascii="Arial" w:cs="Arial" w:eastAsia="Arial" w:hAnsi="Arial"/>
          <w:sz w:val="18"/>
          <w:szCs w:val="18"/>
          <w:color w:val="auto"/>
        </w:rPr>
        <w:t>- In addition to funding the acquisition of aircraft, we are required by certain of our aircraft lessors to fund reserves in</w:t>
      </w:r>
      <w:r>
        <w:rPr>
          <w:rFonts w:ascii="Arial" w:cs="Arial" w:eastAsia="Arial" w:hAnsi="Arial"/>
          <w:sz w:val="18"/>
          <w:szCs w:val="18"/>
          <w:b w:val="1"/>
          <w:bCs w:val="1"/>
          <w:color w:val="auto"/>
        </w:rPr>
        <w:t xml:space="preserve"> </w:t>
      </w:r>
      <w:r>
        <w:rPr>
          <w:rFonts w:ascii="Arial" w:cs="Arial" w:eastAsia="Arial" w:hAnsi="Arial"/>
          <w:sz w:val="18"/>
          <w:szCs w:val="18"/>
          <w:color w:val="auto"/>
        </w:rPr>
        <w:t>cash in advance for scheduled maintenance to act as collateral for the benefit of lessors. Qualifying payments that are expected to be recovered from lessors are recorded as Lessor Maintenance Deposits on our Condensed Consolidated Balance Sheets.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 The Company invests its cash and cash equivalents in highly liquid securities with strong credit ratings. During the quarter,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purchased $70,391 of debt securities, all of which are classified as current assets because of their highly liquid nature and availability to be converted into cash to fund current operations. Given the significant portion of our portfolio held in cash and cash equivalents, we do not anticipate fluctuations in the aggregate fair value of our investments to have a material impact on our liquidity or capital position.</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CARES Act </w:t>
      </w:r>
      <w:r>
        <w:rPr>
          <w:rFonts w:ascii="Arial" w:cs="Arial" w:eastAsia="Arial" w:hAnsi="Arial"/>
          <w:sz w:val="18"/>
          <w:szCs w:val="18"/>
          <w:color w:val="auto"/>
        </w:rPr>
        <w:t>- During 2021, we received grants totaling $ 71,587 from the Treasury under PSP2 and PSP3. We also received a CARES Act</w:t>
      </w:r>
      <w:r>
        <w:rPr>
          <w:rFonts w:ascii="Arial" w:cs="Arial" w:eastAsia="Arial" w:hAnsi="Arial"/>
          <w:sz w:val="18"/>
          <w:szCs w:val="18"/>
          <w:b w:val="1"/>
          <w:bCs w:val="1"/>
          <w:color w:val="auto"/>
        </w:rPr>
        <w:t xml:space="preserve"> </w:t>
      </w:r>
      <w:r>
        <w:rPr>
          <w:rFonts w:ascii="Arial" w:cs="Arial" w:eastAsia="Arial" w:hAnsi="Arial"/>
          <w:sz w:val="18"/>
          <w:szCs w:val="18"/>
          <w:color w:val="auto"/>
        </w:rPr>
        <w:t>Loan of $45,000 in October 2020, which was repaid in full on March 24, 2021 using proceeds from the IPO.</w:t>
      </w:r>
    </w:p>
    <w:p>
      <w:pPr>
        <w:spacing w:after="0" w:line="175" w:lineRule="exact"/>
        <w:rPr>
          <w:sz w:val="20"/>
          <w:szCs w:val="20"/>
          <w:color w:val="auto"/>
        </w:rPr>
      </w:pPr>
    </w:p>
    <w:p>
      <w:pPr>
        <w:jc w:val="both"/>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In accordance with the $71,587 of grants received under the CARES Act, we are required to comply with the relevant provisions of the CARES Act and the related implementing agreements. We were in compliance with the CARES Act provisions as of June 30, 2022. For more information on the CARES Act provisions, see </w:t>
      </w:r>
      <w:hyperlink r:id="rId42">
        <w:r>
          <w:rPr>
            <w:rFonts w:ascii="Arial" w:cs="Arial" w:eastAsia="Arial" w:hAnsi="Arial"/>
            <w:sz w:val="18"/>
            <w:szCs w:val="18"/>
            <w:u w:val="single" w:color="auto"/>
            <w:color w:val="0000FF"/>
          </w:rPr>
          <w:t>Note 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Consolidated Financial Statements included in Part II, Item 8 of the 2021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Credit Facilities </w:t>
      </w:r>
      <w:r>
        <w:rPr>
          <w:rFonts w:ascii="Arial" w:cs="Arial" w:eastAsia="Arial" w:hAnsi="Arial"/>
          <w:sz w:val="18"/>
          <w:szCs w:val="18"/>
          <w:color w:val="auto"/>
        </w:rPr>
        <w:t>- The Company uses its Credit Facilities to provide liquidity support for general corporate purposes and to finance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of aircraft. On February 10, 2021, we entered into a Credit Agreement which includes a $25,000 Revolving Credit Facility and a $90,000 DDTL. The proceeds from the Revolving Credit Facility can be used for general corporate purposes, whereas the proceeds from the DDTL were to be used solely to finance the acquisition of aircraft or engines to be registered in the United States. The Credit Agreement includes financial covenants that require a minimum trailing 12-month EBITDAR ($87,700 as of March 31, 2022 and beyond) and a minimum liquidity of $30,000 at the close of any business day. The Company was in compliance with this covenant as of June 30, 2022.</w:t>
      </w:r>
    </w:p>
    <w:p>
      <w:pPr>
        <w:spacing w:after="0" w:line="20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During 2021, the Company drew $ 80,500 on the DDTL to purchase six aircraft, which were previously under operating leases. The Company repaid the outstanding balance for the DDTL in full in March 2022 using proceeds it received from the 2022 -1 EETC. No amounts under the DDTL are available to the Company as of June 30, 2022. As of June 30, 2022, the $25,000 Revolving Credit Facility had no balance drawn.</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 At our discretion, we obtain debt financing through the issuance of pass-through trust certificates to purchase, or refinance, aircraft.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2019, we issued the 2019-1 EETC, for the purpose of financing or refinancing 13 used aircraft.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March 2022, the Company arranged for the issuance of the 2022-1 EETC, in an aggregate face amount of $188,277 for the purpose of financing or refinancing 13 aircraft. The Company received gross proceeds of $172,507 in order to finance or refinance 12 of the 13 aircraft, and expects to receive an additional $15,770 of gross proceeds in respect to the 13th aircraft on or before September 15, 2022. The 2022-1 EETC is secured by a lien on the financed or refinanced aircraft and is cross collateralized by the other aircraft financed through the issuance. Total appraised value of the 12 aircraft was approximately $237,936 as of the original date of the agreement.</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For more information on our credit facilities or debt,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of the Condensed Consolidated Financial Statements included in Part I, Item I of this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6"/>
                <w:szCs w:val="16"/>
                <w:color w:val="auto"/>
              </w:rPr>
            </w:pPr>
          </w:p>
        </w:tc>
        <w:tc>
          <w:tcPr>
            <w:tcW w:w="18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r>
      <w:tr>
        <w:trPr>
          <w:trHeight w:val="25"/>
        </w:trPr>
        <w:tc>
          <w:tcPr>
            <w:tcW w:w="470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7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212,858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309,338</w:t>
            </w:r>
          </w:p>
        </w:tc>
        <w:tc>
          <w:tcPr>
            <w:tcW w:w="100" w:type="dxa"/>
            <w:vAlign w:val="bottom"/>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2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70,138</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Available Under Revolving Credit Facility</w:t>
            </w:r>
          </w:p>
        </w:tc>
        <w:tc>
          <w:tcPr>
            <w:tcW w:w="24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3"/>
                <w:szCs w:val="23"/>
                <w:color w:val="auto"/>
              </w:rPr>
            </w:pPr>
          </w:p>
        </w:tc>
      </w:tr>
      <w:tr>
        <w:trPr>
          <w:trHeight w:val="264"/>
        </w:trPr>
        <w:tc>
          <w:tcPr>
            <w:tcW w:w="4700" w:type="dxa"/>
            <w:vAlign w:val="bottom"/>
          </w:tcPr>
          <w:p>
            <w:pPr>
              <w:ind w:left="240"/>
              <w:spacing w:after="0"/>
              <w:rPr>
                <w:sz w:val="20"/>
                <w:szCs w:val="20"/>
                <w:color w:val="auto"/>
              </w:rPr>
            </w:pPr>
            <w:r>
              <w:rPr>
                <w:rFonts w:ascii="Arial" w:cs="Arial" w:eastAsia="Arial" w:hAnsi="Arial"/>
                <w:sz w:val="18"/>
                <w:szCs w:val="18"/>
                <w:color w:val="auto"/>
              </w:rPr>
              <w:t>Total Liquidity</w:t>
            </w:r>
          </w:p>
        </w:tc>
        <w:tc>
          <w:tcPr>
            <w:tcW w:w="24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307,996</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334,338</w:t>
            </w:r>
          </w:p>
        </w:tc>
        <w:tc>
          <w:tcPr>
            <w:tcW w:w="100" w:type="dxa"/>
            <w:vAlign w:val="bottom"/>
          </w:tcPr>
          <w:p>
            <w:pPr>
              <w:spacing w:after="0"/>
              <w:rPr>
                <w:sz w:val="22"/>
                <w:szCs w:val="22"/>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04"/>
        </w:trPr>
        <w:tc>
          <w:tcPr>
            <w:tcW w:w="47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7"/>
                <w:szCs w:val="17"/>
                <w:color w:val="auto"/>
              </w:rPr>
            </w:pPr>
          </w:p>
        </w:tc>
        <w:tc>
          <w:tcPr>
            <w:tcW w:w="18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r>
      <w:tr>
        <w:trPr>
          <w:trHeight w:val="25"/>
        </w:trPr>
        <w:tc>
          <w:tcPr>
            <w:tcW w:w="470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7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363,543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277,426</w:t>
            </w:r>
          </w:p>
        </w:tc>
        <w:tc>
          <w:tcPr>
            <w:tcW w:w="100" w:type="dxa"/>
            <w:vAlign w:val="bottom"/>
          </w:tcPr>
          <w:p>
            <w:pPr>
              <w:spacing w:after="0"/>
              <w:rPr>
                <w:sz w:val="21"/>
                <w:szCs w:val="2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249,621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192,155</w:t>
            </w:r>
          </w:p>
        </w:tc>
        <w:tc>
          <w:tcPr>
            <w:tcW w:w="1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24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31,582</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76,041</w:t>
            </w:r>
          </w:p>
        </w:tc>
        <w:tc>
          <w:tcPr>
            <w:tcW w:w="100" w:type="dxa"/>
            <w:vAlign w:val="bottom"/>
          </w:tcPr>
          <w:p>
            <w:pPr>
              <w:spacing w:after="0"/>
              <w:rPr>
                <w:sz w:val="23"/>
                <w:szCs w:val="23"/>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Total Debt and Lease obligations</w:t>
            </w:r>
          </w:p>
        </w:tc>
        <w:tc>
          <w:tcPr>
            <w:tcW w:w="2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644,746</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545,622</w:t>
            </w:r>
          </w:p>
        </w:tc>
        <w:tc>
          <w:tcPr>
            <w:tcW w:w="1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4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495,888</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490,589</w:t>
            </w:r>
          </w:p>
        </w:tc>
        <w:tc>
          <w:tcPr>
            <w:tcW w:w="100" w:type="dxa"/>
            <w:vAlign w:val="bottom"/>
          </w:tcPr>
          <w:p>
            <w:pPr>
              <w:spacing w:after="0"/>
              <w:rPr>
                <w:sz w:val="23"/>
                <w:szCs w:val="23"/>
                <w:color w:val="auto"/>
              </w:rPr>
            </w:pPr>
          </w:p>
        </w:tc>
      </w:tr>
      <w:tr>
        <w:trPr>
          <w:trHeight w:val="263"/>
        </w:trPr>
        <w:tc>
          <w:tcPr>
            <w:tcW w:w="4700" w:type="dxa"/>
            <w:vAlign w:val="bottom"/>
          </w:tcPr>
          <w:p>
            <w:pPr>
              <w:ind w:left="180"/>
              <w:spacing w:after="0"/>
              <w:rPr>
                <w:sz w:val="20"/>
                <w:szCs w:val="20"/>
                <w:color w:val="auto"/>
              </w:rPr>
            </w:pPr>
            <w:r>
              <w:rPr>
                <w:rFonts w:ascii="Arial" w:cs="Arial" w:eastAsia="Arial" w:hAnsi="Arial"/>
                <w:sz w:val="18"/>
                <w:szCs w:val="18"/>
                <w:color w:val="auto"/>
              </w:rPr>
              <w:t>Total Invested Capital</w:t>
            </w:r>
          </w:p>
        </w:tc>
        <w:tc>
          <w:tcPr>
            <w:tcW w:w="24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1,140,634</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1,036,211</w:t>
            </w:r>
          </w:p>
        </w:tc>
        <w:tc>
          <w:tcPr>
            <w:tcW w:w="100" w:type="dxa"/>
            <w:vAlign w:val="bottom"/>
          </w:tcPr>
          <w:p>
            <w:pPr>
              <w:spacing w:after="0"/>
              <w:rPr>
                <w:sz w:val="22"/>
                <w:szCs w:val="22"/>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Debt-to-Capital</w:t>
            </w:r>
          </w:p>
        </w:tc>
        <w:tc>
          <w:tcPr>
            <w:tcW w:w="2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0.57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r>
      <w:tr>
        <w:trPr>
          <w:trHeight w:val="931"/>
        </w:trPr>
        <w:tc>
          <w:tcPr>
            <w:tcW w:w="4700" w:type="dxa"/>
            <w:vAlign w:val="bottom"/>
          </w:tcPr>
          <w:p>
            <w:pPr>
              <w:spacing w:after="0"/>
              <w:rPr>
                <w:sz w:val="24"/>
                <w:szCs w:val="24"/>
                <w:color w:val="auto"/>
              </w:rPr>
            </w:pPr>
          </w:p>
        </w:tc>
        <w:tc>
          <w:tcPr>
            <w:tcW w:w="2440" w:type="dxa"/>
            <w:vAlign w:val="bottom"/>
          </w:tcPr>
          <w:p>
            <w:pPr>
              <w:jc w:val="right"/>
              <w:ind w:right="127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Liquidity</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320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Six Months Ended June 30,</w:t>
            </w:r>
          </w:p>
        </w:tc>
        <w:tc>
          <w:tcPr>
            <w:tcW w:w="780" w:type="dxa"/>
            <w:vAlign w:val="bottom"/>
          </w:tcPr>
          <w:p>
            <w:pPr>
              <w:spacing w:after="0"/>
              <w:rPr>
                <w:sz w:val="16"/>
                <w:szCs w:val="16"/>
                <w:color w:val="auto"/>
              </w:rPr>
            </w:pPr>
          </w:p>
        </w:tc>
      </w:tr>
      <w:tr>
        <w:trPr>
          <w:trHeight w:val="26"/>
        </w:trPr>
        <w:tc>
          <w:tcPr>
            <w:tcW w:w="71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71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6"/>
                <w:szCs w:val="16"/>
                <w:color w:val="auto"/>
              </w:rPr>
            </w:pPr>
          </w:p>
        </w:tc>
      </w:tr>
      <w:tr>
        <w:trPr>
          <w:trHeight w:val="27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Activities</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37,060</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96,804</w:t>
            </w:r>
          </w:p>
        </w:tc>
      </w:tr>
      <w:tr>
        <w:trPr>
          <w:trHeight w:val="223"/>
        </w:trPr>
        <w:tc>
          <w:tcPr>
            <w:tcW w:w="714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1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27"/>
        </w:trPr>
        <w:tc>
          <w:tcPr>
            <w:tcW w:w="7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Purchases of Property &amp; Equipment</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(137,647)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(73,699)</w:t>
            </w:r>
          </w:p>
        </w:tc>
      </w:tr>
      <w:tr>
        <w:trPr>
          <w:trHeight w:val="243"/>
        </w:trPr>
        <w:tc>
          <w:tcPr>
            <w:tcW w:w="7140" w:type="dxa"/>
            <w:vAlign w:val="bottom"/>
          </w:tcPr>
          <w:p>
            <w:pPr>
              <w:ind w:left="360"/>
              <w:spacing w:after="0"/>
              <w:rPr>
                <w:sz w:val="20"/>
                <w:szCs w:val="20"/>
                <w:color w:val="auto"/>
              </w:rPr>
            </w:pPr>
            <w:r>
              <w:rPr>
                <w:rFonts w:ascii="Arial" w:cs="Arial" w:eastAsia="Arial" w:hAnsi="Arial"/>
                <w:sz w:val="18"/>
                <w:szCs w:val="18"/>
                <w:color w:val="auto"/>
              </w:rPr>
              <w:t>Proceeds from the Sale Property &amp; Equipment</w:t>
            </w: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Insurance Settlements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140" w:type="dxa"/>
            <w:vAlign w:val="bottom"/>
          </w:tcPr>
          <w:p>
            <w:pPr>
              <w:ind w:left="360"/>
              <w:spacing w:after="0"/>
              <w:rPr>
                <w:sz w:val="20"/>
                <w:szCs w:val="20"/>
                <w:color w:val="auto"/>
              </w:rPr>
            </w:pPr>
            <w:r>
              <w:rPr>
                <w:rFonts w:ascii="Arial" w:cs="Arial" w:eastAsia="Arial" w:hAnsi="Arial"/>
                <w:sz w:val="18"/>
                <w:szCs w:val="18"/>
                <w:color w:val="auto"/>
              </w:rPr>
              <w:t>Purchases of Investments</w:t>
            </w: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(71,629)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(1,436)</w:t>
            </w:r>
          </w:p>
        </w:tc>
      </w:tr>
      <w:tr>
        <w:trPr>
          <w:trHeight w:val="27"/>
        </w:trPr>
        <w:tc>
          <w:tcPr>
            <w:tcW w:w="7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the Sale of Investments</w:t>
            </w:r>
          </w:p>
        </w:tc>
        <w:tc>
          <w:tcPr>
            <w:tcW w:w="1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37"/>
        </w:trPr>
        <w:tc>
          <w:tcPr>
            <w:tcW w:w="7140" w:type="dxa"/>
            <w:vAlign w:val="bottom"/>
          </w:tcPr>
          <w:p>
            <w:pPr>
              <w:ind w:left="20"/>
              <w:spacing w:after="0"/>
              <w:rPr>
                <w:sz w:val="20"/>
                <w:szCs w:val="20"/>
                <w:color w:val="auto"/>
              </w:rPr>
            </w:pPr>
            <w:r>
              <w:rPr>
                <w:rFonts w:ascii="Arial" w:cs="Arial" w:eastAsia="Arial" w:hAnsi="Arial"/>
                <w:sz w:val="18"/>
                <w:szCs w:val="18"/>
                <w:color w:val="auto"/>
              </w:rPr>
              <w:t>Total Investing Activities</w:t>
            </w:r>
          </w:p>
        </w:tc>
        <w:tc>
          <w:tcPr>
            <w:tcW w:w="1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(198,961)</w:t>
            </w:r>
          </w:p>
        </w:tc>
        <w:tc>
          <w:tcPr>
            <w:tcW w:w="10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(74,151)</w:t>
            </w:r>
          </w:p>
        </w:tc>
      </w:tr>
      <w:tr>
        <w:trPr>
          <w:trHeight w:val="27"/>
        </w:trPr>
        <w:tc>
          <w:tcPr>
            <w:tcW w:w="7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7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43"/>
        </w:trPr>
        <w:tc>
          <w:tcPr>
            <w:tcW w:w="71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Received from Stock Offering, net</w:t>
            </w:r>
          </w:p>
        </w:tc>
        <w:tc>
          <w:tcPr>
            <w:tcW w:w="1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227,225</w:t>
            </w:r>
          </w:p>
        </w:tc>
      </w:tr>
      <w:tr>
        <w:trPr>
          <w:trHeight w:val="243"/>
        </w:trPr>
        <w:tc>
          <w:tcPr>
            <w:tcW w:w="7140" w:type="dxa"/>
            <w:vAlign w:val="bottom"/>
          </w:tcPr>
          <w:p>
            <w:pPr>
              <w:ind w:left="360"/>
              <w:spacing w:after="0"/>
              <w:rPr>
                <w:sz w:val="20"/>
                <w:szCs w:val="20"/>
                <w:color w:val="auto"/>
              </w:rPr>
            </w:pPr>
            <w:r>
              <w:rPr>
                <w:rFonts w:ascii="Arial" w:cs="Arial" w:eastAsia="Arial" w:hAnsi="Arial"/>
                <w:sz w:val="18"/>
                <w:szCs w:val="18"/>
                <w:color w:val="auto"/>
              </w:rPr>
              <w:t>Proceeds from Stock Option and Warrant Exercises, net</w:t>
            </w: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7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Borrowings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172,507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80,500</w:t>
            </w:r>
          </w:p>
        </w:tc>
      </w:tr>
      <w:tr>
        <w:trPr>
          <w:trHeight w:val="243"/>
        </w:trPr>
        <w:tc>
          <w:tcPr>
            <w:tcW w:w="7140" w:type="dxa"/>
            <w:vAlign w:val="bottom"/>
          </w:tcPr>
          <w:p>
            <w:pPr>
              <w:ind w:left="360"/>
              <w:spacing w:after="0"/>
              <w:rPr>
                <w:sz w:val="20"/>
                <w:szCs w:val="20"/>
                <w:color w:val="auto"/>
              </w:rPr>
            </w:pPr>
            <w:r>
              <w:rPr>
                <w:rFonts w:ascii="Arial" w:cs="Arial" w:eastAsia="Arial" w:hAnsi="Arial"/>
                <w:sz w:val="18"/>
                <w:szCs w:val="18"/>
                <w:color w:val="auto"/>
              </w:rPr>
              <w:t>Repayment of Finance Lease Obligations</w:t>
            </w: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(24,293)</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(7,864)</w:t>
            </w:r>
          </w:p>
        </w:tc>
      </w:tr>
      <w:tr>
        <w:trPr>
          <w:trHeight w:val="27"/>
        </w:trPr>
        <w:tc>
          <w:tcPr>
            <w:tcW w:w="7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Repayment of Borrowings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(86,046)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(74,709)</w:t>
            </w:r>
          </w:p>
        </w:tc>
      </w:tr>
      <w:tr>
        <w:trPr>
          <w:trHeight w:val="243"/>
        </w:trPr>
        <w:tc>
          <w:tcPr>
            <w:tcW w:w="7140" w:type="dxa"/>
            <w:vAlign w:val="bottom"/>
          </w:tcPr>
          <w:p>
            <w:pPr>
              <w:ind w:left="360"/>
              <w:spacing w:after="0"/>
              <w:rPr>
                <w:sz w:val="20"/>
                <w:szCs w:val="20"/>
                <w:color w:val="auto"/>
              </w:rPr>
            </w:pPr>
            <w:r>
              <w:rPr>
                <w:rFonts w:ascii="Arial" w:cs="Arial" w:eastAsia="Arial" w:hAnsi="Arial"/>
                <w:sz w:val="18"/>
                <w:szCs w:val="18"/>
                <w:color w:val="auto"/>
              </w:rPr>
              <w:t>Debt Issuance Costs</w:t>
            </w: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(2,709)</w:t>
            </w:r>
          </w:p>
        </w:tc>
      </w:tr>
      <w:tr>
        <w:trPr>
          <w:trHeight w:val="27"/>
        </w:trPr>
        <w:tc>
          <w:tcPr>
            <w:tcW w:w="7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Financing Activities</w:t>
            </w:r>
          </w:p>
        </w:tc>
        <w:tc>
          <w:tcPr>
            <w:tcW w:w="1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61,106</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222,469</w:t>
            </w:r>
          </w:p>
        </w:tc>
      </w:tr>
      <w:tr>
        <w:trPr>
          <w:trHeight w:val="250"/>
        </w:trPr>
        <w:tc>
          <w:tcPr>
            <w:tcW w:w="71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r>
      <w:tr>
        <w:trPr>
          <w:trHeight w:val="28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w:t>
            </w: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(100,795)</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245,122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consists of Cash, Cash Equivalents and Restricted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Cash Flow Activities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activities in the six months ended June 30, 2022 provided $37,060, as compared to providing $96,804 during the six months ended June 30, 2021. During the six months ended June 30, 2022 and 2021, our Net Loss was $285 and Net Income was $68,955, respectively. Net Income in the first half of 2021 benefited from $71,587 in grants received under the CARES Act.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operating cash flow is primarily impacted by the following factors: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Seasonality of Advance Ticket Sales. </w:t>
      </w:r>
      <w:r>
        <w:rPr>
          <w:rFonts w:ascii="Arial" w:cs="Arial" w:eastAsia="Arial" w:hAnsi="Arial"/>
          <w:sz w:val="18"/>
          <w:szCs w:val="18"/>
          <w:color w:val="auto"/>
        </w:rPr>
        <w:t>We sell tickets for air travel in advance of the customer's travel date. When we receive a cash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sale, we record the cash received on advance sales as deferred revenue in Air Traffic Liabilities. Air Traffic Liabilities typically increase during the fall and early winter months as advanced ticket sales grow prior to the late winter and spring peak travel season and decrease during the summer months.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Fuel expense represented approximately 34% and 27% of our total operating expense for the six months ended June 30,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2021, respectively. The market price for jet fuel is volatile, which can impact the comparability of our periodic cash flows from operations. Fuel consumption increased during the six months ended June 30, 2022 compared to prior year, consistent with increased passengers as the impact of the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pandemic subsides. Additionally, the cost per gallon increased by 89% year-over-year. We expect a trend of higher year-over-year fuel costs per gallon to continue throughout 2022 due to current market conditions, further exacerbated by geopolitical events.</w:t>
      </w:r>
    </w:p>
    <w:p>
      <w:pPr>
        <w:spacing w:after="0" w:line="166"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i w:val="1"/>
          <w:iCs w:val="1"/>
          <w:color w:val="auto"/>
        </w:rPr>
        <w:t xml:space="preserve">CARES Act. </w:t>
      </w:r>
      <w:r>
        <w:rPr>
          <w:rFonts w:ascii="Arial" w:cs="Arial" w:eastAsia="Arial" w:hAnsi="Arial"/>
          <w:sz w:val="18"/>
          <w:szCs w:val="18"/>
          <w:color w:val="auto"/>
        </w:rPr>
        <w:t>During the six months ended June 30, 2022 we did not receive any funding from the CARES Act. During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we received $71,587 in CARES Act grants and $780 in employee retention tax credits.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Cash Flow Activities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Our capital expenditures were $137,647 and $73,699 for the six months ended June 30, 2022 and 2021,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Our capital expenditures during the six months ended June 30, 2022 primarily included the purchase of five aircraft, the purchase of four spare engines, the first installment payment to purchase a flight simulator, and other miscellaneous projects. A second installment of $5,847 was remitted to the seller of the simulator during July 2022. The remaining purchase price will be remitted to the seller upon receipt and installation of the simulator. The purchase of the aircraft previously under a finance lease was recorded as a non-cash investing activity. Our capital expenditures during the six months ended June 30, 2021 were primarily related to the purchases of six existing aircraft previously under operating leases.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During the quarter, the Company purchased $70,391 of debt securities, all of which are classified as current assets because of</w:t>
      </w:r>
      <w:r>
        <w:rPr>
          <w:rFonts w:ascii="Arial" w:cs="Arial" w:eastAsia="Arial" w:hAnsi="Arial"/>
          <w:sz w:val="18"/>
          <w:szCs w:val="18"/>
          <w:i w:val="1"/>
          <w:iCs w:val="1"/>
          <w:color w:val="auto"/>
        </w:rPr>
        <w:t xml:space="preserve"> </w:t>
      </w:r>
      <w:r>
        <w:rPr>
          <w:rFonts w:ascii="Arial" w:cs="Arial" w:eastAsia="Arial" w:hAnsi="Arial"/>
          <w:sz w:val="18"/>
          <w:szCs w:val="18"/>
          <w:color w:val="auto"/>
        </w:rPr>
        <w:t>their highly liquid nature and availability to be converted into cash to fund current operations. Primarily all of the Company's Available-for-Sale securities will mature within one year.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Cash Flow Activities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IPO. </w:t>
      </w:r>
      <w:r>
        <w:rPr>
          <w:rFonts w:ascii="Arial" w:cs="Arial" w:eastAsia="Arial" w:hAnsi="Arial"/>
          <w:sz w:val="18"/>
          <w:szCs w:val="18"/>
          <w:color w:val="auto"/>
        </w:rPr>
        <w:t>In March 2021, we completed our IPO. In total, 10,454,545 shares were issued and the net proceeds to the Company were $225,329</w:t>
      </w:r>
      <w:r>
        <w:rPr>
          <w:rFonts w:ascii="Arial" w:cs="Arial" w:eastAsia="Arial" w:hAnsi="Arial"/>
          <w:sz w:val="18"/>
          <w:szCs w:val="18"/>
          <w:i w:val="1"/>
          <w:iCs w:val="1"/>
          <w:color w:val="auto"/>
        </w:rPr>
        <w:t xml:space="preserve"> </w:t>
      </w:r>
      <w:r>
        <w:rPr>
          <w:rFonts w:ascii="Arial" w:cs="Arial" w:eastAsia="Arial" w:hAnsi="Arial"/>
          <w:sz w:val="18"/>
          <w:szCs w:val="18"/>
          <w:color w:val="auto"/>
        </w:rPr>
        <w:t>after deducting underwriting discounts and commissions, and other offering expenses. The proceeds from the IPO were immediately used to repay our $45,000 loan with the U.S. Treasury, plus interest.</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Debt</w:t>
      </w:r>
      <w:r>
        <w:rPr>
          <w:rFonts w:ascii="Arial" w:cs="Arial" w:eastAsia="Arial" w:hAnsi="Arial"/>
          <w:sz w:val="18"/>
          <w:szCs w:val="18"/>
          <w:color w:val="auto"/>
        </w:rPr>
        <w:t>. In March 2022, the Company arranged for the issuance of the 2022-1 EETC in an aggregate face amount of $188,277 for the purpose</w:t>
      </w:r>
      <w:r>
        <w:rPr>
          <w:rFonts w:ascii="Arial" w:cs="Arial" w:eastAsia="Arial" w:hAnsi="Arial"/>
          <w:sz w:val="18"/>
          <w:szCs w:val="18"/>
          <w:i w:val="1"/>
          <w:iCs w:val="1"/>
          <w:color w:val="auto"/>
        </w:rPr>
        <w:t xml:space="preserve"> </w:t>
      </w:r>
      <w:r>
        <w:rPr>
          <w:rFonts w:ascii="Arial" w:cs="Arial" w:eastAsia="Arial" w:hAnsi="Arial"/>
          <w:sz w:val="18"/>
          <w:szCs w:val="18"/>
          <w:color w:val="auto"/>
        </w:rPr>
        <w:t>of financing or refinancing 13 aircraft. We obtained $172,507 in gross proceeds during the six months ended June 30, 2022 in order to finance or refinance 12 of the 13 aircraft. The remaining $15,770 of gross proceeds is expected to be received on or before September 15, 2022 in connection with purchasing the 13th aircraft from the lessor. Five of these aircraft were owned fleet assets previously financed by the DDTL, which was repaid with the proceeds from the 2022-1 EETC.</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For additional information regarding these financing arrangements, see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of the Notes to the Condensed Consolidated Financial Statements included in Part I, Item I of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Indemnities</w:t>
      </w:r>
      <w:r>
        <w:rPr>
          <w:rFonts w:ascii="Arial" w:cs="Arial" w:eastAsia="Arial" w:hAnsi="Arial"/>
          <w:sz w:val="18"/>
          <w:szCs w:val="18"/>
          <w:color w:val="auto"/>
        </w:rPr>
        <w:t>. Our aircraft, equipment and other leases and certain operating agreements typically contain provisions requiring us,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lessee, to indemnify the other parties to those agreements, including certain of those parties’ related persons, against virtually any liabilities that might arise from the use or operation of the aircraft or such other equipment. We believe that our insurance covers most of our exposure to liabilities and related indemnities associated with the leases described above.</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Pass-Through Trusts</w:t>
      </w:r>
      <w:r>
        <w:rPr>
          <w:rFonts w:ascii="Arial" w:cs="Arial" w:eastAsia="Arial" w:hAnsi="Arial"/>
          <w:sz w:val="18"/>
          <w:szCs w:val="18"/>
          <w:color w:val="auto"/>
        </w:rPr>
        <w:t>. We have equipment notes outstanding issued under the 2019-1 EETC and 2022-1 EETC. Generally, the structure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EETC financings consists of pass-through trusts created by us to issue pass-through certificates, which represent fractional undivided interests in the respective pass-through trusts and are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not obligations of Sun Country. The proceeds of the issuance of the pass-through certificates are used to purchase equipment notes which are issued by us and secured by our aircraft. The payment obligations under the equipment notes are those of Sun Country. We use these certificates to finance or refinance aircraft purchases. The obligations are listed in </w:t>
      </w:r>
      <w:r>
        <w:rPr>
          <w:rFonts w:ascii="Arial" w:cs="Arial" w:eastAsia="Arial" w:hAnsi="Arial"/>
          <w:sz w:val="18"/>
          <w:szCs w:val="18"/>
          <w:u w:val="single" w:color="auto"/>
          <w:color w:val="0000FF"/>
        </w:rPr>
        <w:t>Note 7</w:t>
      </w:r>
      <w:r>
        <w:rPr>
          <w:rFonts w:ascii="Arial" w:cs="Arial" w:eastAsia="Arial" w:hAnsi="Arial"/>
          <w:sz w:val="18"/>
          <w:szCs w:val="18"/>
          <w:color w:val="auto"/>
        </w:rPr>
        <w:t xml:space="preserve"> of the Condensed Consolidated Financial Statements included in Part I, Item I of this report.</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Fuel Consortia</w:t>
      </w:r>
      <w:r>
        <w:rPr>
          <w:rFonts w:ascii="Arial" w:cs="Arial" w:eastAsia="Arial" w:hAnsi="Arial"/>
          <w:sz w:val="18"/>
          <w:szCs w:val="18"/>
          <w:color w:val="auto"/>
        </w:rPr>
        <w:t>. We currently participate in fuel consortia at Minneapolis-Saint Paul International Airport, Las Vegas International Airport,</w:t>
      </w:r>
      <w:r>
        <w:rPr>
          <w:rFonts w:ascii="Arial" w:cs="Arial" w:eastAsia="Arial" w:hAnsi="Arial"/>
          <w:sz w:val="18"/>
          <w:szCs w:val="18"/>
          <w:i w:val="1"/>
          <w:iCs w:val="1"/>
          <w:color w:val="auto"/>
        </w:rPr>
        <w:t xml:space="preserve"> </w:t>
      </w:r>
      <w:r>
        <w:rPr>
          <w:rFonts w:ascii="Arial" w:cs="Arial" w:eastAsia="Arial" w:hAnsi="Arial"/>
          <w:sz w:val="18"/>
          <w:szCs w:val="18"/>
          <w:color w:val="auto"/>
        </w:rPr>
        <w:t>Dallas-Fort Worth International Airport, San Diego International Airport, Los Angeles International Airport, Seattle Tacoma International Airport, Portland International Airport, Phoenix Sky Harbor International Airport, Orlando International Airport, Southwest Florida International Airport and San Francisco International Airport and we expect to expand our participation with other airlines in fuel consortia and fuel committees at our airports where economically beneficial. These agreements generally include cost-sharing provisions and environmental indemnities that are generally joint and several among the participating airlines. Consortia that are governed by interline agreements are either, (i) not variable interest entities (“VIEs”) because they are not legal entities, or (ii) are variable interest entities, but the Company is not deemed the primary beneficiary. Therefore, these agreements are not reflected on our Condensed Consolidated Balance Sheets. There are no assets or liabilities on our balance sheets related to these VIEs, since our participation is limited to purchasing aircraft fuel.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off-balance sheet arrangements.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contractual obligations comprised of aircraft leases and supplemental maintenance reserves, payments of debt, interest, other lease arrangements, and the TRA.</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six months ended June 30, 2022, an owned aircraft was retired due to the aircraft sustaining damage beyond economic repair. The best estimate of this event was recorded as of June 30, 2022 and had no financial impact on the Company's Condensed Consolidated Statement of Operations. The estimate will be revised if any additional information becomes available during the third quarter when the contingency is expected to be finalized. The Company does not believe the finalization of the contingency will have a material effect on the Company's Condensed Consolidated Results of Operations.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six months ended June 30, 2022, the Company executed an agreement to purchase a flight simulator at a total purchase price of $9,745. An initial installment of $2,934 was remitted to the seller during the first half of 2022 and a second installment of $5,847 was remitted to the seller during July 2022, prior to shipment. The remaining purchase price will be remitted to the seller upon receipt and installation of the simulator. The first installment payment for the simulator is accounted for within Property &amp; Equipment on the Condensed Consolidated Balance Sheets as of June 30, 2022.</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six months ended June 30, 2022, the Company gave an irrevocable notice to the lessor of its intent to purchase an aircraft currently under lease for approximately $12,000. This lease is currently accounted for as a finance lease and the purchase price will be financed with the remaining proceeds from the 2022-1 EETC. The Company expects for this transaction to be complete in September 2022.</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For additional information, refer to </w:t>
      </w:r>
      <w:r>
        <w:rPr>
          <w:rFonts w:ascii="Arial" w:cs="Arial" w:eastAsia="Arial" w:hAnsi="Arial"/>
          <w:sz w:val="18"/>
          <w:szCs w:val="18"/>
          <w:u w:val="single" w:color="auto"/>
          <w:color w:val="0000FF"/>
        </w:rPr>
        <w:t>Note 13</w:t>
      </w:r>
      <w:r>
        <w:rPr>
          <w:rFonts w:ascii="Arial" w:cs="Arial" w:eastAsia="Arial" w:hAnsi="Arial"/>
          <w:sz w:val="18"/>
          <w:szCs w:val="18"/>
          <w:color w:val="auto"/>
        </w:rPr>
        <w:t xml:space="preserve"> Commitments and Contingencies to our Condensed Consolidated Financial Statements included elsewhere in this Quarterly Report on Form 10-Q. Except as described herein, there have been no material changes in our contractual obligations and commitments other than in the ordinary course of business since our fiscal year ended December 31, 2021.</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Accordingly, actual results may differ from the information provided below.</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Unexpected pricing changes of aircraft fuel could have a material adverse effect on our business, results of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condition. To hedge the economic risk associated with volatile aircraft fuel prices, we periodically enter into fuel collars, which allows us to reduce the overall cost of hedging, but may prevent us from participating in the benefit of downward price movements. In the past, we have also entered into fuel option and swap contracts. We had no hedges in place at June 30, 2022. We do not hold or issue option or swap contracts for trading purposes. We currently do not expect to enter into these types of contracts prospectively, although significant changes in market conditions could affect our decisions. Based on our forecasted scheduled service and charter fuel consumption for the second quarter of 2022, we estimate that a one cent per gallon increase in the average aircraft fuel price would increase aircraft fuel expense by approximately $172 excluding reimbursed cargo fuel.</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Interest Rates. </w:t>
      </w:r>
      <w:r>
        <w:rPr>
          <w:rFonts w:ascii="Arial" w:cs="Arial" w:eastAsia="Arial" w:hAnsi="Arial"/>
          <w:sz w:val="18"/>
          <w:szCs w:val="18"/>
          <w:color w:val="auto"/>
        </w:rPr>
        <w:t>We have exposure to market risk associated with changes in interest rates related to the interest expense from our variable-rate debt and our short-term investment securities. A change in market interest rates would impact interest expense under the Revolving Credit Facility, totaling $25,000 in principal capacity. During the quarter, we repaid the outstanding balance of the DDTL using proceeds from the 2022-1 EETC, which terminated the DDTL. We are unable to draw any additional amounts from the DDTL and no longer face any exposure to market risk on this portion of our Credit Facilities. Assuming the Revolving Credit Facility is fully drawn, a 100 basis point increase in interest rates would result in a corresponding increase in interest expense of approximately $250 annually.</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short-term investment securities are primarily comprised of fixed-rate debt investments. An increase in market interest rates decreases the market value of fixed-rate investments. Conversely, a decrease in market interest rates increases the market value. The fair market value of our short-term investments with exposure to interest rate risk was $70,138 as of June 30, 2022. Given the significant portion of our portfolio held in cash and cash equivalents, we do not anticipate fluctuations in the aggregate fair value of our financial assets to have a material impact on our liquidity or capital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05"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June 30, 2022. Based upon this evaluation, our Chief Executive Officer and Chief Financial Officer concluded that, due to the existence of the material weakness in our internal control over financial reporting described below, our disclosure controls and procedures (as defined in Rules 13a-15(e) and 15d-</w:t>
      </w:r>
    </w:p>
    <w:p>
      <w:pPr>
        <w:spacing w:after="0" w:line="2" w:lineRule="exact"/>
        <w:rPr>
          <w:sz w:val="20"/>
          <w:szCs w:val="20"/>
          <w:color w:val="auto"/>
        </w:rPr>
      </w:pPr>
    </w:p>
    <w:p>
      <w:pPr>
        <w:jc w:val="both"/>
        <w:spacing w:after="0" w:line="195" w:lineRule="auto"/>
        <w:rPr>
          <w:sz w:val="20"/>
          <w:szCs w:val="20"/>
          <w:color w:val="auto"/>
        </w:rPr>
      </w:pPr>
      <w:r>
        <w:rPr>
          <w:rFonts w:ascii="Arial" w:cs="Arial" w:eastAsia="Arial" w:hAnsi="Arial"/>
          <w:sz w:val="18"/>
          <w:szCs w:val="18"/>
          <w:color w:val="auto"/>
        </w:rPr>
        <w:t>15(e) under the Exchange Act) were not effective as of June 30, 2022 to provide reasonable assurance that the information required to be disclosed in the reports that we file or submit under the Exchange Act is recorded, processed, summarized and reported within the time</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periods specified in the SEC’s rules and forms, and that such information is accumulated and communicated to Management as appropriate to allow timely decisions regarding required disclosure. In light of this fact, Management has performed additional analyses,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reconciliations, and other post-closing procedures and has concluded that, notwithstanding the material weakness in our internal control over financial reporting, the consolidated financial statements included in this Quarterly Report on Form 10-Q present fairly, in all material respects, the Company’s financial position, results of operations and cash flows for the periods presented, in conformity with U.S. GAAP.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25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Management has identified a material weakness in internal control over financial reporting as of June 30, 2022. Specifically, Management's controls over the accounting for complex non-routine transactions were not designed or implemented to operate with a sufficient level of precision. This included controls addressing the application of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 the purchase of aircraft subject to an existing operating lease.</w:t>
      </w:r>
    </w:p>
    <w:p>
      <w:pPr>
        <w:spacing w:after="0" w:line="23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This control deficiency did not result in a material misstatement of the Condensed Consolidated Financial Statements included in this Quarterly Report on Form 10-Q or our prior period consolidated annual or interim financial statements. However, the control deficiency creates a reasonable possibility that a material misstatement to the annual or interim consolidated financial statements would not have been</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prevented or detected on a timely basis. Accordingly, Management has concluded that this control deficiency constitutes a material weakness as of June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Plan</w:t>
      </w:r>
    </w:p>
    <w:p>
      <w:pPr>
        <w:spacing w:after="0" w:line="257"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To remediate the material weakness in the Company’s internal control over financial reporting, Management intends to supplement our system of internal control over financial reporting with the following actions:</w:t>
      </w:r>
    </w:p>
    <w:p>
      <w:pPr>
        <w:spacing w:after="0" w:line="224" w:lineRule="exact"/>
        <w:rPr>
          <w:sz w:val="20"/>
          <w:szCs w:val="20"/>
          <w:color w:val="auto"/>
        </w:rPr>
      </w:pPr>
    </w:p>
    <w:p>
      <w:pPr>
        <w:ind w:left="660" w:right="580" w:hanging="328"/>
        <w:spacing w:after="0" w:line="24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Engage third-party experts, as necessary, to review Management’s conclusions on the accounting for non-routine transactions involving the application of complex accounting standards;</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additional internal training on how to utilize external technical accounting research resources;</w:t>
      </w:r>
    </w:p>
    <w:p>
      <w:pPr>
        <w:spacing w:after="0" w:line="238"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Enhance the risk assessment process for complex non-routine transactions and, based on the assessed risks, strengthen the design and operation of our internal controls related to the review and approval of accounting for such transactions; and</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a technical accounting checklist for the analysis and review of complex lease-related transactions.</w:t>
      </w:r>
    </w:p>
    <w:p>
      <w:pPr>
        <w:spacing w:after="0" w:line="239"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We believe that our remediation plan will be sufficient to remediate the identified material weakness and strengthen our internal control over financial reporting. However, as we continue to evaluate and work to improve our internal control over financial reporting, Management may</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determine that additional measures to address control deficiencies or modifications to the remediation plan are necessary. Therefore, we cannot assure you when the Company will remediate the material weakness identified above, nor can we be certain that additional actions</w:t>
      </w:r>
    </w:p>
    <w:p>
      <w:pPr>
        <w:spacing w:after="0" w:line="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will not be required or what the costs of any such additional actions may be. Moreover, we cannot assure you that additional material weaknesses will not arise in the future.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7"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than the changes made as part of the remediation plan described above, there has been no change in the Company’s internal control over financial reporting (as defined in Rules 13a-15(f) and 15d-15(f) under the Exchange Act) that occurred during the quarter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We have disclosed under the heading “</w:t>
      </w:r>
      <w:hyperlink r:id="rId81">
        <w:r>
          <w:rPr>
            <w:rFonts w:ascii="Arial" w:cs="Arial" w:eastAsia="Arial" w:hAnsi="Arial"/>
            <w:sz w:val="18"/>
            <w:szCs w:val="18"/>
            <w:u w:val="single" w:color="auto"/>
            <w:color w:val="0000FF"/>
          </w:rPr>
          <w:t>Risk Factors</w:t>
        </w:r>
      </w:hyperlink>
      <w:r>
        <w:rPr>
          <w:rFonts w:ascii="Arial" w:cs="Arial" w:eastAsia="Arial" w:hAnsi="Arial"/>
          <w:sz w:val="18"/>
          <w:szCs w:val="18"/>
          <w:color w:val="auto"/>
        </w:rPr>
        <w:t>” in our 2021 10-K, the risk factors which materially affect our business, financial condition or results of operations. Except for the updated risk factors set forth below, there have been no material changes from the risk factors previously disclosed. You should carefully consider the risk factors set forth in our 2021 10-K and the risk factor presented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if we are unable to remediate this material weakness, we may not be able to accurately or timely report our financial condition or results of operations, which may adversely affect investor confidence in us and, as a result, the value of our common stock.</w:t>
      </w:r>
    </w:p>
    <w:p>
      <w:pPr>
        <w:spacing w:after="0" w:line="21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As disclosed in Part I, Item 4, “Controls and Procedures,” we have identified a material weakness in our internal control over financial reporting. A material weakness is a deficiency, or combination of deficiencies, in internal control over financial reporting, such that there is a reasonable possibility that a material misstatement of a company’s annual or interim financial statements will not be prevented or detected on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 timely basis. The control deficiency described below created a reasonable possibility that a material misstatement to the annual or interim consolidated financial statements would not have been prevented or detected on a timely basis. Accordingly, Management has concluded</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that this control deficiency constitutes a material weakness as of June 30, 2022. Specifically, Management's controls over the accounting for complex non-routine transactions were not designed or implemented to operate with a sufficient level of precision. This included controls addressing the application of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 the purchase of aircraft subject to an existing operating lease.</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Failure to have effective internal control over financial reporting and disclosure controls and procedures could impair our ability to produce accurate financial statements on a timely basis and could lead to a restatement of our financial statements. If, as a result of the ineffectiveness of our internal control over financial reporting and disclosure controls and procedures, we cannot provide reliable financial statements, our business decision processes may be adversely affected, our business and results of operations could be harmed, and investors could lose confidence in our reported financial information. In addition, in some circumstances, failure to maintain effective internal control over financial reporting could result in investigations or sanctions by regulatory authorities.</w:t>
      </w:r>
    </w:p>
    <w:p>
      <w:pPr>
        <w:spacing w:after="0" w:line="23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Our Management is implementing a remediation plan to address the material weakness, as described in Part I, Item 4. Such remediation measures may require additional time and resources and there is no assurance that these initiatives will ultimately have the intended effects.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As Management continues to evaluate and work to improve our internal control over financial reporting, Management may determine that additional measures to address control deficiencies or modifications to the remediation plan are necessary. Therefore, we cannot assure you</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when the Company will remediate such weakness, nor can we be certain that additional actions will not be required or what costs of any such additional actions may be. In addition, there can be no assurance that such remediation efforts will be successful, that our internal control over financial reporting will be effective as a result of these efforts nor that additional material weaknesses will not arise in the future or that Management has identified all material weaknesses. If we identify any new material weaknesses in the future, any such newly identified material weakness could limit our ability to prevent or detect a misstatement of our accounts 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disclosures that could result in a material misstatement of our annual or interim financial statements. Any such future deficiencies identified may not be material weaknesses that would be required to be reported in future periods. In addition, we cannot assure you that our independent registered public accounting firm will be able to attest that such internal controls are effective when they are required to do so.</w:t>
      </w:r>
    </w:p>
    <w:p>
      <w:pPr>
        <w:spacing w:after="0" w:line="23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If we fail to remediate the material weakness and maintain effective internal control over financial reporting or disclosure controls and procedures, we may not be able to rely on the integrity of our financial results, which could result in inaccurate or late reporting of our financial results, as well as delays or the inability to meet our reporting obligations or to comply with SEC rules and regulations. Any of these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could result in delisting actions by the Nasdaq Stock Market, investigation and sanctions by regulatory authorities, stockholder investigations and lawsuits, and could adversely affect our business and the trading price of our common stock. The potential consequences of any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material weakness could have a material adverse effect on our business, results of operations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summarizes the Companies repurchases of common stock for the quarter ended June 30, 2022. All stock repurchases during the quarter reflect shares withheld from employees to satisfy the exercise price and taxes due in connection with exercises of stock options under the Company's equity incentive plans. The shares of common stock withheld to satisfy the exercise price and tax withholding obligations are considered to be "issuer purchases" of shares that are required to be disclosed pursuant to this Item.</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2"/>
                <w:szCs w:val="12"/>
                <w:color w:val="auto"/>
              </w:rPr>
            </w:pPr>
          </w:p>
        </w:tc>
        <w:tc>
          <w:tcPr>
            <w:tcW w:w="1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Average Price Paid per</w:t>
            </w:r>
          </w:p>
        </w:tc>
        <w:tc>
          <w:tcPr>
            <w:tcW w:w="1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rPr>
              <w:t>(in thousands) of Shares</w:t>
            </w:r>
          </w:p>
        </w:tc>
        <w:tc>
          <w:tcPr>
            <w:tcW w:w="0" w:type="dxa"/>
            <w:vAlign w:val="bottom"/>
          </w:tcPr>
          <w:p>
            <w:pPr>
              <w:spacing w:after="0"/>
              <w:rPr>
                <w:sz w:val="1"/>
                <w:szCs w:val="1"/>
                <w:color w:val="auto"/>
              </w:rPr>
            </w:pPr>
          </w:p>
        </w:tc>
      </w:tr>
      <w:tr>
        <w:trPr>
          <w:trHeight w:val="148"/>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Purchased as Part of</w:t>
            </w:r>
          </w:p>
        </w:tc>
        <w:tc>
          <w:tcPr>
            <w:tcW w:w="100" w:type="dxa"/>
            <w:vAlign w:val="bottom"/>
          </w:tcPr>
          <w:p>
            <w:pPr>
              <w:spacing w:after="0"/>
              <w:rPr>
                <w:sz w:val="12"/>
                <w:szCs w:val="12"/>
                <w:color w:val="auto"/>
              </w:rPr>
            </w:pPr>
          </w:p>
        </w:tc>
        <w:tc>
          <w:tcPr>
            <w:tcW w:w="19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89"/>
        </w:trPr>
        <w:tc>
          <w:tcPr>
            <w:tcW w:w="316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Purchased</w:t>
            </w: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Share</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Publicly Announced Plans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rPr>
              <w:t>Under Plan</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1-30, 2022</w:t>
            </w: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May 1-31, 2022</w:t>
            </w:r>
          </w:p>
        </w:tc>
        <w:tc>
          <w:tcPr>
            <w:tcW w:w="192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19"/>
                <w:szCs w:val="19"/>
                <w:color w:val="auto"/>
              </w:rPr>
            </w:pPr>
          </w:p>
        </w:tc>
        <w:tc>
          <w:tcPr>
            <w:tcW w:w="1940" w:type="dxa"/>
            <w:vAlign w:val="bottom"/>
          </w:tcPr>
          <w:p>
            <w:pPr>
              <w:ind w:left="1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1-30, 2022</w:t>
            </w: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19"/>
                <w:szCs w:val="19"/>
                <w:color w:val="auto"/>
              </w:rPr>
            </w:pPr>
          </w:p>
        </w:tc>
        <w:tc>
          <w:tcPr>
            <w:tcW w:w="1940" w:type="dxa"/>
            <w:vAlign w:val="bottom"/>
            <w:tcBorders>
              <w:top w:val="single" w:sz="8" w:color="auto"/>
              <w:bottom w:val="single" w:sz="8" w:color="auto"/>
            </w:tcBorders>
          </w:tcPr>
          <w:p>
            <w:pPr>
              <w:ind w:left="1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60" w:type="dxa"/>
            <w:vAlign w:val="bottom"/>
          </w:tcPr>
          <w:p>
            <w:pPr>
              <w:spacing w:after="0"/>
              <w:rPr>
                <w:sz w:val="20"/>
                <w:szCs w:val="20"/>
                <w:color w:val="auto"/>
              </w:rPr>
            </w:pPr>
            <w:r>
              <w:rPr>
                <w:rFonts w:ascii="Arial" w:cs="Arial" w:eastAsia="Arial" w:hAnsi="Arial"/>
                <w:sz w:val="18"/>
                <w:szCs w:val="18"/>
                <w:color w:val="auto"/>
              </w:rPr>
              <w:t>(a) Exhibits</w:t>
            </w:r>
          </w:p>
        </w:tc>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1160" w:type="dxa"/>
            <w:vAlign w:val="bottom"/>
          </w:tcPr>
          <w:p>
            <w:pPr>
              <w:ind w:left="20"/>
              <w:spacing w:after="0"/>
              <w:rPr>
                <w:sz w:val="20"/>
                <w:szCs w:val="20"/>
                <w:color w:val="auto"/>
              </w:rPr>
            </w:pPr>
            <w:r>
              <w:rPr>
                <w:rFonts w:ascii="Arial" w:cs="Arial" w:eastAsia="Arial" w:hAnsi="Arial"/>
                <w:sz w:val="18"/>
                <w:szCs w:val="18"/>
                <w:color w:val="auto"/>
              </w:rPr>
              <w:t>10.1</w:t>
            </w:r>
          </w:p>
        </w:tc>
        <w:tc>
          <w:tcPr>
            <w:tcW w:w="10040" w:type="dxa"/>
            <w:vAlign w:val="bottom"/>
            <w:gridSpan w:val="5"/>
          </w:tcPr>
          <w:p>
            <w:pPr>
              <w:spacing w:after="0"/>
              <w:rPr>
                <w:rFonts w:ascii="Arial" w:cs="Arial" w:eastAsia="Arial" w:hAnsi="Arial"/>
                <w:sz w:val="18"/>
                <w:szCs w:val="18"/>
                <w:color w:val="0000FF"/>
                <w:w w:val="99"/>
              </w:rPr>
            </w:pPr>
            <w:hyperlink r:id="rId144">
              <w:r>
                <w:rPr>
                  <w:rFonts w:ascii="Arial" w:cs="Arial" w:eastAsia="Arial" w:hAnsi="Arial"/>
                  <w:sz w:val="18"/>
                  <w:szCs w:val="18"/>
                  <w:color w:val="0000FF"/>
                  <w:w w:val="99"/>
                </w:rPr>
                <w:t>10.1 Form of RSU Award Agreement (incorporated by reference to Exhibit 10.1 to the Company's Current Report on Form 8-K</w:t>
              </w:r>
            </w:hyperlink>
          </w:p>
        </w:tc>
      </w:tr>
      <w:tr>
        <w:trPr>
          <w:trHeight w:val="155"/>
        </w:trPr>
        <w:tc>
          <w:tcPr>
            <w:tcW w:w="1160" w:type="dxa"/>
            <w:vAlign w:val="bottom"/>
          </w:tcPr>
          <w:p>
            <w:pPr>
              <w:spacing w:after="0"/>
              <w:rPr>
                <w:sz w:val="13"/>
                <w:szCs w:val="13"/>
                <w:color w:val="auto"/>
              </w:rPr>
            </w:pPr>
          </w:p>
        </w:tc>
        <w:tc>
          <w:tcPr>
            <w:tcW w:w="18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r:id="rId144">
              <w:r>
                <w:rPr>
                  <w:rFonts w:ascii="Arial" w:cs="Arial" w:eastAsia="Arial" w:hAnsi="Arial"/>
                  <w:sz w:val="18"/>
                  <w:szCs w:val="18"/>
                  <w:color w:val="0000FF"/>
                  <w:w w:val="99"/>
                </w:rPr>
                <w:t>filed on June 10, 2022)</w:t>
              </w:r>
            </w:hyperlink>
          </w:p>
        </w:tc>
        <w:tc>
          <w:tcPr>
            <w:tcW w:w="81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r>
      <w:tr>
        <w:trPr>
          <w:trHeight w:val="480"/>
        </w:trPr>
        <w:tc>
          <w:tcPr>
            <w:tcW w:w="1160" w:type="dxa"/>
            <w:vAlign w:val="bottom"/>
          </w:tcPr>
          <w:p>
            <w:pPr>
              <w:ind w:left="20"/>
              <w:spacing w:after="0"/>
              <w:rPr>
                <w:sz w:val="20"/>
                <w:szCs w:val="20"/>
                <w:color w:val="auto"/>
              </w:rPr>
            </w:pPr>
            <w:r>
              <w:rPr>
                <w:rFonts w:ascii="Arial" w:cs="Arial" w:eastAsia="Arial" w:hAnsi="Arial"/>
                <w:sz w:val="18"/>
                <w:szCs w:val="18"/>
                <w:color w:val="auto"/>
              </w:rPr>
              <w:t>31.1*</w:t>
            </w:r>
          </w:p>
        </w:tc>
        <w:tc>
          <w:tcPr>
            <w:tcW w:w="10040" w:type="dxa"/>
            <w:vAlign w:val="bottom"/>
            <w:gridSpan w:val="5"/>
          </w:tcPr>
          <w:p>
            <w:pPr>
              <w:spacing w:after="0"/>
              <w:rPr>
                <w:sz w:val="20"/>
                <w:szCs w:val="20"/>
                <w:color w:val="auto"/>
              </w:rPr>
            </w:pPr>
            <w:r>
              <w:rPr>
                <w:rFonts w:ascii="Arial" w:cs="Arial" w:eastAsia="Arial" w:hAnsi="Arial"/>
                <w:sz w:val="18"/>
                <w:szCs w:val="18"/>
                <w:color w:val="0000FF"/>
              </w:rPr>
              <w:t>Certification by Sun Country's Chief Executive Officer with respect to Sun Country's Quarterly Report on Form 10-Q for the</w:t>
            </w:r>
          </w:p>
        </w:tc>
      </w:tr>
      <w:tr>
        <w:trPr>
          <w:trHeight w:val="155"/>
        </w:trPr>
        <w:tc>
          <w:tcPr>
            <w:tcW w:w="1160" w:type="dxa"/>
            <w:vAlign w:val="bottom"/>
          </w:tcPr>
          <w:p>
            <w:pPr>
              <w:spacing w:after="0"/>
              <w:rPr>
                <w:sz w:val="13"/>
                <w:szCs w:val="13"/>
                <w:color w:val="auto"/>
              </w:rPr>
            </w:pPr>
          </w:p>
        </w:tc>
        <w:tc>
          <w:tcPr>
            <w:tcW w:w="300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9"/>
              </w:rPr>
              <w:t>quarterly period ended June 30, 2022</w:t>
            </w:r>
          </w:p>
        </w:tc>
        <w:tc>
          <w:tcPr>
            <w:tcW w:w="6740" w:type="dxa"/>
            <w:vAlign w:val="bottom"/>
            <w:tcBorders>
              <w:top w:val="single" w:sz="8" w:color="0000FF"/>
            </w:tcBorders>
          </w:tcPr>
          <w:p>
            <w:pPr>
              <w:spacing w:after="0"/>
              <w:rPr>
                <w:sz w:val="13"/>
                <w:szCs w:val="13"/>
                <w:color w:val="auto"/>
              </w:rPr>
            </w:pPr>
          </w:p>
        </w:tc>
        <w:tc>
          <w:tcPr>
            <w:tcW w:w="300" w:type="dxa"/>
            <w:vAlign w:val="bottom"/>
            <w:gridSpan w:val="2"/>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9860" w:type="dxa"/>
            <w:vAlign w:val="bottom"/>
            <w:gridSpan w:val="6"/>
          </w:tcPr>
          <w:p>
            <w:pPr>
              <w:spacing w:after="0"/>
              <w:rPr>
                <w:sz w:val="20"/>
                <w:szCs w:val="20"/>
                <w:color w:val="auto"/>
              </w:rPr>
            </w:pPr>
            <w:r>
              <w:rPr>
                <w:rFonts w:ascii="Arial" w:cs="Arial" w:eastAsia="Arial" w:hAnsi="Arial"/>
                <w:sz w:val="18"/>
                <w:szCs w:val="18"/>
                <w:color w:val="0000FF"/>
              </w:rPr>
              <w:t>Certification by Sun Country’s President and Chief Financial Officer with respect to Sun Country's Quarterly Report on Form</w:t>
            </w:r>
          </w:p>
        </w:tc>
      </w:tr>
      <w:tr>
        <w:trPr>
          <w:trHeight w:val="156"/>
        </w:trPr>
        <w:tc>
          <w:tcPr>
            <w:tcW w:w="1140" w:type="dxa"/>
            <w:vAlign w:val="bottom"/>
          </w:tcPr>
          <w:p>
            <w:pPr>
              <w:spacing w:after="0"/>
              <w:rPr>
                <w:sz w:val="13"/>
                <w:szCs w:val="13"/>
                <w:color w:val="auto"/>
              </w:rPr>
            </w:pPr>
          </w:p>
        </w:tc>
        <w:tc>
          <w:tcPr>
            <w:tcW w:w="984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10-Q for the quarterly period ended June 30, 2022</w:t>
            </w: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93"/>
        </w:trPr>
        <w:tc>
          <w:tcPr>
            <w:tcW w:w="1140" w:type="dxa"/>
            <w:vAlign w:val="bottom"/>
          </w:tcPr>
          <w:p>
            <w:pPr>
              <w:spacing w:after="0"/>
              <w:rPr>
                <w:sz w:val="20"/>
                <w:szCs w:val="20"/>
                <w:color w:val="auto"/>
              </w:rPr>
            </w:pPr>
            <w:r>
              <w:rPr>
                <w:rFonts w:ascii="Arial" w:cs="Arial" w:eastAsia="Arial" w:hAnsi="Arial"/>
                <w:sz w:val="18"/>
                <w:szCs w:val="18"/>
                <w:color w:val="auto"/>
              </w:rPr>
              <w:t>32*</w:t>
            </w:r>
          </w:p>
        </w:tc>
        <w:tc>
          <w:tcPr>
            <w:tcW w:w="9860" w:type="dxa"/>
            <w:vAlign w:val="bottom"/>
            <w:gridSpan w:val="6"/>
          </w:tcPr>
          <w:p>
            <w:pPr>
              <w:spacing w:after="0"/>
              <w:rPr>
                <w:sz w:val="20"/>
                <w:szCs w:val="20"/>
                <w:color w:val="auto"/>
              </w:rPr>
            </w:pPr>
            <w:r>
              <w:rPr>
                <w:rFonts w:ascii="Arial" w:cs="Arial" w:eastAsia="Arial" w:hAnsi="Arial"/>
                <w:sz w:val="18"/>
                <w:szCs w:val="18"/>
                <w:color w:val="0000FF"/>
              </w:rPr>
              <w:t>Certification pursuant to Section 1350 of Chapter 63 of Title 18 of the United States Code by Sun Country Airlines Holdings,</w:t>
            </w:r>
          </w:p>
        </w:tc>
      </w:tr>
      <w:tr>
        <w:trPr>
          <w:trHeight w:val="155"/>
        </w:trPr>
        <w:tc>
          <w:tcPr>
            <w:tcW w:w="1140" w:type="dxa"/>
            <w:vAlign w:val="bottom"/>
          </w:tcPr>
          <w:p>
            <w:pPr>
              <w:spacing w:after="0"/>
              <w:rPr>
                <w:sz w:val="13"/>
                <w:szCs w:val="13"/>
                <w:color w:val="auto"/>
              </w:rPr>
            </w:pPr>
          </w:p>
        </w:tc>
        <w:tc>
          <w:tcPr>
            <w:tcW w:w="982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0000FF"/>
              </w:rPr>
              <w:t>Inc.’s Chief Executive Officer and President and Chief Financial Officer with respect to Sun Country's Quarterly Report on</w:t>
            </w:r>
          </w:p>
        </w:tc>
        <w:tc>
          <w:tcPr>
            <w:tcW w:w="40" w:type="dxa"/>
            <w:vAlign w:val="bottom"/>
            <w:gridSpan w:val="2"/>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448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9"/>
              </w:rPr>
              <w:t>Form 10-Q for the quarterly period ended June 30, 2022</w:t>
            </w:r>
          </w:p>
        </w:tc>
        <w:tc>
          <w:tcPr>
            <w:tcW w:w="5160" w:type="dxa"/>
            <w:vAlign w:val="bottom"/>
            <w:tcBorders>
              <w:top w:val="single" w:sz="8" w:color="0000FF"/>
            </w:tcBorders>
          </w:tcPr>
          <w:p>
            <w:pPr>
              <w:spacing w:after="0"/>
              <w:rPr>
                <w:sz w:val="14"/>
                <w:szCs w:val="14"/>
                <w:color w:val="auto"/>
              </w:rPr>
            </w:pPr>
          </w:p>
        </w:tc>
        <w:tc>
          <w:tcPr>
            <w:tcW w:w="220" w:type="dxa"/>
            <w:vAlign w:val="bottom"/>
            <w:gridSpan w:val="3"/>
          </w:tcPr>
          <w:p>
            <w:pPr>
              <w:spacing w:after="0"/>
              <w:rPr>
                <w:sz w:val="14"/>
                <w:szCs w:val="14"/>
                <w:color w:val="auto"/>
              </w:rPr>
            </w:pPr>
          </w:p>
        </w:tc>
      </w:tr>
      <w:tr>
        <w:trPr>
          <w:trHeight w:val="479"/>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6"/>
          </w:tcPr>
          <w:p>
            <w:pPr>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 tags</w:t>
            </w:r>
          </w:p>
        </w:tc>
      </w:tr>
      <w:tr>
        <w:trPr>
          <w:trHeight w:val="217"/>
        </w:trPr>
        <w:tc>
          <w:tcPr>
            <w:tcW w:w="1140" w:type="dxa"/>
            <w:vAlign w:val="bottom"/>
          </w:tcPr>
          <w:p>
            <w:pPr>
              <w:spacing w:after="0"/>
              <w:rPr>
                <w:sz w:val="18"/>
                <w:szCs w:val="18"/>
                <w:color w:val="auto"/>
              </w:rPr>
            </w:pPr>
          </w:p>
        </w:tc>
        <w:tc>
          <w:tcPr>
            <w:tcW w:w="9860" w:type="dxa"/>
            <w:vAlign w:val="bottom"/>
            <w:gridSpan w:val="6"/>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513"/>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500"/>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99"/>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500"/>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6"/>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499"/>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99"/>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gridSpan w:val="6"/>
          </w:tcPr>
          <w:p>
            <w:pPr>
              <w:spacing w:after="0"/>
              <w:rPr>
                <w:sz w:val="20"/>
                <w:szCs w:val="20"/>
                <w:color w:val="auto"/>
              </w:rPr>
            </w:pPr>
            <w:r>
              <w:rPr>
                <w:rFonts w:ascii="Arial" w:cs="Arial" w:eastAsia="Arial" w:hAnsi="Arial"/>
                <w:sz w:val="18"/>
                <w:szCs w:val="18"/>
                <w:color w:val="auto"/>
              </w:rPr>
              <w:t>Cover Page Interactive Data Files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1118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6111875" cy="8255"/>
                    </a:xfrm>
                    <a:prstGeom prst="rect">
                      <a:avLst/>
                    </a:prstGeom>
                    <a:noFill/>
                  </pic:spPr>
                </pic:pic>
              </a:graphicData>
            </a:graphic>
          </wp:anchor>
        </w:drawing>
      </w:r>
    </w:p>
    <w:p>
      <w:pPr>
        <w:spacing w:after="0" w:line="241" w:lineRule="exact"/>
        <w:rPr>
          <w:sz w:val="20"/>
          <w:szCs w:val="20"/>
          <w:color w:val="auto"/>
        </w:rPr>
      </w:pPr>
    </w:p>
    <w:p>
      <w:pPr>
        <w:ind w:left="440" w:hanging="414"/>
        <w:spacing w:after="0"/>
        <w:tabs>
          <w:tab w:leader="none" w:pos="4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40" w:right="57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 COUNTRY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Sun Country Airlines Holdings, Inc.</w:t>
      </w:r>
    </w:p>
    <w:p>
      <w:pPr>
        <w:ind w:left="564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6350</wp:posOffset>
            </wp:positionV>
            <wp:extent cx="3566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Dave Davis</w:t>
      </w:r>
    </w:p>
    <w:p>
      <w:pPr>
        <w:ind w:left="5640"/>
        <w:spacing w:after="0" w:line="229" w:lineRule="auto"/>
        <w:rPr>
          <w:sz w:val="20"/>
          <w:szCs w:val="20"/>
          <w:color w:val="auto"/>
        </w:rPr>
      </w:pPr>
      <w:r>
        <w:rPr>
          <w:rFonts w:ascii="Arial" w:cs="Arial" w:eastAsia="Arial" w:hAnsi="Arial"/>
          <w:sz w:val="18"/>
          <w:szCs w:val="18"/>
          <w:color w:val="auto"/>
        </w:rPr>
        <w:t>President and Chief Financial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10,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40" w:right="35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Jude Bricker, certify that:</w:t>
      </w:r>
    </w:p>
    <w:p>
      <w:pPr>
        <w:spacing w:after="0" w:line="225" w:lineRule="exact"/>
        <w:rPr>
          <w:sz w:val="20"/>
          <w:szCs w:val="20"/>
          <w:color w:val="auto"/>
        </w:rPr>
      </w:pPr>
    </w:p>
    <w:p>
      <w:pPr>
        <w:ind w:left="660" w:right="5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Country Airlines Holdings, Inc. ("Sun Country") for the six month period ended June 30, 2022;</w:t>
      </w:r>
    </w:p>
    <w:p>
      <w:pPr>
        <w:spacing w:after="0" w:line="170"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46" w:lineRule="exact"/>
        <w:rPr>
          <w:rFonts w:ascii="Arial" w:cs="Arial" w:eastAsia="Arial" w:hAnsi="Arial"/>
          <w:sz w:val="17"/>
          <w:szCs w:val="17"/>
          <w:color w:val="auto"/>
        </w:rPr>
      </w:pPr>
    </w:p>
    <w:p>
      <w:pPr>
        <w:ind w:left="660" w:right="4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Sun Country's other certifying officer and I are responsible for establishing and maintaining disclosure controls and procedures (as defined in Exchange Act Rules 13a-15(e) and 15d-15(e)) for Sun Country and have:</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25"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right="140" w:hanging="324"/>
        <w:spacing w:after="0" w:line="263" w:lineRule="auto"/>
        <w:tabs>
          <w:tab w:leader="none" w:pos="97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83"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46" w:lineRule="exact"/>
        <w:rPr>
          <w:rFonts w:ascii="Arial" w:cs="Arial" w:eastAsia="Arial" w:hAnsi="Arial"/>
          <w:sz w:val="17"/>
          <w:szCs w:val="17"/>
          <w:color w:val="auto"/>
        </w:rPr>
      </w:pPr>
    </w:p>
    <w:p>
      <w:pPr>
        <w:ind w:left="980" w:right="780" w:hanging="324"/>
        <w:spacing w:after="0" w:line="342" w:lineRule="auto"/>
        <w:tabs>
          <w:tab w:leader="none" w:pos="977"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23" w:lineRule="exact"/>
        <w:rPr>
          <w:rFonts w:ascii="Arial" w:cs="Arial" w:eastAsia="Arial" w:hAnsi="Arial"/>
          <w:sz w:val="16"/>
          <w:szCs w:val="16"/>
          <w:color w:val="auto"/>
        </w:rPr>
      </w:pPr>
    </w:p>
    <w:p>
      <w:pPr>
        <w:ind w:left="980" w:right="520" w:hanging="324"/>
        <w:spacing w:after="0" w:line="277" w:lineRule="auto"/>
        <w:tabs>
          <w:tab w:leader="none" w:pos="97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Sun Country's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10, 2022</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7547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Jude Bricker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4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CERTIFICATION OF CHIEF FINANCIAL OFFICER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Dave Davis, certify that:</w:t>
      </w:r>
    </w:p>
    <w:p>
      <w:pPr>
        <w:spacing w:after="0" w:line="225" w:lineRule="exact"/>
        <w:rPr>
          <w:sz w:val="20"/>
          <w:szCs w:val="20"/>
          <w:color w:val="auto"/>
        </w:rPr>
      </w:pPr>
    </w:p>
    <w:p>
      <w:pPr>
        <w:ind w:left="660" w:right="5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Sun Country Airlines Holdings, Inc. ("Sun Country") for the six month period ended June 30, 2022;</w:t>
      </w:r>
    </w:p>
    <w:p>
      <w:pPr>
        <w:spacing w:after="0" w:line="170"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Sun Country as of, and for, the periods presented in this report;</w:t>
      </w:r>
    </w:p>
    <w:p>
      <w:pPr>
        <w:spacing w:after="0" w:line="146" w:lineRule="exact"/>
        <w:rPr>
          <w:rFonts w:ascii="Arial" w:cs="Arial" w:eastAsia="Arial" w:hAnsi="Arial"/>
          <w:sz w:val="17"/>
          <w:szCs w:val="17"/>
          <w:color w:val="auto"/>
        </w:rPr>
      </w:pPr>
    </w:p>
    <w:p>
      <w:pPr>
        <w:ind w:left="660" w:right="4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Sun Country's other certifying officer and I are responsible for establishing and maintaining disclosure controls and procedures (as defined in Exchange Act Rules 13a-15(e) and 15d-15(e)) for Sun Country and have:</w:t>
      </w:r>
    </w:p>
    <w:p>
      <w:pPr>
        <w:spacing w:after="0" w:line="170"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Sun Country,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25"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Sun Country’s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right="140" w:hanging="324"/>
        <w:spacing w:after="0" w:line="263" w:lineRule="auto"/>
        <w:tabs>
          <w:tab w:leader="none" w:pos="97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Sun Country's internal control over financial reporting that occurred during Sun Country's most recent fiscal quarter that has materially affected, or is reasonably likely to materially affect, Sun Country's internal control over financial reporting; and</w:t>
      </w:r>
    </w:p>
    <w:p>
      <w:pPr>
        <w:spacing w:after="0" w:line="183"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Sun Country's other certifying officer and I have disclosed, based on our most recent evaluation of internal control over financial reporting, to Sun Country's auditors and the Audit Committee of Sun Country's Board of Directors (or persons performing the equivalent functions):</w:t>
      </w:r>
    </w:p>
    <w:p>
      <w:pPr>
        <w:spacing w:after="0" w:line="146" w:lineRule="exact"/>
        <w:rPr>
          <w:rFonts w:ascii="Arial" w:cs="Arial" w:eastAsia="Arial" w:hAnsi="Arial"/>
          <w:sz w:val="17"/>
          <w:szCs w:val="17"/>
          <w:color w:val="auto"/>
        </w:rPr>
      </w:pPr>
    </w:p>
    <w:p>
      <w:pPr>
        <w:ind w:left="980" w:right="780" w:hanging="324"/>
        <w:spacing w:after="0" w:line="342" w:lineRule="auto"/>
        <w:tabs>
          <w:tab w:leader="none" w:pos="977"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Sun Country's ability to record, process, summarize and report financial information; and</w:t>
      </w:r>
    </w:p>
    <w:p>
      <w:pPr>
        <w:spacing w:after="0" w:line="123" w:lineRule="exact"/>
        <w:rPr>
          <w:rFonts w:ascii="Arial" w:cs="Arial" w:eastAsia="Arial" w:hAnsi="Arial"/>
          <w:sz w:val="16"/>
          <w:szCs w:val="16"/>
          <w:color w:val="auto"/>
        </w:rPr>
      </w:pPr>
    </w:p>
    <w:p>
      <w:pPr>
        <w:ind w:left="980" w:right="520" w:hanging="324"/>
        <w:spacing w:after="0" w:line="277" w:lineRule="auto"/>
        <w:tabs>
          <w:tab w:leader="none" w:pos="97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Sun Country's internal control over financial reporting.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10, 2022</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14605</wp:posOffset>
            </wp:positionV>
            <wp:extent cx="375475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2">
                      <a:extLst>
                        <a:ext uri="{28A0092B-C50C-407E-A947-70E740481C1C}"/>
                      </a:extLst>
                    </a:blip>
                    <a:srcRect/>
                    <a:stretch>
                      <a:fillRect/>
                    </a:stretch>
                  </pic:blipFill>
                  <pic:spPr bwMode="auto">
                    <a:xfrm>
                      <a:off x="0" y="0"/>
                      <a:ext cx="3754755" cy="8890"/>
                    </a:xfrm>
                    <a:prstGeom prst="rect">
                      <a:avLst/>
                    </a:prstGeom>
                    <a:noFill/>
                  </pic:spPr>
                </pic:pic>
              </a:graphicData>
            </a:graphic>
          </wp:anchor>
        </w:drawing>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Dave Davis</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240"/>
          </w:cols>
          <w:pgMar w:left="320" w:top="1147"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10, 2022</w:t>
      </w:r>
    </w:p>
    <w:p>
      <w:pPr>
        <w:spacing w:after="0" w:line="225"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certifications set forth below are hereby submitted to the Securities and Exchange Commission pursuant to, and solely for the purpose of complying with, Section 1350 of Chapter 63 of Title 18 of the United States Code in connection with the filing on the date hereof with the Securities and Exchange Commission of the quarterly report on Form 10-Q of Sun Country Airlines Holdings, Inc. ("Sun Country") for the quarterly period ended June 30, 2022 (the "Report").</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of the undersigned, the Chief Executive Officer and the President and Chief Financial Officer, respectively, of Sun Country, hereby certifies that, as of the end of the period covered by the Report:</w:t>
      </w:r>
    </w:p>
    <w:p>
      <w:pPr>
        <w:spacing w:after="0" w:line="170"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Sun Country.</w:t>
      </w:r>
    </w:p>
    <w:p>
      <w:pPr>
        <w:spacing w:after="0" w:line="28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Jude Bricker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36004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Jude Bricker</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3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14605</wp:posOffset>
            </wp:positionV>
            <wp:extent cx="36004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Dave Davis</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Chief Financial Officer</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1"/>
    </w:lvl>
    <w:lvl w:ilvl="1">
      <w:lvlJc w:val="left"/>
      <w:lvlText w:val="(%2)"/>
      <w:numFmt w:val="decimal"/>
      <w:start w:val="1"/>
    </w:lvl>
  </w:abstractNum>
  <w:abstractNum w:abstractNumId="7">
    <w:nsid w:val="436C6125"/>
    <w:multiLevelType w:val="hybridMultilevel"/>
    <w:lvl w:ilvl="0">
      <w:lvlJc w:val="left"/>
      <w:lvlText w:val="%1."/>
      <w:numFmt w:val="decimal"/>
      <w:start w:val="5"/>
    </w:lvl>
    <w:lvl w:ilvl="1">
      <w:lvlJc w:val="left"/>
      <w:lvlText w:val="%2"/>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7"/>
    </w:lvl>
  </w:abstractNum>
  <w:abstractNum w:abstractNumId="12">
    <w:nsid w:val="2D1D5AE9"/>
    <w:multiLevelType w:val="hybridMultilevel"/>
    <w:lvl w:ilvl="0">
      <w:lvlJc w:val="left"/>
      <w:lvlText w:val="%1."/>
      <w:numFmt w:val="decimal"/>
      <w:start w:val="8"/>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0"/>
    </w:lvl>
  </w:abstractNum>
  <w:abstractNum w:abstractNumId="15">
    <w:nsid w:val="8EDBDAB"/>
    <w:multiLevelType w:val="hybridMultilevel"/>
    <w:lvl w:ilvl="0">
      <w:lvlJc w:val="left"/>
      <w:lvlText w:val="%1."/>
      <w:numFmt w:val="decimal"/>
      <w:start w:val="11"/>
    </w:lvl>
  </w:abstractNum>
  <w:abstractNum w:abstractNumId="16">
    <w:nsid w:val="79838CB2"/>
    <w:multiLevelType w:val="hybridMultilevel"/>
    <w:lvl w:ilvl="0">
      <w:lvlJc w:val="left"/>
      <w:lvlText w:val="%1."/>
      <w:numFmt w:val="decimal"/>
      <w:start w:val="12"/>
    </w:lvl>
  </w:abstractNum>
  <w:abstractNum w:abstractNumId="17">
    <w:nsid w:val="4353D0CD"/>
    <w:multiLevelType w:val="hybridMultilevel"/>
    <w:lvl w:ilvl="0">
      <w:lvlJc w:val="left"/>
      <w:lvlText w:val="%1."/>
      <w:numFmt w:val="decimal"/>
      <w:start w:val="13"/>
    </w:lvl>
  </w:abstractNum>
  <w:abstractNum w:abstractNumId="18">
    <w:nsid w:val="B03E0C6"/>
    <w:multiLevelType w:val="hybridMultilevel"/>
    <w:lvl w:ilvl="0">
      <w:lvlJc w:val="left"/>
      <w:lvlText w:val="%1."/>
      <w:numFmt w:val="decimal"/>
      <w:start w:val="14"/>
    </w:lvl>
  </w:abstractNum>
  <w:abstractNum w:abstractNumId="19">
    <w:nsid w:val="189A769B"/>
    <w:multiLevelType w:val="hybridMultilevel"/>
    <w:lvl w:ilvl="0">
      <w:lvlJc w:val="left"/>
      <w:lvlText w:val="%1."/>
      <w:numFmt w:val="decimal"/>
      <w:start w:val="15"/>
    </w:lvl>
  </w:abstractNum>
  <w:abstractNum w:abstractNumId="20">
    <w:nsid w:val="54E49EB4"/>
    <w:multiLevelType w:val="hybridMultilevel"/>
    <w:lvl w:ilvl="0">
      <w:lvlJc w:val="left"/>
      <w:lvlText w:val="%1."/>
      <w:numFmt w:val="lowerRoman"/>
      <w:start w:val="1"/>
    </w:lvl>
  </w:abstractNum>
  <w:abstractNum w:abstractNumId="21">
    <w:nsid w:val="71F32454"/>
    <w:multiLevelType w:val="hybridMultilevel"/>
    <w:lvl w:ilvl="0">
      <w:lvlJc w:val="left"/>
      <w:lvlText w:val="\endash "/>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52" Type="http://schemas.openxmlformats.org/officeDocument/2006/relationships/image" Target="media/image135.png"/><Relationship Id="rId153" Type="http://schemas.openxmlformats.org/officeDocument/2006/relationships/image" Target="media/image136.png"/><Relationship Id="rId154" Type="http://schemas.openxmlformats.org/officeDocument/2006/relationships/image" Target="media/image137.png"/><Relationship Id="rId30" Type="http://schemas.openxmlformats.org/officeDocument/2006/relationships/hyperlink" Target="https://www.sec.gov/ix?doc=/Archives/edgar/data/0001743907/000155837022001409/sncy-20211231x10k.htm#_1._COMPANY_BACKGROUND" TargetMode="External"/><Relationship Id="rId42" Type="http://schemas.openxmlformats.org/officeDocument/2006/relationships/hyperlink" Target="https://www.sec.gov/ix?doc=/Archives/edgar/data/0001743907/000155837022001409/sncy-20211231x10k.htm#_3._IMPACT_OF" TargetMode="External"/><Relationship Id="rId63" Type="http://schemas.openxmlformats.org/officeDocument/2006/relationships/hyperlink" Target="https://www.sec.gov/ix?doc=/Archives/edgar/data/0001743907/000155837022001409/sncy-20211231x10k.htm#a12FAIRVALUEMEASUREMENTS_678483" TargetMode="External"/><Relationship Id="rId68" Type="http://schemas.openxmlformats.org/officeDocument/2006/relationships/hyperlink" Target="https://www.sec.gov/ix?doc=/Archives/edgar/data/0001743907/000155837022001409/sncy-20211231x10k.htm#a13INCOMETAXES_186668" TargetMode="External"/><Relationship Id="rId71" Type="http://schemas.openxmlformats.org/officeDocument/2006/relationships/hyperlink" Target="https://www.sec.gov/ix?doc=/Archives/edgar/data/0001743907/000155837022001409/sncy-20211231x10k.htm#a17OPERATINGSEGMENTS_809897" TargetMode="External"/><Relationship Id="rId74" Type="http://schemas.openxmlformats.org/officeDocument/2006/relationships/hyperlink" Target="https://www.sec.gov/ix?doc=/Archives/edgar/data/1743907/000155837022001409/sncy-20211231x10k.htm#ITEM7MANAGEMENTSDISCUSSIONANDANALYSISOFF" TargetMode="External"/><Relationship Id="rId81" Type="http://schemas.openxmlformats.org/officeDocument/2006/relationships/hyperlink" Target="https://www.sec.gov/ix?doc=/Archives/edgar/data/0001743907/000155837022001409/sncy-20211231x10k.htm#ITEM1ARISKFACTORS_130833" TargetMode="External"/><Relationship Id="rId86" Type="http://schemas.openxmlformats.org/officeDocument/2006/relationships/hyperlink" Target="https://www.sec.gov/ix?doc=/Archives/edgar/data/0001743907/000155837022001409/sncy-20211231x10k.htm#Item1Business_251262" TargetMode="External"/><Relationship Id="rId87" Type="http://schemas.openxmlformats.org/officeDocument/2006/relationships/hyperlink" Target="https://www.sec.gov/ix?doc=/Archives/edgar/data/0001743907/000155837022001409/sncy-20211231x10k.htm#ITEM7MANAGEMENTSDISCUSSIONANDANALYSISOFF" TargetMode="External"/><Relationship Id="rId144" Type="http://schemas.openxmlformats.org/officeDocument/2006/relationships/hyperlink" Target="https://www.sec.gov/Archives/edgar/data/1743907/000095014222001872/eh220260912_8k-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2022-08-10T16:14:16Z</dcterms:created>
  <dcterms:modified xsi:type="dcterms:W3CDTF">2022-08-10T16:14:16Z</dcterms:modified>
</cp:coreProperties>
</file>