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0"/>
        </w:trPr>
        <w:tc>
          <w:tcPr>
            <w:tcW w:w="1440" w:type="dxa"/>
            <w:vAlign w:val="bottom"/>
            <w:gridSpan w:val="5"/>
          </w:tcPr>
          <w:p>
            <w:pPr>
              <w:spacing w:after="0"/>
              <w:rPr>
                <w:sz w:val="20"/>
                <w:szCs w:val="20"/>
                <w:color w:val="auto"/>
              </w:rPr>
            </w:pPr>
            <w:r>
              <w:rPr>
                <w:rFonts w:ascii="Arial" w:cs="Arial" w:eastAsia="Arial" w:hAnsi="Arial"/>
                <w:sz w:val="20"/>
                <w:szCs w:val="20"/>
                <w:color w:val="auto"/>
              </w:rPr>
              <w:t>SEC Form 4</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60" w:type="dxa"/>
            <w:vAlign w:val="bottom"/>
            <w:gridSpan w:val="3"/>
          </w:tcPr>
          <w:p>
            <w:pPr>
              <w:ind w:left="60"/>
              <w:spacing w:after="0" w:line="263" w:lineRule="exact"/>
              <w:rPr>
                <w:sz w:val="20"/>
                <w:szCs w:val="20"/>
                <w:color w:val="auto"/>
              </w:rPr>
            </w:pPr>
            <w:r>
              <w:rPr>
                <w:rFonts w:ascii="Arial" w:cs="Arial" w:eastAsia="Arial" w:hAnsi="Arial"/>
                <w:sz w:val="23"/>
                <w:szCs w:val="23"/>
                <w:b w:val="1"/>
                <w:bCs w:val="1"/>
                <w:color w:val="auto"/>
              </w:rPr>
              <w:t>FORM 4</w:t>
            </w:r>
          </w:p>
        </w:tc>
        <w:tc>
          <w:tcPr>
            <w:tcW w:w="6240" w:type="dxa"/>
            <w:vAlign w:val="bottom"/>
            <w:gridSpan w:val="19"/>
          </w:tcPr>
          <w:p>
            <w:pPr>
              <w:jc w:val="center"/>
              <w:ind w:right="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80" w:type="dxa"/>
            <w:vAlign w:val="bottom"/>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20" w:type="dxa"/>
            <w:vAlign w:val="bottom"/>
            <w:gridSpan w:val="4"/>
            <w:vMerge w:val="restart"/>
          </w:tcPr>
          <w:p>
            <w:pPr>
              <w:jc w:val="center"/>
              <w:ind w:left="41"/>
              <w:spacing w:after="0" w:line="140" w:lineRule="exact"/>
              <w:rPr>
                <w:sz w:val="20"/>
                <w:szCs w:val="20"/>
                <w:color w:val="auto"/>
              </w:rPr>
            </w:pPr>
            <w:r>
              <w:rPr>
                <w:rFonts w:ascii="Arial" w:cs="Arial" w:eastAsia="Arial" w:hAnsi="Arial"/>
                <w:sz w:val="13"/>
                <w:szCs w:val="13"/>
                <w:color w:val="auto"/>
                <w:w w:val="97"/>
              </w:rPr>
              <w:t>Washington, D.C. 20549</w:t>
            </w: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4"/>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6240" w:type="dxa"/>
            <w:vAlign w:val="bottom"/>
            <w:gridSpan w:val="19"/>
            <w:vMerge w:val="restart"/>
          </w:tcPr>
          <w:p>
            <w:pPr>
              <w:jc w:val="center"/>
              <w:ind w:right="9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4"/>
            <w:vMerge w:val="continue"/>
          </w:tcPr>
          <w:p>
            <w:pPr>
              <w:spacing w:after="0"/>
              <w:rPr>
                <w:sz w:val="12"/>
                <w:szCs w:val="12"/>
                <w:color w:val="auto"/>
              </w:rPr>
            </w:pPr>
          </w:p>
        </w:tc>
        <w:tc>
          <w:tcPr>
            <w:tcW w:w="6240" w:type="dxa"/>
            <w:vAlign w:val="bottom"/>
            <w:gridSpan w:val="19"/>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4"/>
          </w:tcPr>
          <w:p>
            <w:pPr>
              <w:ind w:left="240"/>
              <w:spacing w:after="0"/>
              <w:rPr>
                <w:sz w:val="20"/>
                <w:szCs w:val="20"/>
                <w:color w:val="auto"/>
              </w:rPr>
            </w:pPr>
            <w:r>
              <w:rPr>
                <w:rFonts w:ascii="Arial" w:cs="Arial" w:eastAsia="Arial" w:hAnsi="Arial"/>
                <w:sz w:val="11"/>
                <w:szCs w:val="11"/>
                <w:color w:val="auto"/>
              </w:rPr>
              <w:t>Section 16. Form 4 or Form 5</w:t>
            </w: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gridSpan w:val="8"/>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4"/>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520" w:type="dxa"/>
            <w:vAlign w:val="bottom"/>
            <w:gridSpan w:val="15"/>
            <w:vMerge w:val="restart"/>
          </w:tcPr>
          <w:p>
            <w:pPr>
              <w:jc w:val="center"/>
              <w:ind w:right="520"/>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20" w:type="dxa"/>
            <w:vAlign w:val="bottom"/>
            <w:gridSpan w:val="2"/>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520" w:type="dxa"/>
            <w:vAlign w:val="bottom"/>
            <w:gridSpan w:val="15"/>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20" w:type="dxa"/>
            <w:vAlign w:val="bottom"/>
            <w:gridSpan w:val="15"/>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8"/>
          </w:tcPr>
          <w:p>
            <w:pPr>
              <w:jc w:val="center"/>
              <w:ind w:right="155"/>
              <w:spacing w:after="0"/>
              <w:rPr>
                <w:sz w:val="20"/>
                <w:szCs w:val="20"/>
                <w:color w:val="auto"/>
              </w:rPr>
            </w:pPr>
            <w:r>
              <w:rPr>
                <w:rFonts w:ascii="Arial" w:cs="Arial" w:eastAsia="Arial" w:hAnsi="Arial"/>
                <w:sz w:val="13"/>
                <w:szCs w:val="13"/>
                <w:color w:val="auto"/>
                <w:w w:val="98"/>
              </w:rPr>
              <w:t>or Section 30(h) of the Investment Company Act of 1940</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280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gridSpan w:val="6"/>
          </w:tcPr>
          <w:p>
            <w:pPr>
              <w:ind w:left="60"/>
              <w:spacing w:after="0" w:line="204"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4"/>
            <w:vMerge w:val="restart"/>
          </w:tcPr>
          <w:p>
            <w:pPr>
              <w:spacing w:after="0"/>
              <w:rPr>
                <w:rFonts w:ascii="Arial" w:cs="Arial" w:eastAsia="Arial" w:hAnsi="Arial"/>
                <w:sz w:val="20"/>
                <w:szCs w:val="20"/>
                <w:color w:val="0000EE"/>
              </w:rPr>
            </w:pPr>
            <w:hyperlink r:id="rId8">
              <w:r>
                <w:rPr>
                  <w:rFonts w:ascii="Arial" w:cs="Arial" w:eastAsia="Arial" w:hAnsi="Arial"/>
                  <w:sz w:val="20"/>
                  <w:szCs w:val="20"/>
                  <w:color w:val="0000EE"/>
                </w:rPr>
                <w:t>DAVIS DAVID M</w:t>
              </w:r>
            </w:hyperlink>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80" w:type="dxa"/>
            <w:vAlign w:val="bottom"/>
            <w:gridSpan w:val="18"/>
          </w:tcPr>
          <w:p>
            <w:pPr>
              <w:ind w:left="60"/>
              <w:spacing w:after="0" w:line="166" w:lineRule="exact"/>
              <w:rPr>
                <w:rFonts w:ascii="Arial" w:cs="Arial" w:eastAsia="Arial" w:hAnsi="Arial"/>
                <w:sz w:val="16"/>
                <w:szCs w:val="16"/>
                <w:color w:val="0000EE"/>
              </w:rPr>
            </w:pPr>
            <w:hyperlink r:id="rId9">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SNCY</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9"/>
                <w:szCs w:val="19"/>
                <w:color w:val="000000"/>
                <w:vertAlign w:val="superscript"/>
              </w:rPr>
              <w:t>(Check all applicable)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gridSpan w:val="2"/>
            <w:vMerge w:val="restart"/>
          </w:tcPr>
          <w:p>
            <w:pPr>
              <w:ind w:left="260"/>
              <w:spacing w:after="0" w:line="186" w:lineRule="exact"/>
              <w:rPr>
                <w:sz w:val="20"/>
                <w:szCs w:val="20"/>
                <w:color w:val="auto"/>
              </w:rPr>
            </w:pPr>
            <w:r>
              <w:rPr>
                <w:rFonts w:ascii="Arial" w:cs="Arial" w:eastAsia="Arial" w:hAnsi="Arial"/>
                <w:sz w:val="17"/>
                <w:szCs w:val="17"/>
                <w:color w:val="0000FF"/>
              </w:rPr>
              <w:t>X</w:t>
            </w:r>
          </w:p>
        </w:tc>
        <w:tc>
          <w:tcPr>
            <w:tcW w:w="60" w:type="dxa"/>
            <w:vAlign w:val="bottom"/>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vMerge w:val="restart"/>
          </w:tcPr>
          <w:p>
            <w:pPr>
              <w:spacing w:after="0"/>
              <w:rPr>
                <w:sz w:val="5"/>
                <w:szCs w:val="5"/>
                <w:color w:val="auto"/>
              </w:rPr>
            </w:pPr>
          </w:p>
        </w:tc>
        <w:tc>
          <w:tcPr>
            <w:tcW w:w="1180" w:type="dxa"/>
            <w:vAlign w:val="bottom"/>
            <w:gridSpan w:val="4"/>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560" w:type="dxa"/>
            <w:vAlign w:val="bottom"/>
            <w:tcBorders>
              <w:top w:val="single" w:sz="8" w:color="EEEEEE"/>
            </w:tcBorders>
          </w:tcPr>
          <w:p>
            <w:pPr>
              <w:spacing w:after="0"/>
              <w:rPr>
                <w:sz w:val="7"/>
                <w:szCs w:val="7"/>
                <w:color w:val="auto"/>
              </w:rPr>
            </w:pPr>
          </w:p>
        </w:tc>
        <w:tc>
          <w:tcPr>
            <w:tcW w:w="760" w:type="dxa"/>
            <w:vAlign w:val="bottom"/>
            <w:tcBorders>
              <w:top w:val="single" w:sz="8" w:color="EEEEEE"/>
            </w:tcBorders>
          </w:tcPr>
          <w:p>
            <w:pPr>
              <w:spacing w:after="0"/>
              <w:rPr>
                <w:sz w:val="7"/>
                <w:szCs w:val="7"/>
                <w:color w:val="auto"/>
              </w:rPr>
            </w:pPr>
          </w:p>
        </w:tc>
        <w:tc>
          <w:tcPr>
            <w:tcW w:w="180" w:type="dxa"/>
            <w:vAlign w:val="bottom"/>
            <w:tcBorders>
              <w:top w:val="single" w:sz="8" w:color="EEEEEE"/>
            </w:tcBorders>
          </w:tcPr>
          <w:p>
            <w:pPr>
              <w:spacing w:after="0"/>
              <w:rPr>
                <w:sz w:val="7"/>
                <w:szCs w:val="7"/>
                <w:color w:val="auto"/>
              </w:rPr>
            </w:pPr>
          </w:p>
        </w:tc>
        <w:tc>
          <w:tcPr>
            <w:tcW w:w="920" w:type="dxa"/>
            <w:vAlign w:val="bottom"/>
            <w:tcBorders>
              <w:top w:val="single" w:sz="8" w:color="EEEEEE"/>
            </w:tcBorders>
          </w:tcPr>
          <w:p>
            <w:pPr>
              <w:spacing w:after="0"/>
              <w:rPr>
                <w:sz w:val="7"/>
                <w:szCs w:val="7"/>
                <w:color w:val="auto"/>
              </w:rPr>
            </w:pPr>
          </w:p>
        </w:tc>
        <w:tc>
          <w:tcPr>
            <w:tcW w:w="580" w:type="dxa"/>
            <w:vAlign w:val="bottom"/>
            <w:tcBorders>
              <w:top w:val="single" w:sz="8" w:color="EEEEEE"/>
            </w:tcBorders>
          </w:tcPr>
          <w:p>
            <w:pPr>
              <w:spacing w:after="0"/>
              <w:rPr>
                <w:sz w:val="7"/>
                <w:szCs w:val="7"/>
                <w:color w:val="auto"/>
              </w:rPr>
            </w:pPr>
          </w:p>
        </w:tc>
        <w:tc>
          <w:tcPr>
            <w:tcW w:w="460" w:type="dxa"/>
            <w:vAlign w:val="bottom"/>
            <w:tcBorders>
              <w:top w:val="single" w:sz="8" w:color="EEEEEE"/>
            </w:tcBorders>
          </w:tcPr>
          <w:p>
            <w:pPr>
              <w:spacing w:after="0"/>
              <w:rPr>
                <w:sz w:val="7"/>
                <w:szCs w:val="7"/>
                <w:color w:val="auto"/>
              </w:rPr>
            </w:pPr>
          </w:p>
        </w:tc>
        <w:tc>
          <w:tcPr>
            <w:tcW w:w="180" w:type="dxa"/>
            <w:vAlign w:val="bottom"/>
            <w:tcBorders>
              <w:top w:val="single" w:sz="8" w:color="EEEEEE"/>
            </w:tcBorders>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gridSpan w:val="7"/>
            <w:vMerge w:val="restart"/>
          </w:tcPr>
          <w:p>
            <w:pPr>
              <w:ind w:left="340"/>
              <w:spacing w:after="0" w:line="179" w:lineRule="exact"/>
              <w:rPr>
                <w:sz w:val="20"/>
                <w:szCs w:val="20"/>
                <w:color w:val="auto"/>
              </w:rPr>
            </w:pPr>
            <w:r>
              <w:rPr>
                <w:rFonts w:ascii="Arial" w:cs="Arial" w:eastAsia="Arial" w:hAnsi="Arial"/>
                <w:sz w:val="17"/>
                <w:szCs w:val="17"/>
                <w:color w:val="0000FF"/>
              </w:rPr>
              <w:t>06/30/2023</w:t>
            </w: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40" w:type="dxa"/>
            <w:vAlign w:val="bottom"/>
            <w:gridSpan w:val="7"/>
            <w:vMerge w:val="continue"/>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100" w:type="dxa"/>
            <w:vAlign w:val="bottom"/>
            <w:gridSpan w:val="6"/>
            <w:vMerge w:val="restart"/>
          </w:tcPr>
          <w:p>
            <w:pPr>
              <w:ind w:left="580"/>
              <w:spacing w:after="0"/>
              <w:rPr>
                <w:sz w:val="20"/>
                <w:szCs w:val="20"/>
                <w:color w:val="auto"/>
              </w:rPr>
            </w:pPr>
            <w:r>
              <w:rPr>
                <w:rFonts w:ascii="Arial" w:cs="Arial" w:eastAsia="Arial" w:hAnsi="Arial"/>
                <w:sz w:val="17"/>
                <w:szCs w:val="17"/>
                <w:color w:val="0000FF"/>
              </w:rPr>
              <w:t>President &amp; CFO</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60" w:type="dxa"/>
            <w:vAlign w:val="bottom"/>
            <w:gridSpan w:val="12"/>
            <w:vMerge w:val="restart"/>
          </w:tcPr>
          <w:p>
            <w:pPr>
              <w:spacing w:after="0"/>
              <w:rPr>
                <w:sz w:val="20"/>
                <w:szCs w:val="20"/>
                <w:color w:val="auto"/>
              </w:rPr>
            </w:pPr>
            <w:r>
              <w:rPr>
                <w:rFonts w:ascii="Arial" w:cs="Arial" w:eastAsia="Arial" w:hAnsi="Arial"/>
                <w:sz w:val="17"/>
                <w:szCs w:val="17"/>
                <w:color w:val="0000FF"/>
              </w:rPr>
              <w:t>C/O SUN COUNTRY AIRLINES HOLDINGS, INC.</w:t>
            </w: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gridSpan w:val="6"/>
            <w:vMerge w:val="continue"/>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160" w:type="dxa"/>
            <w:vAlign w:val="bottom"/>
            <w:gridSpan w:val="12"/>
            <w:vMerge w:val="continue"/>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restart"/>
          </w:tcPr>
          <w:p>
            <w:pPr>
              <w:spacing w:after="0"/>
              <w:rPr>
                <w:sz w:val="20"/>
                <w:szCs w:val="20"/>
                <w:color w:val="auto"/>
              </w:rPr>
            </w:pPr>
            <w:r>
              <w:rPr>
                <w:rFonts w:ascii="Arial" w:cs="Arial" w:eastAsia="Arial" w:hAnsi="Arial"/>
                <w:sz w:val="17"/>
                <w:szCs w:val="17"/>
                <w:color w:val="0000FF"/>
              </w:rPr>
              <w:t>2005 CARGO ROAD</w:t>
            </w: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780" w:type="dxa"/>
            <w:vAlign w:val="bottom"/>
            <w:tcBorders>
              <w:bottom w:val="single" w:sz="8" w:color="2C2C2C"/>
            </w:tcBorders>
            <w:gridSpan w:val="6"/>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2800" w:type="dxa"/>
            <w:vAlign w:val="bottom"/>
            <w:tcBorders>
              <w:bottom w:val="single" w:sz="8" w:color="2C2C2C"/>
            </w:tcBorders>
            <w:gridSpan w:val="9"/>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continue"/>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10"/>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920" w:type="dxa"/>
            <w:vAlign w:val="bottom"/>
            <w:gridSpan w:val="11"/>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tcPr>
          <w:p>
            <w:pPr>
              <w:spacing w:after="0" w:line="179" w:lineRule="exact"/>
              <w:rPr>
                <w:sz w:val="20"/>
                <w:szCs w:val="20"/>
                <w:color w:val="auto"/>
              </w:rPr>
            </w:pPr>
            <w:r>
              <w:rPr>
                <w:rFonts w:ascii="Arial" w:cs="Arial" w:eastAsia="Arial" w:hAnsi="Arial"/>
                <w:sz w:val="17"/>
                <w:szCs w:val="17"/>
                <w:color w:val="0000FF"/>
              </w:rPr>
              <w:t>MINNEAPOLIS MN</w:t>
            </w:r>
          </w:p>
        </w:tc>
        <w:tc>
          <w:tcPr>
            <w:tcW w:w="580" w:type="dxa"/>
            <w:vAlign w:val="bottom"/>
          </w:tcPr>
          <w:p>
            <w:pPr>
              <w:ind w:left="20"/>
              <w:spacing w:after="0" w:line="179" w:lineRule="exact"/>
              <w:rPr>
                <w:sz w:val="20"/>
                <w:szCs w:val="20"/>
                <w:color w:val="auto"/>
              </w:rPr>
            </w:pPr>
            <w:r>
              <w:rPr>
                <w:rFonts w:ascii="Arial" w:cs="Arial" w:eastAsia="Arial" w:hAnsi="Arial"/>
                <w:sz w:val="17"/>
                <w:szCs w:val="17"/>
                <w:color w:val="0000FF"/>
              </w:rPr>
              <w:t>55450</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2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auto"/>
              </w:rPr>
              <w:t>Person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940" w:type="dxa"/>
            <w:vAlign w:val="bottom"/>
            <w:tcBorders>
              <w:bottom w:val="single" w:sz="8" w:color="9A9A9A"/>
            </w:tcBorders>
            <w:gridSpan w:val="2"/>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7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580" w:type="dxa"/>
            <w:vAlign w:val="bottom"/>
          </w:tcPr>
          <w:p>
            <w:pPr>
              <w:ind w:left="2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10"/>
          </w:tcPr>
          <w:p>
            <w:pPr>
              <w:ind w:left="60"/>
              <w:spacing w:after="0"/>
              <w:rPr>
                <w:sz w:val="20"/>
                <w:szCs w:val="20"/>
                <w:color w:val="auto"/>
              </w:rPr>
            </w:pPr>
            <w:r>
              <w:rPr>
                <w:rFonts w:ascii="Arial" w:cs="Arial" w:eastAsia="Arial" w:hAnsi="Arial"/>
                <w:sz w:val="20"/>
                <w:szCs w:val="20"/>
                <w:color w:val="auto"/>
              </w:rPr>
              <w:t>Rule 10b5-1(c) Transaction Indication</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2"/>
            <w:vMerge w:val="restart"/>
          </w:tcPr>
          <w:p>
            <w:pPr>
              <w:ind w:left="8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20" w:type="dxa"/>
            <w:vAlign w:val="bottom"/>
            <w:gridSpan w:val="10"/>
          </w:tcPr>
          <w:p>
            <w:pPr>
              <w:ind w:left="80"/>
              <w:spacing w:after="0" w:line="121" w:lineRule="exact"/>
              <w:rPr>
                <w:sz w:val="20"/>
                <w:szCs w:val="20"/>
                <w:color w:val="auto"/>
              </w:rPr>
            </w:pPr>
            <w:r>
              <w:rPr>
                <w:rFonts w:ascii="Arial" w:cs="Arial" w:eastAsia="Arial" w:hAnsi="Arial"/>
                <w:sz w:val="11"/>
                <w:szCs w:val="11"/>
                <w:color w:val="auto"/>
              </w:rPr>
              <w:t>the affirmative defense conditions of Rule 10b5-1(c). See Instruction 10.</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20"/>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60" w:type="dxa"/>
            <w:vAlign w:val="bottom"/>
            <w:gridSpan w:val="7"/>
          </w:tcPr>
          <w:p>
            <w:pPr>
              <w:ind w:left="10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6"/>
          </w:tcPr>
          <w:p>
            <w:pPr>
              <w:jc w:val="center"/>
              <w:ind w:right="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7"/>
          </w:tcPr>
          <w:p>
            <w:pPr>
              <w:ind w:left="10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jc w:val="center"/>
              <w:ind w:right="115"/>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4"/>
              </w:rPr>
              <w:t>Common Stock, par value $0.01 per share</w:t>
            </w:r>
          </w:p>
        </w:tc>
        <w:tc>
          <w:tcPr>
            <w:tcW w:w="960" w:type="dxa"/>
            <w:vAlign w:val="bottom"/>
            <w:tcBorders>
              <w:bottom w:val="single" w:sz="8" w:color="2C2C2C"/>
            </w:tcBorders>
            <w:gridSpan w:val="6"/>
          </w:tcPr>
          <w:p>
            <w:pPr>
              <w:jc w:val="center"/>
              <w:ind w:left="132"/>
              <w:spacing w:after="0"/>
              <w:rPr>
                <w:sz w:val="20"/>
                <w:szCs w:val="20"/>
                <w:color w:val="auto"/>
              </w:rPr>
            </w:pPr>
            <w:r>
              <w:rPr>
                <w:rFonts w:ascii="Arial" w:cs="Arial" w:eastAsia="Arial" w:hAnsi="Arial"/>
                <w:sz w:val="17"/>
                <w:szCs w:val="17"/>
                <w:color w:val="0000FF"/>
                <w:w w:val="89"/>
              </w:rPr>
              <w:t>07/03/2023</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7"/>
              </w:rPr>
              <w:t>1,472</w:t>
            </w:r>
            <w:r>
              <w:rPr>
                <w:rFonts w:ascii="Arial" w:cs="Arial" w:eastAsia="Arial" w:hAnsi="Arial"/>
                <w:sz w:val="21"/>
                <w:szCs w:val="21"/>
                <w:color w:val="008000"/>
                <w:w w:val="87"/>
                <w:vertAlign w:val="superscript"/>
              </w:rPr>
              <w:t>(1)</w:t>
            </w: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22.4379</w:t>
            </w:r>
          </w:p>
        </w:tc>
        <w:tc>
          <w:tcPr>
            <w:tcW w:w="1240" w:type="dxa"/>
            <w:vAlign w:val="bottom"/>
            <w:tcBorders>
              <w:bottom w:val="single" w:sz="8" w:color="2C2C2C"/>
            </w:tcBorders>
            <w:gridSpan w:val="5"/>
          </w:tcPr>
          <w:p>
            <w:pPr>
              <w:ind w:left="400"/>
              <w:spacing w:after="0"/>
              <w:rPr>
                <w:sz w:val="20"/>
                <w:szCs w:val="20"/>
                <w:color w:val="auto"/>
              </w:rPr>
            </w:pPr>
            <w:r>
              <w:rPr>
                <w:rFonts w:ascii="Arial" w:cs="Arial" w:eastAsia="Arial" w:hAnsi="Arial"/>
                <w:sz w:val="17"/>
                <w:szCs w:val="17"/>
                <w:color w:val="0000FF"/>
              </w:rPr>
              <w:t>31,490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80" w:type="dxa"/>
            <w:vAlign w:val="bottom"/>
            <w:gridSpan w:val="16"/>
          </w:tcPr>
          <w:p>
            <w:pPr>
              <w:ind w:lef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jc w:val="cente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6"/>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5"/>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6"/>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700" w:type="dxa"/>
            <w:vAlign w:val="bottom"/>
            <w:gridSpan w:val="6"/>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jc w:val="cente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5"/>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5"/>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60" w:type="dxa"/>
            <w:vAlign w:val="bottom"/>
            <w:gridSpan w:val="6"/>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gridSpan w:val="6"/>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gridSpan w:val="6"/>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vMerge w:val="continue"/>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rPr>
              <w:t>216,918</w:t>
            </w:r>
            <w:r>
              <w:rPr>
                <w:rFonts w:ascii="Arial" w:cs="Arial" w:eastAsia="Arial" w:hAnsi="Arial"/>
                <w:sz w:val="21"/>
                <w:szCs w:val="21"/>
                <w:color w:val="008000"/>
                <w:vertAlign w:val="superscript"/>
              </w:rPr>
              <w:t>(2)</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0000FF"/>
                <w:w w:val="84"/>
              </w:rPr>
              <w:t>216,918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ind w:right="176"/>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5.3</w:t>
            </w:r>
          </w:p>
        </w:tc>
        <w:tc>
          <w:tcPr>
            <w:tcW w:w="1100" w:type="dxa"/>
            <w:vAlign w:val="bottom"/>
            <w:gridSpan w:val="2"/>
          </w:tcPr>
          <w:p>
            <w:pPr>
              <w:jc w:val="right"/>
              <w:ind w:right="177"/>
              <w:spacing w:after="0" w:line="136" w:lineRule="exact"/>
              <w:rPr>
                <w:sz w:val="20"/>
                <w:szCs w:val="20"/>
                <w:color w:val="auto"/>
              </w:rPr>
            </w:pPr>
            <w:r>
              <w:rPr>
                <w:rFonts w:ascii="Arial" w:cs="Arial" w:eastAsia="Arial" w:hAnsi="Arial"/>
                <w:sz w:val="13"/>
                <w:szCs w:val="13"/>
                <w:color w:val="0000FF"/>
              </w:rPr>
              <w:t>06/30/2023</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5"/>
          </w:tcPr>
          <w:p>
            <w:pPr>
              <w:ind w:left="20"/>
              <w:spacing w:after="0" w:line="136"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100"/>
              <w:spacing w:after="0" w:line="136" w:lineRule="exact"/>
              <w:rPr>
                <w:sz w:val="20"/>
                <w:szCs w:val="20"/>
                <w:color w:val="auto"/>
              </w:rPr>
            </w:pPr>
            <w:r>
              <w:rPr>
                <w:rFonts w:ascii="Arial" w:cs="Arial" w:eastAsia="Arial" w:hAnsi="Arial"/>
                <w:sz w:val="13"/>
                <w:szCs w:val="13"/>
                <w:color w:val="0000FF"/>
                <w:w w:val="98"/>
              </w:rPr>
              <w:t>06/30/2023</w:t>
            </w:r>
          </w:p>
        </w:tc>
        <w:tc>
          <w:tcPr>
            <w:tcW w:w="740" w:type="dxa"/>
            <w:vAlign w:val="bottom"/>
          </w:tcPr>
          <w:p>
            <w:pPr>
              <w:ind w:left="80"/>
              <w:spacing w:after="0" w:line="136" w:lineRule="exact"/>
              <w:rPr>
                <w:sz w:val="20"/>
                <w:szCs w:val="20"/>
                <w:color w:val="auto"/>
              </w:rPr>
            </w:pPr>
            <w:r>
              <w:rPr>
                <w:rFonts w:ascii="Arial" w:cs="Arial" w:eastAsia="Arial" w:hAnsi="Arial"/>
                <w:sz w:val="13"/>
                <w:szCs w:val="13"/>
                <w:color w:val="0000FF"/>
                <w:w w:val="98"/>
              </w:rPr>
              <w:t>04/17/2029</w:t>
            </w:r>
          </w:p>
        </w:tc>
        <w:tc>
          <w:tcPr>
            <w:tcW w:w="64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4"/>
          </w:tcPr>
          <w:p>
            <w:pPr>
              <w:ind w:left="180"/>
              <w:spacing w:after="0" w:line="136" w:lineRule="exact"/>
              <w:rPr>
                <w:sz w:val="20"/>
                <w:szCs w:val="20"/>
                <w:color w:val="auto"/>
              </w:rPr>
            </w:pPr>
            <w:r>
              <w:rPr>
                <w:rFonts w:ascii="Arial" w:cs="Arial" w:eastAsia="Arial" w:hAnsi="Arial"/>
                <w:sz w:val="13"/>
                <w:szCs w:val="13"/>
                <w:color w:val="0000FF"/>
              </w:rPr>
              <w:t>458,627</w:t>
            </w:r>
          </w:p>
        </w:tc>
        <w:tc>
          <w:tcPr>
            <w:tcW w:w="64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75"/>
              <w:spacing w:after="0" w:line="128" w:lineRule="exact"/>
              <w:rPr>
                <w:sz w:val="20"/>
                <w:szCs w:val="20"/>
                <w:color w:val="auto"/>
              </w:rPr>
            </w:pPr>
            <w:r>
              <w:rPr>
                <w:rFonts w:ascii="Arial" w:cs="Arial" w:eastAsia="Arial" w:hAnsi="Arial"/>
                <w:sz w:val="13"/>
                <w:szCs w:val="13"/>
                <w:color w:val="0000FF"/>
                <w:w w:val="85"/>
              </w:rPr>
              <w:t>Stock</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center"/>
              <w:ind w:right="21"/>
              <w:spacing w:after="0"/>
              <w:rPr>
                <w:sz w:val="20"/>
                <w:szCs w:val="20"/>
                <w:color w:val="auto"/>
              </w:rPr>
            </w:pPr>
            <w:r>
              <w:rPr>
                <w:rFonts w:ascii="Arial" w:cs="Arial" w:eastAsia="Arial" w:hAnsi="Arial"/>
                <w:sz w:val="13"/>
                <w:szCs w:val="13"/>
                <w:color w:val="0000FF"/>
              </w:rPr>
              <w:t>45,189</w:t>
            </w:r>
            <w:r>
              <w:rPr>
                <w:rFonts w:ascii="Arial" w:cs="Arial" w:eastAsia="Arial" w:hAnsi="Arial"/>
                <w:sz w:val="21"/>
                <w:szCs w:val="21"/>
                <w:color w:val="008000"/>
                <w:vertAlign w:val="superscript"/>
              </w:rPr>
              <w:t>(3)</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gridSpan w:val="2"/>
            <w:vMerge w:val="restart"/>
          </w:tcPr>
          <w:p>
            <w:pPr>
              <w:jc w:val="right"/>
              <w:ind w:right="27"/>
              <w:spacing w:after="0"/>
              <w:rPr>
                <w:sz w:val="20"/>
                <w:szCs w:val="20"/>
                <w:color w:val="auto"/>
              </w:rPr>
            </w:pPr>
            <w:r>
              <w:rPr>
                <w:rFonts w:ascii="Arial" w:cs="Arial" w:eastAsia="Arial" w:hAnsi="Arial"/>
                <w:sz w:val="17"/>
                <w:szCs w:val="17"/>
                <w:color w:val="0000FF"/>
                <w:w w:val="92"/>
              </w:rPr>
              <w:t>45,189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ind w:right="116"/>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15.17</w:t>
            </w:r>
          </w:p>
        </w:tc>
        <w:tc>
          <w:tcPr>
            <w:tcW w:w="1100" w:type="dxa"/>
            <w:vAlign w:val="bottom"/>
            <w:gridSpan w:val="2"/>
          </w:tcPr>
          <w:p>
            <w:pPr>
              <w:jc w:val="right"/>
              <w:ind w:right="177"/>
              <w:spacing w:after="0" w:line="136" w:lineRule="exact"/>
              <w:rPr>
                <w:sz w:val="20"/>
                <w:szCs w:val="20"/>
                <w:color w:val="auto"/>
              </w:rPr>
            </w:pPr>
            <w:r>
              <w:rPr>
                <w:rFonts w:ascii="Arial" w:cs="Arial" w:eastAsia="Arial" w:hAnsi="Arial"/>
                <w:sz w:val="13"/>
                <w:szCs w:val="13"/>
                <w:color w:val="0000FF"/>
              </w:rPr>
              <w:t>06/30/2023</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5"/>
          </w:tcPr>
          <w:p>
            <w:pPr>
              <w:ind w:left="20"/>
              <w:spacing w:after="0" w:line="136"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100"/>
              <w:spacing w:after="0" w:line="136" w:lineRule="exact"/>
              <w:rPr>
                <w:sz w:val="20"/>
                <w:szCs w:val="20"/>
                <w:color w:val="auto"/>
              </w:rPr>
            </w:pPr>
            <w:r>
              <w:rPr>
                <w:rFonts w:ascii="Arial" w:cs="Arial" w:eastAsia="Arial" w:hAnsi="Arial"/>
                <w:sz w:val="13"/>
                <w:szCs w:val="13"/>
                <w:color w:val="0000FF"/>
                <w:w w:val="98"/>
              </w:rPr>
              <w:t>06/30/2023</w:t>
            </w:r>
          </w:p>
        </w:tc>
        <w:tc>
          <w:tcPr>
            <w:tcW w:w="740" w:type="dxa"/>
            <w:vAlign w:val="bottom"/>
          </w:tcPr>
          <w:p>
            <w:pPr>
              <w:ind w:left="80"/>
              <w:spacing w:after="0" w:line="136" w:lineRule="exact"/>
              <w:rPr>
                <w:sz w:val="20"/>
                <w:szCs w:val="20"/>
                <w:color w:val="auto"/>
              </w:rPr>
            </w:pPr>
            <w:r>
              <w:rPr>
                <w:rFonts w:ascii="Arial" w:cs="Arial" w:eastAsia="Arial" w:hAnsi="Arial"/>
                <w:sz w:val="13"/>
                <w:szCs w:val="13"/>
                <w:color w:val="0000FF"/>
                <w:w w:val="98"/>
              </w:rPr>
              <w:t>11/19/2029</w:t>
            </w:r>
          </w:p>
        </w:tc>
        <w:tc>
          <w:tcPr>
            <w:tcW w:w="64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4"/>
          </w:tcPr>
          <w:p>
            <w:pPr>
              <w:ind w:left="180"/>
              <w:spacing w:after="0" w:line="136" w:lineRule="exact"/>
              <w:rPr>
                <w:sz w:val="20"/>
                <w:szCs w:val="20"/>
                <w:color w:val="auto"/>
              </w:rPr>
            </w:pPr>
            <w:r>
              <w:rPr>
                <w:rFonts w:ascii="Arial" w:cs="Arial" w:eastAsia="Arial" w:hAnsi="Arial"/>
                <w:sz w:val="13"/>
                <w:szCs w:val="13"/>
                <w:color w:val="0000FF"/>
              </w:rPr>
              <w:t>121,406</w:t>
            </w:r>
          </w:p>
        </w:tc>
        <w:tc>
          <w:tcPr>
            <w:tcW w:w="64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ind w:right="75"/>
              <w:spacing w:after="0" w:line="128" w:lineRule="exact"/>
              <w:rPr>
                <w:sz w:val="20"/>
                <w:szCs w:val="20"/>
                <w:color w:val="auto"/>
              </w:rPr>
            </w:pPr>
            <w:r>
              <w:rPr>
                <w:rFonts w:ascii="Arial" w:cs="Arial" w:eastAsia="Arial" w:hAnsi="Arial"/>
                <w:sz w:val="13"/>
                <w:szCs w:val="13"/>
                <w:color w:val="0000FF"/>
                <w:w w:val="85"/>
              </w:rPr>
              <w:t>Stock</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-6165215</wp:posOffset>
            </wp:positionV>
            <wp:extent cx="7047230" cy="6315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7230" cy="631507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7" w:lineRule="exact"/>
        <w:rPr>
          <w:rFonts w:ascii="Arial" w:cs="Arial" w:eastAsia="Arial" w:hAnsi="Arial"/>
          <w:sz w:val="13"/>
          <w:szCs w:val="13"/>
          <w:color w:val="008000"/>
        </w:rPr>
      </w:pPr>
    </w:p>
    <w:p>
      <w:pPr>
        <w:ind w:left="40" w:right="300"/>
        <w:spacing w:after="0" w:line="282" w:lineRule="auto"/>
        <w:tabs>
          <w:tab w:leader="none" w:pos="16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April 17, 2019, the reporting person was granted an option to purchase 396,563 shares of common stock. Upon a change in control, the option vests 33% if the Company's private equity investors achieve a MOIC of at least 3.0x, and 100% if the Company's private equity investors achieve a MOIC of at least 5.0x, with vesting with respect to achievement in between 3.0x and 5.0x subject to linear interpolation. If a change in control has not occurred by certain measurement dates following the Company's initial public offering, the unvested portion of the option may be eligible to vest based on achievement of certain performance criteria. On June 16, 2023, a change in control occurred and vesting of the option as to 11,104 shares occurred on that date. On June 29, 2023, the Company's Compensation Committee determined pursuant to the award agreement that the performance criteria for the final installment were met, resulting in vesting as to an additional 216,918 shares on June 30, 2023.</w:t>
      </w:r>
    </w:p>
    <w:p>
      <w:pPr>
        <w:spacing w:after="0" w:line="9" w:lineRule="exact"/>
        <w:rPr>
          <w:rFonts w:ascii="Arial" w:cs="Arial" w:eastAsia="Arial" w:hAnsi="Arial"/>
          <w:sz w:val="11"/>
          <w:szCs w:val="11"/>
          <w:color w:val="008000"/>
        </w:rPr>
      </w:pPr>
    </w:p>
    <w:p>
      <w:pPr>
        <w:ind w:left="40" w:right="160"/>
        <w:spacing w:after="0" w:line="282" w:lineRule="auto"/>
        <w:tabs>
          <w:tab w:leader="none" w:pos="16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November 19, 2019, the reporting person was granted an option to purchase 82,616 shares of common stock. Upon a change in control, the option vests 33% if the Company's private equity investors achieve a MOIC of at least 3.0x, and 100% if the Company's private equity investors achieve a MOIC of at least 5.0x, with vesting with respect to achievement in between 3.0x and 5.0x subject to linear interpolation. If a change in control has not occurred by certain measurement dates following the Company's initial public offering, the unvested portion of the option may be eligible to vest based on achievement of certain performance criteria. On June 16, 2023, a change in control occurred and vesting of the option as to 2,314 shares occurred on that date. On June 29, 2023, the Company's Compensation Committee determined pursuant to the award agreement that the performance criteria for the final installment were met, resulting in vesting as to an additional 45,189 shares on June 30, 2023.</w:t>
      </w:r>
    </w:p>
    <w:tbl>
      <w:tblPr>
        <w:tblLayout w:type="fixed"/>
        <w:tblInd w:w="6600" w:type="dxa"/>
        <w:tblCellMar>
          <w:top w:w="0" w:type="dxa"/>
          <w:left w:w="0" w:type="dxa"/>
          <w:bottom w:w="0" w:type="dxa"/>
          <w:right w:w="0" w:type="dxa"/>
        </w:tblCellMar>
      </w:tblPr>
      <w:tr>
        <w:trPr>
          <w:trHeight w:val="209"/>
        </w:trPr>
        <w:tc>
          <w:tcPr>
            <w:tcW w:w="206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0000FF"/>
                <w:w w:val="87"/>
              </w:rPr>
              <w:t>/s/ Rose Neale, attorney-in-fact</w:t>
            </w:r>
          </w:p>
        </w:tc>
        <w:tc>
          <w:tcPr>
            <w:tcW w:w="14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07/05/2023</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for David M. Davis</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77174"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2023-07-05T16:17:19Z</dcterms:created>
  <dcterms:modified xsi:type="dcterms:W3CDTF">2023-07-05T16:17:19Z</dcterms:modified>
</cp:coreProperties>
</file>