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-186690</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-542290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4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-588645</wp:posOffset>
            </wp:positionV>
            <wp:extent cx="55880" cy="60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9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-588645</wp:posOffset>
            </wp:positionV>
            <wp:extent cx="55880" cy="60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98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622935</wp:posOffset>
            </wp:positionV>
            <wp:extent cx="7001510" cy="4932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932680"/>
                    </a:xfrm>
                    <a:prstGeom prst="rect">
                      <a:avLst/>
                    </a:prstGeom>
                    <a:noFill/>
                  </pic:spPr>
                </pic:pic>
              </a:graphicData>
            </a:graphic>
          </wp:anchor>
        </w:drawing>
      </w:r>
    </w:p>
    <w:p>
      <w:pPr>
        <w:spacing w:after="0" w:line="1044" w:lineRule="exact"/>
        <w:rPr>
          <w:sz w:val="24"/>
          <w:szCs w:val="24"/>
          <w:color w:val="auto"/>
        </w:rPr>
      </w:pPr>
    </w:p>
    <w:p>
      <w:pPr>
        <w:sectPr>
          <w:pgSz w:w="11900" w:h="16838" w:orient="portrait"/>
          <w:cols w:equalWidth="0" w:num="2">
            <w:col w:w="2320" w:space="440"/>
            <w:col w:w="8320"/>
          </w:cols>
          <w:pgMar w:left="460" w:top="211" w:right="359" w:bottom="710" w:gutter="0" w:footer="0" w:header="0"/>
        </w:sectPr>
      </w:pPr>
    </w:p>
    <w:p>
      <w:pPr>
        <w:spacing w:after="0" w:line="2"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Bricker Jude</w:t>
        </w:r>
      </w:hyperlink>
    </w:p>
    <w:p>
      <w:pPr>
        <w:spacing w:after="0" w:line="281"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line="345" w:lineRule="auto"/>
        <w:rPr>
          <w:sz w:val="20"/>
          <w:szCs w:val="20"/>
          <w:color w:val="auto"/>
        </w:rPr>
      </w:pPr>
      <w:r>
        <w:rPr>
          <w:rFonts w:ascii="Times New Roman" w:cs="Times New Roman" w:eastAsia="Times New Roman" w:hAnsi="Times New Roman"/>
          <w:sz w:val="16"/>
          <w:szCs w:val="16"/>
          <w:color w:val="0000FF"/>
        </w:rPr>
        <w:t>C/O SUN COUNTRY AIRLINES HOLDINGS, INC. 2005 CARGO ROAD</w:t>
      </w:r>
    </w:p>
    <w:p>
      <w:pPr>
        <w:spacing w:after="0" w:line="162" w:lineRule="exact"/>
        <w:rPr>
          <w:sz w:val="24"/>
          <w:szCs w:val="24"/>
          <w:color w:val="auto"/>
        </w:rPr>
      </w:pPr>
    </w:p>
    <w:p>
      <w:pPr>
        <w:ind w:left="60"/>
        <w:spacing w:after="0"/>
        <w:rPr>
          <w:sz w:val="20"/>
          <w:szCs w:val="20"/>
          <w:color w:val="auto"/>
        </w:rPr>
      </w:pPr>
      <w:r>
        <w:rPr>
          <w:rFonts w:ascii="Arial" w:cs="Arial" w:eastAsia="Arial" w:hAnsi="Arial"/>
          <w:sz w:val="12"/>
          <w:szCs w:val="12"/>
          <w:color w:val="auto"/>
        </w:rPr>
        <w:t>(Street)</w:t>
      </w:r>
    </w:p>
    <w:p>
      <w:pPr>
        <w:spacing w:after="0" w:line="31" w:lineRule="exact"/>
        <w:rPr>
          <w:sz w:val="24"/>
          <w:szCs w:val="24"/>
          <w:color w:val="auto"/>
        </w:rPr>
      </w:pPr>
    </w:p>
    <w:p>
      <w:pPr>
        <w:ind w:left="100"/>
        <w:spacing w:after="0"/>
        <w:tabs>
          <w:tab w:leader="none" w:pos="1300" w:val="left"/>
          <w:tab w:leader="none" w:pos="2540" w:val="left"/>
        </w:tabs>
        <w:rPr>
          <w:sz w:val="20"/>
          <w:szCs w:val="20"/>
          <w:color w:val="auto"/>
        </w:rPr>
      </w:pPr>
      <w:r>
        <w:rPr>
          <w:rFonts w:ascii="Times New Roman" w:cs="Times New Roman" w:eastAsia="Times New Roman" w:hAnsi="Times New Roman"/>
          <w:sz w:val="16"/>
          <w:szCs w:val="16"/>
          <w:color w:val="0000FF"/>
        </w:rPr>
        <w:t>MINNEAPOLIS</w:t>
        <w:tab/>
        <w:t>MN</w:t>
      </w:r>
      <w:r>
        <w:rPr>
          <w:sz w:val="20"/>
          <w:szCs w:val="20"/>
          <w:color w:val="auto"/>
        </w:rPr>
        <w:tab/>
      </w:r>
      <w:r>
        <w:rPr>
          <w:rFonts w:ascii="Times New Roman" w:cs="Times New Roman" w:eastAsia="Times New Roman" w:hAnsi="Times New Roman"/>
          <w:sz w:val="15"/>
          <w:szCs w:val="15"/>
          <w:color w:val="0000FF"/>
        </w:rPr>
        <w:t>55450</w:t>
      </w:r>
    </w:p>
    <w:p>
      <w:pPr>
        <w:spacing w:after="0" w:line="301"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2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3760" w:type="dxa"/>
            <w:vAlign w:val="bottom"/>
            <w:gridSpan w:val="3"/>
          </w:tcPr>
          <w:p>
            <w:pPr>
              <w:spacing w:after="0" w:line="133"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Sun Country Airlines Holdings, LLC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SNCY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500" w:type="dxa"/>
            <w:vAlign w:val="bottom"/>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0"/>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33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09"/>
        </w:trPr>
        <w:tc>
          <w:tcPr>
            <w:tcW w:w="2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05/13/2026</w:t>
            </w:r>
          </w:p>
        </w:tc>
        <w:tc>
          <w:tcPr>
            <w:tcW w:w="880" w:type="dxa"/>
            <w:vAlign w:val="bottom"/>
          </w:tcPr>
          <w:p>
            <w:pPr>
              <w:spacing w:after="0"/>
              <w:rPr>
                <w:sz w:val="9"/>
                <w:szCs w:val="9"/>
                <w:color w:val="auto"/>
              </w:rPr>
            </w:pPr>
          </w:p>
        </w:tc>
        <w:tc>
          <w:tcPr>
            <w:tcW w:w="3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94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3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2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32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32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08" w:lineRule="exact"/>
        <w:rPr>
          <w:sz w:val="24"/>
          <w:szCs w:val="24"/>
          <w:color w:val="auto"/>
        </w:rPr>
      </w:pPr>
    </w:p>
    <w:p>
      <w:pPr>
        <w:sectPr>
          <w:pgSz w:w="11900" w:h="16838" w:orient="portrait"/>
          <w:cols w:equalWidth="0" w:num="2">
            <w:col w:w="3500" w:space="340"/>
            <w:col w:w="7240"/>
          </w:cols>
          <w:pgMar w:left="460" w:top="211" w:right="359" w:bottom="71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w w:val="98"/>
              </w:rPr>
              <w:t>2A. Deemed</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20" w:type="dxa"/>
            <w:vAlign w:val="bottom"/>
          </w:tcPr>
          <w:p>
            <w:pPr>
              <w:spacing w:after="0"/>
              <w:rPr>
                <w:sz w:val="12"/>
                <w:szCs w:val="12"/>
                <w:color w:val="auto"/>
              </w:rPr>
            </w:pPr>
          </w:p>
        </w:tc>
        <w:tc>
          <w:tcPr>
            <w:tcW w:w="220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ind w:left="700"/>
              <w:spacing w:after="0" w:line="121"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14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Of (D) (Instr. 3, 4 and 5)</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gridSpan w:val="2"/>
          </w:tcPr>
          <w:p>
            <w:pPr>
              <w:ind w:left="700"/>
              <w:spacing w:after="0" w:line="121"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3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Following</w:t>
            </w:r>
          </w:p>
        </w:tc>
        <w:tc>
          <w:tcPr>
            <w:tcW w:w="520" w:type="dxa"/>
            <w:vAlign w:val="bottom"/>
          </w:tcPr>
          <w:p>
            <w:pPr>
              <w:spacing w:after="0"/>
              <w:rPr>
                <w:sz w:val="10"/>
                <w:szCs w:val="10"/>
                <w:color w:val="auto"/>
              </w:rPr>
            </w:pPr>
          </w:p>
        </w:tc>
        <w:tc>
          <w:tcPr>
            <w:tcW w:w="9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420" w:type="dxa"/>
            <w:vAlign w:val="bottom"/>
            <w:vMerge w:val="restart"/>
          </w:tcPr>
          <w:p>
            <w:pPr>
              <w:jc w:val="right"/>
              <w:ind w:right="169"/>
              <w:spacing w:after="0"/>
              <w:rPr>
                <w:sz w:val="20"/>
                <w:szCs w:val="20"/>
                <w:color w:val="auto"/>
              </w:rPr>
            </w:pPr>
            <w:r>
              <w:rPr>
                <w:rFonts w:ascii="Arial" w:cs="Arial" w:eastAsia="Arial" w:hAnsi="Arial"/>
                <w:sz w:val="11"/>
                <w:szCs w:val="11"/>
                <w:b w:val="1"/>
                <w:bCs w:val="1"/>
                <w:color w:val="auto"/>
              </w:rPr>
              <w:t>V</w:t>
            </w:r>
          </w:p>
        </w:tc>
        <w:tc>
          <w:tcPr>
            <w:tcW w:w="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0"/>
                <w:szCs w:val="10"/>
                <w:color w:val="auto"/>
              </w:rPr>
            </w:pPr>
          </w:p>
        </w:tc>
        <w:tc>
          <w:tcPr>
            <w:tcW w:w="320" w:type="dxa"/>
            <w:vAlign w:val="bottom"/>
          </w:tcPr>
          <w:p>
            <w:pPr>
              <w:spacing w:after="0" w:line="121"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5"/>
        </w:trPr>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6"/>
                <w:szCs w:val="16"/>
                <w:color w:val="0000FF"/>
              </w:rPr>
              <w:t>05/13/2026</w:t>
            </w:r>
          </w:p>
        </w:tc>
        <w:tc>
          <w:tcPr>
            <w:tcW w:w="6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2"/>
                <w:szCs w:val="12"/>
                <w:color w:val="0000FF"/>
              </w:rPr>
              <w:t>D</w:t>
            </w:r>
          </w:p>
        </w:tc>
        <w:tc>
          <w:tcPr>
            <w:tcW w:w="4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40"/>
              <w:spacing w:after="0" w:line="290" w:lineRule="exact"/>
              <w:rPr>
                <w:sz w:val="20"/>
                <w:szCs w:val="20"/>
                <w:color w:val="auto"/>
              </w:rPr>
            </w:pPr>
            <w:r>
              <w:rPr>
                <w:rFonts w:ascii="Times New Roman" w:cs="Times New Roman" w:eastAsia="Times New Roman" w:hAnsi="Times New Roman"/>
                <w:sz w:val="31"/>
                <w:szCs w:val="31"/>
                <w:color w:val="0000FF"/>
                <w:w w:val="94"/>
                <w:vertAlign w:val="subscript"/>
              </w:rPr>
              <w:t>167,982</w:t>
            </w:r>
            <w:r>
              <w:rPr>
                <w:rFonts w:ascii="Times New Roman" w:cs="Times New Roman" w:eastAsia="Times New Roman" w:hAnsi="Times New Roman"/>
                <w:sz w:val="10"/>
                <w:szCs w:val="10"/>
                <w:color w:val="008000"/>
                <w:w w:val="94"/>
              </w:rPr>
              <w:t>(1)(2)(3)(4)</w:t>
            </w: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0"/>
                <w:szCs w:val="10"/>
                <w:color w:val="008000"/>
              </w:rPr>
              <w:t>(1)(2)(3)(4)</w:t>
            </w: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16"/>
                <w:szCs w:val="16"/>
                <w:color w:val="0000FF"/>
              </w:rPr>
              <w:t>0</w:t>
            </w: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340" w:type="dxa"/>
            <w:vAlign w:val="bottom"/>
            <w:gridSpan w:val="13"/>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80" w:type="dxa"/>
            <w:vAlign w:val="bottom"/>
            <w:gridSpan w:val="12"/>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3"/>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3"/>
          </w:tcPr>
          <w:p>
            <w:pPr>
              <w:ind w:left="140"/>
              <w:spacing w:after="0"/>
              <w:rPr>
                <w:sz w:val="20"/>
                <w:szCs w:val="20"/>
                <w:color w:val="auto"/>
              </w:rPr>
            </w:pPr>
            <w:r>
              <w:rPr>
                <w:rFonts w:ascii="Arial" w:cs="Arial" w:eastAsia="Arial" w:hAnsi="Arial"/>
                <w:sz w:val="11"/>
                <w:szCs w:val="11"/>
                <w:b w:val="1"/>
                <w:bCs w:val="1"/>
                <w:color w:val="auto"/>
              </w:rPr>
              <w:t>5. Number of</w:t>
            </w:r>
          </w:p>
        </w:tc>
        <w:tc>
          <w:tcPr>
            <w:tcW w:w="1600" w:type="dxa"/>
            <w:vAlign w:val="bottom"/>
            <w:gridSpan w:val="3"/>
          </w:tcPr>
          <w:p>
            <w:pPr>
              <w:ind w:left="2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ind w:right="5"/>
              <w:spacing w:after="0"/>
              <w:rPr>
                <w:sz w:val="20"/>
                <w:szCs w:val="20"/>
                <w:color w:val="auto"/>
              </w:rPr>
            </w:pPr>
            <w:r>
              <w:rPr>
                <w:rFonts w:ascii="Arial" w:cs="Arial" w:eastAsia="Arial" w:hAnsi="Arial"/>
                <w:sz w:val="11"/>
                <w:szCs w:val="11"/>
                <w:b w:val="1"/>
                <w:bCs w:val="1"/>
                <w:color w:val="auto"/>
                <w:w w:val="98"/>
              </w:rPr>
              <w:t>8. Price of</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2"/>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6"/>
              </w:rPr>
              <w:t>Transaction</w:t>
            </w:r>
          </w:p>
        </w:tc>
        <w:tc>
          <w:tcPr>
            <w:tcW w:w="660" w:type="dxa"/>
            <w:vAlign w:val="bottom"/>
          </w:tcPr>
          <w:p>
            <w:pPr>
              <w:ind w:left="140"/>
              <w:spacing w:after="0" w:line="121" w:lineRule="exact"/>
              <w:rPr>
                <w:sz w:val="20"/>
                <w:szCs w:val="20"/>
                <w:color w:val="auto"/>
              </w:rPr>
            </w:pPr>
            <w:r>
              <w:rPr>
                <w:rFonts w:ascii="Arial" w:cs="Arial" w:eastAsia="Arial" w:hAnsi="Arial"/>
                <w:sz w:val="11"/>
                <w:szCs w:val="11"/>
                <w:b w:val="1"/>
                <w:bCs w:val="1"/>
                <w:color w:val="auto"/>
                <w:w w:val="94"/>
              </w:rPr>
              <w:t>Derivative</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3"/>
          </w:tcPr>
          <w:p>
            <w:pPr>
              <w:ind w:left="260"/>
              <w:spacing w:after="0" w:line="121"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98"/>
              </w:rPr>
              <w:t>Derivative</w:t>
            </w:r>
          </w:p>
        </w:tc>
        <w:tc>
          <w:tcPr>
            <w:tcW w:w="8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3"/>
          </w:tcPr>
          <w:p>
            <w:pPr>
              <w:ind w:left="80"/>
              <w:spacing w:after="0" w:line="121"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ind w:left="140"/>
              <w:spacing w:after="0" w:line="121" w:lineRule="exact"/>
              <w:rPr>
                <w:sz w:val="20"/>
                <w:szCs w:val="20"/>
                <w:color w:val="auto"/>
              </w:rPr>
            </w:pPr>
            <w:r>
              <w:rPr>
                <w:rFonts w:ascii="Arial" w:cs="Arial" w:eastAsia="Arial" w:hAnsi="Arial"/>
                <w:sz w:val="11"/>
                <w:szCs w:val="11"/>
                <w:b w:val="1"/>
                <w:bCs w:val="1"/>
                <w:color w:val="auto"/>
                <w:w w:val="94"/>
              </w:rPr>
              <w:t>Securities</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3"/>
          </w:tcPr>
          <w:p>
            <w:pPr>
              <w:ind w:left="260"/>
              <w:spacing w:after="0" w:line="121"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2"/>
          </w:tcPr>
          <w:p>
            <w:pPr>
              <w:ind w:left="1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3"/>
          </w:tcPr>
          <w:p>
            <w:pPr>
              <w:ind w:left="140"/>
              <w:spacing w:after="0" w:line="121" w:lineRule="exact"/>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6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2"/>
          </w:tcPr>
          <w:p>
            <w:pPr>
              <w:ind w:left="1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76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gridSpan w:val="3"/>
          </w:tcPr>
          <w:p>
            <w:pPr>
              <w:ind w:left="140"/>
              <w:spacing w:after="0" w:line="121" w:lineRule="exact"/>
              <w:rPr>
                <w:sz w:val="20"/>
                <w:szCs w:val="20"/>
                <w:color w:val="auto"/>
              </w:rPr>
            </w:pPr>
            <w:r>
              <w:rPr>
                <w:rFonts w:ascii="Arial" w:cs="Arial" w:eastAsia="Arial" w:hAnsi="Arial"/>
                <w:sz w:val="11"/>
                <w:szCs w:val="11"/>
                <w:b w:val="1"/>
                <w:bCs w:val="1"/>
                <w:color w:val="auto"/>
              </w:rPr>
              <w:t>Disposed of (D)</w:t>
            </w: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2"/>
          </w:tcPr>
          <w:p>
            <w:pPr>
              <w:ind w:left="1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76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gridSpan w:val="3"/>
          </w:tcPr>
          <w:p>
            <w:pPr>
              <w:ind w:left="140"/>
              <w:spacing w:after="0" w:line="121" w:lineRule="exact"/>
              <w:rPr>
                <w:sz w:val="20"/>
                <w:szCs w:val="20"/>
                <w:color w:val="auto"/>
              </w:rPr>
            </w:pPr>
            <w:r>
              <w:rPr>
                <w:rFonts w:ascii="Arial" w:cs="Arial" w:eastAsia="Arial" w:hAnsi="Arial"/>
                <w:sz w:val="11"/>
                <w:szCs w:val="11"/>
                <w:b w:val="1"/>
                <w:bCs w:val="1"/>
                <w:color w:val="auto"/>
                <w:w w:val="98"/>
              </w:rPr>
              <w:t>(Instr. 3, 4 and 5)</w:t>
            </w: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3"/>
          </w:tcPr>
          <w:p>
            <w:pPr>
              <w:ind w:left="80"/>
              <w:spacing w:after="0" w:line="121"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4"/>
        </w:trPr>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vMerge w:val="restart"/>
          </w:tcPr>
          <w:p>
            <w:pPr>
              <w:ind w:left="40"/>
              <w:spacing w:after="0" w:line="121" w:lineRule="exact"/>
              <w:rPr>
                <w:sz w:val="20"/>
                <w:szCs w:val="20"/>
                <w:color w:val="auto"/>
              </w:rPr>
            </w:pPr>
            <w:r>
              <w:rPr>
                <w:rFonts w:ascii="Arial" w:cs="Arial" w:eastAsia="Arial" w:hAnsi="Arial"/>
                <w:sz w:val="11"/>
                <w:szCs w:val="11"/>
                <w:b w:val="1"/>
                <w:bCs w:val="1"/>
                <w:color w:val="auto"/>
                <w:w w:val="95"/>
              </w:rPr>
              <w:t>Reported</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260"/>
              <w:spacing w:after="0" w:line="121" w:lineRule="exact"/>
              <w:rPr>
                <w:sz w:val="20"/>
                <w:szCs w:val="20"/>
                <w:color w:val="auto"/>
              </w:rPr>
            </w:pPr>
            <w:r>
              <w:rPr>
                <w:rFonts w:ascii="Arial" w:cs="Arial" w:eastAsia="Arial" w:hAnsi="Arial"/>
                <w:sz w:val="11"/>
                <w:szCs w:val="11"/>
                <w:b w:val="1"/>
                <w:bCs w:val="1"/>
                <w:color w:val="auto"/>
              </w:rPr>
              <w:t>Date</w:t>
            </w:r>
          </w:p>
        </w:tc>
        <w:tc>
          <w:tcPr>
            <w:tcW w:w="840" w:type="dxa"/>
            <w:vAlign w:val="bottom"/>
          </w:tcPr>
          <w:p>
            <w:pPr>
              <w:ind w:left="240"/>
              <w:spacing w:after="0" w:line="121" w:lineRule="exact"/>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1600" w:type="dxa"/>
            <w:vAlign w:val="bottom"/>
            <w:gridSpan w:val="3"/>
          </w:tcPr>
          <w:p>
            <w:pPr>
              <w:ind w:left="260"/>
              <w:spacing w:after="0"/>
              <w:rPr>
                <w:sz w:val="20"/>
                <w:szCs w:val="20"/>
                <w:color w:val="auto"/>
              </w:rPr>
            </w:pPr>
            <w:r>
              <w:rPr>
                <w:rFonts w:ascii="Arial" w:cs="Arial" w:eastAsia="Arial" w:hAnsi="Arial"/>
                <w:sz w:val="11"/>
                <w:szCs w:val="11"/>
                <w:b w:val="1"/>
                <w:bCs w:val="1"/>
                <w:color w:val="auto"/>
              </w:rPr>
              <w:t>Exercisable  Date</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w w:val="97"/>
              </w:rPr>
              <w:t>Title</w:t>
            </w:r>
          </w:p>
        </w:tc>
        <w:tc>
          <w:tcPr>
            <w:tcW w:w="32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Times New Roman" w:cs="Times New Roman" w:eastAsia="Times New Roman" w:hAnsi="Times New Roman"/>
                <w:sz w:val="12"/>
                <w:szCs w:val="12"/>
                <w:color w:val="0000FF"/>
                <w:w w:val="94"/>
              </w:rPr>
              <w:t>5.3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05/13/2026</w:t>
            </w:r>
          </w:p>
        </w:tc>
        <w:tc>
          <w:tcPr>
            <w:tcW w:w="1020" w:type="dxa"/>
            <w:vAlign w:val="bottom"/>
          </w:tcPr>
          <w:p>
            <w:pPr>
              <w:spacing w:after="0"/>
              <w:rPr>
                <w:sz w:val="13"/>
                <w:szCs w:val="13"/>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60" w:type="dxa"/>
            <w:vAlign w:val="bottom"/>
          </w:tcPr>
          <w:p>
            <w:pPr>
              <w:spacing w:after="0"/>
              <w:rPr>
                <w:sz w:val="13"/>
                <w:szCs w:val="13"/>
                <w:color w:val="auto"/>
              </w:rPr>
            </w:pPr>
          </w:p>
        </w:tc>
        <w:tc>
          <w:tcPr>
            <w:tcW w:w="700" w:type="dxa"/>
            <w:vAlign w:val="bottom"/>
            <w:gridSpan w:val="3"/>
            <w:vMerge w:val="restart"/>
          </w:tcPr>
          <w:p>
            <w:pPr>
              <w:jc w:val="right"/>
              <w:ind w:right="165"/>
              <w:spacing w:after="0"/>
              <w:rPr>
                <w:sz w:val="20"/>
                <w:szCs w:val="20"/>
                <w:color w:val="auto"/>
              </w:rPr>
            </w:pPr>
            <w:r>
              <w:rPr>
                <w:rFonts w:ascii="Times New Roman" w:cs="Times New Roman" w:eastAsia="Times New Roman" w:hAnsi="Times New Roman"/>
                <w:sz w:val="12"/>
                <w:szCs w:val="12"/>
                <w:color w:val="0000FF"/>
                <w:w w:val="95"/>
              </w:rPr>
              <w:t>1,411,492</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008000"/>
              </w:rPr>
              <w:t>(1)(2)(5)</w:t>
            </w:r>
          </w:p>
        </w:tc>
        <w:tc>
          <w:tcPr>
            <w:tcW w:w="840" w:type="dxa"/>
            <w:vAlign w:val="bottom"/>
            <w:vMerge w:val="restart"/>
          </w:tcPr>
          <w:p>
            <w:pPr>
              <w:jc w:val="center"/>
              <w:ind w:left="126"/>
              <w:spacing w:after="0"/>
              <w:rPr>
                <w:sz w:val="20"/>
                <w:szCs w:val="20"/>
                <w:color w:val="auto"/>
              </w:rPr>
            </w:pPr>
            <w:r>
              <w:rPr>
                <w:rFonts w:ascii="Times New Roman" w:cs="Times New Roman" w:eastAsia="Times New Roman" w:hAnsi="Times New Roman"/>
                <w:sz w:val="12"/>
                <w:szCs w:val="12"/>
                <w:color w:val="0000FF"/>
                <w:w w:val="98"/>
              </w:rPr>
              <w:t>11/21/2028</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1,411,492</w:t>
            </w:r>
          </w:p>
        </w:tc>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97"/>
              </w:rPr>
              <w:t>(1)(2)(5)</w:t>
            </w:r>
          </w:p>
        </w:tc>
        <w:tc>
          <w:tcPr>
            <w:tcW w:w="520" w:type="dxa"/>
            <w:vAlign w:val="bottom"/>
            <w:vMerge w:val="restart"/>
          </w:tcPr>
          <w:p>
            <w:pPr>
              <w:jc w:val="center"/>
              <w:ind w:left="244"/>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3"/>
                <w:szCs w:val="13"/>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76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gridSpan w:val="2"/>
          </w:tcPr>
          <w:p>
            <w:pPr>
              <w:ind w:left="1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(1)(2)(6)</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(1)(2)(6)</w:t>
            </w:r>
          </w:p>
        </w:tc>
        <w:tc>
          <w:tcPr>
            <w:tcW w:w="840" w:type="dxa"/>
            <w:vAlign w:val="bottom"/>
            <w:vMerge w:val="restart"/>
          </w:tcPr>
          <w:p>
            <w:pPr>
              <w:jc w:val="center"/>
              <w:ind w:left="126"/>
              <w:spacing w:after="0"/>
              <w:rPr>
                <w:sz w:val="20"/>
                <w:szCs w:val="20"/>
                <w:color w:val="auto"/>
              </w:rPr>
            </w:pPr>
            <w:r>
              <w:rPr>
                <w:rFonts w:ascii="Times New Roman" w:cs="Times New Roman" w:eastAsia="Times New Roman" w:hAnsi="Times New Roman"/>
                <w:sz w:val="10"/>
                <w:szCs w:val="10"/>
                <w:color w:val="008000"/>
                <w:w w:val="97"/>
              </w:rPr>
              <w:t>(1)(2)(6)</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294,913</w:t>
            </w:r>
          </w:p>
        </w:tc>
        <w:tc>
          <w:tcPr>
            <w:tcW w:w="2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7"/>
              </w:rPr>
              <w:t>(1)(2)(6)</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76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continue"/>
          </w:tcPr>
          <w:p>
            <w:pPr>
              <w:spacing w:after="0"/>
              <w:rPr>
                <w:sz w:val="5"/>
                <w:szCs w:val="5"/>
                <w:color w:val="auto"/>
              </w:rPr>
            </w:pPr>
          </w:p>
        </w:tc>
        <w:tc>
          <w:tcPr>
            <w:tcW w:w="102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05/13/2026</w:t>
            </w:r>
          </w:p>
        </w:tc>
        <w:tc>
          <w:tcPr>
            <w:tcW w:w="1020" w:type="dxa"/>
            <w:vAlign w:val="bottom"/>
          </w:tcPr>
          <w:p>
            <w:pPr>
              <w:spacing w:after="0"/>
              <w:rPr>
                <w:sz w:val="5"/>
                <w:szCs w:val="5"/>
                <w:color w:val="auto"/>
              </w:rPr>
            </w:pPr>
          </w:p>
        </w:tc>
        <w:tc>
          <w:tcPr>
            <w:tcW w:w="680" w:type="dxa"/>
            <w:vAlign w:val="bottom"/>
            <w:vMerge w:val="restart"/>
          </w:tcPr>
          <w:p>
            <w:pPr>
              <w:ind w:left="160"/>
              <w:spacing w:after="0" w:line="133" w:lineRule="exact"/>
              <w:rPr>
                <w:sz w:val="20"/>
                <w:szCs w:val="20"/>
                <w:color w:val="auto"/>
              </w:rPr>
            </w:pPr>
            <w:r>
              <w:rPr>
                <w:rFonts w:ascii="Times New Roman" w:cs="Times New Roman" w:eastAsia="Times New Roman" w:hAnsi="Times New Roman"/>
                <w:sz w:val="12"/>
                <w:szCs w:val="12"/>
                <w:color w:val="0000FF"/>
              </w:rPr>
              <w:t>A</w:t>
            </w:r>
          </w:p>
        </w:tc>
        <w:tc>
          <w:tcPr>
            <w:tcW w:w="660" w:type="dxa"/>
            <w:vAlign w:val="bottom"/>
            <w:vMerge w:val="restart"/>
          </w:tcPr>
          <w:p>
            <w:pPr>
              <w:ind w:left="140"/>
              <w:spacing w:after="0" w:line="133" w:lineRule="exact"/>
              <w:rPr>
                <w:sz w:val="20"/>
                <w:szCs w:val="20"/>
                <w:color w:val="auto"/>
              </w:rPr>
            </w:pPr>
            <w:r>
              <w:rPr>
                <w:rFonts w:ascii="Times New Roman" w:cs="Times New Roman" w:eastAsia="Times New Roman" w:hAnsi="Times New Roman"/>
                <w:sz w:val="12"/>
                <w:szCs w:val="12"/>
                <w:color w:val="0000FF"/>
              </w:rPr>
              <w:t>294,913</w:t>
            </w: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gridSpan w:val="2"/>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7"/>
              </w:rPr>
              <w:t>294,913</w:t>
            </w:r>
          </w:p>
        </w:tc>
        <w:tc>
          <w:tcPr>
            <w:tcW w:w="620" w:type="dxa"/>
            <w:vAlign w:val="bottom"/>
            <w:vMerge w:val="restart"/>
          </w:tcPr>
          <w:p>
            <w:pPr>
              <w:ind w:left="32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7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(1)(2)(6)</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(1)(2)(6)</w:t>
            </w:r>
          </w:p>
        </w:tc>
        <w:tc>
          <w:tcPr>
            <w:tcW w:w="840" w:type="dxa"/>
            <w:vAlign w:val="bottom"/>
            <w:vMerge w:val="restart"/>
          </w:tcPr>
          <w:p>
            <w:pPr>
              <w:jc w:val="center"/>
              <w:ind w:left="126"/>
              <w:spacing w:after="0"/>
              <w:rPr>
                <w:sz w:val="20"/>
                <w:szCs w:val="20"/>
                <w:color w:val="auto"/>
              </w:rPr>
            </w:pPr>
            <w:r>
              <w:rPr>
                <w:rFonts w:ascii="Times New Roman" w:cs="Times New Roman" w:eastAsia="Times New Roman" w:hAnsi="Times New Roman"/>
                <w:sz w:val="10"/>
                <w:szCs w:val="10"/>
                <w:color w:val="008000"/>
                <w:w w:val="97"/>
              </w:rPr>
              <w:t>(1)(2)(6)</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294,913</w:t>
            </w:r>
          </w:p>
        </w:tc>
        <w:tc>
          <w:tcPr>
            <w:tcW w:w="2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7"/>
              </w:rPr>
              <w:t>(1)(2)(6)</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76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continue"/>
          </w:tcPr>
          <w:p>
            <w:pPr>
              <w:spacing w:after="0"/>
              <w:rPr>
                <w:sz w:val="5"/>
                <w:szCs w:val="5"/>
                <w:color w:val="auto"/>
              </w:rPr>
            </w:pPr>
          </w:p>
        </w:tc>
        <w:tc>
          <w:tcPr>
            <w:tcW w:w="102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05/13/2026</w:t>
            </w:r>
          </w:p>
        </w:tc>
        <w:tc>
          <w:tcPr>
            <w:tcW w:w="1020" w:type="dxa"/>
            <w:vAlign w:val="bottom"/>
          </w:tcPr>
          <w:p>
            <w:pPr>
              <w:spacing w:after="0"/>
              <w:rPr>
                <w:sz w:val="5"/>
                <w:szCs w:val="5"/>
                <w:color w:val="auto"/>
              </w:rPr>
            </w:pPr>
          </w:p>
        </w:tc>
        <w:tc>
          <w:tcPr>
            <w:tcW w:w="680" w:type="dxa"/>
            <w:vAlign w:val="bottom"/>
            <w:vMerge w:val="restart"/>
          </w:tcPr>
          <w:p>
            <w:pPr>
              <w:ind w:left="16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660" w:type="dxa"/>
            <w:vAlign w:val="bottom"/>
          </w:tcPr>
          <w:p>
            <w:pPr>
              <w:spacing w:after="0"/>
              <w:rPr>
                <w:sz w:val="5"/>
                <w:szCs w:val="5"/>
                <w:color w:val="auto"/>
              </w:rPr>
            </w:pPr>
          </w:p>
        </w:tc>
        <w:tc>
          <w:tcPr>
            <w:tcW w:w="700" w:type="dxa"/>
            <w:vAlign w:val="bottom"/>
            <w:gridSpan w:val="3"/>
            <w:vMerge w:val="restart"/>
          </w:tcPr>
          <w:p>
            <w:pPr>
              <w:jc w:val="right"/>
              <w:ind w:right="205"/>
              <w:spacing w:after="0" w:line="133" w:lineRule="exact"/>
              <w:rPr>
                <w:sz w:val="20"/>
                <w:szCs w:val="20"/>
                <w:color w:val="auto"/>
              </w:rPr>
            </w:pPr>
            <w:r>
              <w:rPr>
                <w:rFonts w:ascii="Times New Roman" w:cs="Times New Roman" w:eastAsia="Times New Roman" w:hAnsi="Times New Roman"/>
                <w:sz w:val="12"/>
                <w:szCs w:val="12"/>
                <w:color w:val="0000FF"/>
              </w:rPr>
              <w:t>294,913</w:t>
            </w:r>
          </w:p>
        </w:tc>
        <w:tc>
          <w:tcPr>
            <w:tcW w:w="4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jc w:val="center"/>
              <w:ind w:left="244"/>
              <w:spacing w:after="0" w:line="133" w:lineRule="exact"/>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5"/>
                <w:szCs w:val="5"/>
                <w:color w:val="auto"/>
              </w:rPr>
            </w:pPr>
          </w:p>
        </w:tc>
        <w:tc>
          <w:tcPr>
            <w:tcW w:w="620" w:type="dxa"/>
            <w:vAlign w:val="bottom"/>
            <w:vMerge w:val="restart"/>
          </w:tcPr>
          <w:p>
            <w:pPr>
              <w:ind w:left="32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7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-2250440</wp:posOffset>
            </wp:positionV>
            <wp:extent cx="27940" cy="2256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25615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4"/>
          <w:szCs w:val="24"/>
          <w:color w:val="auto"/>
        </w:rPr>
      </w:pPr>
    </w:p>
    <w:p>
      <w:pPr>
        <w:ind w:left="40" w:right="180" w:hanging="7"/>
        <w:spacing w:after="0"/>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13, 2026, pursuant to the Agreement and Plan of Merger (the "Merger Agreement"), dated as of January 11, 2026, by and among Sun Country Airlines Holdings, Inc. ("Sun Country" ), Allegiant Travel Company ("Allegiant"), Mirage Merger Sub, Inc. ("Merger Sub 1") and a direct wholly owned subsidiary of Allegiant, Sawdust Merger Sub, LLC ("Merger Sub 2"), a direct wholly owned subsidiary of Allegiant: (a) Merger Sub 1 merged with and into Sun Country (the "First Merger"), with Sun Country surviving the First Merger as a direct wholly owned subsidiary of Allegiant and (b) immediately after the First Merger, Sun Country merged with and into Merger Sub 2, with Merger Sub 2 surviving as a direct, wholly owned subsidiary of Allegiant (the "Second Merger" and, together with the First Merger, the "Mergers"). All terms capitalized but not defined herein shall have the meaning given to them in the Merger Agreement.</w:t>
      </w:r>
    </w:p>
    <w:p>
      <w:pPr>
        <w:spacing w:after="0" w:line="24"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1) Following consummation of the Mergers, Sun Country Airlines Holdings, Inc. is now known as Sun Country Airlines Holdings, LLC.</w:t>
      </w:r>
    </w:p>
    <w:p>
      <w:pPr>
        <w:spacing w:after="0" w:line="43" w:lineRule="exact"/>
        <w:rPr>
          <w:rFonts w:ascii="Times New Roman" w:cs="Times New Roman" w:eastAsia="Times New Roman" w:hAnsi="Times New Roman"/>
          <w:sz w:val="12"/>
          <w:szCs w:val="12"/>
          <w:color w:val="008000"/>
        </w:rPr>
      </w:pPr>
    </w:p>
    <w:p>
      <w:pPr>
        <w:jc w:val="both"/>
        <w:ind w:left="40" w:right="300" w:hanging="7"/>
        <w:spacing w:after="0" w:line="249"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63,124 shares of Sun Country common stock ("Company Shares"), par value $0.01 per share, held directly by the reporting person, which, as of the effective time of the First Merger (the "First Effective Time") were converted into the right to receive (a) $4.10 in cash, without interest (the "Per Share Cash Consideration") and (b) 0.1557 (the "Merger Exchange Ratio") shares of Allegiant common stock ("Parent Shares"), par value $0.001 per share (the "Per Share Stock Consideration" and, together with the Per Share Cash Consideration, the "Merger Consideration").</w:t>
      </w:r>
    </w:p>
    <w:p>
      <w:pPr>
        <w:spacing w:after="0" w:line="18" w:lineRule="exact"/>
        <w:rPr>
          <w:rFonts w:ascii="Times New Roman" w:cs="Times New Roman" w:eastAsia="Times New Roman" w:hAnsi="Times New Roman"/>
          <w:sz w:val="12"/>
          <w:szCs w:val="12"/>
          <w:color w:val="008000"/>
        </w:rPr>
      </w:pPr>
    </w:p>
    <w:p>
      <w:pPr>
        <w:ind w:left="40" w:right="140" w:hanging="7"/>
        <w:spacing w:after="0" w:line="243"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each outstanding Sun Country restricted stock unit award ("Company RSU Award") consisting of 104,858 restricted stock units previously granted to the reporting person, which, as of immediately prior to the First Effective Time, was assumed and converted into an Allegiant restricted stock unit award ("Parent RSU Award") covering a number of Parent Shares equal to the product of (x) the number of Company Shares underlying such Company RSU Award and (y) the quotient obtained by dividing the Merger Consideration Closing Value by the Parent Measurement Price, rounded down to the nearest whole share. The Parent RSU Awards will continue to have the same terms and conditions as the Company RSU Awards, including any double-trigger vesting protections. Upon the reporting person's termination of employment, the Parent RSU Awards became fully vested.</w:t>
      </w:r>
    </w:p>
    <w:p>
      <w:pPr>
        <w:spacing w:after="0" w:line="22" w:lineRule="exact"/>
        <w:rPr>
          <w:rFonts w:ascii="Times New Roman" w:cs="Times New Roman" w:eastAsia="Times New Roman" w:hAnsi="Times New Roman"/>
          <w:sz w:val="12"/>
          <w:szCs w:val="12"/>
          <w:color w:val="008000"/>
        </w:rPr>
      </w:pPr>
    </w:p>
    <w:p>
      <w:pPr>
        <w:ind w:left="40" w:right="260" w:hanging="7"/>
        <w:spacing w:after="0"/>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each outstanding stock option to purchase Company Shares previously granted to the reporting person, which, as of immediately prior to the First Effective Time, was automatically converted into stock option(s) for Parent Shares, regardless of exercise price (the "Converted Options" and each a "Converted Option"). Each Converted Option covers a number of Parent Shares equal to the product of (x) the number of Company Shares subject to the original Company Option and (y) the quotient obtained by dividing the Merger Consideration Closing Value by the Parent Measurement Price, rounded down to the nearest whole share, with a corresponding adjusted exercise price equal to the product of (A) the original exercise price per share and (B) the quotient obtained by dividing the Parent Measurement Price by the Merger Consideration Closing Value, rounded up to the nearest whole cent and otherwise remains subject to the same terms and conditions as the original grant.</w:t>
      </w:r>
    </w:p>
    <w:p>
      <w:pPr>
        <w:spacing w:after="0" w:line="24" w:lineRule="exact"/>
        <w:rPr>
          <w:rFonts w:ascii="Times New Roman" w:cs="Times New Roman" w:eastAsia="Times New Roman" w:hAnsi="Times New Roman"/>
          <w:sz w:val="12"/>
          <w:szCs w:val="12"/>
          <w:color w:val="008000"/>
        </w:rPr>
      </w:pPr>
    </w:p>
    <w:p>
      <w:pPr>
        <w:ind w:left="40" w:right="160" w:hanging="7"/>
        <w:spacing w:after="0"/>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each outstanding Sun Country performance-based restricted stock unit award ("Company PRSU Award") previously granted to the reporting person, which, as of immediately prior to the First Effective Time, was assumed and converted into an Allegiant time-based restricted stock unit award ("Parent PRSU Award"), covering a number of Parent Shares equal to the quotient obtained by dividing (i) the product of (A) the number of Company Shares underlying such Company PRSU Award (deemed to be equal to 125% of the 'target' amount granted) and (B) the Merger Consideration Closing Value, by (ii) the Parent Measurement Price, rounded down to the nearest whole share. The Parent PRSU Awards will continue to have the same terms and conditions as the Company PRSU Awards, including any double-trigger vesting protections, but not any performance-based vesting conditions. Upon the reporting person's termination of employment, the Parent PRSU Awards became fully vested.</w:t>
      </w:r>
    </w:p>
    <w:p>
      <w:pPr>
        <w:ind w:left="6600"/>
        <w:spacing w:after="0" w:line="181" w:lineRule="auto"/>
        <w:rPr>
          <w:sz w:val="20"/>
          <w:szCs w:val="20"/>
          <w:color w:val="auto"/>
        </w:rPr>
      </w:pPr>
      <w:r>
        <w:rPr>
          <w:rFonts w:ascii="Times New Roman" w:cs="Times New Roman" w:eastAsia="Times New Roman" w:hAnsi="Times New Roman"/>
          <w:sz w:val="15"/>
          <w:szCs w:val="15"/>
          <w:color w:val="0000FF"/>
        </w:rPr>
        <w:t xml:space="preserve">/s/ Rose Neale, as attorney-in-fact </w:t>
      </w:r>
      <w:r>
        <w:rPr>
          <w:rFonts w:ascii="Times New Roman" w:cs="Times New Roman" w:eastAsia="Times New Roman" w:hAnsi="Times New Roman"/>
          <w:sz w:val="30"/>
          <w:szCs w:val="30"/>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-25400</wp:posOffset>
            </wp:positionV>
            <wp:extent cx="13576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for Jude Bricker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6496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49605" cy="762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-80645</wp:posOffset>
            </wp:positionV>
            <wp:extent cx="4552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4"/>
          <w:szCs w:val="24"/>
          <w:color w:val="auto"/>
        </w:rPr>
      </w:pPr>
    </w:p>
    <w:p>
      <w:pPr>
        <w:jc w:val="both"/>
        <w:ind w:left="40" w:right="4060" w:hanging="7"/>
        <w:spacing w:after="0" w:line="316"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1" w:right="359" w:bottom="7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8610"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2026-05-15T19:25:56Z</dcterms:created>
  <dcterms:modified xsi:type="dcterms:W3CDTF">2026-05-15T19:25:56Z</dcterms:modified>
</cp:coreProperties>
</file>