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8-K</w:t>
      </w:r>
    </w:p>
    <w:p>
      <w:pPr>
        <w:spacing w:after="0" w:line="23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80"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Pursuant to Section 13 or 15(d)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12, 2021</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Sun Country Airlines Holdings,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54" w:right="339" w:bottom="1440" w:gutter="0" w:footer="0" w:header="0"/>
        </w:sectPr>
      </w:pPr>
    </w:p>
    <w:p>
      <w:pPr>
        <w:spacing w:after="0" w:line="200"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6"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3"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29"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82-4092570</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w:t>
      </w:r>
    </w:p>
    <w:p>
      <w:pPr>
        <w:spacing w:after="0" w:line="18" w:lineRule="exact"/>
        <w:rPr>
          <w:sz w:val="24"/>
          <w:szCs w:val="24"/>
          <w:color w:val="auto"/>
        </w:rPr>
      </w:pPr>
    </w:p>
    <w:p>
      <w:pPr>
        <w:jc w:val="center"/>
        <w:ind w:right="114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54" w:right="339" w:bottom="1440" w:gutter="0" w:footer="0" w:header="0"/>
          <w:type w:val="continuous"/>
        </w:sectPr>
      </w:pPr>
    </w:p>
    <w:p>
      <w:pPr>
        <w:spacing w:after="0" w:line="26"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2005 Cargo Road</w:t>
      </w:r>
    </w:p>
    <w:p>
      <w:pPr>
        <w:spacing w:after="0" w:line="23"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Minneapolis, MN</w:t>
      </w:r>
    </w:p>
    <w:p>
      <w:pPr>
        <w:spacing w:after="0" w:line="6" w:lineRule="exact"/>
        <w:rPr>
          <w:sz w:val="24"/>
          <w:szCs w:val="24"/>
          <w:color w:val="auto"/>
        </w:rPr>
      </w:pPr>
    </w:p>
    <w:p>
      <w:pPr>
        <w:jc w:val="center"/>
        <w:ind w:right="18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55450</w:t>
      </w:r>
    </w:p>
    <w:p>
      <w:pPr>
        <w:spacing w:after="0" w:line="23"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54" w:right="339" w:bottom="1440" w:gutter="0" w:footer="0" w:header="0"/>
          <w:type w:val="continuous"/>
        </w:sectPr>
      </w:pP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0" w:lineRule="exact"/>
        <w:rPr>
          <w:sz w:val="24"/>
          <w:szCs w:val="24"/>
          <w:color w:val="auto"/>
        </w:rPr>
      </w:pPr>
    </w:p>
    <w:p>
      <w:pPr>
        <w:ind w:right="2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 w:lineRule="exact"/>
        <w:rPr>
          <w:rFonts w:ascii="MS PGothic" w:cs="MS PGothic" w:eastAsia="MS PGothic" w:hAnsi="MS PGothic"/>
          <w:sz w:val="18"/>
          <w:szCs w:val="18"/>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 w:lineRule="exact"/>
        <w:rPr>
          <w:rFonts w:ascii="MS PGothic" w:cs="MS PGothic" w:eastAsia="MS PGothic" w:hAnsi="MS PGothic"/>
          <w:sz w:val="18"/>
          <w:szCs w:val="18"/>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 w:lineRule="exact"/>
        <w:rPr>
          <w:rFonts w:ascii="MS PGothic" w:cs="MS PGothic" w:eastAsia="MS PGothic" w:hAnsi="MS PGothic"/>
          <w:sz w:val="18"/>
          <w:szCs w:val="18"/>
          <w:color w:val="auto"/>
        </w:rPr>
      </w:pPr>
    </w:p>
    <w:p>
      <w:pPr>
        <w:ind w:left="240" w:hanging="233"/>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47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410"/>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Trading</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5"/>
              </w:rPr>
              <w:t>Name of each exchange</w:t>
            </w:r>
          </w:p>
        </w:tc>
      </w:tr>
      <w:tr>
        <w:trPr>
          <w:trHeight w:val="230"/>
        </w:trPr>
        <w:tc>
          <w:tcPr>
            <w:tcW w:w="476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5"/>
              </w:rPr>
              <w:t>Title of each class</w:t>
            </w:r>
          </w:p>
        </w:tc>
        <w:tc>
          <w:tcPr>
            <w:tcW w:w="300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7"/>
              </w:rPr>
              <w:t>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7"/>
              </w:rPr>
              <w:t>on which registered</w:t>
            </w:r>
          </w:p>
        </w:tc>
      </w:tr>
      <w:tr>
        <w:trPr>
          <w:trHeight w:val="221"/>
        </w:trPr>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Common Stock, par value $0.01 per share</w:t>
            </w:r>
          </w:p>
        </w:tc>
        <w:tc>
          <w:tcPr>
            <w:tcW w:w="1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731"/>
              <w:spacing w:after="0"/>
              <w:rPr>
                <w:sz w:val="20"/>
                <w:szCs w:val="20"/>
                <w:color w:val="auto"/>
              </w:rPr>
            </w:pPr>
            <w:r>
              <w:rPr>
                <w:rFonts w:ascii="Arial" w:cs="Arial" w:eastAsia="Arial" w:hAnsi="Arial"/>
                <w:sz w:val="18"/>
                <w:szCs w:val="18"/>
                <w:color w:val="auto"/>
                <w:w w:val="95"/>
              </w:rPr>
              <w:t>SNCY</w:t>
            </w:r>
          </w:p>
        </w:tc>
        <w:tc>
          <w:tcPr>
            <w:tcW w:w="10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6" w:lineRule="exact"/>
        <w:rPr>
          <w:sz w:val="24"/>
          <w:szCs w:val="24"/>
          <w:color w:val="auto"/>
        </w:rPr>
      </w:pPr>
    </w:p>
    <w:p>
      <w:pPr>
        <w:ind w:right="22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right="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40005</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624205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654" w:right="339" w:bottom="1440" w:gutter="0" w:footer="0" w:header="0"/>
          <w:type w:val="continuous"/>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4" w:lineRule="exact"/>
        <w:rPr>
          <w:sz w:val="20"/>
          <w:szCs w:val="20"/>
          <w:color w:val="auto"/>
        </w:rPr>
      </w:pPr>
    </w:p>
    <w:p>
      <w:pPr>
        <w:jc w:val="both"/>
        <w:ind w:right="440" w:firstLine="356"/>
        <w:spacing w:after="0" w:line="258" w:lineRule="auto"/>
        <w:rPr>
          <w:sz w:val="20"/>
          <w:szCs w:val="20"/>
          <w:color w:val="auto"/>
        </w:rPr>
      </w:pPr>
      <w:r>
        <w:rPr>
          <w:rFonts w:ascii="Arial" w:cs="Arial" w:eastAsia="Arial" w:hAnsi="Arial"/>
          <w:sz w:val="18"/>
          <w:szCs w:val="18"/>
          <w:color w:val="auto"/>
        </w:rPr>
        <w:t>On October 12, 2021, Sun Country Airlines Holdings, Inc. (the “Company”or “we”) filed a Registration Statement on Form S-1 (the “Registration Statement”) in connection with a proposed secondary public offering of its common stock (the “Offering”). The Registration Statement contains certain recent developments regarding the Company, which are set forth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0" w:lineRule="exact"/>
        <w:rPr>
          <w:sz w:val="20"/>
          <w:szCs w:val="20"/>
          <w:color w:val="auto"/>
        </w:rPr>
      </w:pPr>
    </w:p>
    <w:p>
      <w:pPr>
        <w:ind w:right="100" w:firstLine="356"/>
        <w:spacing w:after="0" w:line="266" w:lineRule="auto"/>
        <w:rPr>
          <w:sz w:val="20"/>
          <w:szCs w:val="20"/>
          <w:color w:val="auto"/>
        </w:rPr>
      </w:pPr>
      <w:r>
        <w:rPr>
          <w:rFonts w:ascii="Arial" w:cs="Arial" w:eastAsia="Arial" w:hAnsi="Arial"/>
          <w:sz w:val="17"/>
          <w:szCs w:val="17"/>
          <w:color w:val="auto"/>
        </w:rPr>
        <w:t>The following presents selected preliminary estimates of our consolidated financial and other data for the three months ended September 30, 2021 and actual unaudited financial and other data for the three months ended September 30, 2020 and 2019. Our consolidated financial statements as of, and for the three months ended, September 30, 2021 are not yet available and are subject to completion of our financial closing procedures. The following information reflects our preliminary estimates based on currently available information and is subject to change. We have provided ranges, rather than specific amounts, for the preliminary results described below primarily because we are still in the process of finalizing our financial and operating results as of, and for the three months ended, September 30, 2021 and, as a result, our final reported results may vary materially from the preliminary estimates. The preliminary financial data included in this Current Report on Form 8-K have been prepared by, and are the responsibility of, our management. KPMG LLP has not audited, reviewed, compiled or applied agreed-upon procedures with respect to the preliminary financial data. Accordingly, KPMG LLP does not express an opinion or any other form of assurance with respect thereto.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8"/>
        </w:trPr>
        <w:tc>
          <w:tcPr>
            <w:tcW w:w="3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8"/>
                <w:szCs w:val="18"/>
                <w:b w:val="1"/>
                <w:bCs w:val="1"/>
                <w:color w:val="auto"/>
              </w:rPr>
              <w:t>2021</w:t>
            </w:r>
          </w:p>
        </w:tc>
        <w:tc>
          <w:tcPr>
            <w:tcW w:w="1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2019</w:t>
            </w:r>
          </w:p>
        </w:tc>
      </w:tr>
      <w:tr>
        <w:trPr>
          <w:trHeight w:val="207"/>
        </w:trPr>
        <w:tc>
          <w:tcPr>
            <w:tcW w:w="3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 (Estimated)</w:t>
            </w:r>
          </w:p>
        </w:tc>
        <w:tc>
          <w:tcPr>
            <w:tcW w:w="26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Arial" w:cs="Arial" w:eastAsia="Arial" w:hAnsi="Arial"/>
                <w:sz w:val="18"/>
                <w:szCs w:val="18"/>
                <w:b w:val="1"/>
                <w:bCs w:val="1"/>
                <w:color w:val="auto"/>
                <w:w w:val="99"/>
              </w:rPr>
              <w:t>High (Estimated)</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Actual</w:t>
            </w:r>
          </w:p>
        </w:tc>
        <w:tc>
          <w:tcPr>
            <w:tcW w:w="1000" w:type="dxa"/>
            <w:vAlign w:val="bottom"/>
          </w:tcPr>
          <w:p>
            <w:pPr>
              <w:spacing w:after="0"/>
              <w:rPr>
                <w:sz w:val="17"/>
                <w:szCs w:val="17"/>
                <w:color w:val="auto"/>
              </w:rPr>
            </w:pPr>
          </w:p>
        </w:tc>
      </w:tr>
      <w:tr>
        <w:trPr>
          <w:trHeight w:val="207"/>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Unaudited</w:t>
            </w:r>
          </w:p>
        </w:tc>
        <w:tc>
          <w:tcPr>
            <w:tcW w:w="2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172,000</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175,000</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77,973</w:t>
            </w:r>
          </w:p>
        </w:tc>
        <w:tc>
          <w:tcPr>
            <w:tcW w:w="48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171,478</w:t>
            </w: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20,500</w:t>
            </w:r>
          </w:p>
        </w:tc>
        <w:tc>
          <w:tcPr>
            <w:tcW w:w="2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8,817</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r>
      <w:tr>
        <w:trPr>
          <w:trHeight w:val="213"/>
        </w:trPr>
        <w:tc>
          <w:tcPr>
            <w:tcW w:w="3980" w:type="dxa"/>
            <w:vAlign w:val="bottom"/>
          </w:tcPr>
          <w:p>
            <w:pPr>
              <w:spacing w:after="0"/>
              <w:rPr>
                <w:sz w:val="20"/>
                <w:szCs w:val="20"/>
                <w:color w:val="auto"/>
              </w:rPr>
            </w:pPr>
            <w:r>
              <w:rPr>
                <w:rFonts w:ascii="Arial" w:cs="Arial" w:eastAsia="Arial" w:hAnsi="Arial"/>
                <w:sz w:val="18"/>
                <w:szCs w:val="18"/>
                <w:b w:val="1"/>
                <w:bCs w:val="1"/>
                <w:color w:val="auto"/>
              </w:rPr>
              <w:t>Other Operating Data:</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3"/>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ASMs</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1,530,000</w:t>
            </w: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974,584</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5248910</wp:posOffset>
            </wp:positionH>
            <wp:positionV relativeFrom="paragraph">
              <wp:posOffset>-956945</wp:posOffset>
            </wp:positionV>
            <wp:extent cx="135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-956945</wp:posOffset>
            </wp:positionV>
            <wp:extent cx="135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-956945</wp:posOffset>
            </wp:positionV>
            <wp:extent cx="25247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476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-1101090</wp:posOffset>
            </wp:positionV>
            <wp:extent cx="135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179" w:lineRule="exact"/>
        <w:rPr>
          <w:sz w:val="20"/>
          <w:szCs w:val="20"/>
          <w:color w:val="auto"/>
        </w:rPr>
      </w:pPr>
    </w:p>
    <w:p>
      <w:pPr>
        <w:ind w:right="40" w:firstLine="356"/>
        <w:spacing w:after="0" w:line="250" w:lineRule="auto"/>
        <w:rPr>
          <w:sz w:val="20"/>
          <w:szCs w:val="20"/>
          <w:color w:val="auto"/>
        </w:rPr>
      </w:pPr>
      <w:r>
        <w:rPr>
          <w:rFonts w:ascii="Arial" w:cs="Arial" w:eastAsia="Arial" w:hAnsi="Arial"/>
          <w:sz w:val="18"/>
          <w:szCs w:val="18"/>
          <w:color w:val="auto"/>
        </w:rPr>
        <w:t>For the third quarter of 2021 we expect revenue to be between $172 million and $175 million, which would be an increase of approximately 121% to 124% as compared to the third quarter of 2020 and an increase of approximately 0% to 2% as compared to the third quarter of 2019. Passenger revenue for the third quarter of 2021 is expected to be up approximately 136% from the third quarter of 2020 due to the strength of the COVID-19 pandemic recovery compared to the prior year. Passenger revenue for the third quarter of 2021 is estimated to be 13% lower than the third quarter of 2019, due to the COVID-19 pandemic impact on passenger air traffic, which has not yet recovered to 2019 levels despite the recovery underway. Cargo revenue is expected to be up approximately 71% versus the third quarter of 2020 largely due to the fact that in the prior period we were operating fewer freighter aircraft. Our cargo fleet was not fully ramped up to the full 12 aircraft until mid-fourth quarter of 2020. We did not receive any cargo revenue in 2019, as our cargo service commenced in May 2020.</w:t>
      </w:r>
    </w:p>
    <w:p>
      <w:pPr>
        <w:spacing w:after="0" w:line="196" w:lineRule="exact"/>
        <w:rPr>
          <w:sz w:val="20"/>
          <w:szCs w:val="20"/>
          <w:color w:val="auto"/>
        </w:rPr>
      </w:pPr>
    </w:p>
    <w:p>
      <w:pPr>
        <w:ind w:right="40" w:firstLine="356"/>
        <w:spacing w:after="0" w:line="286" w:lineRule="auto"/>
        <w:rPr>
          <w:sz w:val="20"/>
          <w:szCs w:val="20"/>
          <w:color w:val="auto"/>
        </w:rPr>
      </w:pPr>
      <w:r>
        <w:rPr>
          <w:rFonts w:ascii="Arial" w:cs="Arial" w:eastAsia="Arial" w:hAnsi="Arial"/>
          <w:sz w:val="16"/>
          <w:szCs w:val="16"/>
          <w:color w:val="auto"/>
        </w:rPr>
        <w:t>For the third quarter of 2021 we expect operating income to be between $20.5 million and $23.5 million, which would be an increase of approximately 133% to 167% as compared to the third quarter of 2020 and an increase of approximately 96% to 124% as compared to the third quarter of 2019. For the third quarter of 2021, operating expenses are expected to be up approximately 119% as compared to the third quarter of 2020, driven by increased flying from the COVID-19 pandemic recovery and increased cargo fleet, higher fuel prices, and a $32.9 million credit received in the third quarter of 2020 under the CARES Act. The increase in operating expenses is expected to be offset by the increase in revenue in the third quarter of 2021. Operating expenses in the third quarter of 2021 are expected to be approximately 6% lower than the third quarter of 2019, driven by lower fuel costs from reduced passenger service flying and a shift of aircraft ownership away from leased aircraft to debt financed aircraft. This shift is reducing our aircraft rent expense, but is increasing depreciation and amortization expenses, as well as interest expense in the non-operating portion of our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firstLine="356"/>
        <w:spacing w:after="0" w:line="300" w:lineRule="auto"/>
        <w:rPr>
          <w:sz w:val="20"/>
          <w:szCs w:val="20"/>
          <w:color w:val="auto"/>
        </w:rPr>
      </w:pPr>
      <w:r>
        <w:rPr>
          <w:rFonts w:ascii="Arial" w:cs="Arial" w:eastAsia="Arial" w:hAnsi="Arial"/>
          <w:sz w:val="17"/>
          <w:szCs w:val="17"/>
          <w:color w:val="auto"/>
        </w:rPr>
        <w:t>For the third quarter of 2021, ASMs are expected to be between 1.53 billion and 1.56 billion, which would be an increase of approximately 57% to 60% as compared to the third quarter of 2020 and a decrease of approximately 16% to 17% as compared to the third quarter of 2019.</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financial and operating results and business operations for our scheduled service and charter businesses for the three months ended September 30,</w:t>
      </w:r>
    </w:p>
    <w:p>
      <w:pPr>
        <w:spacing w:after="0" w:line="42"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2020 were materially and adversely impacted as a result of the COVID-19 pandemic. We believe that our financial and operating results for the three months ended September 30, 2019 are more useful indicators of our scheduled service and charter service operating performance during normal industry conditions.</w:t>
      </w:r>
    </w:p>
    <w:p>
      <w:pPr>
        <w:spacing w:after="0" w:line="143" w:lineRule="exact"/>
        <w:rPr>
          <w:sz w:val="20"/>
          <w:szCs w:val="20"/>
          <w:color w:val="auto"/>
        </w:rPr>
      </w:pPr>
    </w:p>
    <w:p>
      <w:pPr>
        <w:ind w:right="200" w:firstLine="356"/>
        <w:spacing w:after="0" w:line="286" w:lineRule="auto"/>
        <w:rPr>
          <w:sz w:val="20"/>
          <w:szCs w:val="20"/>
          <w:color w:val="auto"/>
        </w:rPr>
      </w:pPr>
      <w:r>
        <w:rPr>
          <w:rFonts w:ascii="Arial" w:cs="Arial" w:eastAsia="Arial" w:hAnsi="Arial"/>
          <w:sz w:val="16"/>
          <w:szCs w:val="16"/>
          <w:color w:val="auto"/>
        </w:rPr>
        <w:t>The information above should be read in conjunction with our consolidated financial statements and the related notes and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w:t>
      </w:r>
      <w:r>
        <w:rPr>
          <w:rFonts w:ascii="Arial" w:cs="Arial" w:eastAsia="Arial" w:hAnsi="Arial"/>
          <w:sz w:val="16"/>
          <w:szCs w:val="16"/>
          <w:color w:val="auto"/>
        </w:rPr>
        <w:t>” for prior periods included in the Registration Statement. Our actual results for the</w:t>
      </w:r>
    </w:p>
    <w:p>
      <w:pPr>
        <w:spacing w:after="0" w:line="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three months ended September 30, 2021 are not yet available, may differ materially from our preliminary estimates (including as a result of quarter-end closing and review procedures) and are not necessarily indicative of the results to be expected for the remainder of 2021 or any future period. Accordingly, you should not place undue reliance upon these preliminary estimates, which are subject to risks and uncertainties, many of which are not within our control. Please see “</w:t>
      </w:r>
      <w:r>
        <w:rPr>
          <w:rFonts w:ascii="Arial" w:cs="Arial" w:eastAsia="Arial" w:hAnsi="Arial"/>
          <w:sz w:val="16"/>
          <w:szCs w:val="16"/>
          <w:i w:val="1"/>
          <w:iCs w:val="1"/>
          <w:color w:val="auto"/>
        </w:rPr>
        <w:t>Risk Factors</w:t>
      </w:r>
      <w:r>
        <w:rPr>
          <w:rFonts w:ascii="Arial" w:cs="Arial" w:eastAsia="Arial" w:hAnsi="Arial"/>
          <w:sz w:val="16"/>
          <w:szCs w:val="16"/>
          <w:color w:val="auto"/>
        </w:rPr>
        <w:t>” and “</w:t>
      </w:r>
      <w:r>
        <w:rPr>
          <w:rFonts w:ascii="Arial" w:cs="Arial" w:eastAsia="Arial" w:hAnsi="Arial"/>
          <w:sz w:val="16"/>
          <w:szCs w:val="16"/>
          <w:i w:val="1"/>
          <w:iCs w:val="1"/>
          <w:color w:val="auto"/>
        </w:rPr>
        <w:t>Cautionary Note Regarding Forward-Looking Statements</w:t>
      </w:r>
      <w:r>
        <w:rPr>
          <w:rFonts w:ascii="Arial" w:cs="Arial" w:eastAsia="Arial" w:hAnsi="Arial"/>
          <w:sz w:val="16"/>
          <w:szCs w:val="16"/>
          <w:color w:val="auto"/>
        </w:rPr>
        <w:t>” in the Registration Statement for additional information regarding factors that could result in differences between the preliminary estimated ranges of certain of our financial results and other data presented above and the actual financial results and other information we will report as of and for the three months ended September 30, 2021.</w:t>
      </w:r>
    </w:p>
    <w:p>
      <w:pPr>
        <w:spacing w:after="0" w:line="166" w:lineRule="exact"/>
        <w:rPr>
          <w:sz w:val="20"/>
          <w:szCs w:val="20"/>
          <w:color w:val="auto"/>
        </w:rPr>
      </w:pPr>
    </w:p>
    <w:p>
      <w:pPr>
        <w:ind w:firstLine="356"/>
        <w:spacing w:after="0" w:line="253" w:lineRule="auto"/>
        <w:rPr>
          <w:sz w:val="20"/>
          <w:szCs w:val="20"/>
          <w:color w:val="auto"/>
        </w:rPr>
      </w:pPr>
      <w:r>
        <w:rPr>
          <w:rFonts w:ascii="Arial" w:cs="Arial" w:eastAsia="Arial" w:hAnsi="Arial"/>
          <w:sz w:val="18"/>
          <w:szCs w:val="18"/>
          <w:color w:val="auto"/>
        </w:rPr>
        <w:t>During 2021, we have continued to see recovery in demand from the COVID-19 pandemic relative to demand in 2020. However, the ongoing impact of the COVID-19 pandemic on overall demand for air travel remains uncertain and cannot be predicted at this time. In addition, the impact of COVID-19 vaccine mandates and uncertainties in pilot staffing, as well as higher fuel prices, could impact our business and results of operations in the near term. See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 Operations—Trends and Uncertainties Affecting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in the Registration Statement.</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chart shows a comparison of the preliminary estimated financial results of the Company for the third quarter of 2021 as compared to the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Company's previously issued guidance that was publicly disclosed on July 28, 2021 and September 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96455" cy="405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6455" cy="405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firstLine="356"/>
        <w:spacing w:after="0" w:line="255" w:lineRule="auto"/>
        <w:rPr>
          <w:sz w:val="20"/>
          <w:szCs w:val="20"/>
          <w:color w:val="auto"/>
        </w:rPr>
      </w:pPr>
      <w:r>
        <w:rPr>
          <w:rFonts w:ascii="Arial" w:cs="Arial" w:eastAsia="Arial" w:hAnsi="Arial"/>
          <w:sz w:val="18"/>
          <w:szCs w:val="18"/>
          <w:color w:val="auto"/>
        </w:rPr>
        <w:t>The information contained in this Item 2.02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filings, unless expressly incorporated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416560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80"/>
          </w:cols>
          <w:pgMar w:left="320" w:top="899" w:right="399" w:bottom="1440" w:gutter="0" w:footer="0" w:header="0"/>
        </w:sectPr>
      </w:pPr>
    </w:p>
    <w:bookmarkStart w:id="3" w:name="page4"/>
    <w:bookmarkEnd w:id="3"/>
    <w:p>
      <w:pPr>
        <w:spacing w:after="0"/>
        <w:tabs>
          <w:tab w:leader="none" w:pos="12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4" w:lineRule="exact"/>
        <w:rPr>
          <w:sz w:val="20"/>
          <w:szCs w:val="20"/>
          <w:color w:val="auto"/>
        </w:rPr>
      </w:pPr>
    </w:p>
    <w:p>
      <w:pPr>
        <w:ind w:right="520" w:firstLine="356"/>
        <w:spacing w:after="0" w:line="270" w:lineRule="auto"/>
        <w:rPr>
          <w:sz w:val="20"/>
          <w:szCs w:val="20"/>
          <w:color w:val="auto"/>
        </w:rPr>
      </w:pPr>
      <w:r>
        <w:rPr>
          <w:rFonts w:ascii="Arial" w:cs="Arial" w:eastAsia="Arial" w:hAnsi="Arial"/>
          <w:sz w:val="18"/>
          <w:szCs w:val="18"/>
          <w:color w:val="auto"/>
        </w:rPr>
        <w:t>On October 12, 2021, the Company issued a press release announcing the launch of the Offering. A copy of the press release is attached hereto as Exhibit 99.1 and incorporated by reference herein.</w:t>
      </w:r>
    </w:p>
    <w:p>
      <w:pPr>
        <w:spacing w:after="0" w:line="175" w:lineRule="exact"/>
        <w:rPr>
          <w:sz w:val="20"/>
          <w:szCs w:val="20"/>
          <w:color w:val="auto"/>
        </w:rPr>
      </w:pPr>
    </w:p>
    <w:p>
      <w:pPr>
        <w:ind w:right="60" w:firstLine="356"/>
        <w:spacing w:after="0" w:line="282" w:lineRule="auto"/>
        <w:rPr>
          <w:sz w:val="20"/>
          <w:szCs w:val="20"/>
          <w:color w:val="auto"/>
        </w:rPr>
      </w:pPr>
      <w:r>
        <w:rPr>
          <w:rFonts w:ascii="Arial" w:cs="Arial" w:eastAsia="Arial" w:hAnsi="Arial"/>
          <w:sz w:val="16"/>
          <w:szCs w:val="16"/>
          <w:color w:val="auto"/>
        </w:rPr>
        <w:t>The information in this Current Report on Form 8-K contains forward-looking statements based on management’s current expectations and projections, which are intended to qualify for the safe harbor of Section 27A of the Securities Act of 1933, as amended, and Section 21E of the Exchange Act. Forward-looking statements include statements regarding third quarter results and other statements identified by words such as “believe,” “will,” “may,” “might,” “likely,” “expect,” “anticipates,” “intends,” “plans,” “seeks,” “estimates,” “believes,” “continues,” “projects” and similar references to future periods, or by the inclusion of forecasts or projections. All forward-looking statements are based on current expectations and projections of future events. These forward-looking statements reflect the current views, estimates and assumptions of the Company, and are subject to various risks and uncertainties that cannot be predicted or qualified and could cause actual results in the Company’s performance to differ materially from those expressed or implied by such forward looking statements. These risks and uncertainties include, but are not limited to, the COVID-19 pandemic and its effects including related travel restrictions, social distancing measures and decreased demand for air travel, the competitive environment in the Company’s industry, the Company’s ability to implement its business strategy successfully and other factors set forth under “Risk Factors” in the Registration Statement. All forward-looking statements made herein are expressly qualified in their entirety by these cautionary statements and there can be no assurance that the actual results, events or developments referenced herein will occur or be realized. Readers are cautioned that all forward-looking statements speak only to the facts and circumstances present as of the date of this Current Report on Form 8-K. The Company expressly disclaims any obligation to update or revise any forward-looking statements, whether as a result of new information, future events or otherwise.</w:t>
      </w:r>
    </w:p>
    <w:p>
      <w:pPr>
        <w:spacing w:after="0" w:line="17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4" w:lineRule="exact"/>
        <w:rPr>
          <w:sz w:val="20"/>
          <w:szCs w:val="20"/>
          <w:color w:val="auto"/>
        </w:rPr>
      </w:pPr>
    </w:p>
    <w:p>
      <w:pPr>
        <w:ind w:left="260" w:hanging="253"/>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240" w:type="dxa"/>
            <w:vAlign w:val="bottom"/>
            <w:tcBorders>
              <w:top w:val="single" w:sz="8" w:color="auto"/>
            </w:tcBorders>
            <w:gridSpan w:val="3"/>
          </w:tcPr>
          <w:p>
            <w:pPr>
              <w:ind w:left="20"/>
              <w:spacing w:after="0" w:line="168" w:lineRule="exact"/>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20" w:type="dxa"/>
            <w:vAlign w:val="bottom"/>
          </w:tcPr>
          <w:p>
            <w:pPr>
              <w:spacing w:after="0"/>
              <w:rPr>
                <w:sz w:val="14"/>
                <w:szCs w:val="14"/>
                <w:color w:val="auto"/>
              </w:rPr>
            </w:pPr>
          </w:p>
        </w:tc>
        <w:tc>
          <w:tcPr>
            <w:tcW w:w="9880" w:type="dxa"/>
            <w:vAlign w:val="bottom"/>
            <w:tcBorders>
              <w:top w:val="single" w:sz="8" w:color="auto"/>
            </w:tcBorders>
            <w:gridSpan w:val="3"/>
          </w:tcPr>
          <w:p>
            <w:pPr>
              <w:ind w:left="20"/>
              <w:spacing w:after="0" w:line="168"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October 12, 2021</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232"/>
        </w:trPr>
        <w:tc>
          <w:tcPr>
            <w:tcW w:w="320" w:type="dxa"/>
            <w:vAlign w:val="bottom"/>
            <w:gridSpan w:val="2"/>
          </w:tcPr>
          <w:p>
            <w:pPr>
              <w:ind w:left="20"/>
              <w:spacing w:after="0"/>
              <w:rPr>
                <w:sz w:val="20"/>
                <w:szCs w:val="20"/>
                <w:color w:val="auto"/>
              </w:rPr>
            </w:pPr>
            <w:r>
              <w:rPr>
                <w:rFonts w:ascii="Arial" w:cs="Arial" w:eastAsia="Arial" w:hAnsi="Arial"/>
                <w:sz w:val="18"/>
                <w:szCs w:val="18"/>
                <w:color w:val="auto"/>
                <w:w w:val="93"/>
              </w:rPr>
              <w:t>104</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80" w:type="dxa"/>
            <w:vAlign w:val="bottom"/>
            <w:gridSpan w:val="3"/>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69"/>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firstLine="640"/>
        <w:spacing w:after="0" w:line="270"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Date: October 12, 2021</w:t>
            </w:r>
          </w:p>
        </w:tc>
        <w:tc>
          <w:tcPr>
            <w:tcW w:w="7200" w:type="dxa"/>
            <w:vAlign w:val="bottom"/>
            <w:gridSpan w:val="2"/>
          </w:tcPr>
          <w:p>
            <w:pPr>
              <w:ind w:left="2380"/>
              <w:spacing w:after="0"/>
              <w:rPr>
                <w:sz w:val="20"/>
                <w:szCs w:val="20"/>
                <w:color w:val="auto"/>
              </w:rPr>
            </w:pPr>
            <w:r>
              <w:rPr>
                <w:rFonts w:ascii="Arial" w:cs="Arial" w:eastAsia="Arial" w:hAnsi="Arial"/>
                <w:sz w:val="18"/>
                <w:szCs w:val="18"/>
                <w:b w:val="1"/>
                <w:bCs w:val="1"/>
                <w:color w:val="auto"/>
              </w:rPr>
              <w:t>Sun Country Airlines Holdings, Inc.</w:t>
            </w:r>
          </w:p>
        </w:tc>
      </w:tr>
      <w:tr>
        <w:trPr>
          <w:trHeight w:val="428"/>
        </w:trPr>
        <w:tc>
          <w:tcPr>
            <w:tcW w:w="4040" w:type="dxa"/>
            <w:vAlign w:val="bottom"/>
          </w:tcPr>
          <w:p>
            <w:pPr>
              <w:spacing w:after="0"/>
              <w:rPr>
                <w:sz w:val="24"/>
                <w:szCs w:val="24"/>
                <w:color w:val="auto"/>
              </w:rPr>
            </w:pPr>
          </w:p>
        </w:tc>
        <w:tc>
          <w:tcPr>
            <w:tcW w:w="2940" w:type="dxa"/>
            <w:vAlign w:val="bottom"/>
          </w:tcPr>
          <w:p>
            <w:pPr>
              <w:ind w:left="2380"/>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Levenhagen</w:t>
            </w:r>
          </w:p>
        </w:tc>
      </w:tr>
      <w:tr>
        <w:trPr>
          <w:trHeight w:val="193"/>
        </w:trPr>
        <w:tc>
          <w:tcPr>
            <w:tcW w:w="40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260" w:type="dxa"/>
            <w:vAlign w:val="bottom"/>
          </w:tcPr>
          <w:p>
            <w:pPr>
              <w:spacing w:after="0" w:line="193" w:lineRule="exact"/>
              <w:rPr>
                <w:sz w:val="20"/>
                <w:szCs w:val="20"/>
                <w:color w:val="auto"/>
              </w:rPr>
            </w:pPr>
            <w:r>
              <w:rPr>
                <w:rFonts w:ascii="Arial" w:cs="Arial" w:eastAsia="Arial" w:hAnsi="Arial"/>
                <w:sz w:val="18"/>
                <w:szCs w:val="18"/>
                <w:color w:val="auto"/>
              </w:rPr>
              <w:t>Eric Levenhagen</w:t>
            </w:r>
          </w:p>
        </w:tc>
      </w:tr>
      <w:tr>
        <w:trPr>
          <w:trHeight w:val="213"/>
        </w:trPr>
        <w:tc>
          <w:tcPr>
            <w:tcW w:w="40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Chief Administrative Officer, General Counsel and</w:t>
            </w:r>
          </w:p>
        </w:tc>
      </w:tr>
      <w:tr>
        <w:trPr>
          <w:trHeight w:val="226"/>
        </w:trPr>
        <w:tc>
          <w:tcPr>
            <w:tcW w:w="40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Secretary</w:t>
            </w:r>
          </w:p>
        </w:tc>
      </w:tr>
      <w:tr>
        <w:trPr>
          <w:trHeight w:val="669"/>
        </w:trPr>
        <w:tc>
          <w:tcPr>
            <w:tcW w:w="4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 Announces Launch of Secondary Public Offering of Common Stock</w:t>
      </w:r>
    </w:p>
    <w:p>
      <w:pPr>
        <w:spacing w:after="0" w:line="22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color w:val="auto"/>
        </w:rPr>
        <w:t xml:space="preserve">MINNEAPOLIS, October 12, 2021/PRNewswire/ -- </w:t>
      </w:r>
      <w:r>
        <w:rPr>
          <w:rFonts w:ascii="Arial" w:cs="Arial" w:eastAsia="Arial" w:hAnsi="Arial"/>
          <w:sz w:val="18"/>
          <w:szCs w:val="18"/>
          <w:color w:val="auto"/>
        </w:rPr>
        <w:t>– Sun Country Airlines Holdings, Inc. (NASDAQ: SNCY) (“Sun Country Airlines”)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of a proposed secondary public offering of 8,000,000 shares of its common stock by certain of its existing shareholders (collectively, the “Selling Stockholders”).</w:t>
      </w:r>
    </w:p>
    <w:p>
      <w:pPr>
        <w:spacing w:after="0" w:line="183"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The underwriters will have a 30-day option to purchase up to an additional 1,200,000 shares of common stock from the Selling Stockholders. Sun Country Airlines is not selling any shares and will not receive any proceeds from the proposed offering.</w:t>
      </w:r>
    </w:p>
    <w:p>
      <w:pPr>
        <w:spacing w:after="0" w:line="175" w:lineRule="exact"/>
        <w:rPr>
          <w:sz w:val="20"/>
          <w:szCs w:val="20"/>
          <w:color w:val="auto"/>
        </w:rPr>
      </w:pPr>
    </w:p>
    <w:p>
      <w:pPr>
        <w:ind w:right="640"/>
        <w:spacing w:after="0" w:line="270" w:lineRule="auto"/>
        <w:rPr>
          <w:sz w:val="20"/>
          <w:szCs w:val="20"/>
          <w:color w:val="auto"/>
        </w:rPr>
      </w:pPr>
      <w:r>
        <w:rPr>
          <w:rFonts w:ascii="Arial" w:cs="Arial" w:eastAsia="Arial" w:hAnsi="Arial"/>
          <w:sz w:val="18"/>
          <w:szCs w:val="18"/>
          <w:color w:val="auto"/>
        </w:rPr>
        <w:t>Barclays and Morgan Stanley are acting as joint lead bookrunners for the proposed offering. Apollo Global Securities is acting as co-manager for the proposed offering.</w:t>
      </w:r>
    </w:p>
    <w:p>
      <w:pPr>
        <w:spacing w:after="0" w:line="17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The offering will be made only by means of a prospectus. A copy of the preliminary prospectus relating to this offering, when available, may be obtained from Barclays Capital Inc., c/o Broadridge Financial Solutions, 1155 Long Island Avenue, Edgewood, NY 11717, or by telephone at 888-603-5847, or by email at Barclaysprospectus@broadridge.com or Morgan Stanley &amp; Co. LLC, Attn: Prospectus Department, 180 Varick, 2nd Floor, New York, New York 10014.</w:t>
      </w:r>
    </w:p>
    <w:p>
      <w:pPr>
        <w:spacing w:after="0" w:line="188" w:lineRule="exact"/>
        <w:rPr>
          <w:sz w:val="20"/>
          <w:szCs w:val="20"/>
          <w:color w:val="auto"/>
        </w:rPr>
      </w:pPr>
    </w:p>
    <w:p>
      <w:pPr>
        <w:ind w:right="20"/>
        <w:spacing w:after="0" w:line="350" w:lineRule="auto"/>
        <w:rPr>
          <w:sz w:val="20"/>
          <w:szCs w:val="20"/>
          <w:color w:val="auto"/>
        </w:rPr>
      </w:pPr>
      <w:r>
        <w:rPr>
          <w:rFonts w:ascii="Arial" w:cs="Arial" w:eastAsia="Arial" w:hAnsi="Arial"/>
          <w:sz w:val="14"/>
          <w:szCs w:val="14"/>
          <w:color w:val="auto"/>
        </w:rPr>
        <w:t>A registration statement on Form S-1 relating to these securities has been filed with the Securities and Exchange Commission but has not yet become effective. These securities may not be sold nor may offers to buy be accepted prior to the time the registration statement becomes effective. 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22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passengers and charter customers and providing cargo CMI services, with flights throughout the United States and to destinations in Canada, Mexico, Central America and the Caribbean.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240030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Sun Country Airlines has made statements in this press release and other reports, filings, and other public written and verbal announcements that are forward-looking and therefore subject to risks and uncertainties. All statements, other than statements of historical fact, included in this document are, or could be, “forward-looking statements” within the meaning of the Private Securities Litigation Reform Act of 1995 and are made in reliance on the safe harbor protections provided thereunder. These forward-looking statements relate to, among other things, our strategy, outlook and growth prospects, our operational and financial targets and dividend policy, general economic trends and trends in the industry and markets, the competitive environment in which we operate and other matters. Any forward-looking statement made in this press release speaks only as of the date on which it is made. Sun Country Airlines undertakes no obligation to publicly update or revise any forward-looking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Sun Country Airlines cautions that these statements are subject to risks and uncertainties, many of which are outside of Sun Country Airlines’ control, and could cause future events or results to be materially different from those stated or implied in this press release, including among others, risk factors that are described in Sun Country Airlines’ Registration Statement on Form S-1 filed in connection with the proposed offering, including the sections entitled “Risk Factors” and “Management’s Discussion and Analysis of Financial Condition and Results of Operations” contained therein and other filings with the Securities and Exchange Commission.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0A0A0A"/>
        </w:rPr>
        <w:t>651-681-4810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IR@suncountry.com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0A0A0A"/>
        </w:rPr>
        <w:t>651-900-8400</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mediarelations@suncountry.com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1240"/>
      </w:cols>
      <w:pgMar w:left="320" w:top="3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2021-10-12T15:54:42Z</dcterms:created>
  <dcterms:modified xsi:type="dcterms:W3CDTF">2021-10-12T15:54:42Z</dcterms:modified>
</cp:coreProperties>
</file>