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December 27, 2022.</w:t>
      </w:r>
    </w:p>
    <w:p>
      <w:pPr>
        <w:spacing w:after="0" w:line="5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            ​</w:t>
      </w:r>
    </w:p>
    <w:p>
      <w:pPr>
        <w:spacing w:after="0" w:line="8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1905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9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Washington, D.C. 20549</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116205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ind w:right="-419"/>
        <w:spacing w:after="0" w:line="234" w:lineRule="auto"/>
        <w:rPr>
          <w:sz w:val="20"/>
          <w:szCs w:val="20"/>
          <w:color w:val="auto"/>
        </w:rPr>
      </w:pPr>
      <w:r>
        <w:rPr>
          <w:rFonts w:ascii="Times New Roman" w:cs="Times New Roman" w:eastAsia="Times New Roman" w:hAnsi="Times New Roman"/>
          <w:sz w:val="18"/>
          <w:szCs w:val="18"/>
          <w:b w:val="1"/>
          <w:bCs w:val="1"/>
          <w:color w:val="auto"/>
        </w:rPr>
        <w:t>UNDER</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107315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109220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9" w:lineRule="exact"/>
        <w:rPr>
          <w:sz w:val="24"/>
          <w:szCs w:val="24"/>
          <w:color w:val="auto"/>
        </w:rPr>
      </w:pPr>
    </w:p>
    <w:p>
      <w:pPr>
        <w:ind w:left="500"/>
        <w:spacing w:after="0"/>
        <w:tabs>
          <w:tab w:leader="none" w:pos="2520" w:val="left"/>
          <w:tab w:leader="none" w:pos="5280" w:val="left"/>
          <w:tab w:leader="none" w:pos="7420" w:val="left"/>
          <w:tab w:leader="none" w:pos="102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b w:val="1"/>
          <w:bCs w:val="1"/>
          <w:color w:val="auto"/>
        </w:rPr>
        <w:t>82-4092570</w:t>
      </w:r>
      <w:r>
        <w:rPr>
          <w:sz w:val="20"/>
          <w:szCs w:val="20"/>
          <w:color w:val="auto"/>
        </w:rPr>
        <w:tab/>
      </w:r>
      <w:r>
        <w:rPr>
          <w:rFonts w:ascii="Times New Roman" w:cs="Times New Roman" w:eastAsia="Times New Roman" w:hAnsi="Times New Roman"/>
          <w:sz w:val="16"/>
          <w:szCs w:val="16"/>
          <w:color w:val="auto"/>
        </w:rPr>
        <w:t>​</w:t>
      </w:r>
    </w:p>
    <w:p>
      <w:pPr>
        <w:ind w:left="1860"/>
        <w:spacing w:after="0" w:line="211" w:lineRule="auto"/>
        <w:tabs>
          <w:tab w:leader="none" w:pos="6440" w:val="left"/>
        </w:tabs>
        <w:rPr>
          <w:sz w:val="20"/>
          <w:szCs w:val="20"/>
          <w:color w:val="auto"/>
        </w:rPr>
      </w:pPr>
      <w:r>
        <w:rPr>
          <w:rFonts w:ascii="Times New Roman" w:cs="Times New Roman" w:eastAsia="Times New Roman" w:hAnsi="Times New Roman"/>
          <w:sz w:val="16"/>
          <w:szCs w:val="16"/>
          <w:color w:val="auto"/>
        </w:rPr>
        <w:t>(State or other jurisdiction of</w:t>
      </w:r>
      <w:r>
        <w:rPr>
          <w:sz w:val="20"/>
          <w:szCs w:val="20"/>
          <w:color w:val="auto"/>
        </w:rPr>
        <w:tab/>
      </w:r>
      <w:r>
        <w:rPr>
          <w:rFonts w:ascii="Times New Roman" w:cs="Times New Roman" w:eastAsia="Times New Roman" w:hAnsi="Times New Roman"/>
          <w:sz w:val="16"/>
          <w:szCs w:val="16"/>
          <w:color w:val="auto"/>
        </w:rPr>
        <w:t>(I.R.S. Employer Identification Number)</w:t>
      </w:r>
    </w:p>
    <w:p>
      <w:pPr>
        <w:ind w:left="18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18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2005 Cargo Road</w:t>
      </w:r>
    </w:p>
    <w:p>
      <w:pPr>
        <w:spacing w:after="0" w:line="1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Minneapolis, MN 55450</w:t>
      </w:r>
    </w:p>
    <w:p>
      <w:pPr>
        <w:spacing w:after="0" w:line="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(651) 681-3900</w:t>
      </w:r>
    </w:p>
    <w:p>
      <w:pPr>
        <w:spacing w:after="0" w:line="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(Address, including zip code, and telephone number, including area code, of registrant’s principal executive offices)</w:t>
      </w:r>
    </w:p>
    <w:p>
      <w:pPr>
        <w:spacing w:after="0" w:line="5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Erin Rose Neale, Esq.</w:t>
      </w:r>
    </w:p>
    <w:p>
      <w:pPr>
        <w:spacing w:after="0" w:line="1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Senior Vice President, General Counsel and Secretary</w:t>
      </w:r>
    </w:p>
    <w:p>
      <w:pPr>
        <w:spacing w:after="0" w:line="3"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5"/>
          <w:szCs w:val="15"/>
          <w:b w:val="1"/>
          <w:bCs w:val="1"/>
          <w:color w:val="auto"/>
        </w:rPr>
        <w:t>2005 Cargo Road</w:t>
      </w:r>
    </w:p>
    <w:p>
      <w:pPr>
        <w:ind w:left="4600"/>
        <w:spacing w:after="0" w:line="229" w:lineRule="auto"/>
        <w:rPr>
          <w:sz w:val="20"/>
          <w:szCs w:val="20"/>
          <w:color w:val="auto"/>
        </w:rPr>
      </w:pPr>
      <w:r>
        <w:rPr>
          <w:rFonts w:ascii="Times New Roman" w:cs="Times New Roman" w:eastAsia="Times New Roman" w:hAnsi="Times New Roman"/>
          <w:sz w:val="15"/>
          <w:szCs w:val="15"/>
          <w:b w:val="1"/>
          <w:bCs w:val="1"/>
          <w:color w:val="auto"/>
        </w:rPr>
        <w:t>Minneapolis, MN 55450</w:t>
      </w: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(651) 681-3900</w:t>
      </w:r>
    </w:p>
    <w:p>
      <w:pPr>
        <w:spacing w:after="0" w:line="1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116840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p>
      <w:pPr>
        <w:spacing w:after="0" w:line="5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Brian M. Janson, Esq.</w:t>
      </w:r>
    </w:p>
    <w:p>
      <w:pPr>
        <w:spacing w:after="0" w:line="1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Paul, Weiss, Rifkind, Wharton &amp; Garrison LLP</w:t>
      </w: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1285 Avenue of the Americas</w:t>
      </w:r>
    </w:p>
    <w:p>
      <w:pPr>
        <w:spacing w:after="0" w:line="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New York, NY 10019-6064</w:t>
      </w:r>
    </w:p>
    <w:p>
      <w:pPr>
        <w:spacing w:after="0" w:line="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(212) 373-3000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97790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3"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w:t>
      </w:r>
      <w:r>
        <w:rPr>
          <w:rFonts w:ascii="Times New Roman" w:cs="Times New Roman" w:eastAsia="Times New Roman" w:hAnsi="Times New Roman"/>
          <w:sz w:val="15"/>
          <w:szCs w:val="15"/>
          <w:color w:val="auto"/>
        </w:rPr>
        <w:t>: From time to time after the effective date of this Registration Statement.</w:t>
      </w:r>
    </w:p>
    <w:p>
      <w:pPr>
        <w:spacing w:after="0" w:line="61" w:lineRule="exact"/>
        <w:rPr>
          <w:sz w:val="24"/>
          <w:szCs w:val="24"/>
          <w:color w:val="auto"/>
        </w:rPr>
      </w:pPr>
    </w:p>
    <w:p>
      <w:pPr>
        <w:ind w:left="500" w:right="520" w:firstLine="360"/>
        <w:spacing w:after="0" w:line="197"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3" w:lineRule="exact"/>
        <w:rPr>
          <w:sz w:val="24"/>
          <w:szCs w:val="24"/>
          <w:color w:val="auto"/>
        </w:rPr>
      </w:pPr>
    </w:p>
    <w:p>
      <w:pPr>
        <w:ind w:left="500" w:right="280" w:firstLine="360"/>
        <w:spacing w:after="0" w:line="190"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2" w:lineRule="exact"/>
        <w:rPr>
          <w:sz w:val="24"/>
          <w:szCs w:val="24"/>
          <w:color w:val="auto"/>
        </w:rPr>
      </w:pPr>
    </w:p>
    <w:p>
      <w:pPr>
        <w:ind w:left="500" w:right="120" w:firstLine="360"/>
        <w:spacing w:after="0" w:line="197"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60" w:firstLine="360"/>
        <w:spacing w:after="0" w:line="196" w:lineRule="exact"/>
        <w:rPr>
          <w:sz w:val="20"/>
          <w:szCs w:val="20"/>
          <w:color w:val="auto"/>
        </w:rPr>
      </w:pPr>
      <w:r>
        <w:rPr>
          <w:rFonts w:ascii="Times New Roman" w:cs="Times New Roman" w:eastAsia="Times New Roman" w:hAnsi="Times New Roman"/>
          <w:sz w:val="15"/>
          <w:szCs w:val="15"/>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2" w:lineRule="exact"/>
        <w:rPr>
          <w:sz w:val="24"/>
          <w:szCs w:val="24"/>
          <w:color w:val="auto"/>
        </w:rPr>
      </w:pPr>
    </w:p>
    <w:p>
      <w:pPr>
        <w:ind w:left="500" w:right="300" w:firstLine="360"/>
        <w:spacing w:after="0" w:line="190"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 -effective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2" w:lineRule="exact"/>
        <w:rPr>
          <w:sz w:val="24"/>
          <w:szCs w:val="24"/>
          <w:color w:val="auto"/>
        </w:rPr>
      </w:pPr>
    </w:p>
    <w:p>
      <w:pPr>
        <w:ind w:left="500" w:right="500" w:firstLine="360"/>
        <w:spacing w:after="0" w:line="19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340" w:firstLine="360"/>
        <w:spacing w:after="0" w:line="25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80"/>
          </w:cols>
          <w:pgMar w:left="580" w:top="205" w:right="1039" w:bottom="1440" w:gutter="0" w:footer="0" w:header="0"/>
        </w:sectPr>
      </w:pPr>
    </w:p>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Large​</w:t>
            </w:r>
          </w:p>
        </w:tc>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gridSpan w:val="2"/>
          </w:tcPr>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p>
        </w:tc>
        <w:tc>
          <w:tcPr>
            <w:tcW w:w="31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 Accelerated filer</w:t>
            </w:r>
          </w:p>
        </w:tc>
        <w:tc>
          <w:tcPr>
            <w:tcW w:w="0" w:type="dxa"/>
            <w:vAlign w:val="bottom"/>
          </w:tcPr>
          <w:p>
            <w:pPr>
              <w:spacing w:after="0"/>
              <w:rPr>
                <w:sz w:val="1"/>
                <w:szCs w:val="1"/>
                <w:color w:val="auto"/>
              </w:rPr>
            </w:pPr>
          </w:p>
        </w:tc>
      </w:tr>
      <w:tr>
        <w:trPr>
          <w:trHeight w:val="162"/>
        </w:trPr>
        <w:tc>
          <w:tcPr>
            <w:tcW w:w="4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4"/>
                <w:szCs w:val="14"/>
                <w:color w:val="auto"/>
              </w:rPr>
            </w:pPr>
          </w:p>
        </w:tc>
        <w:tc>
          <w:tcPr>
            <w:tcW w:w="560" w:type="dxa"/>
            <w:vAlign w:val="bottom"/>
          </w:tcPr>
          <w:p>
            <w:pPr>
              <w:ind w:left="38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24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1240" w:type="dxa"/>
            <w:vAlign w:val="bottom"/>
          </w:tcPr>
          <w:p>
            <w:pPr>
              <w:ind w:left="106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0" w:type="dxa"/>
            <w:vAlign w:val="bottom"/>
          </w:tcPr>
          <w:p>
            <w:pPr>
              <w:spacing w:after="0"/>
              <w:rPr>
                <w:sz w:val="1"/>
                <w:szCs w:val="1"/>
                <w:color w:val="auto"/>
              </w:rPr>
            </w:pPr>
          </w:p>
        </w:tc>
      </w:tr>
      <w:tr>
        <w:trPr>
          <w:trHeight w:val="27"/>
        </w:trPr>
        <w:tc>
          <w:tcPr>
            <w:tcW w:w="1880" w:type="dxa"/>
            <w:vAlign w:val="bottom"/>
            <w:gridSpan w:val="2"/>
          </w:tcPr>
          <w:p>
            <w:pPr>
              <w:spacing w:after="0" w:line="27" w:lineRule="exact"/>
              <w:rPr>
                <w:sz w:val="20"/>
                <w:szCs w:val="20"/>
                <w:color w:val="auto"/>
              </w:rPr>
            </w:pPr>
            <w:r>
              <w:rPr>
                <w:rFonts w:ascii="Times New Roman" w:cs="Times New Roman" w:eastAsia="Times New Roman" w:hAnsi="Times New Roman"/>
                <w:sz w:val="3"/>
                <w:szCs w:val="3"/>
                <w:color w:val="auto"/>
              </w:rPr>
              <w:t>Non-accelerated filer</w:t>
            </w:r>
          </w:p>
        </w:tc>
        <w:tc>
          <w:tcPr>
            <w:tcW w:w="5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20"/>
                <w:szCs w:val="20"/>
                <w:color w:val="auto"/>
              </w:rPr>
            </w:pPr>
          </w:p>
        </w:tc>
        <w:tc>
          <w:tcPr>
            <w:tcW w:w="1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 ​</w:t>
            </w:r>
          </w:p>
        </w:tc>
        <w:tc>
          <w:tcPr>
            <w:tcW w:w="31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 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66" w:lineRule="exact"/>
        <w:tabs>
          <w:tab w:leader="none" w:pos="2480" w:val="left"/>
        </w:tabs>
        <w:rPr>
          <w:sz w:val="20"/>
          <w:szCs w:val="20"/>
          <w:color w:val="auto"/>
        </w:rPr>
      </w:pP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 w:lineRule="exact"/>
        <w:rPr>
          <w:sz w:val="24"/>
          <w:szCs w:val="24"/>
          <w:color w:val="auto"/>
        </w:rPr>
      </w:pPr>
    </w:p>
    <w:p>
      <w:pPr>
        <w:spacing w:after="0" w:line="184" w:lineRule="exact"/>
        <w:tabs>
          <w:tab w:leader="none" w:pos="2480" w:val="left"/>
        </w:tabs>
        <w:rPr>
          <w:sz w:val="20"/>
          <w:szCs w:val="20"/>
          <w:color w:val="auto"/>
        </w:rPr>
      </w:pP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5" w:lineRule="exact"/>
        <w:rPr>
          <w:sz w:val="24"/>
          <w:szCs w:val="24"/>
          <w:color w:val="auto"/>
        </w:rPr>
      </w:pPr>
    </w:p>
    <w:p>
      <w:pPr>
        <w:spacing w:after="0" w:line="184" w:lineRule="exact"/>
        <w:tabs>
          <w:tab w:leader="none" w:pos="2480" w:val="left"/>
        </w:tabs>
        <w:rPr>
          <w:sz w:val="20"/>
          <w:szCs w:val="20"/>
          <w:color w:val="auto"/>
        </w:rPr>
      </w:pP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11" w:lineRule="exact"/>
        <w:rPr>
          <w:sz w:val="24"/>
          <w:szCs w:val="24"/>
          <w:color w:val="auto"/>
        </w:rPr>
      </w:pPr>
    </w:p>
    <w:p>
      <w:pPr>
        <w:sectPr>
          <w:pgSz w:w="11900" w:h="16838" w:orient="portrait"/>
          <w:cols w:equalWidth="0" w:num="2">
            <w:col w:w="7320" w:space="400"/>
            <w:col w:w="2560"/>
          </w:cols>
          <w:pgMar w:left="580" w:top="205" w:right="1039" w:bottom="1440" w:gutter="0" w:footer="0" w:header="0"/>
          <w:type w:val="continuous"/>
        </w:sectPr>
      </w:pPr>
    </w:p>
    <w:p>
      <w:pPr>
        <w:ind w:left="500" w:right="360" w:firstLine="360"/>
        <w:spacing w:after="0" w:line="19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8"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w:t>
      </w:r>
    </w:p>
    <w:p>
      <w:pPr>
        <w:spacing w:after="0" w:line="35" w:lineRule="exact"/>
        <w:rPr>
          <w:sz w:val="24"/>
          <w:szCs w:val="24"/>
          <w:color w:val="auto"/>
        </w:rPr>
      </w:pPr>
    </w:p>
    <w:p>
      <w:pPr>
        <w:ind w:left="500" w:right="200"/>
        <w:spacing w:after="0" w:line="251" w:lineRule="auto"/>
        <w:rPr>
          <w:sz w:val="20"/>
          <w:szCs w:val="20"/>
          <w:color w:val="auto"/>
        </w:rPr>
      </w:pPr>
      <w:r>
        <w:rPr>
          <w:rFonts w:ascii="Times New Roman" w:cs="Times New Roman" w:eastAsia="Times New Roman" w:hAnsi="Times New Roman"/>
          <w:sz w:val="14"/>
          <w:szCs w:val="14"/>
          <w:b w:val="1"/>
          <w:bCs w:val="1"/>
          <w:color w:val="auto"/>
        </w:rPr>
        <w:t>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63500</wp:posOffset>
            </wp:positionV>
            <wp:extent cx="6189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73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sale is not</w:t>
            </w:r>
          </w:p>
        </w:tc>
      </w:tr>
      <w:tr>
        <w:trPr>
          <w:trHeight w:val="13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 offer or</w:t>
            </w:r>
          </w:p>
        </w:tc>
      </w:tr>
      <w:tr>
        <w:trPr>
          <w:trHeight w:val="293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until the registration statement filed with</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buy these securities in any jurisdiction</w:t>
            </w:r>
          </w:p>
        </w:tc>
      </w:tr>
      <w:tr>
        <w:trPr>
          <w:trHeight w:val="12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soliciting an offer</w:t>
            </w:r>
          </w:p>
        </w:tc>
      </w:tr>
      <w:tr>
        <w:trPr>
          <w:trHeight w:val="252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These securities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sell these securities and it is not</w:t>
            </w:r>
          </w:p>
        </w:tc>
      </w:tr>
      <w:tr>
        <w:trPr>
          <w:trHeight w:val="395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 not complete and</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8"/>
              </w:rPr>
              <w:t>Commission is effective. This prospectus is not an offerpermitted.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FC0014"/>
        </w:rPr>
        <w:t>Subject to completion, dated December 27,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448310</wp:posOffset>
            </wp:positionV>
            <wp:extent cx="2228850"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34,352,603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234315</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5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named in this prospectus may sell, from time to time, up to 34,352,603 shares of our common stock, including 9,482,606 shares of our common stock issuable upon exercise of outstanding warrants. The selling stockholders may offer for sale the shares of common stock covered by this prospectus directly to purchasers or through underwriters, broker or dealers or agents, in public or private transactions, at fixed prices, prevailing market prices at the times of sale, prices related to the prevailing market prices, varying prices determined at the times of sale or negotiated prices. Information on the selling stockholders and the times and manners in which they may offer and sell shares of our common stock is described under the sections entitled “Selling Stockholders” and “Plan of Distribution” in this prospectus. Our registration of the shares of common stock covered by this prospectus does not mean the selling stockholders will offer or sell any of the shares.</w:t>
      </w:r>
    </w:p>
    <w:p>
      <w:pPr>
        <w:spacing w:after="0" w:line="127" w:lineRule="exact"/>
        <w:rPr>
          <w:sz w:val="20"/>
          <w:szCs w:val="20"/>
          <w:color w:val="auto"/>
        </w:rPr>
      </w:pPr>
    </w:p>
    <w:p>
      <w:pPr>
        <w:ind w:right="27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stockholders. We have agreed to pay all expenses relating to registering the shares of common stock. The selling stockholders will pay any underwriting discounts and commissions, brokerage commissions and/or similar charges incurred for the sale of these shares of common stock.</w:t>
      </w:r>
    </w:p>
    <w:p>
      <w:pPr>
        <w:spacing w:after="0" w:line="99" w:lineRule="exact"/>
        <w:rPr>
          <w:sz w:val="20"/>
          <w:szCs w:val="20"/>
          <w:color w:val="auto"/>
        </w:rPr>
      </w:pPr>
    </w:p>
    <w:p>
      <w:pPr>
        <w:ind w:right="99" w:firstLine="360"/>
        <w:spacing w:after="0" w:line="282" w:lineRule="auto"/>
        <w:rPr>
          <w:sz w:val="20"/>
          <w:szCs w:val="20"/>
          <w:color w:val="auto"/>
        </w:rPr>
      </w:pPr>
      <w:r>
        <w:rPr>
          <w:rFonts w:ascii="Times New Roman" w:cs="Times New Roman" w:eastAsia="Times New Roman" w:hAnsi="Times New Roman"/>
          <w:sz w:val="18"/>
          <w:szCs w:val="18"/>
          <w:color w:val="auto"/>
        </w:rPr>
        <w:t>The common stock of Sun Country Airlines Holdings, Inc. is listed on the Nasdaq Global Select Market (“Nasdaq”) under the symbol “SNCY.”</w:t>
      </w:r>
    </w:p>
    <w:p>
      <w:pPr>
        <w:spacing w:after="0" w:line="94" w:lineRule="exact"/>
        <w:rPr>
          <w:sz w:val="20"/>
          <w:szCs w:val="20"/>
          <w:color w:val="auto"/>
        </w:rPr>
      </w:pPr>
    </w:p>
    <w:p>
      <w:pPr>
        <w:ind w:right="21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w:t>
      </w:r>
    </w:p>
    <w:p>
      <w:pPr>
        <w:spacing w:after="0" w:line="90" w:lineRule="exact"/>
        <w:rPr>
          <w:sz w:val="20"/>
          <w:szCs w:val="20"/>
          <w:color w:val="auto"/>
        </w:rPr>
      </w:pPr>
    </w:p>
    <w:p>
      <w:pPr>
        <w:ind w:right="2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that are referenced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4</w:t>
      </w:r>
      <w:r>
        <w:rPr>
          <w:rFonts w:ascii="Times New Roman" w:cs="Times New Roman" w:eastAsia="Times New Roman" w:hAnsi="Times New Roman"/>
          <w:sz w:val="17"/>
          <w:szCs w:val="17"/>
          <w:b w:val="1"/>
          <w:bCs w:val="1"/>
          <w:color w:val="auto"/>
        </w:rPr>
        <w:t xml:space="preserve"> of this prospectus. You should carefully review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contained in the applicable prospectus supplement and any related free writing prospectus and under similar headings in the documents that are incorporated by reference in this prospectus.</w:t>
      </w:r>
    </w:p>
    <w:p>
      <w:pPr>
        <w:spacing w:after="0" w:line="80" w:lineRule="exact"/>
        <w:rPr>
          <w:sz w:val="20"/>
          <w:szCs w:val="20"/>
          <w:color w:val="auto"/>
        </w:rPr>
      </w:pPr>
    </w:p>
    <w:p>
      <w:pPr>
        <w:ind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199390</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58420</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us.    Certain capitalized terms used in this prospectus are defined elsewhere in this prospectus.</w:t>
      </w:r>
    </w:p>
    <w:p>
      <w:pPr>
        <w:spacing w:after="0" w:line="33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Under this process, the selling stockholders named herein may offer and sell, from time to time in one or more offerings, up to an aggregate of 34,352,603 shares of our common stock, including 9,482,606 shares of our common stock issuable upon exercise of outstanding warrants.</w:t>
      </w:r>
    </w:p>
    <w:p>
      <w:pPr>
        <w:spacing w:after="0" w:line="10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common stock that the selling stockholders may offer. Each time the selling stockholders offer and sell shares of common stock, such selling stockholders may provide you with a prospectus supplement that will describe the specific amounts, prices and terms of the common stock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33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may also contain information about any material U.S. federal income tax considerations relating to the securities covered by the prospectus supplement.</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our common stock to underwriters who will sell the common stock to the public on terms fixed at the time of sale or at variable prices. In addition, the common stock may be sold by the selling stockholders directly or through dealers or agents designated from time to time, which agents may be affiliates of ours. If the selling stockholders, directly or through agents, solicit offers to purchase the common stock, the selling stockholders and their agents reserve the sole right to accept and to reject, in whole or in part, any offer.</w:t>
      </w:r>
    </w:p>
    <w:p>
      <w:pPr>
        <w:spacing w:after="0" w:line="10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will also contain, with respect to the securities being sold, the names of any underwriters, dealers or agents, together with the terms of the offering, the compensation of any underwriters, dealers or agents and the net proceeds to the selling stockholders.</w:t>
      </w:r>
    </w:p>
    <w:p>
      <w:pPr>
        <w:spacing w:after="0" w:line="108"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Any underwriters, dealers or agents participating in the offering may be deemed “underwriters” within the meaning of the Securities Act of 1933, as amended, which we refer to in this prospectus as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this prospectus, we “incorporate by reference” certain information that we file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73" w:lineRule="exact"/>
        <w:rPr>
          <w:sz w:val="20"/>
          <w:szCs w:val="20"/>
          <w:color w:val="auto"/>
        </w:rPr>
      </w:pPr>
    </w:p>
    <w:p>
      <w:pPr>
        <w:ind w:left="1800" w:right="419" w:hanging="180"/>
        <w:spacing w:after="0" w:line="266"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our Annual Report on Form 10-K for the fiscal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February 18, 2022, and Amendment No. 1 thereto, filed with the SEC on February 22, 2022 (the</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“2021 Annual Report”);</w:t>
        </w:r>
      </w:hyperlink>
    </w:p>
    <w:p>
      <w:pPr>
        <w:spacing w:after="0" w:line="54" w:lineRule="exact"/>
        <w:rPr>
          <w:rFonts w:ascii="Times New Roman" w:cs="Times New Roman" w:eastAsia="Times New Roman" w:hAnsi="Times New Roman"/>
          <w:sz w:val="18"/>
          <w:szCs w:val="18"/>
          <w:u w:val="single" w:color="auto"/>
          <w:color w:val="0000EE"/>
        </w:rPr>
      </w:pPr>
    </w:p>
    <w:p>
      <w:pPr>
        <w:ind w:left="1800" w:right="57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portions of our Definitive Proxy Statement on Schedule 14A, filed with the SEC on April 29, 2022,</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that are incorporated by reference into Part III of the 2021 Annual Report;</w:t>
        </w:r>
      </w:hyperlink>
    </w:p>
    <w:p>
      <w:pPr>
        <w:spacing w:after="0" w:line="53" w:lineRule="exact"/>
        <w:rPr>
          <w:rFonts w:ascii="Times New Roman" w:cs="Times New Roman" w:eastAsia="Times New Roman" w:hAnsi="Times New Roman"/>
          <w:sz w:val="18"/>
          <w:szCs w:val="18"/>
          <w:u w:val="single" w:color="auto"/>
          <w:color w:val="0000EE"/>
        </w:rPr>
      </w:pPr>
    </w:p>
    <w:p>
      <w:pPr>
        <w:ind w:left="1800" w:right="77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our Quarterly Report on Form 10-Q for the quarter ended March 31, 2022, filed with the SEC on</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May 6,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91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our Quarterly Report on Form 10-Q for the quarter ended June 30, 2022, filed with the SEC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August 10, 2022;</w:t>
        </w:r>
      </w:hyperlink>
    </w:p>
    <w:p>
      <w:pPr>
        <w:spacing w:after="0" w:line="40" w:lineRule="exact"/>
        <w:rPr>
          <w:rFonts w:ascii="Times New Roman" w:cs="Times New Roman" w:eastAsia="Times New Roman" w:hAnsi="Times New Roman"/>
          <w:sz w:val="18"/>
          <w:szCs w:val="18"/>
          <w:u w:val="single" w:color="auto"/>
          <w:color w:val="0000EE"/>
        </w:rPr>
      </w:pPr>
    </w:p>
    <w:p>
      <w:pPr>
        <w:ind w:left="1800" w:right="45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our Quarterly Report on Form 10-Q for the quarter ended September 30, 2022, filed with the SEC on</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November 2,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58" w:lineRule="auto"/>
        <w:tabs>
          <w:tab w:leader="none" w:pos="1800" w:val="left"/>
        </w:tabs>
        <w:numPr>
          <w:ilvl w:val="0"/>
          <w:numId w:val="1"/>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7, 2022 (second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5,</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 xml:space="preserve">April 29, 2022 </w:t>
        </w:r>
      </w:hyperlink>
      <w:hyperlink r:id="rId34">
        <w:r>
          <w:rPr>
            <w:rFonts w:ascii="Times New Roman" w:cs="Times New Roman" w:eastAsia="Times New Roman" w:hAnsi="Times New Roman"/>
            <w:sz w:val="18"/>
            <w:szCs w:val="18"/>
            <w:color w:val="000000"/>
          </w:rPr>
          <w:t>(as amended by our Current Report on Form 8-K/A filed with the SEC on</w:t>
        </w:r>
      </w:hyperlink>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 xml:space="preserve">October 14,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November 1, 2022 </w:t>
        </w:r>
      </w:hyperlink>
      <w:hyperlink r:id="rId41">
        <w:r>
          <w:rPr>
            <w:rFonts w:ascii="Times New Roman" w:cs="Times New Roman" w:eastAsia="Times New Roman" w:hAnsi="Times New Roman"/>
            <w:sz w:val="18"/>
            <w:szCs w:val="18"/>
            <w:u w:val="single" w:color="auto"/>
            <w:color w:val="0000EE"/>
          </w:rPr>
          <w:t>(both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other than information furnished pursuant to Item 2.02 or Item 7.01 of any such Current Report on Form 8-K); and</w:t>
      </w:r>
    </w:p>
    <w:p>
      <w:pPr>
        <w:spacing w:after="0" w:line="61" w:lineRule="exact"/>
        <w:rPr>
          <w:rFonts w:ascii="Times New Roman" w:cs="Times New Roman" w:eastAsia="Times New Roman" w:hAnsi="Times New Roman"/>
          <w:sz w:val="18"/>
          <w:szCs w:val="18"/>
          <w:color w:val="0000EE"/>
        </w:rPr>
      </w:pPr>
    </w:p>
    <w:p>
      <w:pPr>
        <w:ind w:left="1800" w:right="459" w:hanging="180"/>
        <w:spacing w:after="0" w:line="263"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until the completion of the offering under this prospectus shall be deemed to be incorporated in this prospectus by reference. The information contained on or accessible through our website at https://www.suncountry.com is not incorporated into this prospectus.</w:t>
      </w:r>
    </w:p>
    <w:p>
      <w:pPr>
        <w:spacing w:after="0" w:line="114" w:lineRule="exact"/>
        <w:rPr>
          <w:rFonts w:ascii="Times New Roman" w:cs="Times New Roman" w:eastAsia="Times New Roman" w:hAnsi="Times New Roman"/>
          <w:sz w:val="18"/>
          <w:szCs w:val="18"/>
          <w:u w:val="single" w:color="auto"/>
          <w:color w:val="0000EE"/>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the Company at the following address:</w:t>
      </w:r>
    </w:p>
    <w:p>
      <w:pPr>
        <w:spacing w:after="0" w:line="323" w:lineRule="exact"/>
        <w:rPr>
          <w:rFonts w:ascii="Times New Roman" w:cs="Times New Roman" w:eastAsia="Times New Roman" w:hAnsi="Times New Roman"/>
          <w:sz w:val="18"/>
          <w:szCs w:val="18"/>
          <w:u w:val="single" w:color="auto"/>
          <w:color w:val="0000EE"/>
        </w:rPr>
      </w:pPr>
    </w:p>
    <w:p>
      <w:pPr>
        <w:ind w:left="398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5" w:lineRule="exact"/>
        <w:rPr>
          <w:rFonts w:ascii="Times New Roman" w:cs="Times New Roman" w:eastAsia="Times New Roman" w:hAnsi="Times New Roman"/>
          <w:sz w:val="18"/>
          <w:szCs w:val="18"/>
          <w:u w:val="single" w:color="auto"/>
          <w:color w:val="0000EE"/>
        </w:rPr>
      </w:pPr>
    </w:p>
    <w:p>
      <w:pPr>
        <w:ind w:left="4680"/>
        <w:spacing w:after="0"/>
        <w:rPr>
          <w:sz w:val="20"/>
          <w:szCs w:val="20"/>
          <w:color w:val="auto"/>
        </w:rPr>
      </w:pPr>
      <w:r>
        <w:rPr>
          <w:rFonts w:ascii="Times New Roman" w:cs="Times New Roman" w:eastAsia="Times New Roman" w:hAnsi="Times New Roman"/>
          <w:sz w:val="18"/>
          <w:szCs w:val="18"/>
          <w:color w:val="auto"/>
        </w:rPr>
        <w:t>2005 Cargo Road</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Minneapolis, MN 55450</w:t>
      </w:r>
    </w:p>
    <w:p>
      <w:pPr>
        <w:spacing w:after="0" w:line="1"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7" w:lineRule="exact"/>
        <w:rPr>
          <w:rFonts w:ascii="Times New Roman" w:cs="Times New Roman" w:eastAsia="Times New Roman" w:hAnsi="Times New Roman"/>
          <w:sz w:val="18"/>
          <w:szCs w:val="18"/>
          <w:u w:val="single" w:color="auto"/>
          <w:color w:val="0000EE"/>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26" w:lineRule="exact"/>
        <w:rPr>
          <w:rFonts w:ascii="Times New Roman" w:cs="Times New Roman" w:eastAsia="Times New Roman" w:hAnsi="Times New Roman"/>
          <w:sz w:val="18"/>
          <w:szCs w:val="18"/>
          <w:u w:val="single" w:color="auto"/>
          <w:color w:val="0000EE"/>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prospectus supplement, any free writing prospectus that we authorize and any pricing supplement. We have not authorized any person, including any salesman or broker, to provide information other than that provided in this prospectus, any applicable prospectus supplement, any applicable free writing prospectus that we authorize or any applicable pricing supplement. We have not authorized anyone to provide you with different information. 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applicable free writing prospectus that we authorize, any applicable pricing supplement or any documents incorporated by reference is accurate as of any date other than the date of the applicable document.</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386" w:lineRule="exact"/>
        <w:rPr>
          <w:rFonts w:ascii="Times New Roman" w:cs="Times New Roman" w:eastAsia="Times New Roman" w:hAnsi="Times New Roman"/>
          <w:sz w:val="18"/>
          <w:szCs w:val="18"/>
          <w:u w:val="single" w:color="auto"/>
          <w:color w:val="0000EE"/>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any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33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Certain information included in this prospectus or in other materials we have filed or will file with the SEC (as well as information included in oral statements or other written statements made or to be made by us) includes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including statements regarding our strategy, future operations, future financial position, future revenue, projected costs, prospects, plans, objectives of management, and expected market growth are forward-looking statements. The forward-looking statements include, among other things, statements relating to:</w:t>
      </w:r>
    </w:p>
    <w:p>
      <w:pPr>
        <w:spacing w:after="0" w:line="80" w:lineRule="exact"/>
        <w:rPr>
          <w:sz w:val="20"/>
          <w:szCs w:val="20"/>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outlook and growth prospects;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targets and dividend policy;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15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8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effects including variants, travel restrictions, social distancing measures, vaccination requirements, and decreased demand for air travel;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fuel cost;</w:t>
      </w:r>
    </w:p>
    <w:p>
      <w:pPr>
        <w:spacing w:after="0" w:line="10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global instability and potential U.S. military actions or activities;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our industry;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weather, security measures, travel-related taxes and outbreak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in international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restrictions on, or increased taxes applicable to charges for, ancillary products and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travel substitutes;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successfully;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costs low;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Minneapolis-St. Paul market;</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being adversely affected in the event of an emergency, accident or similar public incident involving our aircraft or personnel;</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and other commercial partners to perform functions integral to our operations;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unit revenues or maintain our ancillary revenues;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union disputes, employee strikes and other labor-related disruptions;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optimal daily aircraft utilization 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or operate reliably and efficiently out of airports where we maintain a large presence;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noise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customer service;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dependence on cash balances and operating cash flows;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in the event one or more of our credit card processors were to impose holdback restrictions;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access capital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aircraft-related fixed obligations that could impair our liquidity;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maintenance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sole-source supplier for our aircraft and engine parts;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including those set forth or referenced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may not contain all of the material factors that are important to you. For additional information about factors that could cause actual results to differ materially from those described in the forward-looking statements, please see the documents that we have filed with the SEC, including our most recent annual report on Form 10-K, quarterly reports on Form 10-Q, current reports on Form 8-K and proxy statements.</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prospectus or the documents incorporated by reference herein, as applicable,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incorporated by reference herein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passengers and charter customers and providing crew, maintenance and insurance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3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specific risks discussed or incorporated by reference in the applicable prospectus supplement, together with all the other information contained in any applicable prospectus supplement or incorporated by reference in this prospectus and the applicable prospectus supplement. You should also consider the risks, uncertainties and assumptions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2021 Annual Report and our Quarterly Reports on Form 10-Q, which are incorporated by reference in this prospectus, and which may be amended, supplemented or superseded from time to time in any prospectus supplement and by other reports we file with the SEC in the future. Please see the section of this prospectus under the heading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the common stock offered by this prospectus. We will not receive any proceeds from sales of shares of our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December 27, 2022 by the selling stockholders.</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stockholders is based on 58,166,674 shares of common stock outstanding as of September 30,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0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also provides the maximum number of shares of our common stock that may be offered by the selling stockholders pursuant to this prospectus and the number of shares of our common stock that will be beneficially owned by the selling stockholders after such an offering, assuming the sale of all of the offered shares. The selling stockholders reserve the right to accept or reject, in whole or in part, any proposed sale of shares. The selling stockholders may also offer and sell less than the number of shares indicated or no shares. The selling stockholders are not making any representation that any shares covered by this prospectus will or will not be offered for sale. Information about each selling stockholder may change over time.</w:t>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Before this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960" w:type="dxa"/>
            <w:vAlign w:val="bottom"/>
            <w:gridSpan w:val="2"/>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Offered Hereby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righ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154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7"/>
                <w:szCs w:val="27"/>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SCA Horus Holdings, LLC</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24,869,997</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24,869,997</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4"/>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460" w:type="dxa"/>
            <w:vAlign w:val="bottom"/>
            <w:gridSpan w:val="2"/>
            <w:shd w:val="clear" w:color="auto" w:fill="CCEEFF"/>
          </w:tcPr>
          <w:p>
            <w:pPr>
              <w:ind w:left="220"/>
              <w:spacing w:after="0" w:line="54" w:lineRule="exact"/>
              <w:rPr>
                <w:sz w:val="20"/>
                <w:szCs w:val="20"/>
                <w:color w:val="auto"/>
              </w:rPr>
            </w:pPr>
            <w:r>
              <w:rPr>
                <w:rFonts w:ascii="Times New Roman" w:cs="Times New Roman" w:eastAsia="Times New Roman" w:hAnsi="Times New Roman"/>
                <w:sz w:val="6"/>
                <w:szCs w:val="6"/>
                <w:color w:val="auto"/>
              </w:rPr>
              <w:t>​ ​​</w:t>
            </w:r>
          </w:p>
        </w:tc>
        <w:tc>
          <w:tcPr>
            <w:tcW w:w="7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gridSpan w:val="3"/>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3"/>
                <w:szCs w:val="23"/>
                <w:color w:val="auto"/>
                <w:vertAlign w:val="superscript"/>
              </w:rPr>
              <w:t>(2)</w:t>
            </w: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-483235</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-483235</wp:posOffset>
            </wp:positionV>
            <wp:extent cx="137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-483235</wp:posOffset>
            </wp:positionV>
            <wp:extent cx="3694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3694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1234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8" w:lineRule="exact"/>
        <w:rPr>
          <w:sz w:val="20"/>
          <w:szCs w:val="20"/>
          <w:color w:val="auto"/>
        </w:rPr>
      </w:pPr>
    </w:p>
    <w:p>
      <w:pPr>
        <w:ind w:left="1620" w:right="479" w:hanging="360"/>
        <w:spacing w:after="0" w:line="259"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267"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9,482,606 shares of common stock issuable upon exercise of warrants. The address for Amazon.com NV Investment Holdings LLC is c/o Amazon.com, Inc., P.O. Box 81226, Seattle, WA 98108.</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SCA Horus Holdings, LLC (the “Apollo Stockholder”) is an affiliate of certain investment funds managed by affiliates of Apollo Global Management, Inc. (together with its subsidiaries,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13, 2019, we signed the Air Transportation Services Agreement (as amended,</w:t>
      </w:r>
    </w:p>
    <w:p>
      <w:pPr>
        <w:spacing w:after="0" w:line="27" w:lineRule="exact"/>
        <w:rPr>
          <w:sz w:val="20"/>
          <w:szCs w:val="20"/>
          <w:color w:val="auto"/>
        </w:rPr>
      </w:pPr>
    </w:p>
    <w:p>
      <w:pPr>
        <w:jc w:val="both"/>
        <w:ind w:left="1260" w:right="539"/>
        <w:spacing w:after="0" w:line="250" w:lineRule="auto"/>
        <w:rPr>
          <w:sz w:val="20"/>
          <w:szCs w:val="20"/>
          <w:color w:val="auto"/>
        </w:rPr>
      </w:pPr>
      <w:r>
        <w:rPr>
          <w:rFonts w:ascii="Times New Roman" w:cs="Times New Roman" w:eastAsia="Times New Roman" w:hAnsi="Times New Roman"/>
          <w:sz w:val="18"/>
          <w:szCs w:val="18"/>
          <w:color w:val="auto"/>
        </w:rPr>
        <w:t>the “ATSA”) with Amazon.com Services, LLC (together with its affiliates, “Amazon”) to provide air cargo services. In connection with the ATSA, we issued warrants (the “2019 Warrants”) to purchase an aggregate of 9,482,606 shares of common stock at an exercise price of approximately $15.17 per share to Amazon.</w:t>
      </w:r>
    </w:p>
    <w:p>
      <w:pPr>
        <w:spacing w:after="0" w:line="1"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Additionally, Amazon is a party to the Stockholders Agreement and the Registration Rights Agreement. For more information on these agreements, please refer to the descriptions of these agreements found in our filings, which are incorporated by herein by reference.</w:t>
      </w: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Delaware General Corporation Law (the “DGCL”).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capital stock consists of 1,000,000,000 authorized shares, of which 995,000,000 shares, par value $0.01 per share, are designated as “common stock” and 5,000,000 shares, par value $0.01 per share, are designated as “preferred stock.” As of September 30, 2022, there were 58,166,674 shares of common stock outstanding and no shares of preferred stock outstanding.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for action by the stockholders generally.</w:t>
      </w:r>
    </w:p>
    <w:p>
      <w:pPr>
        <w:spacing w:after="0" w:line="91"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any preferential rights of any then outstanding preferred stock, all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are entitled to share equally in any dividends our board of directors may declare from legally available sources.</w:t>
      </w:r>
    </w:p>
    <w:p>
      <w:pPr>
        <w:spacing w:after="0" w:line="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 up, whether voluntary or</w:t>
      </w:r>
    </w:p>
    <w:p>
      <w:pPr>
        <w:spacing w:after="0" w:line="18" w:lineRule="exact"/>
        <w:rPr>
          <w:sz w:val="20"/>
          <w:szCs w:val="20"/>
          <w:color w:val="auto"/>
        </w:rPr>
      </w:pPr>
    </w:p>
    <w:p>
      <w:pPr>
        <w:jc w:val="both"/>
        <w:ind w:left="1260" w:right="919"/>
        <w:spacing w:after="0" w:line="246" w:lineRule="auto"/>
        <w:rPr>
          <w:sz w:val="20"/>
          <w:szCs w:val="20"/>
          <w:color w:val="auto"/>
        </w:rPr>
      </w:pPr>
      <w:r>
        <w:rPr>
          <w:rFonts w:ascii="Times New Roman" w:cs="Times New Roman" w:eastAsia="Times New Roman" w:hAnsi="Times New Roman"/>
          <w:sz w:val="18"/>
          <w:szCs w:val="18"/>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1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Holders of our common stock have no preemptive or conversion rights,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ATSA, we issued the 2019 Warrants to purchase an aggregate of 9,482,606 shares of our common stock at an exercise price of approximately $15.17 per share to Amazon. 632,183 of the 2019 Warrants vested upon issuance of the warrants and incremental tranches vest upon certain milestones of aggregate global payments by Amazon to the Company or its affiliates pursuant to the ATSA up to a total of $1.1 billion of aggregate payments. As of September 30, 2022, approximately 23.3%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for cash or on a cashless basis until the eighth anniversary of the issue date.</w:t>
      </w:r>
    </w:p>
    <w:p>
      <w:pPr>
        <w:spacing w:after="0" w:line="12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the event we or our equityholders propose to initiate a process to explore, enter into negotiations or accept any offer with respect to a change of control of the Company, we are required to provide Amazon at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Composition of Board of Directors; Election and Removal</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two directors in Class I, three directors in Class II and three directors in Class III. See “— </w:t>
      </w:r>
      <w:r>
        <w:rPr>
          <w:rFonts w:ascii="Times New Roman" w:cs="Times New Roman" w:eastAsia="Times New Roman" w:hAnsi="Times New Roman"/>
          <w:sz w:val="18"/>
          <w:szCs w:val="18"/>
          <w:i w:val="1"/>
          <w:iCs w:val="1"/>
          <w:color w:val="auto"/>
        </w:rPr>
        <w:t>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 Classified Board of Directors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Under our Stockholders’ Agreement (as amended or modified from time to time, the “Stockholders Agreement”) with the Apollo Stockholder and certain other stockholders party thereto,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1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Corporate Anti-takeover Provisions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6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4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 </w:t>
      </w:r>
      <w:r>
        <w:rPr>
          <w:rFonts w:ascii="Times New Roman" w:cs="Times New Roman" w:eastAsia="Times New Roman" w:hAnsi="Times New Roman"/>
          <w:sz w:val="18"/>
          <w:szCs w:val="18"/>
          <w:i w:val="1"/>
          <w:iCs w:val="1"/>
          <w:color w:val="auto"/>
        </w:rPr>
        <w:t>Composition of Board of Directors;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Removal</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certificate of incorporation, directors serving on a classified board may be removed by the stockholders only for cause. Our certificate of incorporation provides that directors may only be removed for cause upon the affirmative vote of holders of at least 66 2/3% in voting power of all outstanding shares of stock entitled to vote thereon, voting together as a single class; provided, however, that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Times New Roman" w:cs="Times New Roman" w:eastAsia="Times New Roman" w:hAnsi="Times New Roman"/>
          <w:sz w:val="18"/>
          <w:szCs w:val="18"/>
          <w:i w:val="1"/>
          <w:iCs w:val="1"/>
          <w:color w:val="auto"/>
        </w:rPr>
        <w:t>Composition of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Election and Removal</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6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stockholders do not have the right to cumulative votes in the election of directors.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6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the stockholders may be called only by the chairman of the board of directors or by the secretary at the direction of a majority of the directors then in office. The business transacted at any special meeting will be limited to the proposal or proposals included in the notice of the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6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one or more series of our preferred stock then outstanding, any action required or permitted to be taken by stockholders must be effected at a duly called annual or special meeting of our stockholders.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46"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certain investment funds managed by affiliates of Apollo and the Apollo Stockholder, or their direct and indirect transferees, on the one hand, and us, on the other. In addition, such restrictions will not apply if:</w:t>
      </w:r>
    </w:p>
    <w:p>
      <w:pPr>
        <w:spacing w:after="0" w:line="87" w:lineRule="exact"/>
        <w:rPr>
          <w:sz w:val="20"/>
          <w:szCs w:val="20"/>
          <w:color w:val="auto"/>
        </w:rPr>
      </w:pPr>
    </w:p>
    <w:p>
      <w:pPr>
        <w:ind w:left="1800" w:right="459" w:hanging="180"/>
        <w:spacing w:after="0" w:line="259"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w:t>
      </w:r>
    </w:p>
    <w:p>
      <w:pPr>
        <w:spacing w:after="0" w:line="3" w:lineRule="exact"/>
        <w:rPr>
          <w:rFonts w:ascii="Times New Roman" w:cs="Times New Roman" w:eastAsia="Times New Roman" w:hAnsi="Times New Roman"/>
          <w:sz w:val="18"/>
          <w:szCs w:val="18"/>
          <w:color w:val="auto"/>
        </w:rPr>
      </w:pPr>
    </w:p>
    <w:p>
      <w:pPr>
        <w:ind w:left="1800" w:right="439"/>
        <w:spacing w:after="0" w:line="251" w:lineRule="auto"/>
        <w:tabs>
          <w:tab w:leader="none" w:pos="21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8" w:lineRule="auto"/>
        <w:rPr>
          <w:sz w:val="20"/>
          <w:szCs w:val="20"/>
          <w:color w:val="auto"/>
        </w:rPr>
      </w:pPr>
      <w:r>
        <w:rPr>
          <w:rFonts w:ascii="Times New Roman" w:cs="Times New Roman" w:eastAsia="Times New Roman" w:hAnsi="Times New Roman"/>
          <w:sz w:val="18"/>
          <w:szCs w:val="18"/>
          <w:color w:val="auto"/>
        </w:rPr>
        <w:t>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61" w:lineRule="exact"/>
        <w:rPr>
          <w:sz w:val="20"/>
          <w:szCs w:val="20"/>
          <w:color w:val="auto"/>
        </w:rPr>
      </w:pPr>
    </w:p>
    <w:p>
      <w:pPr>
        <w:ind w:left="2160" w:right="699" w:hanging="180"/>
        <w:spacing w:after="0" w:line="266" w:lineRule="auto"/>
        <w:tabs>
          <w:tab w:leader="none" w:pos="2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Times New Roman" w:cs="Times New Roman" w:eastAsia="Times New Roman" w:hAnsi="Times New Roman"/>
          <w:sz w:val="18"/>
          <w:szCs w:val="18"/>
          <w:color w:val="auto"/>
        </w:rPr>
      </w:pPr>
    </w:p>
    <w:p>
      <w:pPr>
        <w:ind w:left="2160" w:right="619" w:hanging="180"/>
        <w:spacing w:after="0" w:line="255" w:lineRule="auto"/>
        <w:tabs>
          <w:tab w:leader="none" w:pos="2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31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Certificate of Incorporation</w:t>
      </w:r>
    </w:p>
    <w:p>
      <w:pPr>
        <w:spacing w:after="0" w:line="14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Under Delaware law, our certificate of incorporation may be amended only with the affirmative vote of holders of at least a majority of the outstanding stock entitled to vote thereon.</w:t>
      </w:r>
    </w:p>
    <w:p>
      <w:pPr>
        <w:spacing w:after="0" w:line="8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our certificate of incorporation provides that,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75" w:lineRule="exact"/>
        <w:rPr>
          <w:sz w:val="20"/>
          <w:szCs w:val="20"/>
          <w:color w:val="auto"/>
        </w:rPr>
      </w:pPr>
    </w:p>
    <w:p>
      <w:pPr>
        <w:ind w:left="1800" w:right="59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2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authorizing our board of directors to make, alter, amend or repeal our bylaws;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calling of special meetings and stockholder action by written consent in lieu of a meeting;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indemnification and advance of expenses of our directors and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to specified provisions of our certificate of incorporation require the affirmative vote of 66 2/3% in voting power of our outstanding stock, voting as a single class; and</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by the stockholders to our bylaws require the affirmative vote of 66 2/3% in voting power of our outstanding stock, voting as a single class.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Bylaws</w:t>
      </w:r>
    </w:p>
    <w:p>
      <w:pPr>
        <w:spacing w:after="0" w:line="14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Certain Matters that Require Consent of our Stockholders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800" w:right="47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disposition of any of our or our subsidiaries’ assets or equity interests, other than dispositions of aircraft or engines in the ordinary course of business; or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0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Ownership and Voting by Foreign Owners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33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 restrictions on foreign ownership and control of U.S. airlines, under federal law and DOT policy, “citizen of the United States” means (A) an individual who is a citizen of the United States;</w:t>
      </w:r>
    </w:p>
    <w:p>
      <w:pPr>
        <w:spacing w:after="0" w:line="1" w:lineRule="exact"/>
        <w:rPr>
          <w:sz w:val="20"/>
          <w:szCs w:val="20"/>
          <w:color w:val="auto"/>
        </w:rPr>
      </w:pPr>
    </w:p>
    <w:p>
      <w:pPr>
        <w:ind w:left="1260" w:right="439"/>
        <w:spacing w:after="0" w:line="242" w:lineRule="auto"/>
        <w:tabs>
          <w:tab w:leader="none" w:pos="15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68" w:lineRule="exact"/>
        <w:rPr>
          <w:sz w:val="20"/>
          <w:szCs w:val="20"/>
          <w:color w:val="auto"/>
        </w:rPr>
      </w:pPr>
    </w:p>
    <w:p>
      <w:pPr>
        <w:ind w:left="5240" w:right="3659" w:hanging="3620"/>
        <w:spacing w:after="0" w:line="736" w:lineRule="auto"/>
        <w:tabs>
          <w:tab w:leader="none" w:pos="17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governed by the internal affairs doctrine,</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each such case subject to the Delaware Court of Chancery having personal jurisdiction over the indispensable parties named as defendants.</w:t>
      </w:r>
    </w:p>
    <w:p>
      <w:pPr>
        <w:spacing w:after="0" w:line="8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(governing distributions to stockholders);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21"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0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believe these provisions will assist in attracting and retaining qualified individuals to serve as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“SNCY.”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Any selling stockholder may offer and sell shares of our common stock, in any one or more of the following ways:</w:t>
      </w:r>
    </w:p>
    <w:p>
      <w:pPr>
        <w:spacing w:after="0" w:line="54"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1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15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any selling stockholder may enter into option, share lending or other types of transactions that require such selling stockholder to deliver the shares of common stock to an underwriter, broker or dealer, who will then resell or transfer the shares of common stock under this prospectus. Any selling stockholder may also enter into hedging transactions with respect to the securities of such selling stockholder. For example, any selling stockholder may:</w:t>
      </w:r>
    </w:p>
    <w:p>
      <w:pPr>
        <w:spacing w:after="0" w:line="75" w:lineRule="exact"/>
        <w:rPr>
          <w:sz w:val="20"/>
          <w:szCs w:val="20"/>
          <w:color w:val="auto"/>
        </w:rPr>
      </w:pPr>
    </w:p>
    <w:p>
      <w:pPr>
        <w:ind w:left="1800" w:right="5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such selling stockholder to deliver shares of common stock to an underwriter or broker-dealer, who will then resell or transfer the shares of common stock under this prospectus; or</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8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will act independently of us in making decisions with respect to the timing, manner and size of each sale of shares of common stock covered by this prospectus.</w:t>
      </w:r>
    </w:p>
    <w:p>
      <w:pPr>
        <w:spacing w:after="0" w:line="9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Any selling stockholder may enter into derivative transactions with third parties, or sell securities not covered by this prospectus to third parties in privately negotiated transactions, including sales deemed to be an at-the-market offering as defined in Rule 415 promulgated under the Securities Act, which includes sales made directly on or through Nasdaq, the existing trading market for our shares of common stock, or sales made to or through a market maker other than on an exchange. In connection with those derivatives, the third parties may sell securities covered by this prospectus, including in short sale transactions. If so, the third party may use securities pledged by such selling stockholder, or borrowed from such selling stockholder or others to settle those sales or to close out any related open borrowings of stock, and may use securities received from such selling stockholder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the securities of such selling stockholder, or in connection with a concurrent offering of other securities.</w:t>
      </w:r>
    </w:p>
    <w:p>
      <w:pPr>
        <w:spacing w:after="0" w:line="12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Shares of common stock may also be exchanged for satisfaction of any selling stockholder’s obligations or other liabilities to its creditors. Such transactions may or may not involve brokers or dealers.</w:t>
      </w:r>
    </w:p>
    <w:p>
      <w:pPr>
        <w:spacing w:after="0" w:line="8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is a part by delivering a prospectus with a plan of distribution. Such members, partners or stockholders (unless our affiliate) would thereby receive freely tradeable securities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pursuant to the distribution.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0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securities may be sold from time to time by any selling stockholder in one or more transactions:</w:t>
      </w:r>
    </w:p>
    <w:p>
      <w:pPr>
        <w:spacing w:after="0" w:line="117"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117" w:lineRule="exact"/>
        <w:rPr>
          <w:sz w:val="20"/>
          <w:szCs w:val="20"/>
          <w:color w:val="auto"/>
        </w:rPr>
      </w:pPr>
    </w:p>
    <w:p>
      <w:pPr>
        <w:ind w:left="1800" w:right="5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selling stockholders might not sell any securities under this prospectus. In addition, any of the</w:t>
      </w:r>
    </w:p>
    <w:p>
      <w:pPr>
        <w:spacing w:after="0" w:line="27"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securities covered by this prospectus that qualify for sale pursuant to Rule 144 under the Securities Act may be sold under Rule 144 rather than pursuant to this prospectus.</w:t>
      </w:r>
    </w:p>
    <w:p>
      <w:pPr>
        <w:spacing w:after="0" w:line="11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be sold directly by any selling stockholder or through agents designated by such selling stockholder from time to time. Any such agent will be acting on a best efforts basis for the period of its appointment.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any selling stockholder directly to institutional investors or others, who may be deemed to be underwriters within the meaning of the Securities Act with respect to any resale of the securities.</w:t>
      </w:r>
    </w:p>
    <w:p>
      <w:pPr>
        <w:spacing w:after="0" w:line="10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Underwriters, dealers or agents will be authorized to solicit offers by certain institutional investors to purchase securities from any selling stockholder pursuant to contracts providing for payment and delivery at a future date. Institutional investors with which these contracts may be made include, among others:</w:t>
      </w:r>
    </w:p>
    <w:p>
      <w:pPr>
        <w:spacing w:after="0" w:line="61"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all cases, these purchasers must be approved by the applicable selling stockholder.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any selling stockholder must have sold to these underwriters the securities not subject to delayed delivery. Underwriters and other agents will not have any responsibility in respect of the validity or performance of these contracts.</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Some of the underwriters, dealers or agents used by any selling stockholder in any offering of securities under this prospectus may be customers of, engage in transactions with, and perform services for such selling stockholder or affiliates of such selling stockholder in the ordinary course of business. Underwriters, dealers, agents and other persons may be entitled under agreements that may be entered into with any selling stockholder to indemnification against and contribution toward certain civil liabilities, including liabilities under the Securities Act, and to be reimbursed by such selling stockholder for certain expenses.</w:t>
      </w:r>
    </w:p>
    <w:p>
      <w:pPr>
        <w:spacing w:after="0" w:line="12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may be deemed to be an “underwriter” within the meaning of Section 2(a)(11) of the Securities Act.</w:t>
      </w:r>
    </w:p>
    <w:p>
      <w:pPr>
        <w:spacing w:after="0" w:line="8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Any securities initially sold outside the United States may be resold in the United States through underwriters, dealers or otherwise.</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Any underwriters to which offered securities are sold by any selling stockholder for public offering and sale may make a market in such securities, but those underwriters will not be obligated to do so and may discontinue any market making at any time.</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8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underwriters or dealers are used in the sale of securities, until the distribution of the securities is completed, rules of the SEC may limit the ability of any underwriters to bid for and purchase our securities. As an exception to these rules, representatives of any underwriters are permitted to engage in transactions that stabilize the price of our securities. These transactions may consist of bids or purchases for the purpose of pegging, fixing or maintaining the price of such securities. If the underwriters create a short position in our securities in connection with an offering (that is, if they sell more securities than are set forth on the cover page of this prospectus) the representatives of the underwriters may reduce that short position by purchasing such securities in the open market. We make no representation or prediction as to the direction or magnitude of any effect that the transactions described above may have on the price of our securities. In addition, we make no representation that the representatives of any underwriters will engage in these transactions or that these transactions, once commenced, will not be discontinued without notice.</w:t>
      </w:r>
    </w:p>
    <w:p>
      <w:pPr>
        <w:spacing w:after="0" w:line="124"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Pursuant to a requirement by the Financial Industry Regulatory Authority (“FINRA”), the maximum commission or discount to be received by any FINRA member or independent broker-dealer may not be greater than 8% of the proceeds received by any selling stockholder for the sale of any securities being offered by this prospectus.</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Paul, Weiss, Rifkind, Wharton &amp; Garrison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1024255</wp:posOffset>
            </wp:positionV>
            <wp:extent cx="2228850" cy="282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22288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34,352,603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828040</wp:posOffset>
            </wp:positionV>
            <wp:extent cx="1234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2861945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expenses payable by Sun Country Airlines Holdings, Inc. (the “Company”) in connection with the issuance and distribution of the securities being registered, excluding underwriting fees and expenses. All of the amounts shown are estimates except for the registration fee paid to the Securities and Exchange Commission.</w:t>
      </w:r>
    </w:p>
    <w:p>
      <w:pPr>
        <w:sectPr>
          <w:pgSz w:w="11900" w:h="16838" w:orient="portrait"/>
          <w:cols w:equalWidth="0" w:num="1">
            <w:col w:w="9879"/>
          </w:cols>
          <w:pgMar w:left="580" w:top="97" w:right="1440" w:bottom="1440" w:gutter="0" w:footer="0" w:header="0"/>
        </w:sectPr>
      </w:pPr>
    </w:p>
    <w:p>
      <w:pPr>
        <w:spacing w:after="0" w:line="1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-110490</wp:posOffset>
            </wp:positionV>
            <wp:extent cx="429450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4294505" cy="12001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14605</wp:posOffset>
            </wp:positionV>
            <wp:extent cx="429450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4294505" cy="163195"/>
                    </a:xfrm>
                    <a:prstGeom prst="rect">
                      <a:avLst/>
                    </a:prstGeom>
                    <a:noFill/>
                  </pic:spPr>
                </pic:pic>
              </a:graphicData>
            </a:graphic>
          </wp:anchor>
        </w:drawing>
      </w:r>
    </w:p>
    <w:p>
      <w:pPr>
        <w:spacing w:after="0" w:line="3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14605</wp:posOffset>
            </wp:positionV>
            <wp:extent cx="429450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4294505" cy="163195"/>
                    </a:xfrm>
                    <a:prstGeom prst="rect">
                      <a:avLst/>
                    </a:prstGeom>
                    <a:noFill/>
                  </pic:spPr>
                </pic:pic>
              </a:graphicData>
            </a:graphic>
          </wp:anchor>
        </w:drawing>
      </w:r>
    </w:p>
    <w:p>
      <w:pPr>
        <w:spacing w:after="0" w:line="3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Fees​ and expenses of trustee and counsel</w:t>
      </w:r>
    </w:p>
    <w:p>
      <w:pPr>
        <w:ind w:left="1980"/>
        <w:spacing w:after="0" w:line="190" w:lineRule="auto"/>
        <w:rPr>
          <w:sz w:val="20"/>
          <w:szCs w:val="20"/>
          <w:color w:val="auto"/>
        </w:rPr>
      </w:pPr>
      <w:r>
        <w:rPr>
          <w:rFonts w:ascii="Times New Roman" w:cs="Times New Roman" w:eastAsia="Times New Roman" w:hAnsi="Times New Roman"/>
          <w:sz w:val="18"/>
          <w:szCs w:val="18"/>
          <w:color w:val="auto"/>
        </w:rPr>
        <w:t>Miscellaneous</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-15875</wp:posOffset>
            </wp:positionV>
            <wp:extent cx="4294505"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4294505" cy="196850"/>
                    </a:xfrm>
                    <a:prstGeom prst="rect">
                      <a:avLst/>
                    </a:prstGeom>
                    <a:noFill/>
                  </pic:spPr>
                </pic:pic>
              </a:graphicData>
            </a:graphic>
          </wp:anchor>
        </w:drawing>
      </w:r>
    </w:p>
    <w:p>
      <w:pPr>
        <w:ind w:left="1980"/>
        <w:spacing w:after="0" w:line="185"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1234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​​$ 61,290​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320" w:type="dxa"/>
            <w:vAlign w:val="bottom"/>
            <w:gridSpan w:val="2"/>
          </w:tcPr>
          <w:p>
            <w:pPr>
              <w:ind w:left="20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-7620</wp:posOffset>
            </wp:positionV>
            <wp:extent cx="4032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720"/>
            <w:col w:w="1939"/>
          </w:cols>
          <w:pgMar w:left="580" w:top="97" w:right="1440" w:bottom="1440" w:gutter="0" w:footer="0" w:header="0"/>
          <w:type w:val="continuous"/>
        </w:sectPr>
      </w:pPr>
    </w:p>
    <w:p>
      <w:pPr>
        <w:spacing w:after="0" w:line="52" w:lineRule="exact"/>
        <w:rPr>
          <w:sz w:val="20"/>
          <w:szCs w:val="20"/>
          <w:color w:val="auto"/>
        </w:rPr>
      </w:pPr>
    </w:p>
    <w:p>
      <w:pPr>
        <w:ind w:left="1620" w:right="879" w:hanging="360"/>
        <w:spacing w:after="0" w:line="282"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are based on the number of issuances and the amount of securities offered and, accordingly, are presently not known and cannot be estimated.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337"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1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customary indemnification agreements with our executive officers and directors that provide them, in general, with customary indemnification in connection with their service to us or on our behalf.</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48"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 list of exhibits filed with this registration statement is contained in the exhibit index, which is incorporated by reference.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1980" w:hanging="360"/>
        <w:spacing w:after="0"/>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rFonts w:ascii="Times New Roman" w:cs="Times New Roman" w:eastAsia="Times New Roman" w:hAnsi="Times New Roman"/>
          <w:sz w:val="18"/>
          <w:szCs w:val="18"/>
          <w:color w:val="auto"/>
        </w:rPr>
      </w:pPr>
    </w:p>
    <w:p>
      <w:pPr>
        <w:ind w:left="2340" w:right="1339" w:hanging="360"/>
        <w:spacing w:after="0" w:line="282" w:lineRule="auto"/>
        <w:tabs>
          <w:tab w:leader="none" w:pos="2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700" w:right="539" w:hanging="360"/>
        <w:spacing w:after="0" w:line="282" w:lineRule="auto"/>
        <w:tabs>
          <w:tab w:leader="none" w:pos="27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80" w:lineRule="exact"/>
        <w:rPr>
          <w:rFonts w:ascii="Times New Roman" w:cs="Times New Roman" w:eastAsia="Times New Roman" w:hAnsi="Times New Roman"/>
          <w:sz w:val="18"/>
          <w:szCs w:val="18"/>
          <w:color w:val="auto"/>
        </w:rPr>
      </w:pPr>
    </w:p>
    <w:p>
      <w:pPr>
        <w:ind w:left="2700" w:right="459" w:hanging="360"/>
        <w:spacing w:after="0" w:line="253" w:lineRule="auto"/>
        <w:tabs>
          <w:tab w:leader="none" w:pos="27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42" w:lineRule="exact"/>
        <w:rPr>
          <w:rFonts w:ascii="Times New Roman" w:cs="Times New Roman" w:eastAsia="Times New Roman" w:hAnsi="Times New Roman"/>
          <w:sz w:val="18"/>
          <w:szCs w:val="18"/>
          <w:color w:val="auto"/>
        </w:rPr>
      </w:pPr>
    </w:p>
    <w:p>
      <w:pPr>
        <w:ind w:left="2700" w:right="1119" w:hanging="360"/>
        <w:spacing w:after="0" w:line="266" w:lineRule="auto"/>
        <w:tabs>
          <w:tab w:leader="none" w:pos="27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3" w:lineRule="exact"/>
        <w:rPr>
          <w:sz w:val="20"/>
          <w:szCs w:val="20"/>
          <w:color w:val="auto"/>
        </w:rPr>
      </w:pPr>
    </w:p>
    <w:p>
      <w:pPr>
        <w:ind w:left="1980" w:right="479"/>
        <w:spacing w:after="0" w:line="24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 (1)(ii) and (a)(1)(iii)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323" w:lineRule="exact"/>
        <w:rPr>
          <w:sz w:val="20"/>
          <w:szCs w:val="20"/>
          <w:color w:val="auto"/>
        </w:rPr>
      </w:pPr>
    </w:p>
    <w:p>
      <w:pPr>
        <w:ind w:left="2340" w:right="419" w:hanging="360"/>
        <w:spacing w:after="0" w:line="261"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2340" w:right="739" w:hanging="360"/>
        <w:spacing w:after="0" w:line="282"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44" w:lineRule="exact"/>
        <w:rPr>
          <w:rFonts w:ascii="Times New Roman" w:cs="Times New Roman" w:eastAsia="Times New Roman" w:hAnsi="Times New Roman"/>
          <w:sz w:val="18"/>
          <w:szCs w:val="18"/>
          <w:color w:val="auto"/>
        </w:rPr>
      </w:pPr>
    </w:p>
    <w:p>
      <w:pPr>
        <w:ind w:left="2700" w:right="539" w:hanging="360"/>
        <w:spacing w:after="0" w:line="266" w:lineRule="auto"/>
        <w:tabs>
          <w:tab w:leader="none" w:pos="2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8"/>
          <w:szCs w:val="18"/>
          <w:color w:val="auto"/>
        </w:rPr>
      </w:pPr>
    </w:p>
    <w:p>
      <w:pPr>
        <w:ind w:left="2700" w:right="419" w:hanging="360"/>
        <w:spacing w:after="0" w:line="252" w:lineRule="auto"/>
        <w:tabs>
          <w:tab w:leader="none" w:pos="2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499"/>
        <w:spacing w:after="0" w:line="261" w:lineRule="auto"/>
        <w:rPr>
          <w:sz w:val="20"/>
          <w:szCs w:val="20"/>
          <w:color w:val="auto"/>
        </w:rPr>
      </w:pPr>
      <w:r>
        <w:rPr>
          <w:rFonts w:ascii="Times New Roman" w:cs="Times New Roman" w:eastAsia="Times New Roman" w:hAnsi="Times New Roman"/>
          <w:sz w:val="18"/>
          <w:szCs w:val="18"/>
          <w:color w:val="auto"/>
        </w:rPr>
        <w:t>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2" w:lineRule="exact"/>
        <w:rPr>
          <w:sz w:val="20"/>
          <w:szCs w:val="20"/>
          <w:color w:val="auto"/>
        </w:rPr>
      </w:pPr>
    </w:p>
    <w:p>
      <w:pPr>
        <w:ind w:left="2340" w:right="519" w:hanging="360"/>
        <w:spacing w:after="0" w:line="282" w:lineRule="auto"/>
        <w:tabs>
          <w:tab w:leader="none" w:pos="2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94" w:lineRule="exact"/>
        <w:rPr>
          <w:rFonts w:ascii="Times New Roman" w:cs="Times New Roman" w:eastAsia="Times New Roman" w:hAnsi="Times New Roman"/>
          <w:sz w:val="18"/>
          <w:szCs w:val="18"/>
          <w:color w:val="auto"/>
        </w:rPr>
      </w:pPr>
    </w:p>
    <w:p>
      <w:pPr>
        <w:ind w:left="2340" w:right="45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such undersigned registrant pursuant to the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322" w:lineRule="exact"/>
        <w:rPr>
          <w:rFonts w:ascii="Times New Roman" w:cs="Times New Roman" w:eastAsia="Times New Roman" w:hAnsi="Times New Roman"/>
          <w:sz w:val="18"/>
          <w:szCs w:val="18"/>
          <w:color w:val="auto"/>
        </w:rPr>
      </w:pPr>
    </w:p>
    <w:p>
      <w:pPr>
        <w:ind w:left="2700" w:right="579" w:hanging="360"/>
        <w:spacing w:after="0" w:line="282" w:lineRule="auto"/>
        <w:tabs>
          <w:tab w:leader="none" w:pos="27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such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700" w:right="919" w:hanging="360"/>
        <w:spacing w:after="0" w:line="282" w:lineRule="auto"/>
        <w:tabs>
          <w:tab w:leader="none" w:pos="27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such undersigned registrant;</w:t>
      </w:r>
    </w:p>
    <w:p>
      <w:pPr>
        <w:spacing w:after="0" w:line="94" w:lineRule="exact"/>
        <w:rPr>
          <w:rFonts w:ascii="Times New Roman" w:cs="Times New Roman" w:eastAsia="Times New Roman" w:hAnsi="Times New Roman"/>
          <w:sz w:val="18"/>
          <w:szCs w:val="18"/>
          <w:color w:val="auto"/>
        </w:rPr>
      </w:pPr>
    </w:p>
    <w:p>
      <w:pPr>
        <w:ind w:left="2700" w:right="439" w:hanging="360"/>
        <w:spacing w:after="0" w:line="266" w:lineRule="auto"/>
        <w:tabs>
          <w:tab w:leader="none" w:pos="27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94" w:lineRule="exact"/>
        <w:rPr>
          <w:rFonts w:ascii="Times New Roman" w:cs="Times New Roman" w:eastAsia="Times New Roman" w:hAnsi="Times New Roman"/>
          <w:sz w:val="18"/>
          <w:szCs w:val="18"/>
          <w:color w:val="auto"/>
        </w:rPr>
      </w:pPr>
    </w:p>
    <w:p>
      <w:pPr>
        <w:ind w:left="2700" w:right="879" w:hanging="360"/>
        <w:spacing w:after="0" w:line="282" w:lineRule="auto"/>
        <w:tabs>
          <w:tab w:leader="none" w:pos="27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such undersigned registrant to the purchaser.</w:t>
      </w:r>
    </w:p>
    <w:p>
      <w:pPr>
        <w:spacing w:after="0" w:line="94" w:lineRule="exact"/>
        <w:rPr>
          <w:rFonts w:ascii="Times New Roman" w:cs="Times New Roman" w:eastAsia="Times New Roman" w:hAnsi="Times New Roman"/>
          <w:sz w:val="18"/>
          <w:szCs w:val="18"/>
          <w:color w:val="auto"/>
        </w:rPr>
      </w:pPr>
    </w:p>
    <w:p>
      <w:pPr>
        <w:ind w:left="1980" w:right="499" w:hanging="360"/>
        <w:spacing w:after="0" w:line="255"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1980" w:right="459" w:hanging="360"/>
        <w:spacing w:after="0" w:line="253"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9879"/>
          </w:cols>
          <w:pgMar w:left="580" w:top="97" w:right="1440" w:bottom="1440" w:gutter="0" w:footer="0" w:header="0"/>
        </w:sectPr>
      </w:pPr>
    </w:p>
    <w:p>
      <w:pPr>
        <w:spacing w:after="0" w:line="1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60"/>
        <w:spacing w:after="0"/>
        <w:tabs>
          <w:tab w:leader="none" w:pos="1940" w:val="left"/>
          <w:tab w:leader="none" w:pos="5200" w:val="left"/>
        </w:tabs>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Number</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ind w:left="1340" w:hanging="80"/>
        <w:spacing w:after="0" w:line="182" w:lineRule="auto"/>
        <w:tabs>
          <w:tab w:leader="none" w:pos="1340" w:val="left"/>
        </w:tabs>
        <w:numPr>
          <w:ilvl w:val="0"/>
          <w:numId w:val="25"/>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 1.1* </w:t>
      </w: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Form of underwriting agreement</w:t>
      </w:r>
    </w:p>
    <w:p>
      <w:pPr>
        <w:spacing w:after="0" w:line="1" w:lineRule="exact"/>
        <w:rPr>
          <w:rFonts w:ascii="Times New Roman" w:cs="Times New Roman" w:eastAsia="Times New Roman" w:hAnsi="Times New Roman"/>
          <w:sz w:val="34"/>
          <w:szCs w:val="34"/>
          <w:color w:val="auto"/>
          <w:vertAlign w:val="superscript"/>
        </w:rPr>
      </w:pPr>
    </w:p>
    <w:p>
      <w:pPr>
        <w:ind w:left="2120" w:right="160" w:hanging="860"/>
        <w:spacing w:after="0" w:line="249" w:lineRule="auto"/>
        <w:tabs>
          <w:tab w:leader="none" w:pos="1330"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4.1 ​​ ​ </w:t>
      </w:r>
      <w:hyperlink r:id="rId84">
        <w:r>
          <w:rPr>
            <w:rFonts w:ascii="Times New Roman" w:cs="Times New Roman" w:eastAsia="Times New Roman" w:hAnsi="Times New Roman"/>
            <w:sz w:val="18"/>
            <w:szCs w:val="18"/>
            <w:u w:val="single" w:color="auto"/>
            <w:color w:val="0000EE"/>
          </w:rPr>
          <w:t>Second Amended and Restated Certificate of Incorporation of Sun Country Airlines Holdings,</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Inc. (incorporated by reference to Exhibit 3.1 to Sun Country Airlines Holdings, Inc.’s</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Registration Statement on Form S-8 (File No. 333-254371))</w:t>
        </w:r>
      </w:hyperlink>
    </w:p>
    <w:p>
      <w:pPr>
        <w:spacing w:after="0" w:line="2" w:lineRule="exact"/>
        <w:rPr>
          <w:rFonts w:ascii="Times New Roman" w:cs="Times New Roman" w:eastAsia="Times New Roman" w:hAnsi="Times New Roman"/>
          <w:sz w:val="18"/>
          <w:szCs w:val="18"/>
          <w:u w:val="single" w:color="auto"/>
          <w:color w:val="0000EE"/>
        </w:rPr>
      </w:pPr>
    </w:p>
    <w:p>
      <w:pPr>
        <w:ind w:left="2120" w:right="40" w:hanging="860"/>
        <w:spacing w:after="0" w:line="266" w:lineRule="auto"/>
        <w:tabs>
          <w:tab w:leader="none" w:pos="1330"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4.2 ​​ ​ </w:t>
      </w:r>
      <w:hyperlink r:id="rId85">
        <w:r>
          <w:rPr>
            <w:rFonts w:ascii="Times New Roman" w:cs="Times New Roman" w:eastAsia="Times New Roman" w:hAnsi="Times New Roman"/>
            <w:sz w:val="18"/>
            <w:szCs w:val="18"/>
            <w:u w:val="single" w:color="auto"/>
            <w:color w:val="0000EE"/>
          </w:rPr>
          <w:t>Second Amended and Restated Bylaws of Sun Country Airlines Holdings, Inc. (incorporated by</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reference to Exhibit 3.2 to Sun Country Airlines Holdings, Inc.’s Registration Statement on</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Form S-8 (File No. 333-254371))</w:t>
        </w:r>
      </w:hyperlink>
    </w:p>
    <w:p>
      <w:pPr>
        <w:ind w:left="2120" w:right="280" w:hanging="860"/>
        <w:spacing w:after="0" w:line="273" w:lineRule="auto"/>
        <w:tabs>
          <w:tab w:leader="none" w:pos="13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5.1 ​​ ​ </w:t>
      </w:r>
      <w:r>
        <w:rPr>
          <w:rFonts w:ascii="Times New Roman" w:cs="Times New Roman" w:eastAsia="Times New Roman" w:hAnsi="Times New Roman"/>
          <w:sz w:val="18"/>
          <w:szCs w:val="18"/>
          <w:u w:val="single" w:color="auto"/>
          <w:color w:val="0000EE"/>
        </w:rPr>
        <w:t>Opinion of Paul, Weiss, Rifkind, Wharton &amp; Garrison LLP as to the validity of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being offered</w:t>
      </w:r>
    </w:p>
    <w:p>
      <w:pPr>
        <w:spacing w:after="0" w:line="1" w:lineRule="exact"/>
        <w:rPr>
          <w:rFonts w:ascii="Times New Roman" w:cs="Times New Roman" w:eastAsia="Times New Roman" w:hAnsi="Times New Roman"/>
          <w:sz w:val="18"/>
          <w:szCs w:val="18"/>
          <w:color w:val="auto"/>
        </w:rPr>
      </w:pPr>
    </w:p>
    <w:p>
      <w:pPr>
        <w:ind w:left="1340" w:hanging="80"/>
        <w:spacing w:after="0" w:line="188" w:lineRule="auto"/>
        <w:tabs>
          <w:tab w:leader="none" w:pos="1340" w:val="left"/>
        </w:tabs>
        <w:numPr>
          <w:ilvl w:val="0"/>
          <w:numId w:val="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23.1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Consent of KPMG LLP, independent registered public accounting firm</w:t>
      </w:r>
    </w:p>
    <w:p>
      <w:pPr>
        <w:spacing w:after="0" w:line="1" w:lineRule="exact"/>
        <w:rPr>
          <w:rFonts w:ascii="Times New Roman" w:cs="Times New Roman" w:eastAsia="Times New Roman" w:hAnsi="Times New Roman"/>
          <w:sz w:val="36"/>
          <w:szCs w:val="36"/>
          <w:color w:val="auto"/>
          <w:vertAlign w:val="superscript"/>
        </w:rPr>
      </w:pPr>
    </w:p>
    <w:p>
      <w:pPr>
        <w:ind w:left="1340" w:hanging="80"/>
        <w:spacing w:after="0" w:line="181" w:lineRule="auto"/>
        <w:tabs>
          <w:tab w:leader="none" w:pos="1340" w:val="left"/>
        </w:tabs>
        <w:numPr>
          <w:ilvl w:val="0"/>
          <w:numId w:val="2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23.2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Consent of Paul, Weiss, Rifkind, Wharton &amp; Garrison LLP (included in Exhibit 5.1)</w:t>
      </w:r>
    </w:p>
    <w:p>
      <w:pPr>
        <w:spacing w:after="0" w:line="1" w:lineRule="exact"/>
        <w:rPr>
          <w:rFonts w:ascii="Times New Roman" w:cs="Times New Roman" w:eastAsia="Times New Roman" w:hAnsi="Times New Roman"/>
          <w:sz w:val="31"/>
          <w:szCs w:val="31"/>
          <w:color w:val="auto"/>
          <w:vertAlign w:val="superscript"/>
        </w:rPr>
      </w:pPr>
    </w:p>
    <w:p>
      <w:pPr>
        <w:ind w:left="1340" w:hanging="80"/>
        <w:spacing w:after="0" w:line="181" w:lineRule="auto"/>
        <w:tabs>
          <w:tab w:leader="none" w:pos="1340" w:val="left"/>
        </w:tabs>
        <w:numPr>
          <w:ilvl w:val="0"/>
          <w:numId w:val="2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24.1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Powers of Attorney (included in signature page)</w:t>
      </w:r>
    </w:p>
    <w:p>
      <w:pPr>
        <w:spacing w:after="0" w:line="1" w:lineRule="exact"/>
        <w:rPr>
          <w:rFonts w:ascii="Times New Roman" w:cs="Times New Roman" w:eastAsia="Times New Roman" w:hAnsi="Times New Roman"/>
          <w:sz w:val="31"/>
          <w:szCs w:val="31"/>
          <w:color w:val="auto"/>
          <w:vertAlign w:val="superscript"/>
        </w:rPr>
      </w:pPr>
    </w:p>
    <w:p>
      <w:pPr>
        <w:ind w:left="1340" w:hanging="80"/>
        <w:spacing w:after="0" w:line="232" w:lineRule="auto"/>
        <w:tabs>
          <w:tab w:leader="none" w:pos="1340" w:val="left"/>
        </w:tabs>
        <w:numPr>
          <w:ilvl w:val="0"/>
          <w:numId w:val="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107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800100</wp:posOffset>
            </wp:positionH>
            <wp:positionV relativeFrom="paragraph">
              <wp:posOffset>36195</wp:posOffset>
            </wp:positionV>
            <wp:extent cx="12344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7" w:lineRule="exact"/>
        <w:rPr>
          <w:rFonts w:ascii="Times New Roman" w:cs="Times New Roman" w:eastAsia="Times New Roman" w:hAnsi="Times New Roman"/>
          <w:sz w:val="18"/>
          <w:szCs w:val="18"/>
          <w:color w:val="auto"/>
        </w:rPr>
      </w:pPr>
    </w:p>
    <w:p>
      <w:pPr>
        <w:ind w:left="1620" w:hanging="360"/>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by a post-effective amendment to the registration statement or as an exhibit to a document incorporated by reference herein.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36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00" w:space="60"/>
            <w:col w:w="41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Minneapolis, Minnesota, on the 27th day of December, 2022.</w:t>
      </w:r>
    </w:p>
    <w:p>
      <w:pPr>
        <w:spacing w:after="0" w:line="1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Dave Davis</w:t>
      </w:r>
    </w:p>
    <w:p>
      <w:pPr>
        <w:spacing w:after="0" w:line="27"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hereby constitutes and appoints Dave Davis and Erin Rose Neale,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w:t>
      </w:r>
    </w:p>
    <w:p>
      <w:pPr>
        <w:spacing w:after="0" w:line="3" w:lineRule="exact"/>
        <w:rPr>
          <w:sz w:val="20"/>
          <w:szCs w:val="20"/>
          <w:color w:val="auto"/>
        </w:rPr>
      </w:pPr>
    </w:p>
    <w:p>
      <w:pPr>
        <w:ind w:left="1260" w:right="439"/>
        <w:spacing w:after="0" w:line="251" w:lineRule="auto"/>
        <w:tabs>
          <w:tab w:leader="none" w:pos="15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9879"/>
          </w:cols>
          <w:pgMar w:left="580" w:top="97" w:right="1440" w:bottom="1440" w:gutter="0" w:footer="0" w:header="0"/>
        </w:sectPr>
      </w:pPr>
    </w:p>
    <w:p>
      <w:pPr>
        <w:ind w:left="2440" w:hanging="1180"/>
        <w:spacing w:after="0" w:line="235" w:lineRule="auto"/>
        <w:tabs>
          <w:tab w:leader="none" w:pos="2440" w:val="left"/>
        </w:tabs>
        <w:numPr>
          <w:ilvl w:val="0"/>
          <w:numId w:val="28"/>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24130</wp:posOffset>
            </wp:positionV>
            <wp:extent cx="1851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18427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9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Jude Bricker</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840"/>
        <w:spacing w:after="0"/>
        <w:rPr>
          <w:sz w:val="20"/>
          <w:szCs w:val="20"/>
          <w:color w:val="auto"/>
        </w:rPr>
      </w:pPr>
      <w:r>
        <w:rPr>
          <w:rFonts w:ascii="Times New Roman" w:cs="Times New Roman" w:eastAsia="Times New Roman" w:hAnsi="Times New Roman"/>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8427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7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Dave Davis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840"/>
        <w:spacing w:after="0"/>
        <w:rPr>
          <w:sz w:val="20"/>
          <w:szCs w:val="20"/>
          <w:color w:val="auto"/>
        </w:rPr>
      </w:pPr>
      <w:r>
        <w:rPr>
          <w:rFonts w:ascii="Times New Roman" w:cs="Times New Roman" w:eastAsia="Times New Roman" w:hAnsi="Times New Roman"/>
          <w:sz w:val="18"/>
          <w:szCs w:val="18"/>
          <w:color w:val="auto"/>
        </w:rPr>
        <w:t>/s/ Marion Blakey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842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7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Marion Blakey</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840"/>
        <w:spacing w:after="0"/>
        <w:rPr>
          <w:sz w:val="20"/>
          <w:szCs w:val="20"/>
          <w:color w:val="auto"/>
        </w:rPr>
      </w:pPr>
      <w:r>
        <w:rPr>
          <w:rFonts w:ascii="Times New Roman" w:cs="Times New Roman" w:eastAsia="Times New Roman" w:hAnsi="Times New Roman"/>
          <w:sz w:val="18"/>
          <w:szCs w:val="18"/>
          <w:color w:val="auto"/>
        </w:rPr>
        <w:t>/s/ Thomas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8427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7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Thomas C. Kennedy</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840"/>
        <w:spacing w:after="0"/>
        <w:rPr>
          <w:sz w:val="20"/>
          <w:szCs w:val="20"/>
          <w:color w:val="auto"/>
        </w:rPr>
      </w:pPr>
      <w:r>
        <w:rPr>
          <w:rFonts w:ascii="Times New Roman" w:cs="Times New Roman" w:eastAsia="Times New Roman" w:hAnsi="Times New Roman"/>
          <w:sz w:val="18"/>
          <w:szCs w:val="18"/>
          <w:color w:val="auto"/>
        </w:rPr>
        <w:t>/s/ Patrick O’Keeffe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8427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7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Patrick O’Keeffe</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840"/>
        <w:spacing w:after="0"/>
        <w:rPr>
          <w:sz w:val="20"/>
          <w:szCs w:val="20"/>
          <w:color w:val="auto"/>
        </w:rPr>
      </w:pPr>
      <w:r>
        <w:rPr>
          <w:rFonts w:ascii="Times New Roman" w:cs="Times New Roman" w:eastAsia="Times New Roman" w:hAnsi="Times New Roman"/>
          <w:sz w:val="18"/>
          <w:szCs w:val="18"/>
          <w:color w:val="auto"/>
        </w:rPr>
        <w:t>/s/ Kerry Philipovitch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8427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7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Kerry Philipovitch</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840"/>
        <w:spacing w:after="0"/>
        <w:rPr>
          <w:sz w:val="20"/>
          <w:szCs w:val="20"/>
          <w:color w:val="auto"/>
        </w:rPr>
      </w:pPr>
      <w:r>
        <w:rPr>
          <w:rFonts w:ascii="Times New Roman" w:cs="Times New Roman" w:eastAsia="Times New Roman" w:hAnsi="Times New Roman"/>
          <w:sz w:val="18"/>
          <w:szCs w:val="18"/>
          <w:color w:val="auto"/>
        </w:rPr>
        <w:t>/s/ David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8427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7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David Siegel</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840"/>
        <w:spacing w:after="0"/>
        <w:rPr>
          <w:sz w:val="20"/>
          <w:szCs w:val="20"/>
          <w:color w:val="auto"/>
        </w:rPr>
      </w:pPr>
      <w:r>
        <w:rPr>
          <w:rFonts w:ascii="Times New Roman" w:cs="Times New Roman" w:eastAsia="Times New Roman" w:hAnsi="Times New Roman"/>
          <w:sz w:val="18"/>
          <w:szCs w:val="18"/>
          <w:color w:val="auto"/>
        </w:rPr>
        <w:t>/s/ Jennifer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8427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7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color w:val="auto"/>
        </w:rPr>
        <w:t>Jennifer Vogel</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27,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140" w:type="dxa"/>
            <w:vAlign w:val="bottom"/>
          </w:tcPr>
          <w:p>
            <w:pPr>
              <w:spacing w:after="0"/>
              <w:rPr>
                <w:sz w:val="22"/>
                <w:szCs w:val="22"/>
                <w:color w:val="auto"/>
              </w:rPr>
            </w:pPr>
          </w:p>
        </w:tc>
        <w:tc>
          <w:tcPr>
            <w:tcW w:w="34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27,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27,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27,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27,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27,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27,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27,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96" w:lineRule="exact"/>
        <w:rPr>
          <w:sz w:val="20"/>
          <w:szCs w:val="20"/>
          <w:color w:val="auto"/>
        </w:rPr>
      </w:pPr>
    </w:p>
    <w:p>
      <w:pPr>
        <w:sectPr>
          <w:pgSz w:w="11900" w:h="16838" w:orient="portrait"/>
          <w:cols w:equalWidth="0" w:num="2">
            <w:col w:w="3600" w:space="620"/>
            <w:col w:w="5659"/>
          </w:cols>
          <w:pgMar w:left="580" w:top="97" w:right="1440" w:bottom="1440" w:gutter="0" w:footer="0" w:header="0"/>
          <w:type w:val="continuous"/>
        </w:sectPr>
      </w:pPr>
    </w:p>
    <w:p>
      <w:pPr>
        <w:spacing w:after="0" w:line="2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27,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We have acted as counsel to Sun Country Airlines Holdings, Inc., a Delaware corporation (the “Company”), in connection with the Registration Statement on Form S-3 (the “Registration Statement”) of the Company filed today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up to 34,352,603 shares (the “Shares”) of the Company’s common stock, par value $0.01 per share (the “Common Stock”), that may be offered by certain stockholders of the Company. The Shares include 9,482,606 shares of Common Stock that may be issued upon the exercise of warrants to purchase shares of Common Stock issued pursuant to the Warrant, dated as of December 13, 2019, issued by SCA Acquisition Holdings, LLC to Amazon.com NV Investment Holdings LLC (the “Warrant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connection with the furnishing of this opinion, we have examined the Registration Statement and the Warrant Agreement.</w:t>
      </w:r>
    </w:p>
    <w:p>
      <w:pPr>
        <w:spacing w:after="0" w:line="225" w:lineRule="exact"/>
        <w:rPr>
          <w:sz w:val="20"/>
          <w:szCs w:val="20"/>
          <w:color w:val="auto"/>
        </w:rPr>
      </w:pPr>
    </w:p>
    <w:p>
      <w:pPr>
        <w:ind w:right="240" w:firstLine="1296"/>
        <w:spacing w:after="0" w:line="256" w:lineRule="auto"/>
        <w:rPr>
          <w:sz w:val="20"/>
          <w:szCs w:val="20"/>
          <w:color w:val="auto"/>
        </w:rPr>
      </w:pPr>
      <w:r>
        <w:rPr>
          <w:rFonts w:ascii="Times New Roman" w:cs="Times New Roman" w:eastAsia="Times New Roman" w:hAnsi="Times New Roman"/>
          <w:sz w:val="18"/>
          <w:szCs w:val="18"/>
          <w:color w:val="auto"/>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issuance of the Shares certified by the Company and (ii) such other certificates, agreements and documents that we deemed relevant and necessary as a basis for the opinion expressed below. We have also relied upon the factual matters contained in the representations and warranties of the Company made in the documents reviewed by us and upon certificates of public officials and the officers of the Company.</w:t>
      </w:r>
    </w:p>
    <w:p>
      <w:pPr>
        <w:spacing w:after="0" w:line="187"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83" w:lineRule="exact"/>
        <w:rPr>
          <w:sz w:val="20"/>
          <w:szCs w:val="20"/>
          <w:color w:val="auto"/>
        </w:rPr>
      </w:pPr>
    </w:p>
    <w:p>
      <w:pPr>
        <w:jc w:val="both"/>
        <w:ind w:right="220" w:firstLine="1296"/>
        <w:spacing w:after="0" w:line="266" w:lineRule="auto"/>
        <w:rPr>
          <w:sz w:val="20"/>
          <w:szCs w:val="20"/>
          <w:color w:val="auto"/>
        </w:rPr>
      </w:pPr>
      <w:r>
        <w:rPr>
          <w:rFonts w:ascii="Times New Roman" w:cs="Times New Roman" w:eastAsia="Times New Roman" w:hAnsi="Times New Roman"/>
          <w:sz w:val="18"/>
          <w:szCs w:val="18"/>
          <w:color w:val="auto"/>
        </w:rPr>
        <w:t>Based upon the above, and subject to the stated assumptions, exceptions and qualifications, we are of the opinion that the Shares have been duly authorized by all necessary corporate action on the part of the Company and are, or when issued, delivered and paid for in accordance with the terms of the Warrant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The opinion expressed above is limited to the General Corporation Law of the State of Delaware. Our opinion is rendered only with respect to the laws, and the rules, regulations and orders under those laws, that are currently in effect.</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Weiss, Rifkind, Wharton &amp; Garrison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February 18, 2022, with respect to the consolidated financial statements of Sun Country Airlines Holdings, Inc., incorporated herein by reference and to the reference to our firm under the heading “Experts” in the prospectus.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 and Carry Forward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8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Unsold</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3"/>
        </w:trPr>
        <w:tc>
          <w:tcPr>
            <w:tcW w:w="7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80" w:type="dxa"/>
            <w:vAlign w:val="bottom"/>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Fees to Be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Rule 457(c)</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80" w:type="dxa"/>
            <w:vAlign w:val="bottom"/>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Paid</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Equity</w:t>
            </w:r>
          </w:p>
        </w:tc>
        <w:tc>
          <w:tcPr>
            <w:tcW w:w="12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color w:val="auto"/>
              </w:rPr>
              <w:t>par value $0.01 per</w:t>
            </w:r>
          </w:p>
        </w:tc>
        <w:tc>
          <w:tcPr>
            <w:tcW w:w="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34,352,603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16.19(1)$ 556,168,643</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0.00011020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61,290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w:t>
            </w:r>
          </w:p>
        </w:tc>
        <w:tc>
          <w:tcPr>
            <w:tcW w:w="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and 457(g)</w:t>
            </w:r>
          </w:p>
        </w:tc>
        <w:tc>
          <w:tcPr>
            <w:tcW w:w="7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CCEEFF"/>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Fees</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2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Paid</w:t>
            </w:r>
          </w:p>
        </w:tc>
        <w:tc>
          <w:tcPr>
            <w:tcW w:w="760" w:type="dxa"/>
            <w:vAlign w:val="bottom"/>
            <w:gridSpan w:val="2"/>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CCEEFF"/>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w w:val="98"/>
              </w:rPr>
              <w:t>Carry</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2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3"/>
        </w:trPr>
        <w:tc>
          <w:tcPr>
            <w:tcW w:w="78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760" w:type="dxa"/>
            <w:vAlign w:val="bottom"/>
            <w:gridSpan w:val="2"/>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40" w:type="dxa"/>
            <w:vAlign w:val="bottom"/>
            <w:tcBorders>
              <w:bottom w:val="single" w:sz="8" w:color="CCEEFF"/>
            </w:tcBorders>
            <w:gridSpan w:val="5"/>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Total Offering Amounts</w:t>
            </w: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$ 556,168,643</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61,290</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40" w:type="dxa"/>
            <w:vAlign w:val="bottom"/>
            <w:gridSpan w:val="5"/>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Total Fees Previously Paid</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40" w:type="dxa"/>
            <w:vAlign w:val="bottom"/>
            <w:tcBorders>
              <w:bottom w:val="single" w:sz="8" w:color="CCEEFF"/>
            </w:tcBorders>
            <w:gridSpan w:val="5"/>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Total Fee Offsets</w:t>
            </w: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40" w:type="dxa"/>
            <w:vAlign w:val="bottom"/>
            <w:gridSpan w:val="5"/>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Net Fee Due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61,290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right="160" w:hanging="652"/>
        <w:spacing w:after="0" w:line="26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457(c) and Rule 457(g) of the Securities Act of 1933, as amended, the price shown is the average of the high and low selling prices of the common stock on December 22, 2022, as reported by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lvl w:ilvl="1">
      <w:lvlJc w:val="left"/>
      <w:lvlText w:val="(%2)"/>
      <w:numFmt w:val="lowerRoman"/>
      <w:start w:val="3"/>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upperLetter"/>
      <w:start w:val="2"/>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
    <w:nsid w:val="4353D0CD"/>
    <w:multiLevelType w:val="hybridMultilevel"/>
    <w:lvl w:ilvl="0">
      <w:lvlJc w:val="left"/>
      <w:lvlText w:val="(%1)"/>
      <w:numFmt w:val="decimal"/>
      <w:start w:val="2"/>
    </w:lvl>
    <w:lvl w:ilvl="1">
      <w:lvlJc w:val="left"/>
      <w:lvlText w:val="(%2)"/>
      <w:numFmt w:val="lowerRoman"/>
      <w:start w:val="1"/>
    </w:lvl>
  </w:abstractNum>
  <w:abstractNum w:abstractNumId="22">
    <w:nsid w:val="B03E0C6"/>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3">
    <w:nsid w:val="189A769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lowerRoman"/>
      <w:start w:val="2"/>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jpe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28" Type="http://schemas.openxmlformats.org/officeDocument/2006/relationships/hyperlink" Target="http://www.sec.gov/ix?doc=/Archives/edgar/data/1743907/000155837022001409/sncy-20211231x10k.htm" TargetMode="External"/><Relationship Id="rId29" Type="http://schemas.openxmlformats.org/officeDocument/2006/relationships/hyperlink" Target="http://www.sec.gov/ix?doc=/Archives/edgar/data/1743907/000155837022001517/sncy-20211231x10ka.htm" TargetMode="External"/><Relationship Id="rId30" Type="http://schemas.openxmlformats.org/officeDocument/2006/relationships/hyperlink" Target="http://www.sec.gov/Archives/edgar/data/1743907/000114036122017008/ny20002474x1_def14a.htm" TargetMode="External"/><Relationship Id="rId31" Type="http://schemas.openxmlformats.org/officeDocument/2006/relationships/hyperlink" Target="http://www.sec.gov/ix?doc=/Archives/edgar/data/1743907/000174390722000004/sncy-20220331.htm" TargetMode="External"/><Relationship Id="rId32" Type="http://schemas.openxmlformats.org/officeDocument/2006/relationships/hyperlink" Target="http://www.sec.gov/ix?doc=/Archives/edgar/data/1743907/000174390722000010/sncy-20220630.htm" TargetMode="External"/><Relationship Id="rId33" Type="http://schemas.openxmlformats.org/officeDocument/2006/relationships/hyperlink" Target="http://www.sec.gov/ix?doc=/Archives/edgar/data/1743907/000174390722000018/sncy-20220930.htm" TargetMode="External"/><Relationship Id="rId34" Type="http://schemas.openxmlformats.org/officeDocument/2006/relationships/hyperlink" Target="http://www.sec.gov/ix?doc=/Archives/edgar/data/1743907/000119312522095256/d331629d8k.htm" TargetMode="External"/><Relationship Id="rId35" Type="http://schemas.openxmlformats.org/officeDocument/2006/relationships/hyperlink" Target="http://www.sec.gov/ix?doc=/Archives/edgar/data/1743907/000095014222001526/eh220248099_8k.htm" TargetMode="External"/><Relationship Id="rId36" Type="http://schemas.openxmlformats.org/officeDocument/2006/relationships/hyperlink" Target="http://www.sec.gov/ix?doc=/Archives/edgar/data/1743907/000095014222001576/eh220250292_8ka1.htm" TargetMode="External"/><Relationship Id="rId37" Type="http://schemas.openxmlformats.org/officeDocument/2006/relationships/hyperlink" Target="http://www.sec.gov/ix?doc=/Archives/edgar/data/1743907/000095014222001872/eh220260912_8k.htm" TargetMode="External"/><Relationship Id="rId38" Type="http://schemas.openxmlformats.org/officeDocument/2006/relationships/hyperlink" Target="http://www.sec.gov/ix?doc=/Archives/edgar/data/1743907/000095014222001966/eh220263307_8k.htm" TargetMode="External"/><Relationship Id="rId39" Type="http://schemas.openxmlformats.org/officeDocument/2006/relationships/hyperlink" Target="http://www.sec.gov/ix?doc=/Archives/edgar/data/1743907/000095014222002892/eh220294245_8k.htm" TargetMode="External"/><Relationship Id="rId40" Type="http://schemas.openxmlformats.org/officeDocument/2006/relationships/hyperlink" Target="http://www.sec.gov/ix?doc=/Archives/edgar/data/1743907/000174390722000016/sncy-20221031.htm" TargetMode="External"/><Relationship Id="rId41" Type="http://schemas.openxmlformats.org/officeDocument/2006/relationships/hyperlink" Target="http://www.sec.gov/ix?doc=/Archives/edgar/data/1743907/000095014222003027/eh220300824_8k.htm" TargetMode="External"/><Relationship Id="rId42" Type="http://schemas.openxmlformats.org/officeDocument/2006/relationships/hyperlink" Target="http://www.sec.gov/Archives/edgar/data/1743907/000119312521080721/d150407d8a12b.htm" TargetMode="External"/><Relationship Id="rId84" Type="http://schemas.openxmlformats.org/officeDocument/2006/relationships/hyperlink" Target="http://www.sec.gov/Archives/edgar/data/1743907/000119312521083088/d54989dex31.htm" TargetMode="External"/><Relationship Id="rId85" Type="http://schemas.openxmlformats.org/officeDocument/2006/relationships/hyperlink" Target="http://www.sec.gov/Archives/edgar/data/1743907/000119312521083088/d5498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2022-12-27T16:58:45Z</dcterms:created>
  <dcterms:modified xsi:type="dcterms:W3CDTF">2022-12-27T16:58:45Z</dcterms:modified>
</cp:coreProperties>
</file>