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8883ddef14a.htm"/>
        <w:bookmarkStart w:id="1" w:name="ksd798883ddef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SCHEDULE 14A</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Proxy Statement Pursuant to Section 14(a) of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the 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the Registrant ☒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a Party other than the Registrant ☐ </w:t>
      </w:r>
    </w:p>
    <w:p>
      <w:pPr>
        <w:pStyle w:val="TextBody"/>
        <w:bidi w:val="0"/>
        <w:spacing w:before="480" w:after="0"/>
        <w:jc w:val="left"/>
        <w:rPr>
          <w:rFonts w:ascii="Times New Roman" w:hAnsi="Times New Roman"/>
          <w:sz w:val="20"/>
          <w:shd w:fill="FFFFFF" w:val="clear"/>
        </w:rPr>
      </w:pPr>
      <w:r>
        <w:rPr>
          <w:rFonts w:ascii="Times New Roman" w:hAnsi="Times New Roman"/>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shd w:fill="FFFFFF" w:val="clear"/>
        </w:rPr>
      </w:pPr>
      <w:r>
        <w:rPr>
          <w:shd w:fill="FFFFFF" w:val="clea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shd w:fill="FFFFFF" w:val="clear"/>
        </w:rPr>
      </w:pPr>
      <w:r>
        <w:rPr>
          <w:shd w:fill="FFFFFF" w:val="clea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shd w:fill="FFFFFF" w:val="clear"/>
        </w:rPr>
      </w:pPr>
      <w:r>
        <w:rPr>
          <w:shd w:fill="FFFFFF" w:val="clea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shd w:fill="FFFFFF" w:val="clear"/>
        </w:rPr>
      </w:pPr>
      <w:r>
        <w:rPr>
          <w:shd w:fill="FFFFFF" w:val="clea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Section 240.14a-12</w:t>
            </w:r>
          </w:p>
        </w:tc>
      </w:tr>
    </w:tbl>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SUN COUNTRY AIRLINES HOLDINGS,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(Name of Registrant as Specified in its Charter)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(Name of Person(s) Filing Proxy Statement if other than the Registrant)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shd w:fill="FFFFFF" w:val="clear"/>
        </w:rPr>
      </w:pPr>
      <w:r>
        <w:rPr>
          <w:shd w:fill="FFFFFF" w:val="clea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Dear Fellow Shareholders, </w:t>
      </w:r>
    </w:p>
    <w:p>
      <w:pPr>
        <w:pStyle w:val="TextBody"/>
        <w:bidi w:val="0"/>
        <w:spacing w:before="240" w:after="0"/>
        <w:jc w:val="left"/>
        <w:rPr>
          <w:rFonts w:ascii="Times New Roman" w:hAnsi="Times New Roman"/>
          <w:sz w:val="20"/>
        </w:rPr>
      </w:pPr>
      <w:r>
        <w:rPr>
          <w:rFonts w:ascii="Times New Roman" w:hAnsi="Times New Roman"/>
          <w:sz w:val="20"/>
        </w:rPr>
        <w:t xml:space="preserve">Sun Country is committed to doing the right thing for our shareholders, customers and team members. That starts with our number one priority – safety. I’d like to recognize our employees who prioritize a safe operation every flight, every day. Their dedication and professionalism contributed to a safe and successful 2023. </w:t>
      </w:r>
    </w:p>
    <w:p>
      <w:pPr>
        <w:pStyle w:val="TextBody"/>
        <w:bidi w:val="0"/>
        <w:spacing w:before="240" w:after="0"/>
        <w:jc w:val="left"/>
        <w:rPr>
          <w:rFonts w:ascii="Times New Roman" w:hAnsi="Times New Roman"/>
          <w:sz w:val="20"/>
        </w:rPr>
      </w:pPr>
      <w:r>
        <w:rPr>
          <w:rFonts w:ascii="Times New Roman" w:hAnsi="Times New Roman"/>
          <w:sz w:val="20"/>
        </w:rPr>
        <w:t xml:space="preserve">I’d also like to express our company’s deep appreciation for our customers and their continued loyalty to Sun Country. We believe we deliver great value through our low fares, nonstop service to popular destinations, and an on-board experience that exceeds our low-cost competitors, including state-of-the-art seating, comfortable recline, in-seat power in most seats, free in-flight entertainment to our customers’ devices and complimentary beverages. We are proud to partner with many Minnesota and Midwest-based companies to highlight their local products on our menu. </w:t>
      </w:r>
    </w:p>
    <w:p>
      <w:pPr>
        <w:pStyle w:val="TextBody"/>
        <w:bidi w:val="0"/>
        <w:spacing w:before="240" w:after="0"/>
        <w:jc w:val="left"/>
        <w:rPr>
          <w:rFonts w:ascii="Times New Roman" w:hAnsi="Times New Roman"/>
          <w:sz w:val="20"/>
        </w:rPr>
      </w:pPr>
      <w:r>
        <w:rPr>
          <w:rFonts w:ascii="Times New Roman" w:hAnsi="Times New Roman"/>
          <w:sz w:val="20"/>
        </w:rPr>
        <w:t xml:space="preserve">To our shareholders, thank you for believing in our diversified business model combining scheduled service with charter and cargo lines, which delivers industry leading margins and strategic flexibility. We are focused on value creation in each of our lines of business. We see significant growth opportunities for our scheduled service during peak months. Further, we continue to increase charter flying in the months of reduced demand for scheduled services, particularly the months of May, September and October. Cargo services contribute significant stability to the company with consistent flying through all seasons and economic environments.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2023 highlights </w:t>
      </w:r>
    </w:p>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Sun Country recorded the highest pre-tax margin of all 11 public mainline carriers.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Like the previous year, Sun Country finished in the top spot among all domestic airlines with a 99% completion factor in another tough year for airline operations across the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flew more passengers, had more departures, and sold more seats in 2023 than in any other year. In total, we flew more than 3.4 million passengers and had over 26,250 departures.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produced over $1 billion in revenue for the first time in our company’s 41-year history.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launched 14 new summer routes in 2023 and announced 10 new routes that are starting up in summer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won a global award from SKYTRAX for the Best Low-Cost Carrier in North America at the 2023 World Airline Awards.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Aircraft growth </w:t>
      </w:r>
    </w:p>
    <w:p>
      <w:pPr>
        <w:pStyle w:val="TextBody"/>
        <w:bidi w:val="0"/>
        <w:spacing w:before="120" w:after="0"/>
        <w:jc w:val="left"/>
        <w:rPr>
          <w:rFonts w:ascii="Times New Roman" w:hAnsi="Times New Roman"/>
          <w:sz w:val="20"/>
        </w:rPr>
      </w:pPr>
      <w:r>
        <w:rPr>
          <w:rFonts w:ascii="Times New Roman" w:hAnsi="Times New Roman"/>
          <w:sz w:val="20"/>
        </w:rPr>
        <w:t xml:space="preserve">In April 2023, we acquired five 737-900ERs which will remain out on operating lease until they are inducted into our passenger fleet beginning in late 2024 and continuing through 2025. We also acquired two 737-800s in 2023 which will also remain out on lease. These acquisitions provide us with revenue and growth aircraft for the next few years and increase our fleet to 63 aircraft with no incremental capital outlays.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Customer experience </w:t>
      </w:r>
    </w:p>
    <w:p>
      <w:pPr>
        <w:pStyle w:val="TextBody"/>
        <w:bidi w:val="0"/>
        <w:spacing w:before="120" w:after="0"/>
        <w:jc w:val="left"/>
        <w:rPr>
          <w:rFonts w:ascii="Times New Roman" w:hAnsi="Times New Roman"/>
          <w:sz w:val="20"/>
        </w:rPr>
      </w:pPr>
      <w:r>
        <w:rPr>
          <w:rFonts w:ascii="Times New Roman" w:hAnsi="Times New Roman"/>
          <w:sz w:val="20"/>
        </w:rPr>
        <w:t xml:space="preserve">We continued to make investments to improve on our customer’s experience. In 2023, we rolled out new automation tools giving our passengers the ability to manage their options during travel disruptions on their own and new baggage scanning which has improved our missed baggage ratio. Launching soon, our new mobile app will further enhance the Sun Country customer experience. Travelers will be able to book travel, check-in for flights, use their mobile boarding pass, and manage their trips on iPhone and Android mobile devices. These initiatives not only improve the customer experience; they make us a more cost-efficient airline.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investment in our airline. We hope you will participate in our annual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Jude Bricker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SUN COUNTRY AIRLINES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2005 Cargo Road </w:t>
      </w:r>
    </w:p>
    <w:p>
      <w:pPr>
        <w:pStyle w:val="TextBody"/>
        <w:bidi w:val="0"/>
        <w:spacing w:before="240" w:after="0"/>
        <w:jc w:val="center"/>
        <w:rPr>
          <w:rFonts w:ascii="Times New Roman" w:hAnsi="Times New Roman"/>
          <w:b/>
          <w:sz w:val="20"/>
        </w:rPr>
      </w:pPr>
      <w:r>
        <w:rPr>
          <w:rFonts w:ascii="Times New Roman" w:hAnsi="Times New Roman"/>
          <w:b/>
          <w:sz w:val="20"/>
        </w:rPr>
        <w:t xml:space="preserve">Minneapolis, MN 55450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2024 Annual Meeting of Stockholders (the “Annual Meeting”) of Sun Country Airlines Holdings, Inc. (the “Company” or “Sun Country”). The Annual Meeting will be held virtually on June 12, 2024, at 9:00 a.m. Central Time. The Annual Meeting can be accessed by visiting www.virtualshareholdermeeting.com/SNCY2024 where you will be able to listen to the meeting live, submit questions and vote online. The Annual Meeting is being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reelect Jude Bricker, Dave Davis, and Kerry Philipovitch to the Board as Class III directors, in each case, for a term of three years expiring at the annual meeting of stockholders of the Company to be held in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on a non-binding, advisory basis, on the frequency of future advisory votes to approve the compensation of the Company’s named executive officers;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200"/>
        <w:gridCol w:w="95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on a non-binding, advisory basis, to approve the compensation of the Company’s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KPMG LLP (“KPMG”) as the Company’s independent registered public accounting firm for the fiscal year ending December 31,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5.</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or any postponement or adjournment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the Company’s common stock, par value $0.01 per share (“common stock”), of record at close of business on April 15, 2024, are entitled to notice of, and to vote at, the Annual Meeting or any postponements or adjournments thereof. </w:t>
      </w:r>
    </w:p>
    <w:p>
      <w:pPr>
        <w:pStyle w:val="TextBody"/>
        <w:bidi w:val="0"/>
        <w:spacing w:before="240" w:after="0"/>
        <w:jc w:val="left"/>
        <w:rPr>
          <w:rFonts w:ascii="Times New Roman" w:hAnsi="Times New Roman"/>
          <w:sz w:val="20"/>
        </w:rPr>
      </w:pPr>
      <w:r>
        <w:rPr>
          <w:rFonts w:ascii="Times New Roman" w:hAnsi="Times New Roman"/>
          <w:sz w:val="20"/>
        </w:rPr>
        <w:t xml:space="preserve">We encourage you to access the Annual Meeting before the start time of 9:00 a.m., Central Time, on June 12, 2024, to allow ample time for online check-in. A complete list of stockholders entitled to vote at the Annual Meeting will be available upon request during ordinary business hours at the Company’s principal place of business located at 2005 Cargo Road, Minneapolis, MN 55450, from Rose Neale, General Counsel, at least 10 days before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proxy materials to our stockholders via the Internet to expedite stockholders’ receipt of proxy materials while lowering the cost of delivery and reducing the environmental impact of our Annual Meeting of Stockholders. Accordingly, we are mailing to our stockholders of record and beneficial owners a Notice of Internet Availability of Proxy Materials, which provides instructions on how to access the attached proxy statement and our Annual Report on Form 10-K, for the fiscal year ended December 31, 2023, via the Internet and how to vote online. The Notice of Internet Availability of Proxy Materials also contains instructions on how to obtain the proxy materials in printed form. </w:t>
      </w:r>
    </w:p>
    <w:p>
      <w:pPr>
        <w:pStyle w:val="TextBody"/>
        <w:bidi w:val="0"/>
        <w:spacing w:before="240" w:after="0"/>
        <w:jc w:val="left"/>
        <w:rPr>
          <w:rFonts w:ascii="Times New Roman" w:hAnsi="Times New Roman"/>
          <w:sz w:val="20"/>
        </w:rPr>
      </w:pPr>
      <w:r>
        <w:rPr>
          <w:rFonts w:ascii="Times New Roman" w:hAnsi="Times New Roman"/>
          <w:sz w:val="20"/>
        </w:rPr>
        <w:t xml:space="preserve">If you have questions about the Annual Meeting, require assistance in submitting your proxy or voting your shares or need additional copies of the accompanying proxy statement or the proxy card, please contact Investor Relations at IR@suncountry.com. </w:t>
      </w:r>
    </w:p>
    <w:p>
      <w:pPr>
        <w:pStyle w:val="TextBody"/>
        <w:bidi w:val="0"/>
        <w:spacing w:before="0" w:after="0"/>
        <w:jc w:val="left"/>
        <w:rPr/>
      </w:pPr>
      <w:r>
        <w:rPr/>
        <w:t> </w:t>
      </w:r>
    </w:p>
    <w:tbl>
      <w:tblPr>
        <w:tblW w:w="7665" w:type="dxa"/>
        <w:jc w:val="left"/>
        <w:tblInd w:w="0" w:type="dxa"/>
        <w:tblLayout w:type="fixed"/>
        <w:tblCellMar>
          <w:top w:w="0" w:type="dxa"/>
          <w:left w:w="0" w:type="dxa"/>
          <w:bottom w:w="0" w:type="dxa"/>
          <w:right w:w="0" w:type="dxa"/>
        </w:tblCellMar>
      </w:tblPr>
      <w:tblGrid>
        <w:gridCol w:w="1430"/>
        <w:gridCol w:w="120"/>
        <w:gridCol w:w="1700"/>
        <w:gridCol w:w="60"/>
        <w:gridCol w:w="435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April 29, 2024</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By order of the Board of Directors,</w:t>
            </w:r>
          </w:p>
        </w:tc>
      </w:tr>
      <w:tr>
        <w:trPr/>
        <w:tc>
          <w:tcPr>
            <w:tcW w:w="14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 Rose Neale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Senior Vice President, 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YOUR VOTE IS IMPORTANT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plan to attend Sun Country Airlines Holdings, Inc.’s Annual Meeting, please submit your proxy or voting instructions as soon as possible. We strongly encourage you to submit your voting instructions. </w:t>
      </w:r>
    </w:p>
    <w:p>
      <w:pPr>
        <w:pStyle w:val="TextBody"/>
        <w:bidi w:val="0"/>
        <w:spacing w:before="240" w:after="0"/>
        <w:jc w:val="left"/>
        <w:rPr>
          <w:rFonts w:ascii="Times New Roman" w:hAnsi="Times New Roman"/>
          <w:b/>
          <w:sz w:val="20"/>
        </w:rPr>
      </w:pPr>
      <w:r>
        <w:rPr>
          <w:rFonts w:ascii="Times New Roman" w:hAnsi="Times New Roman"/>
          <w:b/>
          <w:sz w:val="20"/>
        </w:rPr>
        <w:t xml:space="preserve">We encourage you to submit your proxy or voting instructions via the Internet, which is convenient, helps reduce the environmental impact of our Annual Meeting and saves us significant postage and processing costs. For instructions on how to submit your proxy or voting instructions and how to vote your shares, please refer to the section entitled “Some Questions You May Have Regarding This Proxy Statement” beginning on page 1 of the accompanying proxy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w:t>
      </w:r>
    </w:p>
    <w:p>
      <w:pPr>
        <w:pStyle w:val="TextBody"/>
        <w:bidi w:val="0"/>
        <w:spacing w:before="0" w:after="0"/>
        <w:jc w:val="center"/>
        <w:rPr>
          <w:rFonts w:ascii="Times New Roman" w:hAnsi="Times New Roman"/>
          <w:b/>
          <w:sz w:val="20"/>
        </w:rPr>
      </w:pPr>
      <w:r>
        <w:rPr>
          <w:rFonts w:ascii="Times New Roman" w:hAnsi="Times New Roman"/>
          <w:b/>
          <w:sz w:val="20"/>
        </w:rPr>
        <w:t xml:space="preserve">PROXY MATERIALS FOR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proxy materials and proxy statement for the Annual Meeting and the Company’s Annual Report on Form 10-K, for the fiscal year ended December 31, 2023, are available on the Internet at ir.suncountry.com.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798883_1">
              <w:r>
                <w:rPr>
                  <w:rStyle w:val="InternetLink"/>
                  <w:rFonts w:ascii="Times New Roman" w:hAnsi="Times New Roman"/>
                  <w:sz w:val="20"/>
                </w:rPr>
                <w:t>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2">
              <w:r>
                <w:rPr>
                  <w:rStyle w:val="InternetLink"/>
                  <w:rFonts w:ascii="Times New Roman" w:hAnsi="Times New Roman"/>
                  <w:sz w:val="20"/>
                </w:rPr>
                <w:t>PROPOSAL 1 — REELECTION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3">
              <w:r>
                <w:rPr>
                  <w:rStyle w:val="InternetLink"/>
                  <w:rFonts w:ascii="Times New Roman" w:hAnsi="Times New Roman"/>
                  <w:sz w:val="20"/>
                </w:rPr>
                <w:t>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4">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5">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6">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7">
              <w:r>
                <w:rPr>
                  <w:rStyle w:val="InternetLink"/>
                  <w:rFonts w:ascii="Times New Roman" w:hAnsi="Times New Roman"/>
                  <w:sz w:val="20"/>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0">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1">
              <w:r>
                <w:rPr>
                  <w:rStyle w:val="InternetLink"/>
                  <w:rFonts w:ascii="Times New Roman" w:hAnsi="Times New Roman"/>
                  <w:sz w:val="20"/>
                </w:rPr>
                <w:t>AUDIT-RELATED FEES, TAX FEES AND ALL OTHER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8">
              <w:r>
                <w:rPr>
                  <w:rStyle w:val="InternetLink"/>
                  <w:rFonts w:ascii="Times New Roman" w:hAnsi="Times New Roman"/>
                  <w:sz w:val="20"/>
                </w:rPr>
                <w:t>PROPOSAL 2 — SAY ON FREQUENCY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9">
              <w:r>
                <w:rPr>
                  <w:rStyle w:val="InternetLink"/>
                  <w:rFonts w:ascii="Times New Roman" w:hAnsi="Times New Roman"/>
                  <w:sz w:val="20"/>
                </w:rPr>
                <w:t>PROPOSAL 3 — SAY ON PAY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2">
              <w:r>
                <w:rPr>
                  <w:rStyle w:val="InternetLink"/>
                  <w:rFonts w:ascii="Times New Roman" w:hAnsi="Times New Roman"/>
                  <w:sz w:val="20"/>
                </w:rPr>
                <w:t>PROPOSAL 4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3">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4">
              <w:r>
                <w:rPr>
                  <w:rStyle w:val="InternetLink"/>
                  <w:rFonts w:ascii="Times New Roman" w:hAnsi="Times New Roman"/>
                  <w:sz w:val="20"/>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5">
              <w:r>
                <w:rPr>
                  <w:rStyle w:val="InternetLink"/>
                  <w:rFonts w:ascii="Times New Roman" w:hAnsi="Times New Roman"/>
                  <w:sz w:val="20"/>
                </w:rPr>
                <w:t>STOCKHOLDER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6">
              <w:r>
                <w:rPr>
                  <w:rStyle w:val="InternetLink"/>
                  <w:rFonts w:ascii="Times New Roman" w:hAnsi="Times New Roman"/>
                  <w:sz w:val="20"/>
                </w:rPr>
                <w:t>HOUSEHOLDING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7">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98883_18">
              <w:r>
                <w:rPr>
                  <w:rStyle w:val="InternetLink"/>
                  <w:rFonts w:ascii="Times New Roman" w:hAnsi="Times New Roman"/>
                  <w:sz w:val="20"/>
                </w:rPr>
                <w:t>CAUTIONARY STATEMENT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SUN COUNTRY AIRLINES HOLDINGS, INC. </w:t>
      </w:r>
    </w:p>
    <w:p>
      <w:pPr>
        <w:pStyle w:val="TextBody"/>
        <w:bidi w:val="0"/>
        <w:spacing w:before="0" w:after="0"/>
        <w:jc w:val="center"/>
        <w:rPr>
          <w:rFonts w:ascii="Times New Roman" w:hAnsi="Times New Roman"/>
          <w:b/>
          <w:sz w:val="20"/>
        </w:rPr>
      </w:pPr>
      <w:bookmarkStart w:id="3" w:name="toc798883_1"/>
      <w:bookmarkEnd w:id="3"/>
      <w:r>
        <w:rPr>
          <w:rFonts w:ascii="Times New Roman" w:hAnsi="Times New Roman"/>
          <w:b/>
          <w:sz w:val="20"/>
        </w:rPr>
        <w:t xml:space="preserve">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Annual Meeting of Stockholders of Sun Country Airlines Holdings, Inc. to be held on June 12, 2024 </w:t>
      </w:r>
    </w:p>
    <w:p>
      <w:pPr>
        <w:pStyle w:val="TextBody"/>
        <w:bidi w:val="0"/>
        <w:spacing w:before="120" w:after="0"/>
        <w:jc w:val="left"/>
        <w:rPr>
          <w:rFonts w:ascii="Times New Roman" w:hAnsi="Times New Roman"/>
          <w:b/>
          <w:sz w:val="20"/>
        </w:rPr>
      </w:pPr>
      <w:r>
        <w:rPr>
          <w:rFonts w:ascii="Times New Roman" w:hAnsi="Times New Roman"/>
          <w:b/>
          <w:sz w:val="20"/>
        </w:rPr>
        <w:t xml:space="preserve">Some Questions You May Have Regarding This Proxy Statement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Why did I receive these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(the “Board of Directors” or “Board”) of Sun Country Airlines Holdings, Inc. (the “Company” or “Sun Country”) is soliciting proxies for our 2024 Annual Meeting of Stockholders (the “Annual Meeting”). The Annual Meeting will be held virtually on June 12, 2024, at 9:00 a.m., Central Time. As a stockholder as of the close of business on April 15, 2024, which is the record date (the “Record Date”) fixed by the Board of Directors, you are invited to attend the Annual Meeting and are entitled and urged to vote your shares on the proposals described in this proxy statement. The information included in this proxy statement relates to the proposals to be voted on at the Annual Meeting, the voting process, the compensation of Directors and our most highly-paid executive officers, and other required information. Our Annual Report on Form 10-K, for the fiscal year ended December 31, 2023 is available to review with this proxy statement. We are mailing a Notice of Internet Availability of Proxy Materials (the “Notice”) to our stockholders on or about April 29, 2024. The Notice contains instructions on how to access this proxy statement and our Annual Report on Form 10-K, for the fiscal year ended December 31, 2023, online.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proposals will be voted 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four matters scheduled to be voted on at the Annual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reelection of Jude Bricker, Dave Davis, and Kerry Philipovitch to the Board as Class III directors, in each case, for a term of three years expiring at the annual meeting of stockholders of the Company to be held in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on a non-binding, advisory basis, on the frequency of future advisory votes to approve the compensation of the Company’s named executive officers;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200"/>
        <w:gridCol w:w="98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on a non-binding, advisory basis, to approve the compensation of the Company’s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KPMG LLP (“KPMG”) as the Company’s independent registered public accounting firm for the fiscal year ending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such other business as may properly come before the Annual Meeting or any adjournment or postponement thereof may be voted 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will be held entirely online via audio webcast to allow greater participation. You may attend, vote and submit questions at the Annual Meeting by visiting www.virtualshareholdermeeting.com/SNCY2024. If you are a stockholder of record, you will be asked to provide the control number from your Notice. If you are a beneficial owner of shares registered in the name of your broker, bank, or other nominee, follow the instructions from your broker or bank to access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webcast of the Annual Meeting will begin promptly at 9:00 a.m. Central Time. We encourage you to access the meeting prior to the start time to allow reasonable time for the check-in procedures.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can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Anyone owning shares of common stock at the close of business on April 15, 2024, the Record Date for this year’s Annual Meeting, is entitled to attend and vote on all items properly presented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Stockholder of Record: Shares Registered in Your Name</w:t>
      </w:r>
      <w:r>
        <w:rPr>
          <w:rFonts w:ascii="Times New Roman" w:hAnsi="Times New Roman"/>
          <w:sz w:val="20"/>
        </w:rPr>
        <w:t xml:space="preserve">. If, at the close of business on the Record Date, your shares were registered directly in your name with our transfer agent, Broadridge Corporate Issuer Solutions, then you are a stockholder of record. As a stockholder of record, you have the right to grant your voting proxy directly to the individuals listed on the proxy card, to vote electronically at the Annual Meeting, or by Internet or by telephone, or, if you received paper copies of the proxy materials by mail, to vote by mail by following the instructions on the proxy card or voting instruction card. </w:t>
      </w:r>
    </w:p>
    <w:p>
      <w:pPr>
        <w:pStyle w:val="TextBody"/>
        <w:bidi w:val="0"/>
        <w:spacing w:before="240" w:after="0"/>
        <w:jc w:val="left"/>
        <w:rPr>
          <w:rFonts w:ascii="Times New Roman" w:hAnsi="Times New Roman"/>
          <w:sz w:val="20"/>
        </w:rPr>
      </w:pPr>
      <w:r>
        <w:rPr>
          <w:rFonts w:ascii="Times New Roman" w:hAnsi="Times New Roman"/>
          <w:i/>
          <w:sz w:val="20"/>
        </w:rPr>
        <w:t>Beneficial Owner: Shares Registered in the Name of a Broker or Bank</w:t>
      </w:r>
      <w:r>
        <w:rPr>
          <w:rFonts w:ascii="Times New Roman" w:hAnsi="Times New Roman"/>
          <w:sz w:val="20"/>
        </w:rPr>
        <w:t xml:space="preserve">. If, at the close of business on the Record Date, your shares were held, not in your name, but rather in an account at a broker, bank, or other nominee, then you are the beneficial owner of shares held in “street name” and the Notice is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electronically at the Annual Meeting unless you obtain a legal proxy from your broker, bank, or other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i/>
          <w:sz w:val="20"/>
        </w:rPr>
        <w:t>Stockholder of Record: Shares Registered in Your Name</w:t>
      </w:r>
      <w:r>
        <w:rPr>
          <w:rFonts w:ascii="Times New Roman" w:hAnsi="Times New Roman"/>
          <w:sz w:val="20"/>
        </w:rPr>
        <w:t xml:space="preserve">. If you are a stockholder of record, you may vote in one of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You may vote electronically at the Annual Meeting</w:t>
            </w:r>
            <w:r>
              <w:rPr>
                <w:rFonts w:ascii="Times New Roman" w:hAnsi="Times New Roman"/>
                <w:sz w:val="20"/>
              </w:rPr>
              <w:t xml:space="preserve">. If you plan to attend the Annual Meeting, you may vote by proxy or electronically at the Annual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Annual Meeting—go to www.virtualshareholdermeeting.com/SNCY2024.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You may vote by mail</w:t>
            </w:r>
            <w:r>
              <w:rPr>
                <w:rFonts w:ascii="Times New Roman" w:hAnsi="Times New Roman"/>
                <w:sz w:val="20"/>
              </w:rPr>
              <w:t xml:space="preserve">. To vote by mail, complete, sign and date the proxy card that accompanies this proxy statement and return it promptly in the postage-prepaid envelope provided (if you received printed proxy materials). Your completed, signed, and dated proxy card must be received prior to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You may vote by telephone</w:t>
            </w:r>
            <w:r>
              <w:rPr>
                <w:rFonts w:ascii="Times New Roman" w:hAnsi="Times New Roman"/>
                <w:sz w:val="20"/>
              </w:rPr>
              <w:t xml:space="preserve">. To vote over the telephone, call toll-free 1-800-690-6903 from any touch-tone telephone and follow the instructions. Have your Notice or proxy card available when you call. You will be asked to provide the control number from your Notice or proxy card. Telephone voting is available 24 hours a day, 7 days a week, until 11:59 p.m., Eastern Time, on June 11,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You may vote via the Internet</w:t>
            </w:r>
            <w:r>
              <w:rPr>
                <w:rFonts w:ascii="Times New Roman" w:hAnsi="Times New Roman"/>
                <w:sz w:val="20"/>
              </w:rPr>
              <w:t xml:space="preserve">. To vote via the Internet, go to www.proxyvote.com to complete an electronic proxy card (have your Notice or proxy card in hand when you visit the website). You will be asked to provide the control number from your Notice or proxy card. Internet voting is available 24 hours a day, 7 days a week, until 11:59 p.m., Eastern Time, on June 11, 2024. </w:t>
            </w:r>
          </w:p>
        </w:tc>
      </w:tr>
    </w:tbl>
    <w:p>
      <w:pPr>
        <w:pStyle w:val="TextBody"/>
        <w:bidi w:val="0"/>
        <w:spacing w:before="240" w:after="0"/>
        <w:jc w:val="left"/>
        <w:rPr>
          <w:rFonts w:ascii="Times New Roman" w:hAnsi="Times New Roman"/>
          <w:sz w:val="20"/>
        </w:rPr>
      </w:pPr>
      <w:r>
        <w:rPr>
          <w:rFonts w:ascii="Times New Roman" w:hAnsi="Times New Roman"/>
          <w:i/>
          <w:sz w:val="20"/>
        </w:rPr>
        <w:t>Beneficial Owner of Shares Held in “Street Name”: Shares Registered in the Name of a Broker, Bank or Other Nominee</w:t>
      </w:r>
      <w:r>
        <w:rPr>
          <w:rFonts w:ascii="Times New Roman" w:hAnsi="Times New Roman"/>
          <w:sz w:val="20"/>
        </w:rPr>
        <w:t xml:space="preserve">. 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to their broker, bank, or other nominee, or by telephone or via the Internet. However, the availability of telephone or Internet voting will depend on the voting process of your broker, bank, or other nominee. As discussed above, if you are a beneficial owner, you may not vote your shares electronically at the Annual Meeting unless you obtain a legal proxy from your broker, bank, or other nominee. Note that your broker, bank, or other nominee may have an earlier deadline for submission of votes than what we will utilize for 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choose to access the proxy materials and/or vote over the Internet, you are responsible for Internet access charges you may incur. If you choose to vote by telephone, you are responsible for telephone charges you may incur.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 I change my vote or revoke my proxy? </w:t>
      </w:r>
    </w:p>
    <w:p>
      <w:pPr>
        <w:pStyle w:val="TextBody"/>
        <w:bidi w:val="0"/>
        <w:spacing w:before="120" w:after="0"/>
        <w:jc w:val="left"/>
        <w:rPr>
          <w:rFonts w:ascii="Times New Roman" w:hAnsi="Times New Roman"/>
          <w:sz w:val="20"/>
        </w:rPr>
      </w:pPr>
      <w:r>
        <w:rPr>
          <w:rFonts w:ascii="Times New Roman" w:hAnsi="Times New Roman"/>
          <w:i/>
          <w:sz w:val="20"/>
        </w:rPr>
        <w:t>Stockholder of Record: Shares Registered in Your Name</w:t>
      </w:r>
      <w:r>
        <w:rPr>
          <w:rFonts w:ascii="Times New Roman" w:hAnsi="Times New Roman"/>
          <w:sz w:val="20"/>
        </w:rPr>
        <w:t xml:space="preserve">. If you are a stockholder of record, you can change your vote or revoke your proxy by: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another proxy, or using any of the available methods for voting, with a later date;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Notifying the Company’s Secretary in writing before the Annual Meeting that you wish to revoke your proxy;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Attending the Annual Meeting and voting electronically. Attendance at the Annual Meeting will not cause your previously granted proxy to be revoked unless you specifically so request or cast your vote electronically.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Beneficial Owner of Shares Held in </w:t>
      </w:r>
      <w:r>
        <w:rPr>
          <w:rFonts w:ascii="Times New Roman" w:hAnsi="Times New Roman"/>
          <w:sz w:val="20"/>
        </w:rPr>
        <w:t>“</w:t>
      </w:r>
      <w:r>
        <w:rPr>
          <w:rFonts w:ascii="Times New Roman" w:hAnsi="Times New Roman"/>
          <w:i/>
          <w:sz w:val="20"/>
        </w:rPr>
        <w:t>Street Name</w:t>
      </w:r>
      <w:r>
        <w:rPr>
          <w:rFonts w:ascii="Times New Roman" w:hAnsi="Times New Roman"/>
          <w:sz w:val="20"/>
        </w:rPr>
        <w:t>”</w:t>
      </w:r>
      <w:r>
        <w:rPr>
          <w:rFonts w:ascii="Times New Roman" w:hAnsi="Times New Roman"/>
          <w:i/>
          <w:sz w:val="20"/>
        </w:rPr>
        <w:t>: Shares Registered in the Name of a Broker, Bank or Other Nominee</w:t>
      </w:r>
      <w:r>
        <w:rPr>
          <w:rFonts w:ascii="Times New Roman" w:hAnsi="Times New Roman"/>
          <w:sz w:val="20"/>
        </w:rPr>
        <w:t xml:space="preserve">. If you are the beneficial owner of your shares, you must contact the broker, bank, or other nominee holding your shares and follow their instructions to change your vote or revoke your proxy.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is asking me for my vote?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soliciting your proxy on behalf of the Board of Directors. The Company will bear the cost of soliciting proxies and will reimburse brokerage firms and others for expenses involved in forwarding proxy materials to beneficial owners or soliciting their execution. In addition to solicitations by mail, the Company, through its directors and employees, may solicit proxies in person, by telephone or by electronic means. Such directors and employees will not receive any special remuneration for these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is the effect of giving a proxy? </w:t>
      </w:r>
    </w:p>
    <w:p>
      <w:pPr>
        <w:pStyle w:val="TextBody"/>
        <w:bidi w:val="0"/>
        <w:spacing w:before="120" w:after="0"/>
        <w:jc w:val="left"/>
        <w:rPr>
          <w:rFonts w:ascii="Times New Roman" w:hAnsi="Times New Roman"/>
          <w:sz w:val="20"/>
        </w:rPr>
      </w:pPr>
      <w:r>
        <w:rPr>
          <w:rFonts w:ascii="Times New Roman" w:hAnsi="Times New Roman"/>
          <w:sz w:val="20"/>
        </w:rPr>
        <w:t xml:space="preserve">Proxies are solicited by and on behalf of our Board of Directors. The person named in the proxy has been designated as a proxy for the Annual Meeting by our Board of Directors. When proxies are properly dated, executed, and returned, the shares represented by such proxies will be voted at the Annual Meeting in accordance with the instruction of the stockholder on such proxy. If no specific instructions are given, however, the shares will be voted in accordance with the recommendations of our Board of Directors on the proposals as described below and, if any other matters are properly brought before the Annual Meeting, the shares will be voted in accordance with the proxy’s judgment.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are my 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is entitled to one vote on each matter properly presented at the Annual Meeting. At the close of business on April 15, 2024, the Record Date for determining the stockholders entitled to notice of, and to vote at, the Annual Meeting, there were 52,659,305 shares of common stock outstanding. A list of all record stockholders as of the Record Date will be available during ordinary business hours at the Company’s principal place of business located at 2005 Cargo Road, Minneapolis, MN 55450, from Rose Neale, General Counsel, at least 10 days before the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does the Board of Directors recommend that I vote?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recommends that you vote: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reelection of each of the Class III director nominees;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Every “1 YEAR” for the non-binding, advisory proposal to vote on the frequency of future advisory votes to approve the compensation of the Company’s named executive officers; </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approval, on a non-binding, advisory basis, of the compensation of the Company’s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KPMG as the Company’s independent registered public accounting firm for the fiscal year ending December 31,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your discretion on such other business as may properly come before the Annual Meeting or any postponement(s) or adjournment(s) thereof.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Why did I receive a one-page Notice in the mail regarding the Internet Availability of Proxy Materials instead of a full printed set?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rules of the Securities and Exchange Commission (the “SEC”), and to lower the cost of delivery and reduce the environmental impact of our Annual Meeting of Stockholders, the Company is providing access to its proxy materials via the Internet and will not send its proxy materials via mail or electronically by email unless appropriately requested. Accordingly, the Company is mailing a Notice of Internet Availability of Proxy Materials to stockholders of record and beneficial owners. All stockholders will have the ability to access the proxy materials on the website referred to in the Notice or to request a printed set of the proxy materials. Instructions on how to access the proxy materials via the Internet, to request a printed set or to request proxy materials be emailed to you may be found in the Notice. In addition, stockholders may request to receive proxy materials in printed form by mail or electronically by email on an ongoing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Where can I view the proxy materials on the Internet? </w:t>
      </w:r>
    </w:p>
    <w:p>
      <w:pPr>
        <w:pStyle w:val="TextBody"/>
        <w:bidi w:val="0"/>
        <w:spacing w:before="120" w:after="0"/>
        <w:jc w:val="left"/>
        <w:rPr>
          <w:rFonts w:ascii="Times New Roman" w:hAnsi="Times New Roman"/>
          <w:sz w:val="20"/>
        </w:rPr>
      </w:pPr>
      <w:r>
        <w:rPr>
          <w:rFonts w:ascii="Times New Roman" w:hAnsi="Times New Roman"/>
          <w:sz w:val="20"/>
        </w:rPr>
        <w:t xml:space="preserve">The Notice provides you with instructions on how to: </w:t>
      </w:r>
    </w:p>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View proxy materials for the Annual Meeting via the Internet; and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Instruct the Company to send future proxy materials to you by email or mail.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can view the proxy materials for the Annual Meeting online at www.proxyvote.com and at ir.suncountry.com.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is the quorum requirement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quorum is the minimum number of shares required to be present or represented at the Annual Meeting for the meeting to be properly held. The presence, represented in person or by proxy, of the holders of a majority in voting power of our outstanding common stock entitled to vote at the Annual Meeting will constitute a quorum to transact business at the Annual Meeting. Abstentions, “WITHHOLD” votes, and “broker non-votes” are counted as present and entitled to vote for purposes of determining a quorum. If there is no quorum, the chairperson of the meeting may adjourn the meeting to another time or 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Broker non-votes occur when a beneficial owner of shares held in “street name” does not give instructions to the broker, bank, or other nominee, as applicable, as to how to vote on matters deemed “non-routine” and there is at least one “routine” matter to be voted upon at the Annual Meeting.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In the event that a broker, bank, or other nominee votes shares on the “routine”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matters are considered “routine” and “non-routine”? </w:t>
      </w:r>
    </w:p>
    <w:p>
      <w:pPr>
        <w:pStyle w:val="TextBody"/>
        <w:bidi w:val="0"/>
        <w:spacing w:before="120" w:after="0"/>
        <w:jc w:val="left"/>
        <w:rPr>
          <w:rFonts w:ascii="Times New Roman" w:hAnsi="Times New Roman"/>
          <w:sz w:val="20"/>
        </w:rPr>
      </w:pPr>
      <w:r>
        <w:rPr>
          <w:rFonts w:ascii="Times New Roman" w:hAnsi="Times New Roman"/>
          <w:sz w:val="20"/>
        </w:rPr>
        <w:t xml:space="preserve">The ratification of the appointment of KPMG as our independent registered public accounting firm for our fiscal year ending December 31, 2024 (Proposal No. 4) is the only “routine” matter to be brought before shareholders at the meeting. The reelection of Class III directors (Proposal No. 1), the non-binding (advisory) vote on the frequency of future advisory votes to approve the compensation of the Company’s named executive officers (Proposal No. 2), and the non-binding (advisory) vote to approve the compensation of the Company’s named executive officers (Proposal No. 3), are considered “non-routine”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are the effects of abstentions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represents a stockholder’s affirmative choice to decline to vote on a proposal. If a stockholder indicates on its proxy card that it wishes to abstain from voting its shares, or if a broker, bank, or other nominee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or represented by proxy and entitled to vote at the Annual Meeting (Proposals No. 2, 3 and 4). However, because the outcome of Proposal No. 1 (reelection of directors) will be determined by a plurality vote, you may only vote “FOR” or “WITHHOLD” authority to vote for each of the nominees. If you “withhold” authority to vote with respect to one or more director nominees, your vote will have no effect on the election of such nominees.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will be counted for purposes of calculating whether a quorum is present at the Annual Meeting. Broker non-votes will not be counted for purposes of determining the number of votes cast on a proposal because they are “not entitled to vote” on “non-routine” matters. Therefore, a broker non-vote will make a quorum more readily attainable but will not otherwise affect the outcome of the vote on any of the proposals.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is the voting requirement to approve each of the proposals? </w:t>
      </w:r>
    </w:p>
    <w:p>
      <w:pPr>
        <w:pStyle w:val="TextBody"/>
        <w:bidi w:val="0"/>
        <w:spacing w:before="12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1: Reelection of Class</w:t>
      </w:r>
      <w:r>
        <w:rPr>
          <w:rFonts w:ascii="Times New Roman" w:hAnsi="Times New Roman"/>
          <w:sz w:val="20"/>
        </w:rPr>
        <w:t> </w:t>
      </w:r>
      <w:r>
        <w:rPr>
          <w:rFonts w:ascii="Times New Roman" w:hAnsi="Times New Roman"/>
          <w:i/>
          <w:sz w:val="20"/>
        </w:rPr>
        <w:t>III Directors</w:t>
      </w:r>
      <w:r>
        <w:rPr>
          <w:rFonts w:ascii="Times New Roman" w:hAnsi="Times New Roman"/>
          <w:sz w:val="20"/>
        </w:rPr>
        <w:t xml:space="preserve">. Directors are elected by a plurality of the votes cast (meaning that the three director nominees who receive the highest number of shares voted “FOR” their election are elected as Class III directors). You may vote (i) “FOR” for each director nominee or (ii) “WITHHOLD” for each director nominee. Because the outcome of this proposal will be determined by a plurality vote, shares voted “WITHHOLD” will not prevent a director nominee from being elected as a director. Broker non-votes will not affect the outcome of voting on this proposal. </w:t>
      </w:r>
    </w:p>
    <w:p>
      <w:pPr>
        <w:pStyle w:val="TextBody"/>
        <w:bidi w:val="0"/>
        <w:spacing w:before="24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2: Non-Binding (Advisory) Vote on the Frequency of Future Advisory Votes to Approve the Compensation of our Named Executive Officers</w:t>
      </w:r>
      <w:r>
        <w:rPr>
          <w:rFonts w:ascii="Times New Roman" w:hAnsi="Times New Roman"/>
          <w:sz w:val="20"/>
        </w:rPr>
        <w:t xml:space="preserve">. The approval, on a non-binding, advisory basis, of the frequency of future advisory votes to approve the compensation of the Company’s named executive officers requires the affirmative vote of a majority of the voting power of the shares present or represented by proxy at the Annual Meeting and entitled to vote. You may vote for every “1 YEAR,” “2 YEARS,” “3 YEARS” or “ABSTAIN” on this proposal. Abstentions will count towards the quorum requirement for the Annual Meeting and will have the same effect as a vote “against” the proposal. Broker non-votes will not affect the outcome of voting on this proposal. If none of the three frequencies (1 year, 2 years or 3 years) receives the vote of a majority of the voting power of the shares present or represented by proxy at the Annual Meeting and entitled to vote, then the Board of Directors will consider the frequency that received the highest number of such affirmative votes to be the recommendation of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3: Non-Binding (Advisory) Vote to Approve the Compensation of our Named Executive Officers</w:t>
      </w:r>
      <w:r>
        <w:rPr>
          <w:rFonts w:ascii="Times New Roman" w:hAnsi="Times New Roman"/>
          <w:sz w:val="20"/>
        </w:rPr>
        <w:t xml:space="preserve">. The approval, on a non-binding, advisory basis, of the compensation paid to the Company’s named executive officers requires the affirmative vote of a majority of the voting power of the shares present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 </w:t>
      </w:r>
    </w:p>
    <w:p>
      <w:pPr>
        <w:pStyle w:val="TextBody"/>
        <w:bidi w:val="0"/>
        <w:spacing w:before="24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4: Ratification of Appointment of KPMG</w:t>
      </w:r>
      <w:r>
        <w:rPr>
          <w:rFonts w:ascii="Times New Roman" w:hAnsi="Times New Roman"/>
          <w:sz w:val="20"/>
        </w:rPr>
        <w:t xml:space="preserve">. The ratification of the appointment of KPMG requires the affirmative vote of a majority of the voting power of the shares present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also count towards the quorum requirement.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will count the votes? </w:t>
      </w:r>
    </w:p>
    <w:p>
      <w:pPr>
        <w:pStyle w:val="TextBody"/>
        <w:bidi w:val="0"/>
        <w:spacing w:before="120" w:after="0"/>
        <w:jc w:val="left"/>
        <w:rPr>
          <w:rFonts w:ascii="Times New Roman" w:hAnsi="Times New Roman"/>
          <w:sz w:val="20"/>
        </w:rPr>
      </w:pPr>
      <w:r>
        <w:rPr>
          <w:rFonts w:ascii="Times New Roman" w:hAnsi="Times New Roman"/>
          <w:sz w:val="20"/>
        </w:rPr>
        <w:t xml:space="preserve">A representative of Broadridge Financial Solutions will tabulate the votes and act as inspector of elections.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May I vote confidentially? </w:t>
      </w:r>
    </w:p>
    <w:p>
      <w:pPr>
        <w:pStyle w:val="TextBody"/>
        <w:bidi w:val="0"/>
        <w:spacing w:before="120" w:after="0"/>
        <w:jc w:val="left"/>
        <w:rPr>
          <w:rFonts w:ascii="Times New Roman" w:hAnsi="Times New Roman"/>
          <w:sz w:val="20"/>
        </w:rPr>
      </w:pPr>
      <w:r>
        <w:rPr>
          <w:rFonts w:ascii="Times New Roman" w:hAnsi="Times New Roman"/>
          <w:sz w:val="20"/>
        </w:rPr>
        <w:t xml:space="preserve">Yes. Our policy is to keep your vote confidential, except as otherwise legally required, to allow for the tabulation and certification of votes and to facilitate proxy solicitation.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if additional matters are presented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of any business to be considered at the Annual Meeting other than the proposals described in this proxy statement. If any other business is presented at the Annual Meeting, your properly executed proxy gives authority to Rose Neale, our General Counsel, to vote on such matters at her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Where can I find the voting results from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announce preliminary voting results at the Annual Meeting and will publish final results in a Current Report on Form 8-K that we will file with the SEC within four business days after the date of the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obtain information about the Company? </w:t>
      </w:r>
    </w:p>
    <w:p>
      <w:pPr>
        <w:pStyle w:val="TextBody"/>
        <w:bidi w:val="0"/>
        <w:spacing w:before="120" w:after="0"/>
        <w:jc w:val="left"/>
        <w:rPr>
          <w:rFonts w:ascii="Times New Roman" w:hAnsi="Times New Roman"/>
          <w:sz w:val="20"/>
        </w:rPr>
      </w:pPr>
      <w:r>
        <w:rPr>
          <w:rFonts w:ascii="Times New Roman" w:hAnsi="Times New Roman"/>
          <w:sz w:val="20"/>
        </w:rPr>
        <w:t xml:space="preserve">A copy of our Annual Report on Form 10-K for the fiscal year ended December 31, 2023 is available on our website at www.ir.suncountry.com. Stockholders may also obtain a free copy of our Annual Report on Form 10-K for the fiscal year ended December 31, 2023, including the financial statements and the financial statement schedules, by sending a request in writing to Christopher Allen, Investor Relations, Sun Country Airlines Holdings, Inc., 2005 Cargo Road Minneapolis, MN 55450. Capitalized terms used in, but not defined in, this proxy statement have meanings as defined in our Annual Report on Form 10-K for the fiscal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 w:name="toc798883_2"/>
      <w:bookmarkEnd w:id="4"/>
      <w:r>
        <w:rPr>
          <w:rFonts w:ascii="Times New Roman" w:hAnsi="Times New Roman"/>
          <w:b/>
          <w:sz w:val="20"/>
        </w:rPr>
        <w:t xml:space="preserve">PROPOSAL 1—REELECTION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members of each class serve staggered, three-year terms. Upon the expiration of the term of a class of directors, directors in that class will be elected for three-year terms at the annual meeting of stockholders in the year in which their term expires. Under the Company’s bylaws and certificate of incorporation, the Board of Directors can change the number of directors comprising the entire Board of Directors so long as the number is not less than three nor more than fifteen. Any additional directorships resulting from an increase in the number of directors will be distributed among the three classes so that, as nearly as possible, each class will consist of one-third of our directors. The Board of Directors currently consists of eight directors. </w:t>
      </w:r>
    </w:p>
    <w:p>
      <w:pPr>
        <w:pStyle w:val="TextBody"/>
        <w:bidi w:val="0"/>
        <w:spacing w:before="240" w:after="0"/>
        <w:jc w:val="left"/>
        <w:rPr>
          <w:rFonts w:ascii="Times New Roman" w:hAnsi="Times New Roman"/>
          <w:sz w:val="20"/>
        </w:rPr>
      </w:pPr>
      <w:r>
        <w:rPr>
          <w:rFonts w:ascii="Times New Roman" w:hAnsi="Times New Roman"/>
          <w:sz w:val="20"/>
        </w:rPr>
        <w:t xml:space="preserve">All of the nominees for Class III directors are members of the current Board of Directors. If any nominee for election to the Board of Directors should be unable to accept nomination or election as a director, which is not expected, your proxy may be voted for a substitute or substitutes designated by the Board of Directors or the number of directors constituting the Board of Directors may be reduced in accordance with the Company’s certificate of incorporation and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Class III directors will be elected by a plurality of the votes cast at the Annual Meeting (meaning that the three director nominees who receive the highest number of shares voted “FOR” their election are elected as Class III directors). Shares voted “WITHHOLD” will not prevent a director nominee from being elected as a director. Broker non-votes will not affect the outcome of voting on this proposal. Brokers do not have discretion to vote any uninstructed shares over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Stockholder Rights to Nominate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our Stockholders Agreement (as defined below), SCA Horus Holdings, LLC (the “Apollo Stockholder”), which is an affiliate of certain investment funds managed by affiliates of Apollo Global Management, Inc. (“Apollo”),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We refer to the directors nominated by the Apollo Stockholder based on such percentage ownership as the “Apollo Directors.” As of the date of this proxy statement, there are no Apollo Directors on our Board. See “Certain Relationships and Related Person Transactions—Stockholders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Amazon.com Services, LLC (together with affiliates, “Amazon”) holds the warrants granted to it in 2019 (the “2019 Warrants”) or any shares of common stock issued upon exercise of the 2019 Warrants and the Air Transportation Services Agreement (“ATSA”) with Amazon remains in effect, Amazon will have the right to nominate a member or an observer to our Board of Directors. We refer to the director nominated by Amazon, if any, as the “Amazon Director.” As of the date of this proxy statement Amazon has not exercised its right to nominate a member or an observer to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5" w:name="toc798883_3"/>
      <w:bookmarkEnd w:id="5"/>
      <w:r>
        <w:rPr>
          <w:rFonts w:ascii="Times New Roman" w:hAnsi="Times New Roman"/>
          <w:b/>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about our directors as of the date of this proxy statement. </w:t>
      </w:r>
    </w:p>
    <w:p>
      <w:pPr>
        <w:pStyle w:val="TextBody"/>
        <w:bidi w:val="0"/>
        <w:spacing w:before="0" w:after="0"/>
        <w:jc w:val="left"/>
        <w:rPr/>
      </w:pPr>
      <w:r>
        <w:rPr/>
        <w:t> </w:t>
      </w:r>
    </w:p>
    <w:tbl>
      <w:tblPr>
        <w:tblW w:w="6870" w:type="dxa"/>
        <w:jc w:val="left"/>
        <w:tblInd w:w="0" w:type="dxa"/>
        <w:tblLayout w:type="fixed"/>
        <w:tblCellMar>
          <w:top w:w="0" w:type="dxa"/>
          <w:left w:w="0" w:type="dxa"/>
          <w:bottom w:w="0" w:type="dxa"/>
          <w:right w:w="0" w:type="dxa"/>
        </w:tblCellMar>
      </w:tblPr>
      <w:tblGrid>
        <w:gridCol w:w="1685"/>
        <w:gridCol w:w="120"/>
        <w:gridCol w:w="79"/>
        <w:gridCol w:w="346"/>
        <w:gridCol w:w="60"/>
        <w:gridCol w:w="120"/>
        <w:gridCol w:w="4460"/>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Marion Blakey</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Executive Officer; Director</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President and Chief Financial Officer; Director</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C. Kennedy</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O’Keeffe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Peterson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Kerry Philipovitch</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Vogel</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Chair; 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Class III Directors and Current Nominees </w:t>
      </w:r>
    </w:p>
    <w:p>
      <w:pPr>
        <w:pStyle w:val="TextBody"/>
        <w:bidi w:val="0"/>
        <w:spacing w:before="120" w:after="0"/>
        <w:jc w:val="left"/>
        <w:rPr>
          <w:rFonts w:ascii="Times New Roman" w:hAnsi="Times New Roman"/>
          <w:sz w:val="20"/>
        </w:rPr>
      </w:pPr>
      <w:r>
        <w:rPr>
          <w:rFonts w:ascii="Times New Roman" w:hAnsi="Times New Roman"/>
          <w:sz w:val="20"/>
        </w:rPr>
        <w:t xml:space="preserve">The term of the following three Class III directors will expire at the Annual Meeting. Mr. Bricker, Mr. Davis and Ms. Philipovitch are the only nominees for election at the Annual Meeting for a term that will expire at the 2027 annual meeting of stockholders and until each of their successors has been duly elected and qualified. </w:t>
      </w:r>
    </w:p>
    <w:p>
      <w:pPr>
        <w:pStyle w:val="TextBody"/>
        <w:bidi w:val="0"/>
        <w:spacing w:before="240" w:after="0"/>
        <w:jc w:val="left"/>
        <w:rPr>
          <w:rFonts w:ascii="Times New Roman" w:hAnsi="Times New Roman"/>
          <w:sz w:val="20"/>
        </w:rPr>
      </w:pPr>
      <w:r>
        <w:rPr>
          <w:rFonts w:ascii="Times New Roman" w:hAnsi="Times New Roman"/>
          <w:b/>
          <w:i/>
          <w:sz w:val="20"/>
        </w:rPr>
        <w:t>Jude Bricker</w:t>
      </w:r>
      <w:r>
        <w:rPr>
          <w:rFonts w:ascii="Times New Roman" w:hAnsi="Times New Roman"/>
          <w:sz w:val="20"/>
        </w:rPr>
        <w:t xml:space="preserve"> has served as our Chief Executive Officer since July 2017 and as a member of our Board of Directors since April 2018. Mr. Bricker has 20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 Additionally, Mr. Bricker served as an infantry officer with the United States Marine Corps from 1996 to 2002. As the Company’s current Chief Executive Officer, Mr. Bricker is a valuable member of our Board of Directors because he has a direct connection to senior management and the benefit of management’s perspective on the Company’s business and immediate strategic goals. He provides leadership, extensive knowledge of the Company, and insight on the day-to-day operation of the business. </w:t>
      </w:r>
    </w:p>
    <w:p>
      <w:pPr>
        <w:pStyle w:val="TextBody"/>
        <w:bidi w:val="0"/>
        <w:spacing w:before="240" w:after="0"/>
        <w:jc w:val="left"/>
        <w:rPr>
          <w:rFonts w:ascii="Times New Roman" w:hAnsi="Times New Roman"/>
          <w:sz w:val="20"/>
        </w:rPr>
      </w:pPr>
      <w:r>
        <w:rPr>
          <w:rFonts w:ascii="Times New Roman" w:hAnsi="Times New Roman"/>
          <w:b/>
          <w:i/>
          <w:sz w:val="20"/>
        </w:rPr>
        <w:t>Dave Davis</w:t>
      </w:r>
      <w:r>
        <w:rPr>
          <w:rFonts w:ascii="Times New Roman" w:hAnsi="Times New Roman"/>
          <w:sz w:val="20"/>
        </w:rPr>
        <w:t xml:space="preserve"> has served as our Chief Financial Officer and a member of our Board of Directors since April 2018 and as our President since December 2019. Prior thereto, from December 2017 to 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 Mr. Davis is a valuable member of the Board of Directors because he has a direct connection to senior management and the benefit of management’s perspective on the Company’s business and immediate strategic goals. He also has diverse experience with a wide range of industries, allowing him to bring additional perspective to the board. </w:t>
      </w:r>
    </w:p>
    <w:p>
      <w:pPr>
        <w:pStyle w:val="TextBody"/>
        <w:bidi w:val="0"/>
        <w:spacing w:before="240" w:after="0"/>
        <w:jc w:val="left"/>
        <w:rPr>
          <w:rFonts w:ascii="Times New Roman" w:hAnsi="Times New Roman"/>
          <w:sz w:val="20"/>
        </w:rPr>
      </w:pPr>
      <w:r>
        <w:rPr>
          <w:rFonts w:ascii="Times New Roman" w:hAnsi="Times New Roman"/>
          <w:b/>
          <w:i/>
          <w:sz w:val="20"/>
        </w:rPr>
        <w:t>Kerry Philipovitch</w:t>
      </w:r>
      <w:r>
        <w:rPr>
          <w:rFonts w:ascii="Times New Roman" w:hAnsi="Times New Roman"/>
          <w:sz w:val="20"/>
        </w:rPr>
        <w:t xml:space="preserve"> has been a member of our Board of Directors since December 2020. Ms. Philipovitch also serves on the boards of Avianca Airlines, hospitality wine management company Intervine, and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start-up OptIn. She served in aviation management roles for 23 years, most recently from 2010 to 2019 as Senior Vice President-Customer Experience for US Airways and, following the merger between US Airways and American Airlines, at American Airlines. She oversaw airline operations impacting critical measures of customer value, including worldwide airport customer service, and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 Ms. Philipovitch is a valuable member of the Board of Directors because of her leadership and experience in the airline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term of the following three Class I directors will expire at the 2025 Annual Meeting (as defined below) </w:t>
      </w:r>
    </w:p>
    <w:p>
      <w:pPr>
        <w:pStyle w:val="TextBody"/>
        <w:bidi w:val="0"/>
        <w:spacing w:before="240" w:after="0"/>
        <w:jc w:val="left"/>
        <w:rPr>
          <w:rFonts w:ascii="Times New Roman" w:hAnsi="Times New Roman"/>
          <w:sz w:val="20"/>
        </w:rPr>
      </w:pPr>
      <w:r>
        <w:rPr>
          <w:rFonts w:ascii="Times New Roman" w:hAnsi="Times New Roman"/>
          <w:b/>
          <w:i/>
          <w:sz w:val="20"/>
        </w:rPr>
        <w:t>Thomas C. Kennedy</w:t>
      </w:r>
      <w:r>
        <w:rPr>
          <w:rFonts w:ascii="Times New Roman" w:hAnsi="Times New Roman"/>
          <w:sz w:val="20"/>
        </w:rPr>
        <w:t xml:space="preserve"> has been a member of our Board of Directors since April 2021. Mr. Kennedy currently serves as President and CFO for the North American operations of SIXT Rent a Car, a role he has held since November 2020. Previously, Mr. Kennedy served as Senior Executive Vice President and Chief Financial Officer of Hertz Global Holdings from 2013 until his retirement in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 Mr. Kennedy is a valuable member of the Board of Directors because of his experience as an executive at large public companies and his financial expertise. </w:t>
      </w:r>
    </w:p>
    <w:p>
      <w:pPr>
        <w:pStyle w:val="TextBody"/>
        <w:bidi w:val="0"/>
        <w:spacing w:before="240" w:after="0"/>
        <w:jc w:val="left"/>
        <w:rPr>
          <w:rFonts w:ascii="Times New Roman" w:hAnsi="Times New Roman"/>
          <w:sz w:val="20"/>
        </w:rPr>
      </w:pPr>
      <w:r>
        <w:rPr>
          <w:rFonts w:ascii="Times New Roman" w:hAnsi="Times New Roman"/>
          <w:b/>
          <w:i/>
          <w:sz w:val="20"/>
        </w:rPr>
        <w:t>Gail Peterson</w:t>
      </w:r>
      <w:r>
        <w:rPr>
          <w:rFonts w:ascii="Times New Roman" w:hAnsi="Times New Roman"/>
          <w:sz w:val="20"/>
        </w:rPr>
        <w:t xml:space="preserve"> has been a member of our Board of Directors since January 2023. Ms. Peterson currently serves as Executive Vice President and Global Chief Marketing Officer at Ecolab, Inc. overseeing the company’s global brand, global communications, market research, sustainability and water partnership teams, a role she has held since January 2020. Ms. Peterson previously served as vice president of marketing for Ecolab’s Global Healthcare business. Prior to joining Ecolab in 2016, she spent 15 years as a marketing executive at General Mills, Inc. Ms. Peterson served on the board of the Minnesota Children’s Museum and the Minnesota Chamber of Commerce. She is a member of the Executive Leadership Council, Black Executive CMO Alliance, African American Leader Council, and was a founding member of Ecolab’s Black Leaders Forum. Ms. Peterson has been named to Savoy’s “Top 100 Black Executives” list and Women’s Inc.’s “Most Influential Women in Business.” Ms. Peterson earned her bachelor’s degree in psychology from Princeton University and her MBA from Harvard Business School. Ms. Peterson is a valuable member of the Board of Directors because of her experience as an executive at a large public company and her marketing expertise. Ms. Peterson’s experience as a marketing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also provides the board valuable insight into marketing strategies and tactics and is a resource on these matters for management. </w:t>
      </w:r>
    </w:p>
    <w:p>
      <w:pPr>
        <w:pStyle w:val="TextBody"/>
        <w:bidi w:val="0"/>
        <w:spacing w:before="240" w:after="0"/>
        <w:jc w:val="left"/>
        <w:rPr>
          <w:rFonts w:ascii="Times New Roman" w:hAnsi="Times New Roman"/>
          <w:sz w:val="20"/>
        </w:rPr>
      </w:pPr>
      <w:r>
        <w:rPr>
          <w:rFonts w:ascii="Times New Roman" w:hAnsi="Times New Roman"/>
          <w:b/>
          <w:i/>
          <w:sz w:val="20"/>
        </w:rPr>
        <w:t>Jennifer Vogel</w:t>
      </w:r>
      <w:r>
        <w:rPr>
          <w:rFonts w:ascii="Times New Roman" w:hAnsi="Times New Roman"/>
          <w:sz w:val="20"/>
        </w:rPr>
        <w:t xml:space="preserve"> has been a member of our Board of Directors since October 2022 and has served as our Chair since March 2023. Ms. Vogel is the former senior vice president, general counsel, secretary and chief compliance officer of Continental Airlines, Inc., where she worked until 2010 when she retired. Ms. Vogel is currently on the board of AAR Corp., a global provider of aviation services to commercial and government customers, the board of the Telluride Regional Airport Authority and on the National Council of the World Wildlife Fund, and has served on various other public company boards, including Virgin America, Inc. Recognitions include “Most Influential Corporate Board Directors” by Women’s Inc. and “Most Powerful and Influential Women in Texas” by the Texas Diversity Council and Texas Diversity Magazine. Ms. Vogel earned her BBA from the University of Iowa and her JD from the University of Texas. Ms. Vogel is a valuable member of the Board of Directors because of her experience as an executive with over 25 years of leadership experience in the airline and energy industries, including her leadership positions with Continental Airlines, her extensive legal and corporate governance expertise, her experience in regulatory issues, mergers and acquisitions, ethics and compliance matters and her experience as a director of four other public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term of the following two Class II directors will expire at the annual meeting of stockholders in 2026. </w:t>
      </w:r>
    </w:p>
    <w:p>
      <w:pPr>
        <w:pStyle w:val="TextBody"/>
        <w:bidi w:val="0"/>
        <w:spacing w:before="240" w:after="0"/>
        <w:jc w:val="left"/>
        <w:rPr>
          <w:rFonts w:ascii="Times New Roman" w:hAnsi="Times New Roman"/>
          <w:sz w:val="20"/>
        </w:rPr>
      </w:pPr>
      <w:r>
        <w:rPr>
          <w:rFonts w:ascii="Times New Roman" w:hAnsi="Times New Roman"/>
          <w:b/>
          <w:i/>
          <w:sz w:val="20"/>
        </w:rPr>
        <w:t>Marion Blakey</w:t>
      </w:r>
      <w:r>
        <w:rPr>
          <w:rFonts w:ascii="Times New Roman" w:hAnsi="Times New Roman"/>
          <w:sz w:val="20"/>
        </w:rPr>
        <w:t xml:space="preserve"> has been a member of our Board of Directors since December 2021. Ms. Blakey currently serves as a non-executive director for Eve Air Mobility and on the advisory boards of Radia and Sunrise Transportation Holdings, having retired from Rolls-Royce North America Inc. in 2018 as President and Chief Executive Officer. Prior to joining Rolls-Royce, Blakey served as President and Chief Executive Officer of the Aerospace Industries Association for eight years. From 2002 to 2007, Blakey was Administrator of the Federal Aviation Administration. Prior to 2002, she held several senior positions including Chairman of the National Transportation Safety Board and Administrator of the U.S. Department of Transportation’s National Highway Traffic Safety Administration, as well as ran her own consulting firm focusing on transportation and infrastructure issues. Ms. Blakey has received numerous honorary degrees and awards including the National Aeronautic Association’s 2011 Henderson Trophy, Aviation Week &amp; Space Technology’s 2013 Laureate Award, and the National Aeronautic Association’s 2013 Wright Brothers Memorial Trophy, and most recently, the Carol B. Hallett Award from the U.S. Chamber of Commerce and the L. Welch Pogue Award from Aviation Week &amp; Space Technology and the International Aviation Club. Ms. Blakey’s board experience is vast, and includes recent roles serving on the board of Alaska Airlines Group, Aerojet Rocketdyne, and NASA’s National Advisory Council. Ms. Blakey graduated from Mary Washington College of the University of Virginia before continuing graduate work at Johns Hopkins University, School of Advanced International Studies. Ms. Blakey is a valuable member of the Board of Directors because of her experience in the airline industry, including her leadership positions in both the private and public sectors (including with our primary regulator), and her past experience as a director of other public companies, as well as her deep expertise in safety oversight and administration. </w:t>
      </w:r>
    </w:p>
    <w:p>
      <w:pPr>
        <w:pStyle w:val="TextBody"/>
        <w:bidi w:val="0"/>
        <w:spacing w:before="240" w:after="0"/>
        <w:jc w:val="left"/>
        <w:rPr>
          <w:rFonts w:ascii="Times New Roman" w:hAnsi="Times New Roman"/>
          <w:sz w:val="20"/>
        </w:rPr>
      </w:pPr>
      <w:r>
        <w:rPr>
          <w:rFonts w:ascii="Times New Roman" w:hAnsi="Times New Roman"/>
          <w:b/>
          <w:i/>
          <w:sz w:val="20"/>
        </w:rPr>
        <w:t>Patrick O’Keeffe</w:t>
      </w:r>
      <w:r>
        <w:rPr>
          <w:rFonts w:ascii="Times New Roman" w:hAnsi="Times New Roman"/>
          <w:sz w:val="20"/>
        </w:rPr>
        <w:t xml:space="preserve"> has been a member of our Board of Directors since April 2022. Mr. O’Keeffe brings more than 30 years of experience in the airline industry where he worked at American Airlines Group, Inc. until his retirement in 2020. O’Keeffe is the former Senior Vice President, People for American Airlines, where from 2017 to 2020, he led American’s global People team, managing talent acquisition and development, compensation, health and wellness, pension and 401(k) management, team member engagement as well as diversity, equity and inclusion. Prior to that, he held multiple leadership positions in IT at American Airlines. He is currently an advisory board member for ID90 Travel. He earned an MBA from Rice University in Houston and a BBS in accounting and finance from the University of Limerick in Ireland. Mr. O’Keeffe is a valuable member of the Board of Directors because of his experience as an executive at a large public company and his expertise in the airline industry, as well as his significant experience in and expertise with talent management and information technology for companies in our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Diversity Matrix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30"/>
        <w:gridCol w:w="120"/>
        <w:gridCol w:w="60"/>
        <w:gridCol w:w="710"/>
        <w:gridCol w:w="60"/>
        <w:gridCol w:w="120"/>
        <w:gridCol w:w="60"/>
        <w:gridCol w:w="500"/>
        <w:gridCol w:w="60"/>
        <w:gridCol w:w="120"/>
        <w:gridCol w:w="60"/>
        <w:gridCol w:w="1160"/>
        <w:gridCol w:w="60"/>
        <w:gridCol w:w="120"/>
        <w:gridCol w:w="60"/>
        <w:gridCol w:w="830"/>
        <w:gridCol w:w="75"/>
      </w:tblGrid>
      <w:tr>
        <w:trPr/>
        <w:tc>
          <w:tcPr>
            <w:tcW w:w="6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Diversity Matrix (as of April 29,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030" w:type="dxa"/>
            <w:tcBorders/>
            <w:vAlign w:val="center"/>
          </w:tcPr>
          <w:p>
            <w:pPr>
              <w:pStyle w:val="TableContents"/>
              <w:bidi w:val="0"/>
              <w:spacing w:before="0" w:after="283"/>
              <w:jc w:val="left"/>
              <w:rPr>
                <w:b/>
              </w:rPr>
            </w:pPr>
            <w:r>
              <w:rPr>
                <w:b/>
              </w:rPr>
              <w:t>Board Size: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6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030" w:type="dxa"/>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r>
      <w:tr>
        <w:trPr/>
        <w:tc>
          <w:tcPr>
            <w:tcW w:w="6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Number of Directors who identify in Any of the Categories Below:</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30" w:type="dxa"/>
            <w:tcBorders/>
            <w:vAlign w:val="center"/>
          </w:tcPr>
          <w:p>
            <w:pPr>
              <w:pStyle w:val="TableContents"/>
              <w:bidi w:val="0"/>
              <w:spacing w:before="0" w:after="283"/>
              <w:jc w:val="left"/>
              <w:rPr>
                <w:b/>
              </w:rPr>
            </w:pPr>
            <w:r>
              <w:rPr>
                <w:b/>
              </w:rPr>
              <w:t>Gender: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Female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Male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Non-Binary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Did Not</w:t>
              <w:br/>
              <w:t>Disclose</w:t>
              <w:br/>
              <w:t>Gender</w:t>
            </w:r>
          </w:p>
        </w:tc>
        <w:tc>
          <w:tcPr>
            <w:tcW w:w="75" w:type="dxa"/>
            <w:tcBorders/>
            <w:vAlign w:val="center"/>
          </w:tcPr>
          <w:p>
            <w:pPr>
              <w:pStyle w:val="TableContents"/>
              <w:bidi w:val="0"/>
              <w:spacing w:before="0" w:after="283"/>
              <w:jc w:val="left"/>
              <w:rPr/>
            </w:pPr>
            <w:r>
              <w:rPr/>
              <w:t> </w:t>
            </w:r>
            <w:r>
              <w:rPr/>
              <w:br/>
              <w:t> </w:t>
              <w:br/>
              <w:t> </w:t>
            </w:r>
          </w:p>
        </w:tc>
      </w:tr>
      <w:tr>
        <w:trPr/>
        <w:tc>
          <w:tcPr>
            <w:tcW w:w="6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6030" w:type="dxa"/>
            <w:tcBorders/>
            <w:vAlign w:val="center"/>
          </w:tcPr>
          <w:p>
            <w:pPr>
              <w:pStyle w:val="TableContents"/>
              <w:bidi w:val="0"/>
              <w:spacing w:before="0" w:after="283"/>
              <w:jc w:val="left"/>
              <w:rPr>
                <w:b/>
              </w:rPr>
            </w:pPr>
            <w:r>
              <w:rPr>
                <w:b/>
              </w:rPr>
              <w:t>Number of Directors who identify in Any of the Categories Below:</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6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Alaskan Native or Native American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6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6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6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6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6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6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6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Military Veteran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6" w:name="toc798883_4"/>
      <w:bookmarkEnd w:id="6"/>
      <w:r>
        <w:rPr>
          <w:rFonts w:ascii="Times New Roman" w:hAnsi="Times New Roman"/>
          <w:b/>
          <w:sz w:val="20"/>
        </w:rPr>
        <w:t xml:space="preserve">CORPORATE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Nasdaq listing standards require that a majority of the Board of Directors be independent. No director qualifies as independent unless the Board of Directors affirmatively determines that the director has no relationship which would interfere with the exercise of independent judgment in carrying out the responsibilities of a director. The Board of Directors broadly considers all relevant facts and circumstances relative to independence and considers the issue not merely from the standpoint of the director, but also from the viewpoint of persons or organizations with which the director has an affiliation. The Board of Directors has determined that Marion Blakey, Thomas C. Kennedy, Patrick O’Keeffe, Gail Peterson, Kerry Philipovitch and Jennifer Vogel are all independent directors, as such term is defined by the applicable rules and regulations of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of Directors Leadership Structure and 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an oversight role, as a whole and also at the committee level, in overseeing management of the Company’s risks. The Board of Directors regularly reviews information regarding our credit, liquidity and operations, including the risks associated with each. Our Board of Directors is also responsible for establishing accountability for our executive officers and ensuring reasonable internal controls are in place, including processes and procedures for detecting, containing, evaluating and responding to cybersecurity incidents. The Board of Directors is informed of the cybersecurity threats potentially facing the Company and the Company’s prevention activities on a quarterly basis, or more frequently if needed. More information on the Company’s cybersecurity policy is included in the Company’s Annual Report on Form 10-K for the fiscal year ended December 31, 2023. The Safety Committee is responsible for overseeing the risks associated with our operations, the Compensation and Human Resources Committee is responsible for overseeing executive officer succession planning, the management of risks relating to executive compensation plans and arrangements and reviewing the Company’s human resources policies and practices and overseeing the risks related thereto, the Audit Committee oversees the management of financial risks and the Nominating and Corporate Governance Committee oversees Board of Directors succession planning and governance policy and practices. While each committee is responsible for evaluating certain risks and overseeing the management of such risks, the entire Board of Directors is regularly informed through committee reports about such risks.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does not currently have a policy as to whether the role of Chair of our Board of Directors and the Chief Executive Officer should be separate. Our Board of Directors believes that the Company and its stockholders are best served by maintaining the flexibility to determine whether the Chair and Chief Executive Officer positions should be separated or combined at a given point in time in order to provide appropriate leadership for us as circumstances change.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understands that no single approach to board leadership is universally accepted and that the appropriate leadership structure may vary based on several factors, such as a company’s size, industry, operations, history and culture. Accordingly, our Board of Directors, with the assistance of the Nominating and Corporate Governance Committee, assesses its leadership structure in light of these factors and the current environment to achieve the optimal model for us and for our stockholders. Currently the committee and Board believe the best leadership structure for our Board is to split the position of CEO and Chair of the Board and to have an independent board member appointed as Chair.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of the Board of Directors, the tenure of the directors with the Company, the overall experience of the directors and the experience that the directors have had with the Chair and the executive management team permit and encourage each member to take an active role in all discussions, and each member does actively participate in all substantive discussions. We believe that our current Board of Directors leadership structure is serving the Company well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of Directors Meetings and Committees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2023, the Board of Directors held six (6) Board meetings and thirty-one (31) regular meetings of its committees. Our Directors had a 100% attendance rate for the meetings of the Board of Directors and 100% attendance rate for the meetings of the committees on which they served.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four committees: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110"/>
        <w:gridCol w:w="60"/>
        <w:gridCol w:w="1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and Human Resources Committee;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Nominating and Corporate Governance Committee; and </w:t>
            </w:r>
          </w:p>
        </w:tc>
      </w:tr>
    </w:tbl>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110"/>
        <w:gridCol w:w="60"/>
        <w:gridCol w:w="1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Safety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Compensation and Human Resources, Nominating and Corporate Governance and Safety committees operate under written charters which are available at the Company’s website at https://ir.suncountry.com. Committee charters are also available in print upon the written request of any stockholder. Copies of the pertinent committee charters are available on request to the Secretary at the address set forth below. The current committee composition of our Board of Directors is as follows: </w:t>
      </w:r>
    </w:p>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1685"/>
        <w:gridCol w:w="120"/>
        <w:gridCol w:w="1130"/>
        <w:gridCol w:w="120"/>
        <w:gridCol w:w="1490"/>
        <w:gridCol w:w="120"/>
        <w:gridCol w:w="1250"/>
        <w:gridCol w:w="120"/>
        <w:gridCol w:w="114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pPr>
            <w:r>
              <w:rPr>
                <w:b/>
              </w:rPr>
              <w:t>Audit</w:t>
            </w:r>
            <w:r>
              <w:rPr/>
              <w:br/>
            </w:r>
            <w:r>
              <w:rPr>
                <w:b/>
              </w:rPr>
              <w:t>Committee</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pPr>
            <w:r>
              <w:rPr>
                <w:b/>
              </w:rPr>
              <w:t>Compensation</w:t>
              <w:br/>
              <w:t>and</w:t>
            </w:r>
            <w:r>
              <w:rPr/>
              <w:br/>
            </w:r>
            <w:r>
              <w:rPr>
                <w:b/>
              </w:rPr>
              <w:t>Human</w:t>
              <w:br/>
              <w:t>Resources</w:t>
            </w:r>
            <w:r>
              <w:rPr/>
              <w:br/>
            </w:r>
            <w:r>
              <w:rPr>
                <w:b/>
              </w:rPr>
              <w:t>Committee</w:t>
            </w:r>
          </w:p>
        </w:tc>
        <w:tc>
          <w:tcPr>
            <w:tcW w:w="12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pPr>
            <w:r>
              <w:rPr>
                <w:b/>
              </w:rPr>
              <w:t>Nominating</w:t>
            </w:r>
            <w:r>
              <w:rPr/>
              <w:br/>
            </w:r>
            <w:r>
              <w:rPr>
                <w:b/>
              </w:rPr>
              <w:t>and</w:t>
            </w:r>
            <w:r>
              <w:rPr/>
              <w:br/>
            </w:r>
            <w:r>
              <w:rPr>
                <w:b/>
              </w:rPr>
              <w:t>Corporate</w:t>
            </w:r>
            <w:r>
              <w:rPr/>
              <w:br/>
            </w:r>
            <w:r>
              <w:rPr>
                <w:b/>
              </w:rPr>
              <w:t>Governance</w:t>
            </w:r>
            <w:r>
              <w:rPr/>
              <w:br/>
            </w:r>
            <w:r>
              <w:rPr>
                <w:b/>
              </w:rPr>
              <w:t>Committee</w:t>
            </w:r>
          </w:p>
        </w:tc>
        <w:tc>
          <w:tcPr>
            <w:tcW w:w="12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pPr>
            <w:r>
              <w:rPr>
                <w:b/>
              </w:rPr>
              <w:t>Safety</w:t>
            </w:r>
            <w:r>
              <w:rPr/>
              <w:br/>
            </w:r>
            <w:r>
              <w:rPr>
                <w:b/>
              </w:rPr>
              <w:t>Committee</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Marion Blakey</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C</w:t>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C</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C. Kennedy</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C</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O’Keeffe</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Peterson</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Kerry Philipovitch</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C</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Vogel</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C = Chairperson </w:t>
      </w:r>
    </w:p>
    <w:p>
      <w:pPr>
        <w:pStyle w:val="TextBody"/>
        <w:bidi w:val="0"/>
        <w:spacing w:before="120" w:after="0"/>
        <w:jc w:val="left"/>
        <w:rPr/>
      </w:pPr>
      <w:r>
        <w:rPr/>
        <w:t xml:space="preserve">✓ </w:t>
      </w:r>
      <w:r>
        <w:rPr>
          <w:rFonts w:ascii="Times New Roman" w:hAnsi="Times New Roman"/>
          <w:sz w:val="20"/>
        </w:rPr>
        <w:t xml:space="preserve">= Member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held a total of nine (9) meetings in 2023. Our Audit Committee consists of Thomas C. Kennedy, as chairperson, Kerry Philipovitch and Jennifer Vogel.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Mr. Kennedy qualifies as an “audit committee financial expert” as such term is defined in Item 407(d)(5) of Regulation S-K and that each of Mr. Kennedy, Ms. Philipovitch and Ms. Vogel are independent as independence is defined in Rule 10A-3 of the Exchange Act and Nasdaq’s listing standards. The principal duties and responsibilities of our Audit Committee are as follows: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prepare the annual Audit Committee report to be included in our annual proxy statement;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our accounting and financial reporting processes;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the integrity of our financial statements and internal control system;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the independence, retention, performance and compensation of our independent auditor;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monitor the performance, appointment and retention of our internal audit department;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discuss, oversee and monitor the Company’s risks and policies with respect to risk assessment and risk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the adequacy of the Company’s internal controls, processes and procedures designed to ensure compliance with laws and regulations; and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monitor, oversee, and review the implementation and effectiveness of the Company’s compliance and ethics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also has the authority to retain counsel and advisors to fulfill its responsibilities and duties and to form and delegate authority to subcommittees.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and Human Resources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and Human Resources Committee held a total of fourteen (14) meetings in 2023. Our Compensation and Human Resources Committee consists of Marion Blakey, as chairperson, Patrick O’Keeffe and Jennifer Vogel, each of whom is an independent director, as defined under the rules and regulations of Nasdaq. The principal duties and responsibilities of the Compensation and Human Resources Committee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evaluate and make recommendations to the full Board of Directors regarding our executive compensation philosophy, policies and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approve the compensation of our chief executive officer, other executive officers, including all material benefits, option or stock award grants and perquisites;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make recommendations to the Board of Directors with respect to our executive incentive compensation plans and equity-based compensation plans, including the financial and other performance targets that must be met;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govern our executive incentive compensation and equity-related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make recommendations to the Board of Directors with respect to the compensation of non-executive members of the Board of Directors;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approve any employment, severance or similar agreement with an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the Company’s human resources policies and practices and compensation-related policies, and oversee risks related to human capital management and diversity and inclusion;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develop and recommend to the Board of Directors and periodically review an executive officer succession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and recommend to the Board of Directors any report required by applicable rules and regulations or listing standards and take such other actions as are necessary and consistent with the governing law and our organizational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and Human Resources Committee also has the authority to retain advisors to fulfill its responsibilities and duties and to form and delegate authority to subcommittees.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held a total of four (4) meetings in 2023. Our Nominating and Corporate Governance Committee consists of Kerry Philipovitch, as chairperson, Patrick O’Keeffe and Gail Peterson, each of whom is an independent director, as defined under the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Nasdaq. The principal duties and responsibilities of the Nominating and Corporate Governance Committee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identify and interview candidates qualified to become directors of the Company, consistent with criteria approved by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recommend to our Board of Directors nominees for election as directors at the next annual meeting of stockholders or a special meeting of stockholders at which directors are to be elected;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recommend to our Board of Directors candidates to fill vacancies and newly created directorships on the Board of Directors;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each director’s continuation on the Board of Directors at the end of the term of such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oversee and advise the Board of Directors and the Board Chair on governance policy, practices and matters of governance structure and the conduct of the Board;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assist the Board of Directors in determining director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develop, recommend to the Board of Directors for approval and review the Company’s corporate governance guidelines; and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develop and conduct the evaluation of our CEO and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also has the authority to retain advisors to fulfill its responsibilities and duties and to form and delegate authority to subcommittees.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Safety Committee </w:t>
      </w:r>
    </w:p>
    <w:p>
      <w:pPr>
        <w:pStyle w:val="TextBody"/>
        <w:bidi w:val="0"/>
        <w:spacing w:before="120" w:after="0"/>
        <w:jc w:val="left"/>
        <w:rPr>
          <w:rFonts w:ascii="Times New Roman" w:hAnsi="Times New Roman"/>
          <w:sz w:val="20"/>
        </w:rPr>
      </w:pPr>
      <w:r>
        <w:rPr>
          <w:rFonts w:ascii="Times New Roman" w:hAnsi="Times New Roman"/>
          <w:sz w:val="20"/>
        </w:rPr>
        <w:t xml:space="preserve">The Safety Committee held a total of four (4) meetings in 2023. Our Safety Committee consists of Jude Bricker, as chairperson, Marion Blakey and Kerry Philipovitch. The principal duties and responsibilities of the Safety Committee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assist the Board of Directors with overseeing the Company’s safety and security processes, procedures and reporting and promoting a robust safety culture;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monitor management’s efforts to ensure the safety of our passengers and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review our policies, procedures and investments and monitor our activities with respect to physical security and disaster preparedness;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monitor and assist management in creating a uniform safety culture that achieves the highest possible industry standards;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periodically review all aspects of airline and employee safety and security with management and outside experts as necessary.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Safety Committee also has the authority to retain advisors to fulfill its responsibilities and duties and to form and delegate authority to subcommittees.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and Human Resources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and Human Resources Committee consists of Marion Blakey, as chairperson, Patrick O’Keeffe and Jennifer Vogel, each of whom is an independent director, as defined under the rules and regulations of Nasdaq. None of these directors has ever served as an officer or employee of the Company. During 2023, none of the members of the Compensation and Human Resources Committee had any relationship with the Company requiring disclosure under Item 404 of Regulation S-K. None of our executive officers served as a member of the board of directors or Compensation and Human Resources Committee, or similar committee,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other company whose executive officer(s) served as a member of our Board of Directors or our Compensation and Human Resources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Identifying and Evaluating Candidates for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possible candidates to serve on the Board of Directors, the Nominating and Corporate Governance Committee takes into account and considers each candidate’s qualifications, qualities and skills, considers the entirety of each candidate’s credentials and further reviews these in the context of the current make-up of the Board of Directors. In fulfilling its responsibilities, the Committee shall strive to have the composition of the Board reflect diversity, balance and effectiveness, each in its broadest sense (e.g., taking into consideration the communities served by the Company, skill sets, experience, tenure, gender, race, ethnicity, as well as breadth of knowledge, background and perspective) and consistent with the best interests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engage executive search firms to assist the Nominating and Corporate Governance Committee in identifying potential new directors and in the past has engaged executive search firms in identifying potential new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code of conduct and ethics that applies to all of our directors, officers and employees and is intended to comply with the relevant listing requirements for a code of conduct as well as qualify as a “code of ethics” as defined by the rules of the SEC. The code of conduct and ethics contains general guidelines for conducting our business consistent with the highest standards of business ethics. We intend to disclose future amendments to certain provisions of our code of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and ethics is available on our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Sessions of Non-Management Directors </w:t>
      </w:r>
    </w:p>
    <w:p>
      <w:pPr>
        <w:pStyle w:val="TextBody"/>
        <w:bidi w:val="0"/>
        <w:spacing w:before="120" w:after="0"/>
        <w:jc w:val="left"/>
        <w:rPr>
          <w:rFonts w:ascii="Times New Roman" w:hAnsi="Times New Roman"/>
          <w:sz w:val="20"/>
        </w:rPr>
      </w:pPr>
      <w:r>
        <w:rPr>
          <w:rFonts w:ascii="Times New Roman" w:hAnsi="Times New Roman"/>
          <w:sz w:val="20"/>
        </w:rPr>
        <w:t xml:space="preserve">The non-management directors of the Company meet in executive sessions without management on a regular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performance goals and incentive plan structures generally established under the Company’s executive, annual and long-term incentive programs do not contribute to excessive risk-taking by our senior executives or employees. The approved goals under our incentive programs are consistent with our financial operating plans and strategies, and these programs are discussed and reviewed by the Compensation and Human Resources Committee. The Company’s compensation systems are balanced, rewarding both short-term and long-term performance, and its performance goals are team oriented, rather than individually focused, and include measurable factors and objective criteria. The Compensation and Human Resources Committee is actively engaged in setting compensation systems, monitoring those systems during the year, and using discretion in making rewards, as necessary. As a result of the procedures and practices described above, the Compensation and Human Resources Committee believes that the Company’s compensation policies and practices for its employees do not encourage risk-taking that is reasonably likely to have a material adverse effect on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desiring to communicate directly with the full Board of Directors, the Audit Committee, the non-management directors as a group or with any individual director or directors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 so by sending such communication in writing, addressed to the attention of the intended recipient(s), c/o Rose Neale, General Counsel, Sun Country Airlines Holdings, Inc., 2005 Cargo Road, Minneapolis, MN 55450. Interested parties may communicate anonymously and/or confidentially if they desire. All communications received that relate to accounting, internal accounting controls or auditing matters will be referred to the chairperson of the Audit Committee unless the communication is otherwise addressed. All other communications received will be forwarded to the appropriate director or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Attendance at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encourages all of our directors to attend each annual meeting of stockholders. Patrick O’Keeffe, Gail Peterson, Kerry Philipovitch, and Jennifer Vogel each attended the 2023 annual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Insider Trading Policy; Prohibition on Hedging;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securities trading policy, which prohibits our directors, executive officers, and other designated employees from, among other things, purchasing any financial instruments (including prepaid variable forward contracts, equity swaps, collars, and exchange funds) or engaging in transactions that are designed to or have the effect of hedging or offsetting any decrease in market value of our equity securities. Our securities trading policy also prohibits directors, officers, and employees from engaging in the following activities with respect to our securities: (i) short sales, (ii) buying or selling puts, calls, options, or other derivatives, and (iii) purchases of securities on margin.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adopted a clawback policy (the “Clawback Policy”), which is included as an exhibit in our Annual Report on Form 10-K for fiscal year ended December 31, 2023, and which became effective on November 3, 2023. The Clawback Policy applies to our executive officers, and provides that in the event of an accounting restatement, the Company must require an executive officer to repay incentive-based compensation, including cash or equity compensation, that would otherwise not have been received had such incentive-based compensation been determined correctly in accordance with the accounting restatement, for a period of three years preceding the date the Company concludes that it is required to prepare such accounting restatement.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Community Involvement </w:t>
      </w:r>
    </w:p>
    <w:p>
      <w:pPr>
        <w:pStyle w:val="TextBody"/>
        <w:bidi w:val="0"/>
        <w:spacing w:before="120" w:after="0"/>
        <w:jc w:val="left"/>
        <w:rPr>
          <w:rFonts w:ascii="Times New Roman" w:hAnsi="Times New Roman"/>
          <w:sz w:val="20"/>
        </w:rPr>
      </w:pPr>
      <w:r>
        <w:rPr>
          <w:rFonts w:ascii="Times New Roman" w:hAnsi="Times New Roman"/>
          <w:sz w:val="20"/>
        </w:rPr>
        <w:t xml:space="preserve">At Sun Country, we place tremendous value in all our stakeholders, including our customers, partners, and members of our community. As a fast-growing and dynamic airline, we know our success depends on collaboration with stakeholders, and we strive to engage with stakeholders in our community and more broadly. </w:t>
      </w:r>
    </w:p>
    <w:p>
      <w:pPr>
        <w:pStyle w:val="TextBody"/>
        <w:bidi w:val="0"/>
        <w:spacing w:before="240" w:after="0"/>
        <w:jc w:val="left"/>
        <w:rPr>
          <w:rFonts w:ascii="Times New Roman" w:hAnsi="Times New Roman"/>
          <w:sz w:val="20"/>
        </w:rPr>
      </w:pPr>
      <w:r>
        <w:rPr>
          <w:rFonts w:ascii="Times New Roman" w:hAnsi="Times New Roman"/>
          <w:sz w:val="20"/>
        </w:rPr>
        <w:t xml:space="preserve">We are a longtime partner with Make-A-Wish Minnesota and provide flights for children with critical illnesses to help them safely travel to and from their wish destinations. In 2021, we made a three-year commitment to donate travel to accommodate Wish Kids traveling anywhere that our airline flies. Each December, our “Flight to the North Pole” helps bring holiday cheer to Wish Kids by “flying” them to the home of Santa Claus. </w:t>
      </w:r>
    </w:p>
    <w:p>
      <w:pPr>
        <w:pStyle w:val="TextBody"/>
        <w:bidi w:val="0"/>
        <w:spacing w:before="240" w:after="0"/>
        <w:jc w:val="left"/>
        <w:rPr>
          <w:rFonts w:ascii="Times New Roman" w:hAnsi="Times New Roman"/>
          <w:sz w:val="20"/>
        </w:rPr>
      </w:pPr>
      <w:r>
        <w:rPr>
          <w:rFonts w:ascii="Times New Roman" w:hAnsi="Times New Roman"/>
          <w:sz w:val="20"/>
        </w:rPr>
        <w:t xml:space="preserve">We also sponsor the Hennepin Theatre Trust Spotlight Education program. This program supplements and enhances arts curricula across the state of Minnesota through production assessments, workshops, and arts journalism, increasing equitable access to quality theater education. As part of this sponsorship, we donate an all-expense-paid trip to New York City for up to four students so that they can meet with industry professionals, participate in musical theater workshops and attend Broadway shows. </w:t>
      </w:r>
    </w:p>
    <w:p>
      <w:pPr>
        <w:pStyle w:val="TextBody"/>
        <w:bidi w:val="0"/>
        <w:spacing w:before="240" w:after="0"/>
        <w:jc w:val="left"/>
        <w:rPr>
          <w:rFonts w:ascii="Times New Roman" w:hAnsi="Times New Roman"/>
          <w:sz w:val="20"/>
        </w:rPr>
      </w:pPr>
      <w:r>
        <w:rPr>
          <w:rFonts w:ascii="Times New Roman" w:hAnsi="Times New Roman"/>
          <w:sz w:val="20"/>
        </w:rPr>
        <w:t xml:space="preserve">Sun Country is a proud partner of the Department of Defense, and we take pride in providing Charter Service for our nation’s military domestically and abroad. Additionally, Sun Country is proud to help transport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military veterans to Washington, D.C. aboard Honor Flights to share in a day of honor at our nation’s memorials. These trips are an important way to commemorate the courage and dedication of our nation’s veterans and provide them a day filled with reflection, support and thanks. Many of our pilots and other team members are armed forces veterans and we are proud to fly our nation’s veterans and support the Department of Defense. </w:t>
      </w:r>
    </w:p>
    <w:p>
      <w:pPr>
        <w:pStyle w:val="TextBody"/>
        <w:bidi w:val="0"/>
        <w:spacing w:before="240" w:after="0"/>
        <w:jc w:val="left"/>
        <w:rPr>
          <w:rFonts w:ascii="Times New Roman" w:hAnsi="Times New Roman"/>
          <w:sz w:val="20"/>
        </w:rPr>
      </w:pPr>
      <w:r>
        <w:rPr>
          <w:rFonts w:ascii="Times New Roman" w:hAnsi="Times New Roman"/>
          <w:sz w:val="20"/>
        </w:rPr>
        <w:t xml:space="preserve">We also support the development of a more diverse “workforce of tomorrow” by investing in initiatives like STARBASE STEM and Girls in Aviation, which both serve to educate and create a pipeline for historically disadvantaged students for careers in aviation and aerospace.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Fuel Consumption Initiatives </w:t>
      </w:r>
    </w:p>
    <w:p>
      <w:pPr>
        <w:pStyle w:val="TextBody"/>
        <w:bidi w:val="0"/>
        <w:spacing w:before="120" w:after="0"/>
        <w:jc w:val="left"/>
        <w:rPr>
          <w:rFonts w:ascii="Times New Roman" w:hAnsi="Times New Roman"/>
          <w:sz w:val="20"/>
        </w:rPr>
      </w:pPr>
      <w:r>
        <w:rPr>
          <w:rFonts w:ascii="Times New Roman" w:hAnsi="Times New Roman"/>
          <w:sz w:val="20"/>
        </w:rPr>
        <w:t xml:space="preserve">Our low-cost business model demands that we consistently look for ways to reduce the amount of jet fuel we consume. These jet fuel reduction initiatives include: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Efficient seating—</w:t>
            </w:r>
            <w:r>
              <w:rPr>
                <w:rFonts w:ascii="Times New Roman" w:hAnsi="Times New Roman"/>
                <w:sz w:val="20"/>
              </w:rPr>
              <w:t xml:space="preserve">we optimize the number of seats on our planes, making each flight as fuel efficient as possible.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Focus on demand—</w:t>
            </w:r>
            <w:r>
              <w:rPr>
                <w:rFonts w:ascii="Times New Roman" w:hAnsi="Times New Roman"/>
                <w:sz w:val="20"/>
              </w:rPr>
              <w:t xml:space="preserve">we understand our customers travel needs and patterns. We conserve fuel by limiting ferry flights and flying when and where demand exists.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On-the-ground tactics—</w:t>
            </w:r>
            <w:r>
              <w:rPr>
                <w:rFonts w:ascii="Times New Roman" w:hAnsi="Times New Roman"/>
                <w:sz w:val="20"/>
              </w:rPr>
              <w:t xml:space="preserve">our commitment to fuel efficiency includes tactical on-ground procedures, such as only using one engine to taxi around the airport, which allows us to reduce fuel consumption.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7" w:name="toc798883_5"/>
      <w:bookmarkEnd w:id="7"/>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names of the current executive officers of the Company (and their respective ages as of the date of this proxy statement) are set forth below. </w:t>
      </w:r>
    </w:p>
    <w:p>
      <w:pPr>
        <w:pStyle w:val="TextBody"/>
        <w:bidi w:val="0"/>
        <w:spacing w:before="0" w:after="0"/>
        <w:jc w:val="left"/>
        <w:rPr/>
      </w:pPr>
      <w:r>
        <w:rPr/>
        <w:t> </w:t>
      </w:r>
    </w:p>
    <w:tbl>
      <w:tblPr>
        <w:tblW w:w="6930" w:type="dxa"/>
        <w:jc w:val="left"/>
        <w:tblInd w:w="0" w:type="dxa"/>
        <w:tblLayout w:type="fixed"/>
        <w:tblCellMar>
          <w:top w:w="0" w:type="dxa"/>
          <w:left w:w="0" w:type="dxa"/>
          <w:bottom w:w="0" w:type="dxa"/>
          <w:right w:w="0" w:type="dxa"/>
        </w:tblCellMar>
      </w:tblPr>
      <w:tblGrid>
        <w:gridCol w:w="1235"/>
        <w:gridCol w:w="120"/>
        <w:gridCol w:w="305"/>
        <w:gridCol w:w="120"/>
        <w:gridCol w:w="515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515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50</w:t>
            </w:r>
          </w:p>
        </w:tc>
        <w:tc>
          <w:tcPr>
            <w:tcW w:w="12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Chief Executive Officer; Director</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57</w:t>
            </w:r>
          </w:p>
        </w:tc>
        <w:tc>
          <w:tcPr>
            <w:tcW w:w="12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President and Chief Financial Officer; Director</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55</w:t>
            </w:r>
          </w:p>
        </w:tc>
        <w:tc>
          <w:tcPr>
            <w:tcW w:w="12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Chief Operating Officer and Executive Vice President</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47</w:t>
            </w:r>
          </w:p>
        </w:tc>
        <w:tc>
          <w:tcPr>
            <w:tcW w:w="12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Chief Revenue Officer and Senior Vice President</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49</w:t>
            </w:r>
          </w:p>
        </w:tc>
        <w:tc>
          <w:tcPr>
            <w:tcW w:w="12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General Counsel, Senior Vice President and Secretary</w:t>
            </w:r>
          </w:p>
        </w:tc>
      </w:tr>
    </w:tbl>
    <w:p>
      <w:pPr>
        <w:pStyle w:val="TextBody"/>
        <w:bidi w:val="0"/>
        <w:spacing w:before="240" w:after="0"/>
        <w:jc w:val="left"/>
        <w:rPr>
          <w:rFonts w:ascii="Times New Roman" w:hAnsi="Times New Roman"/>
          <w:sz w:val="20"/>
        </w:rPr>
      </w:pPr>
      <w:r>
        <w:rPr>
          <w:rFonts w:ascii="Times New Roman" w:hAnsi="Times New Roman"/>
          <w:b/>
          <w:sz w:val="20"/>
        </w:rPr>
        <w:t>Jude Bricker</w:t>
      </w:r>
      <w:r>
        <w:rPr>
          <w:rFonts w:ascii="Times New Roman" w:hAnsi="Times New Roman"/>
          <w:sz w:val="20"/>
        </w:rPr>
        <w:t xml:space="preserve">. For the biography of Jude Bricker, please see “Proposal 1 – Reelection of Directors—The Board of Directors—Class III Directors and Current Nominees.” </w:t>
      </w:r>
    </w:p>
    <w:p>
      <w:pPr>
        <w:pStyle w:val="TextBody"/>
        <w:bidi w:val="0"/>
        <w:spacing w:before="240" w:after="0"/>
        <w:jc w:val="left"/>
        <w:rPr>
          <w:rFonts w:ascii="Times New Roman" w:hAnsi="Times New Roman"/>
          <w:sz w:val="20"/>
        </w:rPr>
      </w:pPr>
      <w:r>
        <w:rPr>
          <w:rFonts w:ascii="Times New Roman" w:hAnsi="Times New Roman"/>
          <w:b/>
          <w:sz w:val="20"/>
        </w:rPr>
        <w:t>Dave Davis</w:t>
      </w:r>
      <w:r>
        <w:rPr>
          <w:rFonts w:ascii="Times New Roman" w:hAnsi="Times New Roman"/>
          <w:sz w:val="20"/>
        </w:rPr>
        <w:t xml:space="preserve">. For the biography of Dave Davis, please see “Proposal 1 – Reelection of Directors—The Board of Directors—Class III Directors and Current Nominees.” </w:t>
      </w:r>
    </w:p>
    <w:p>
      <w:pPr>
        <w:pStyle w:val="TextBody"/>
        <w:bidi w:val="0"/>
        <w:spacing w:before="240" w:after="0"/>
        <w:jc w:val="left"/>
        <w:rPr>
          <w:rFonts w:ascii="Times New Roman" w:hAnsi="Times New Roman"/>
          <w:sz w:val="20"/>
        </w:rPr>
      </w:pPr>
      <w:r>
        <w:rPr>
          <w:rFonts w:ascii="Times New Roman" w:hAnsi="Times New Roman"/>
          <w:b/>
          <w:sz w:val="20"/>
        </w:rPr>
        <w:t xml:space="preserve">Gregory Mays </w:t>
      </w:r>
      <w:r>
        <w:rPr>
          <w:rFonts w:ascii="Times New Roman" w:hAnsi="Times New Roman"/>
          <w:sz w:val="20"/>
        </w:rPr>
        <w:t xml:space="preserve">has served as our Chief Operating Officer since June 2019. Mr. Mays has 29 years of 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December 2015 to September 2018. Prior to that, Mr. Mays served as Vice President of Maintenance and Engineering. Prior thereto, Mr. Mays served at Delta Air Lines, Inc. for 13 years from 1998 to 2011 and started his career at The Boeing company from 1992 to 1998. Over the period he has served in various leadership capacities such as maintenance and engineering, airport operations, cargo operations, labor relations, and design/test engineering. Mr. Mays earned a BS in Aerospace Engineering from the University of Alabama and an MBA from Emory University. In addition, Mr. Mays serves on the College of Engineering Leadership Board for the University of Alabama and is also a member of the American Cancer Society (ACS) Foundation Board for the State of Minnesota. </w:t>
      </w:r>
    </w:p>
    <w:p>
      <w:pPr>
        <w:pStyle w:val="TextBody"/>
        <w:bidi w:val="0"/>
        <w:spacing w:before="240" w:after="0"/>
        <w:jc w:val="left"/>
        <w:rPr>
          <w:rFonts w:ascii="Times New Roman" w:hAnsi="Times New Roman"/>
          <w:sz w:val="20"/>
        </w:rPr>
      </w:pPr>
      <w:r>
        <w:rPr>
          <w:rFonts w:ascii="Times New Roman" w:hAnsi="Times New Roman"/>
          <w:b/>
          <w:sz w:val="20"/>
        </w:rPr>
        <w:t>Rose Neale</w:t>
      </w:r>
      <w:r>
        <w:rPr>
          <w:rFonts w:ascii="Times New Roman" w:hAnsi="Times New Roman"/>
          <w:sz w:val="20"/>
        </w:rPr>
        <w:t xml:space="preserve"> is Sun Country’s General Counsel and Senior Vice President. Prior to being named General Counsel in July 2022, Ms. Neale was Associate General Counsel and Vice President. Ms. Neale oversees Airport Affairs, legal matters, airport relations, insurance, and facilities. Prior to joining Sun Country in 2021, she was managing counsel of Castlelake, a top quartile private equity investment advisor where she had legal oversight for Castlelake’s aviation investments. She has also practiced corporate law and was legal counsel for an investment firm. She received her JD from the University of Arizona James E. Rogers College of Law and her BS from the University of Arizona. She has a Master of Laws in Taxation from New York University School of Law. In addition, Ms. Neale serves as a Director for Minnesota Make-a-Wish. </w:t>
      </w:r>
    </w:p>
    <w:p>
      <w:pPr>
        <w:pStyle w:val="TextBody"/>
        <w:bidi w:val="0"/>
        <w:spacing w:before="240" w:after="0"/>
        <w:jc w:val="left"/>
        <w:rPr>
          <w:rFonts w:ascii="Times New Roman" w:hAnsi="Times New Roman"/>
          <w:sz w:val="20"/>
        </w:rPr>
      </w:pPr>
      <w:r>
        <w:rPr>
          <w:rFonts w:ascii="Times New Roman" w:hAnsi="Times New Roman"/>
          <w:b/>
          <w:sz w:val="20"/>
        </w:rPr>
        <w:t>Grant Whitney</w:t>
      </w:r>
      <w:r>
        <w:rPr>
          <w:rFonts w:ascii="Times New Roman" w:hAnsi="Times New Roman"/>
          <w:sz w:val="20"/>
        </w:rPr>
        <w:t xml:space="preserve"> has served as our Chief Revenue Officer since May 2019. Prior thereto, he spent nine years at United Airlines from 2010 to 2018, most recently in the role of Vice President of Domestic Network Planning and Aircraft Scheduling from August 2016 to March 2018. Prior to that, Mr. Whitney served as Director of International Planning at US Airways, and spent eight years at Northwest Airlines in various commercial and network-planning functions. Mr. Whitney holds a BA in Economics from Carleton College and an MBA from the Carlson School of Management at the University of Minnesota.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 w:name="toc798883_6"/>
      <w:bookmarkEnd w:id="8"/>
      <w:r>
        <w:rPr>
          <w:rFonts w:ascii="Times New Roman" w:hAnsi="Times New Roman"/>
          <w:b/>
          <w:sz w:val="20"/>
        </w:rPr>
        <w:t xml:space="preserve">EXECUTIVE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This section explains our executive compensation philosophy, objectives, and design; our compensation governance; our compensation-setting process; our executive compensation program elements; and the decisions made in 2023 with respect to the compensation of each of our named executive officers. Our named executive officers for 2023, who appear in the section entitled Summary Compensation Table below, are: </w:t>
      </w:r>
    </w:p>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1865"/>
        <w:gridCol w:w="120"/>
        <w:gridCol w:w="401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Chief Executive Officer</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President and Chief Financial Officer</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EVP, Chief Operating Officer</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SVP and Chief Human Resources Officer</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SVP and General Counsel</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SVP and Chief Revenue Officer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2023 Performance Highlights </w:t>
      </w:r>
    </w:p>
    <w:p>
      <w:pPr>
        <w:pStyle w:val="TextBody"/>
        <w:bidi w:val="0"/>
        <w:spacing w:before="120" w:after="0"/>
        <w:jc w:val="left"/>
        <w:rPr>
          <w:rFonts w:ascii="Times New Roman" w:hAnsi="Times New Roman"/>
          <w:sz w:val="20"/>
        </w:rPr>
      </w:pPr>
      <w:r>
        <w:rPr>
          <w:rFonts w:ascii="Times New Roman" w:hAnsi="Times New Roman"/>
          <w:sz w:val="20"/>
        </w:rPr>
        <w:t xml:space="preserve">Fiscal year 2023 proved to be another year of milestones and growth initiatives for the Company. We believe our financial performance has demonstrated the growth and resilience inherent in our business model. Specifically, the Company achieved the following performance and operational milestones: </w:t>
      </w:r>
    </w:p>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produced the highest pre-tax margin of all 11 public mainline carriers;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produced over $1 billion in revenue for the first time in the Company’s history;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Outperformed 2023 Adjusted EBT Margins as measured against aircraft carriers in which we compete for talent; and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launched 14 new summer routes in 2023 and announced 10 new routes for summer 2024 flying.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this “Compensation Discussion &amp; Analysis,” the Compensation and Human Resources Committee has designed incentive compensation programs that are intended to align executives’ interests with our financial and operational growth strategies and achievements and takes these performance achievements into account when designing and implementing pay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2023 Compensation Review </w:t>
      </w:r>
    </w:p>
    <w:p>
      <w:pPr>
        <w:pStyle w:val="TextBody"/>
        <w:bidi w:val="0"/>
        <w:spacing w:before="120" w:after="0"/>
        <w:jc w:val="left"/>
        <w:rPr>
          <w:rFonts w:ascii="Times New Roman" w:hAnsi="Times New Roman"/>
          <w:sz w:val="20"/>
        </w:rPr>
      </w:pPr>
      <w:r>
        <w:rPr>
          <w:rFonts w:ascii="Times New Roman" w:hAnsi="Times New Roman"/>
          <w:sz w:val="20"/>
        </w:rPr>
        <w:t xml:space="preserve">During 2023, the Compensation and Human Resources Committee undertook a holistic review of the Company’s existing compensation arrangements and worked alongside an independent compensation consultant to establish compensation that is intended to reflect the Company’s ongoing transition from a newly-public company to a more independent, steady-state public company. Specifically, the Compensation and Human Resources Committee approved adjustments to Mr. Bricker’s and Mr. Davis’ existing compensation levels to provide market competitive compensation opportunities. The Compensation and Human Resources Committee also approved the framework for a new long-term incentive program (“LTI”) consisting of both time-based and performance-based restricted stock units, which program is being phased in beginning in 2024. This new LTI program is intended to reflect the fact that the prior LTI program was largely designed to incentivize alignment with the Company’s major private equity shareholder, in the form of performance-based options tied to returns of that private equity shareholder. These performance-based options have now vested, and the Compensation and Human Resources Committee recognized that as the Company continues to mature, it would be important to develop and design a new long-term incentive program that would be better aligned with the business goals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objectives of a more steady-state public company. Going forward, the Compensation and Human Resources Committee believes it is important to align our executive compensation programs with shareholders through the use of performance-based LTI awards. Certain of the compensation elements described in this “Compensation Discussion and Analysis” reflect decisions made by the Compensation and Human Resources Committee in connection with such holistic review.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Objectives, Philosophy, and Design </w:t>
      </w:r>
    </w:p>
    <w:p>
      <w:pPr>
        <w:pStyle w:val="TextBody"/>
        <w:bidi w:val="0"/>
        <w:spacing w:before="120" w:after="0"/>
        <w:jc w:val="left"/>
        <w:rPr>
          <w:rFonts w:ascii="Times New Roman" w:hAnsi="Times New Roman"/>
          <w:sz w:val="20"/>
        </w:rPr>
      </w:pPr>
      <w:r>
        <w:rPr>
          <w:rFonts w:ascii="Times New Roman" w:hAnsi="Times New Roman"/>
          <w:i/>
          <w:sz w:val="20"/>
        </w:rPr>
        <w:t>Objectives</w:t>
      </w:r>
      <w:r>
        <w:rPr>
          <w:rFonts w:ascii="Times New Roman" w:hAnsi="Times New Roman"/>
          <w:sz w:val="20"/>
        </w:rPr>
        <w:t xml:space="preserve">. The Company’s goal for its executive compensation program is to utilize a pay-for-performance compensation program that is directly related to achievement of the Company’s financial and strategic objectives. This program is designed to: </w:t>
      </w:r>
    </w:p>
    <w:p>
      <w:pPr>
        <w:pStyle w:val="TextBody"/>
        <w:bidi w:val="0"/>
        <w:spacing w:before="120" w:after="0"/>
        <w:jc w:val="left"/>
        <w:rPr>
          <w:rFonts w:ascii="Times New Roman" w:hAnsi="Times New Roman"/>
          <w:sz w:val="20"/>
        </w:rPr>
      </w:pPr>
      <w:r>
        <w:rPr>
          <w:rFonts w:ascii="Times New Roman" w:hAnsi="Times New Roman"/>
          <w:sz w:val="20"/>
        </w:rPr>
        <w:t xml:space="preserve">(i) provide compensation opportunities that will allow the Company to attract and retain talented executive officers who are essential to the Company’s success; </w:t>
      </w:r>
    </w:p>
    <w:p>
      <w:pPr>
        <w:pStyle w:val="TextBody"/>
        <w:bidi w:val="0"/>
        <w:spacing w:before="240" w:after="0"/>
        <w:jc w:val="left"/>
        <w:rPr>
          <w:rFonts w:ascii="Times New Roman" w:hAnsi="Times New Roman"/>
          <w:sz w:val="20"/>
        </w:rPr>
      </w:pPr>
      <w:r>
        <w:rPr>
          <w:rFonts w:ascii="Times New Roman" w:hAnsi="Times New Roman"/>
          <w:sz w:val="20"/>
        </w:rPr>
        <w:t xml:space="preserve">(ii) provide compensation that rewards corporate performance and motivates the executive officers to achieve corporate strategic objectives; </w:t>
      </w:r>
    </w:p>
    <w:p>
      <w:pPr>
        <w:pStyle w:val="TextBody"/>
        <w:bidi w:val="0"/>
        <w:spacing w:before="240" w:after="0"/>
        <w:jc w:val="left"/>
        <w:rPr>
          <w:rFonts w:ascii="Times New Roman" w:hAnsi="Times New Roman"/>
          <w:sz w:val="20"/>
        </w:rPr>
      </w:pPr>
      <w:r>
        <w:rPr>
          <w:rFonts w:ascii="Times New Roman" w:hAnsi="Times New Roman"/>
          <w:sz w:val="20"/>
        </w:rPr>
        <w:t xml:space="preserve">(iii) reward superior financial and operational performance in a given year; </w:t>
      </w:r>
    </w:p>
    <w:p>
      <w:pPr>
        <w:pStyle w:val="TextBody"/>
        <w:bidi w:val="0"/>
        <w:spacing w:before="240" w:after="0"/>
        <w:jc w:val="left"/>
        <w:rPr>
          <w:rFonts w:ascii="Times New Roman" w:hAnsi="Times New Roman"/>
          <w:sz w:val="20"/>
        </w:rPr>
      </w:pPr>
      <w:r>
        <w:rPr>
          <w:rFonts w:ascii="Times New Roman" w:hAnsi="Times New Roman"/>
          <w:sz w:val="20"/>
        </w:rPr>
        <w:t xml:space="preserve">(iv) place compensation at risk if performance goals are not achieved; and </w:t>
      </w:r>
    </w:p>
    <w:p>
      <w:pPr>
        <w:pStyle w:val="TextBody"/>
        <w:bidi w:val="0"/>
        <w:spacing w:before="240" w:after="0"/>
        <w:jc w:val="left"/>
        <w:rPr>
          <w:rFonts w:ascii="Times New Roman" w:hAnsi="Times New Roman"/>
          <w:sz w:val="20"/>
        </w:rPr>
      </w:pPr>
      <w:r>
        <w:rPr>
          <w:rFonts w:ascii="Times New Roman" w:hAnsi="Times New Roman"/>
          <w:sz w:val="20"/>
        </w:rPr>
        <w:t xml:space="preserve">(v) align the interests of executive officers with the long-term interests of stockholders through stock-based awards. </w:t>
      </w:r>
    </w:p>
    <w:p>
      <w:pPr>
        <w:pStyle w:val="TextBody"/>
        <w:bidi w:val="0"/>
        <w:spacing w:before="240" w:after="0"/>
        <w:jc w:val="left"/>
        <w:rPr>
          <w:rFonts w:ascii="Times New Roman" w:hAnsi="Times New Roman"/>
          <w:sz w:val="20"/>
        </w:rPr>
      </w:pPr>
      <w:r>
        <w:rPr>
          <w:rFonts w:ascii="Times New Roman" w:hAnsi="Times New Roman"/>
          <w:i/>
          <w:sz w:val="20"/>
        </w:rPr>
        <w:t>Philosophy</w:t>
      </w:r>
      <w:r>
        <w:rPr>
          <w:rFonts w:ascii="Times New Roman" w:hAnsi="Times New Roman"/>
          <w:sz w:val="20"/>
        </w:rPr>
        <w:t xml:space="preserve">. As we transition from a majority-owned private company to a more independent, steady-state public company, our compensation philosophy reflects an overall goal that pay incentives should be designed to both appropriately motivate key executive talent and promote retention, while also aligning with the longer-term interests of our shareholders more generally. </w:t>
      </w:r>
    </w:p>
    <w:p>
      <w:pPr>
        <w:pStyle w:val="TextBody"/>
        <w:bidi w:val="0"/>
        <w:spacing w:before="240" w:after="0"/>
        <w:jc w:val="left"/>
        <w:rPr>
          <w:rFonts w:ascii="Times New Roman" w:hAnsi="Times New Roman"/>
          <w:sz w:val="20"/>
        </w:rPr>
      </w:pPr>
      <w:r>
        <w:rPr>
          <w:rFonts w:ascii="Times New Roman" w:hAnsi="Times New Roman"/>
          <w:i/>
          <w:sz w:val="20"/>
        </w:rPr>
        <w:t>Design</w:t>
      </w:r>
      <w:r>
        <w:rPr>
          <w:rFonts w:ascii="Times New Roman" w:hAnsi="Times New Roman"/>
          <w:sz w:val="20"/>
        </w:rPr>
        <w:t xml:space="preserve">. Our executive compensation program is designed to appropriately balance fixed compensation elements with variable compensation elements, and is intended to create both short-term and long-term compensation opportunities designed to complement the expectations that executive officers must focus on performance of the business over both time horizons.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Compensation-Setting Process </w:t>
      </w:r>
    </w:p>
    <w:p>
      <w:pPr>
        <w:pStyle w:val="TextBody"/>
        <w:bidi w:val="0"/>
        <w:spacing w:before="120" w:after="0"/>
        <w:jc w:val="left"/>
        <w:rPr>
          <w:rFonts w:ascii="Times New Roman" w:hAnsi="Times New Roman"/>
          <w:sz w:val="20"/>
        </w:rPr>
      </w:pPr>
      <w:r>
        <w:rPr>
          <w:rFonts w:ascii="Times New Roman" w:hAnsi="Times New Roman"/>
          <w:i/>
          <w:sz w:val="20"/>
        </w:rPr>
        <w:t>Role of Our Compensation and Human Resources Committee</w:t>
      </w:r>
      <w:r>
        <w:rPr>
          <w:rFonts w:ascii="Times New Roman" w:hAnsi="Times New Roman"/>
          <w:sz w:val="20"/>
        </w:rPr>
        <w:t xml:space="preserve">. The Compensation and Human Resources Committee is responsible for overseeing all aspects of our executive compensation program, including executive salaries, payouts under our bonus plan, the size and structure of equity awards, and executive perquisites. The Compensation and Human Resources Committee is solely responsible for determining the compensation of our CEO and reviews and approves the compensation of our other executive officers. For more information regarding the responsibilities of the Compensation and Human Resources Committee, see the section entitled “Corporate Governance.” </w:t>
      </w:r>
    </w:p>
    <w:p>
      <w:pPr>
        <w:pStyle w:val="TextBody"/>
        <w:bidi w:val="0"/>
        <w:spacing w:before="240" w:after="0"/>
        <w:jc w:val="left"/>
        <w:rPr>
          <w:rFonts w:ascii="Times New Roman" w:hAnsi="Times New Roman"/>
          <w:sz w:val="20"/>
        </w:rPr>
      </w:pPr>
      <w:r>
        <w:rPr>
          <w:rFonts w:ascii="Times New Roman" w:hAnsi="Times New Roman"/>
          <w:i/>
          <w:sz w:val="20"/>
        </w:rPr>
        <w:t>Role of Management</w:t>
      </w:r>
      <w:r>
        <w:rPr>
          <w:rFonts w:ascii="Times New Roman" w:hAnsi="Times New Roman"/>
          <w:sz w:val="20"/>
        </w:rPr>
        <w:t xml:space="preserve">. In setting compensation for 2023, our Chief Executive Officer and Chief Financial Officer provide their views to the Compensation and Human Resources Committee on how to implement our compensation philosophy through our executive compensation program and attended meetings of the Compensation and Human Resources Committee. Our CEO made recommendations to the Compensation and Human Resources Committee regarding compensation for our executive officers, other than for himself, because of his oversight and daily involvement with our executive team. No executive officer participated in the final deliberations or determinations regarding his or her own compensation package or was present during such determinations.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management team and the Compensation and Human Resources Committee each play a role in evaluating and mitigating any risk that may exist relating to our compensation plans, practices, and policies for all employees, including our named executive officers, as further described in the section entitled “Corporate Governance—Compensation Risk Assessment” below. </w:t>
      </w:r>
    </w:p>
    <w:p>
      <w:pPr>
        <w:pStyle w:val="TextBody"/>
        <w:bidi w:val="0"/>
        <w:spacing w:before="240" w:after="0"/>
        <w:jc w:val="left"/>
        <w:rPr>
          <w:rFonts w:ascii="Times New Roman" w:hAnsi="Times New Roman"/>
          <w:sz w:val="20"/>
        </w:rPr>
      </w:pPr>
      <w:r>
        <w:rPr>
          <w:rFonts w:ascii="Times New Roman" w:hAnsi="Times New Roman"/>
          <w:i/>
          <w:sz w:val="20"/>
        </w:rPr>
        <w:t>Role of Compensation Consultant</w:t>
      </w:r>
      <w:r>
        <w:rPr>
          <w:rFonts w:ascii="Times New Roman" w:hAnsi="Times New Roman"/>
          <w:sz w:val="20"/>
        </w:rPr>
        <w:t xml:space="preserve">. Pursuant to its charter, the Compensation and Human Resources Committee has the authority to engage its own advisors to assist in carrying out its responsibilities. During 2023, the Compensation and Human Resources Committee engaged Meridian Compensation Partners, LLC (“Meridian”) as its independent compensation consultant. Meridian assisted the Compensation and Human Resources Committee in providing advice, reports and recommendations relating to pay levels, performance goals and LTI design. Meridian also attends meetings of the Compensation and Human Resources Committee by invitation. The Compensation and Human Resources Committee evaluates annually Meridian’s independence from management, taking into consideration all relevant factors, including the six independence factors specified in the Nasdaq listing rules and applicable SEC requirements. The Compensation and Human Resources Committee reviewed the independence of Meridian and concluded that Meridian is independent and that its work for the Compensation and Human Resources Committee does not raise any conflicts of interest. </w:t>
      </w:r>
    </w:p>
    <w:p>
      <w:pPr>
        <w:pStyle w:val="TextBody"/>
        <w:bidi w:val="0"/>
        <w:spacing w:before="240" w:after="0"/>
        <w:jc w:val="left"/>
        <w:rPr>
          <w:rFonts w:ascii="Times New Roman" w:hAnsi="Times New Roman"/>
          <w:sz w:val="20"/>
        </w:rPr>
      </w:pPr>
      <w:r>
        <w:rPr>
          <w:rFonts w:ascii="Times New Roman" w:hAnsi="Times New Roman"/>
          <w:i/>
          <w:sz w:val="20"/>
        </w:rPr>
        <w:t>Use of Comparative Market Data</w:t>
      </w:r>
      <w:r>
        <w:rPr>
          <w:rFonts w:ascii="Times New Roman" w:hAnsi="Times New Roman"/>
          <w:sz w:val="20"/>
        </w:rPr>
        <w:t xml:space="preserve">. We aim to compensate our executive officers at levels that are commensurate with the most competitive levels of compensation for executives in similar positions at the group of publicly-traded peer companies set forth below, with whom we compete for hiring and retaining executive talent (our “Peer Group”). In making compensation decisions, the Compensation and Human Resources Committee also considers the scope of responsibility and tenure of each executive officer, the unvested balances of equity awards held by each executive officer, as well as the Compensation and Human Resources Committee’s assessment of each executive officer’s performance and impact on the organization. In determining 2023 compensation, the Compensation and Human Resources Committee did not use a formula for taking into account these different factors. </w:t>
      </w:r>
    </w:p>
    <w:p>
      <w:pPr>
        <w:pStyle w:val="TextBody"/>
        <w:bidi w:val="0"/>
        <w:spacing w:before="240" w:after="0"/>
        <w:jc w:val="left"/>
        <w:rPr>
          <w:rFonts w:ascii="Times New Roman" w:hAnsi="Times New Roman"/>
          <w:sz w:val="20"/>
        </w:rPr>
      </w:pPr>
      <w:r>
        <w:rPr>
          <w:rFonts w:ascii="Times New Roman" w:hAnsi="Times New Roman"/>
          <w:sz w:val="20"/>
        </w:rPr>
        <w:t xml:space="preserve">We analyze market data for executive compensation at least annually using the most relevant published survey sources, information available from public filings, and input from Meridian. Management and Meridian provided the Compensation and Human Resources Committee with both cash and equity compensation data for our Peer Group. With input from Meridian, the Compensation and Human Resources Committee considered the following selection criteria to identify the peer group: </w:t>
      </w:r>
    </w:p>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245"/>
        <w:gridCol w:w="7115"/>
      </w:tblGrid>
      <w:tr>
        <w:trPr/>
        <w:tc>
          <w:tcPr>
            <w:tcW w:w="245" w:type="dxa"/>
            <w:tcBorders/>
            <w:vAlign w:val="center"/>
          </w:tcPr>
          <w:p>
            <w:pPr>
              <w:pStyle w:val="TableContents"/>
              <w:bidi w:val="0"/>
              <w:spacing w:before="0" w:after="283"/>
              <w:jc w:val="left"/>
              <w:rPr/>
            </w:pPr>
            <w:r>
              <w:rPr/>
              <w:t>(i)</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comparability, with a focus on Airline and Air Freight &amp; Logistics companies;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305"/>
        <w:gridCol w:w="2120"/>
      </w:tblGrid>
      <w:tr>
        <w:trPr/>
        <w:tc>
          <w:tcPr>
            <w:tcW w:w="305" w:type="dxa"/>
            <w:tcBorders/>
            <w:vAlign w:val="center"/>
          </w:tcPr>
          <w:p>
            <w:pPr>
              <w:pStyle w:val="TableContents"/>
              <w:bidi w:val="0"/>
              <w:spacing w:before="0" w:after="283"/>
              <w:jc w:val="left"/>
              <w:rPr/>
            </w:pPr>
            <w:r>
              <w:rPr/>
              <w:t>(ii)</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Trailing Q4 revenue; and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365"/>
        <w:gridCol w:w="1880"/>
      </w:tblGrid>
      <w:tr>
        <w:trPr/>
        <w:tc>
          <w:tcPr>
            <w:tcW w:w="365" w:type="dxa"/>
            <w:tcBorders/>
            <w:vAlign w:val="center"/>
          </w:tcPr>
          <w:p>
            <w:pPr>
              <w:pStyle w:val="TableContents"/>
              <w:bidi w:val="0"/>
              <w:spacing w:before="0" w:after="283"/>
              <w:jc w:val="left"/>
              <w:rPr/>
            </w:pPr>
            <w:r>
              <w:rPr/>
              <w:t>(iii)</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capitalization.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Using these factors, the Peer Group used for setting 2023 compensation consisted of the following eight companies: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110"/>
        <w:gridCol w:w="60"/>
        <w:gridCol w:w="2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Air Transport Services Group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Allegiant Travel Company </w:t>
            </w:r>
          </w:p>
        </w:tc>
      </w:tr>
    </w:tbl>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Atlas Air Worldwide Holdings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Frontier Group Holdings </w:t>
            </w:r>
          </w:p>
        </w:tc>
      </w:tr>
    </w:tbl>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75"/>
        <w:gridCol w:w="110"/>
        <w:gridCol w:w="60"/>
        <w:gridCol w:w="1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Hawaiian Holdings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Mesa Air Group </w:t>
            </w:r>
          </w:p>
        </w:tc>
      </w:tr>
    </w:tbl>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75"/>
        <w:gridCol w:w="110"/>
        <w:gridCol w:w="60"/>
        <w:gridCol w:w="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SkyWest </w:t>
            </w:r>
          </w:p>
        </w:tc>
      </w:tr>
    </w:tbl>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75"/>
        <w:gridCol w:w="110"/>
        <w:gridCol w:w="60"/>
        <w:gridCol w:w="1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Spirit Airlines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2023, the Compensation and Human Resources Committee reviewed our executive compensation against this Peer Group to ensure that our executive officer compensation was competitive and sufficient to recruit and retain our executive officers, and to ensure compensation pay levels were generally aligned with market. The Compensation and Human Resources Committee set target total direct compensation levels for 2023 that were generally within a competitive range of the market median, with consideration to other factors including individual and Company performance, retention, scope of role, and internal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and Human Resources Committee expects to periodically review and update our Peer Group and the underlying criteria as our business and market environment continue to evolve. </w:t>
      </w:r>
    </w:p>
    <w:p>
      <w:pPr>
        <w:pStyle w:val="TextBody"/>
        <w:bidi w:val="0"/>
        <w:spacing w:before="360" w:after="0"/>
        <w:jc w:val="left"/>
        <w:rPr>
          <w:rFonts w:ascii="Times New Roman" w:hAnsi="Times New Roman"/>
          <w:b/>
          <w:sz w:val="20"/>
        </w:rPr>
      </w:pPr>
      <w:r>
        <w:rPr>
          <w:rFonts w:ascii="Times New Roman" w:hAnsi="Times New Roman"/>
          <w:b/>
          <w:sz w:val="20"/>
        </w:rPr>
        <w:t xml:space="preserve">Elements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 compensation package for 2023 generally consisted of the following three elements: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short-term performance-based cash bonus (annual);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equity-based compensation in the form of RSUs.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our compensation mix supports our objective of focusing on at-risk compensation having significant financial upside based on our performance relative to Company operational and financial goals. We expect to continue to emphasize equity awards because of the direct link that equity compensation provides between long-term shareholder interests and the interests of our executive officers, thereby motivating our executive officers to focus on increasing our value over the long term. </w:t>
      </w:r>
    </w:p>
    <w:p>
      <w:pPr>
        <w:pStyle w:val="TextBody"/>
        <w:bidi w:val="0"/>
        <w:spacing w:before="240" w:after="0"/>
        <w:jc w:val="left"/>
        <w:rPr>
          <w:rFonts w:ascii="Times New Roman" w:hAnsi="Times New Roman"/>
          <w:sz w:val="20"/>
        </w:rPr>
      </w:pPr>
      <w:r>
        <w:rPr>
          <w:rFonts w:ascii="Times New Roman" w:hAnsi="Times New Roman"/>
          <w:i/>
          <w:sz w:val="20"/>
        </w:rPr>
        <w:t>Base Salary</w:t>
      </w:r>
      <w:r>
        <w:rPr>
          <w:rFonts w:ascii="Times New Roman" w:hAnsi="Times New Roman"/>
          <w:sz w:val="20"/>
        </w:rPr>
        <w:t xml:space="preserve">. The Compensation and Human Resources Committee believes base salaries are a necessary element of compensation in order to attract and retain highly qualified executive officers. The Compensation and Human Resources Committee reviews the base salaries of our executive officers at least annually and may adjust them from time to time, if needed, to reflect changes in market conditions or other factors. </w:t>
      </w:r>
    </w:p>
    <w:p>
      <w:pPr>
        <w:pStyle w:val="TextBody"/>
        <w:bidi w:val="0"/>
        <w:spacing w:before="240" w:after="0"/>
        <w:jc w:val="left"/>
        <w:rPr>
          <w:rFonts w:ascii="Times New Roman" w:hAnsi="Times New Roman"/>
          <w:sz w:val="20"/>
        </w:rPr>
      </w:pPr>
      <w:r>
        <w:rPr>
          <w:rFonts w:ascii="Times New Roman" w:hAnsi="Times New Roman"/>
          <w:sz w:val="20"/>
        </w:rPr>
        <w:t xml:space="preserve">During 2023, in connection with the Compensation and Human Resources Committee’s holistic review of the executive officers’ pay levels, the Compensation and Human Resources Committee approved base salary increases for Messrs. Levenhagen and Whitney, and Ms. Neale, to $325,000, and to $400,000 for Mr. Mays. In connection with entering into new employment agreements in May of 2023 with Messrs. Bricker and Davis, the Compensation and Human Resources Committee approved increases to their base salary levels to $650,000 for Mr. Bricker and $500,000 for Mr. Davis. The Compensation and Human Resources Committee determined that these salary adjustments were appropriate in order to provide market competitive compensation opportunities as the Company transitions from a newly-public company to a more independent, steady-state public company. </w:t>
      </w:r>
    </w:p>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585"/>
        <w:gridCol w:w="120"/>
        <w:gridCol w:w="476"/>
        <w:gridCol w:w="2724"/>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b/>
              </w:rPr>
            </w:pPr>
            <w:r>
              <w:rPr>
                <w:b/>
              </w:rPr>
              <w:t>Named Executive Officer</w:t>
            </w:r>
          </w:p>
        </w:tc>
        <w:tc>
          <w:tcPr>
            <w:tcW w:w="120" w:type="dxa"/>
            <w:tcBorders/>
            <w:vAlign w:val="center"/>
          </w:tcPr>
          <w:p>
            <w:pPr>
              <w:pStyle w:val="TableContents"/>
              <w:bidi w:val="0"/>
              <w:spacing w:before="0" w:after="283"/>
              <w:jc w:val="left"/>
              <w:rPr/>
            </w:pPr>
            <w:r>
              <w:rPr/>
              <w:t>  </w:t>
            </w:r>
          </w:p>
        </w:tc>
        <w:tc>
          <w:tcPr>
            <w:tcW w:w="3200" w:type="dxa"/>
            <w:gridSpan w:val="2"/>
            <w:tcBorders/>
            <w:vAlign w:val="center"/>
          </w:tcPr>
          <w:p>
            <w:pPr>
              <w:pStyle w:val="TableContents"/>
              <w:bidi w:val="0"/>
              <w:spacing w:before="0" w:after="283"/>
              <w:jc w:val="center"/>
              <w:rPr>
                <w:b/>
              </w:rPr>
            </w:pPr>
            <w:r>
              <w:rPr>
                <w:b/>
              </w:rPr>
              <w:t>Base Salary as of December 31,</w:t>
              <w:br/>
              <w:t>2023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p>
        </w:tc>
        <w:tc>
          <w:tcPr>
            <w:tcW w:w="2724" w:type="dxa"/>
            <w:tcBorders/>
            <w:shd w:fill="CCEEFF" w:val="clear"/>
            <w:vAlign w:val="center"/>
          </w:tcPr>
          <w:p>
            <w:pPr>
              <w:pStyle w:val="TableContents"/>
              <w:bidi w:val="0"/>
              <w:spacing w:before="0" w:after="283"/>
              <w:jc w:val="right"/>
              <w:rPr/>
            </w:pPr>
            <w:r>
              <w:rPr/>
              <w:t>650,000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w:t>
            </w:r>
          </w:p>
        </w:tc>
        <w:tc>
          <w:tcPr>
            <w:tcW w:w="2724" w:type="dxa"/>
            <w:tcBorders/>
            <w:vAlign w:val="center"/>
          </w:tcPr>
          <w:p>
            <w:pPr>
              <w:pStyle w:val="TableContents"/>
              <w:bidi w:val="0"/>
              <w:spacing w:before="0" w:after="283"/>
              <w:jc w:val="right"/>
              <w:rPr/>
            </w:pPr>
            <w:r>
              <w:rPr/>
              <w:t>500,000</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p>
        </w:tc>
        <w:tc>
          <w:tcPr>
            <w:tcW w:w="2724" w:type="dxa"/>
            <w:tcBorders/>
            <w:shd w:fill="CCEEFF" w:val="clear"/>
            <w:vAlign w:val="center"/>
          </w:tcPr>
          <w:p>
            <w:pPr>
              <w:pStyle w:val="TableContents"/>
              <w:bidi w:val="0"/>
              <w:spacing w:before="0" w:after="283"/>
              <w:jc w:val="right"/>
              <w:rPr/>
            </w:pPr>
            <w:r>
              <w:rPr/>
              <w:t>400,000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w:t>
            </w:r>
          </w:p>
        </w:tc>
        <w:tc>
          <w:tcPr>
            <w:tcW w:w="2724" w:type="dxa"/>
            <w:tcBorders/>
            <w:vAlign w:val="center"/>
          </w:tcPr>
          <w:p>
            <w:pPr>
              <w:pStyle w:val="TableContents"/>
              <w:bidi w:val="0"/>
              <w:spacing w:before="0" w:after="283"/>
              <w:jc w:val="right"/>
              <w:rPr/>
            </w:pPr>
            <w:r>
              <w:rPr/>
              <w:t>325,000</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p>
        </w:tc>
        <w:tc>
          <w:tcPr>
            <w:tcW w:w="2724" w:type="dxa"/>
            <w:tcBorders/>
            <w:shd w:fill="CCEEFF" w:val="clear"/>
            <w:vAlign w:val="center"/>
          </w:tcPr>
          <w:p>
            <w:pPr>
              <w:pStyle w:val="TableContents"/>
              <w:bidi w:val="0"/>
              <w:spacing w:before="0" w:after="283"/>
              <w:jc w:val="right"/>
              <w:rPr/>
            </w:pPr>
            <w:r>
              <w:rPr/>
              <w:t>325,000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w:t>
            </w:r>
          </w:p>
        </w:tc>
        <w:tc>
          <w:tcPr>
            <w:tcW w:w="2724" w:type="dxa"/>
            <w:tcBorders/>
            <w:vAlign w:val="center"/>
          </w:tcPr>
          <w:p>
            <w:pPr>
              <w:pStyle w:val="TableContents"/>
              <w:bidi w:val="0"/>
              <w:spacing w:before="0" w:after="283"/>
              <w:jc w:val="right"/>
              <w:rPr/>
            </w:pPr>
            <w:r>
              <w:rPr/>
              <w:t>325,000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Cash Bonuses</w:t>
      </w:r>
      <w:r>
        <w:rPr>
          <w:rFonts w:ascii="Times New Roman" w:hAnsi="Times New Roman"/>
          <w:sz w:val="20"/>
        </w:rPr>
        <w:t xml:space="preserve">. Our annual cash bonus program for 2023 was designed to deliver variable cash incentives, payable annually, that are designed to motivate our executive officers to focus on Company priorities and to reward them for performance achievements tied to financial and operational goals. In 2023, individual target bonus percentages for each named executive officer were established as a percentage of such executive’s base salary. During 2023, in connection with the Compensation and Human Resources Committee’s holistic review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executive officers’ pay levels, the Compensation and Human Resources Committee reduced each executive officer’s target annual bonus percentage in order to ensure that short-term cash compensation levels and overall pay mix were being set within the market range of our peers, after taking into account the increases in base salary levels that were approved during 2023, as shown in the table below: </w:t>
      </w:r>
    </w:p>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2585"/>
        <w:gridCol w:w="120"/>
        <w:gridCol w:w="420"/>
        <w:gridCol w:w="2660"/>
        <w:gridCol w:w="275"/>
        <w:gridCol w:w="60"/>
        <w:gridCol w:w="420"/>
        <w:gridCol w:w="2660"/>
        <w:gridCol w:w="290"/>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b/>
              </w:rPr>
            </w:pPr>
            <w:r>
              <w:rPr>
                <w:b/>
              </w:rPr>
              <w:t>Named Executive Officer</w:t>
            </w:r>
          </w:p>
        </w:tc>
        <w:tc>
          <w:tcPr>
            <w:tcW w:w="120" w:type="dxa"/>
            <w:tcBorders/>
            <w:vAlign w:val="center"/>
          </w:tcPr>
          <w:p>
            <w:pPr>
              <w:pStyle w:val="TableContents"/>
              <w:bidi w:val="0"/>
              <w:spacing w:before="0" w:after="283"/>
              <w:jc w:val="left"/>
              <w:rPr/>
            </w:pPr>
            <w:r>
              <w:rPr/>
              <w:t>  </w:t>
            </w:r>
          </w:p>
        </w:tc>
        <w:tc>
          <w:tcPr>
            <w:tcW w:w="3080" w:type="dxa"/>
            <w:gridSpan w:val="2"/>
            <w:tcBorders/>
            <w:vAlign w:val="center"/>
          </w:tcPr>
          <w:p>
            <w:pPr>
              <w:pStyle w:val="TableContents"/>
              <w:bidi w:val="0"/>
              <w:spacing w:before="0" w:after="283"/>
              <w:jc w:val="center"/>
              <w:rPr>
                <w:b/>
              </w:rPr>
            </w:pPr>
            <w:r>
              <w:rPr>
                <w:b/>
              </w:rPr>
              <w:t>2023 Target Annual Bonus %</w:t>
              <w:br/>
              <w:t>(as a % of Base Salary) as of</w:t>
              <w:br/>
              <w:t>January 1,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gridSpan w:val="2"/>
            <w:tcBorders/>
            <w:vAlign w:val="center"/>
          </w:tcPr>
          <w:p>
            <w:pPr>
              <w:pStyle w:val="TableContents"/>
              <w:bidi w:val="0"/>
              <w:spacing w:before="0" w:after="283"/>
              <w:jc w:val="center"/>
              <w:rPr>
                <w:b/>
              </w:rPr>
            </w:pPr>
            <w:r>
              <w:rPr>
                <w:b/>
              </w:rPr>
              <w:t>2023 Target Annual Bonus %</w:t>
              <w:br/>
              <w:t>(as a % of Base Salary) as of</w:t>
              <w:br/>
              <w:t>December 31, 2023</w:t>
            </w:r>
          </w:p>
        </w:tc>
        <w:tc>
          <w:tcPr>
            <w:tcW w:w="29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right"/>
              <w:rPr/>
            </w:pPr>
            <w:r>
              <w:rPr/>
              <w:t>150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right"/>
              <w:rPr/>
            </w:pPr>
            <w:r>
              <w:rPr/>
              <w:t>125</w:t>
            </w:r>
          </w:p>
        </w:tc>
        <w:tc>
          <w:tcPr>
            <w:tcW w:w="290"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right"/>
              <w:rPr/>
            </w:pPr>
            <w:r>
              <w:rPr/>
              <w:t>125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12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right"/>
              <w:rPr/>
            </w:pPr>
            <w:r>
              <w:rPr/>
              <w:t>80</w:t>
            </w:r>
          </w:p>
        </w:tc>
        <w:tc>
          <w:tcPr>
            <w:tcW w:w="290"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1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right"/>
              <w:rPr/>
            </w:pPr>
            <w:r>
              <w:rPr/>
              <w:t>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right"/>
              <w:rPr/>
            </w:pPr>
            <w:r>
              <w:rPr/>
              <w:t>60</w:t>
            </w:r>
          </w:p>
        </w:tc>
        <w:tc>
          <w:tcPr>
            <w:tcW w:w="29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right"/>
              <w:rPr/>
            </w:pPr>
            <w:r>
              <w:rPr/>
              <w:t>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right"/>
              <w:rPr/>
            </w:pPr>
            <w:r>
              <w:rPr/>
              <w:t>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right"/>
              <w:rPr/>
            </w:pPr>
            <w:r>
              <w:rPr/>
              <w:t>60</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2023 bonus program, our adjusted EBITDA must be positive in order for any portion based on corporate performance metrics to be earned. The criteria for paying 2023 annual bonuses is illustrated in the chart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5"/>
        <w:gridCol w:w="120"/>
        <w:gridCol w:w="141"/>
        <w:gridCol w:w="614"/>
        <w:gridCol w:w="275"/>
        <w:gridCol w:w="60"/>
        <w:gridCol w:w="128"/>
        <w:gridCol w:w="942"/>
        <w:gridCol w:w="275"/>
        <w:gridCol w:w="60"/>
        <w:gridCol w:w="85"/>
        <w:gridCol w:w="625"/>
        <w:gridCol w:w="275"/>
        <w:gridCol w:w="60"/>
        <w:gridCol w:w="128"/>
        <w:gridCol w:w="942"/>
        <w:gridCol w:w="275"/>
        <w:gridCol w:w="60"/>
        <w:gridCol w:w="79"/>
        <w:gridCol w:w="586"/>
        <w:gridCol w:w="275"/>
        <w:gridCol w:w="60"/>
        <w:gridCol w:w="137"/>
        <w:gridCol w:w="1008"/>
        <w:gridCol w:w="290"/>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2023 Bonus Metric</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br/>
              <w:t>Result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Payout</w:t>
              <w:br/>
              <w:t>Percentage</w:t>
            </w:r>
          </w:p>
        </w:tc>
        <w:tc>
          <w:tcPr>
            <w:tcW w:w="29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Fuel-neutral Adj. EBT Margin</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10.5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12.8</w:t>
            </w:r>
          </w:p>
        </w:tc>
        <w:tc>
          <w:tcPr>
            <w:tcW w:w="29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ULCC Adj. EBT Margin Ranking</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35.0</w:t>
            </w:r>
          </w:p>
        </w:tc>
        <w:tc>
          <w:tcPr>
            <w:tcW w:w="29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CASM (cents)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7.74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7.34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7.24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7.48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29.6</w:t>
            </w:r>
          </w:p>
        </w:tc>
        <w:tc>
          <w:tcPr>
            <w:tcW w:w="29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A-14 (Sched. Service)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77.0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82.0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74.2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CCF (Sched. Service)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99.0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99.5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99.9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99.6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7.3</w:t>
            </w:r>
          </w:p>
        </w:tc>
        <w:tc>
          <w:tcPr>
            <w:tcW w:w="29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Freighter Ops Performance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97.0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97.5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98.5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97.2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7.0</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and Human Resources Committee determined that the 2023 bonus metrics described above were appropriate given that each of these metrics drives key aspects of our operational and financial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Fuel-neutral Adjusted EBT Margin measures the Company’s Earnings Before Taxes margin after removing stock compensation costs and other unusual items. Additionally, fuel expense and fuel-related charter reimbursements are adjusted to reflect the price of fuel that was anticipated to be paid when the Company’s 2023 operating budget was set, rather than the actual price paid during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EBT Margin Ranking measures the Company’s Earnings Before Taxes margin after removing stock compensation costs and other unusual items, as compared to the Adjusted EBT margins of other carriers in our industry peer set. For purposes of this measurement, these peers are Allegiant, Frontier, Alaska, Hawaiian, JetBlue and Spirit airlines.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CASM measures the cost per available seat mile (“ASM”) of our passenger service business. Adjusted CASM is calculated using the total operating expenses, excluding fuel costs, non-cash management stock compensation expense, costs arising from our cargo operations, depreciation and amortization recognized on certain assets that generate lease income, certain commissions, and other costs of selling our vacations product, divided by total ASMs.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A-14 (Scheduled Service) measures the percentage of our scheduled service flights that arrive within 14 minutes of their scheduled arrival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CCF, or controllable completion factor, measures the percentage of our scheduled flights that were actually flown. This metric excludes flights that were canceled for reasons beyond our control, including cancelations due to weather, air traffic control, or other government-directed actions affecting airspace or airport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Cargo Performance measures the percentage of our cargo service flights that arrive within 15 minutes of their scheduled arrival time. This metric excludes flights that arrive later than 15 minutes late for reasons beyond our control, including but not limited to: weather, air traffic control, or government-directed actions affecting airspace or airspace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resulted in an overall payout percentage of 91.8% of the overall target award, equating to the below individual payout amounts, which amounts are reflected in the Summary Compensation Table in the “Non-Equity Incentive Plan” column: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2585"/>
        <w:gridCol w:w="120"/>
        <w:gridCol w:w="351"/>
        <w:gridCol w:w="2009"/>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b/>
              </w:rPr>
            </w:pPr>
            <w:r>
              <w:rPr>
                <w:b/>
              </w:rPr>
              <w:t>Named Executive Officer</w:t>
            </w:r>
          </w:p>
        </w:tc>
        <w:tc>
          <w:tcPr>
            <w:tcW w:w="120" w:type="dxa"/>
            <w:tcBorders/>
            <w:vAlign w:val="center"/>
          </w:tcPr>
          <w:p>
            <w:pPr>
              <w:pStyle w:val="TableContents"/>
              <w:bidi w:val="0"/>
              <w:spacing w:before="0" w:after="283"/>
              <w:jc w:val="left"/>
              <w:rPr/>
            </w:pPr>
            <w:r>
              <w:rPr/>
              <w:t>  </w:t>
            </w:r>
          </w:p>
        </w:tc>
        <w:tc>
          <w:tcPr>
            <w:tcW w:w="2360" w:type="dxa"/>
            <w:gridSpan w:val="2"/>
            <w:tcBorders/>
            <w:vAlign w:val="center"/>
          </w:tcPr>
          <w:p>
            <w:pPr>
              <w:pStyle w:val="TableContents"/>
              <w:bidi w:val="0"/>
              <w:spacing w:before="0" w:after="283"/>
              <w:jc w:val="center"/>
              <w:rPr>
                <w:b/>
              </w:rPr>
            </w:pPr>
            <w:r>
              <w:rPr>
                <w:b/>
              </w:rPr>
              <w:t>2023 Annual Bonus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670,204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443,765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289,113</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168,712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168,712</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175,538</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entering into their new employment agreements in May of 2023, Mr. Bricker and Mr. Davis each received a one-time agreement bonus of $500,000 and $300,000, respectively. These agreement bonuses were paid to Mr. Bricker and Mr. Davis in consideration for entering into their new employment agreements having terms of four years and two years, respectively. The Compensation and Human Resources Committee determined that providing these one-time agreement bonuses was appropriate given the importance of retaining Mr. Bricker and Mr. Davis. </w:t>
      </w:r>
    </w:p>
    <w:p>
      <w:pPr>
        <w:pStyle w:val="TextBody"/>
        <w:bidi w:val="0"/>
        <w:spacing w:before="240" w:after="0"/>
        <w:jc w:val="left"/>
        <w:rPr>
          <w:rFonts w:ascii="Times New Roman" w:hAnsi="Times New Roman"/>
          <w:sz w:val="20"/>
        </w:rPr>
      </w:pPr>
      <w:r>
        <w:rPr>
          <w:rFonts w:ascii="Times New Roman" w:hAnsi="Times New Roman"/>
          <w:b/>
          <w:sz w:val="20"/>
        </w:rPr>
        <w:t>Equity Compensation</w:t>
      </w:r>
      <w:r>
        <w:rPr>
          <w:rFonts w:ascii="Times New Roman" w:hAnsi="Times New Roman"/>
          <w:sz w:val="20"/>
        </w:rPr>
        <w:t xml:space="preserve">. We use equity compensation to align our executive officers’ financial interests with those of our shareholders, to attract industry leaders of the highest caliber, and to retain them for the long term. For 2023, the Compensation and Human Resources Committee approved an LTI program consisting of time-based restricted stock units (“RSUs”). Because the ultimate value realized from the vesting and settlement of RSUs is directly tied to our stock price, time-based RSUs are intended to provide both retention over a longer-term time period while also delivering direct alignment with stockholder interests. For the NEOs other than Mr. Bricker and Mr. Davis, these RSU awards were granted in January 2023. In spring of 2023 and as part of their new employment agreements, the Compensation and Human Resources Committee worked with Meridian to review and determine the appropriate value of the RSUs to be granted to Mr. Bricker and Mr. Davis in connection with a broader review of their total target annual compensation levels. </w:t>
      </w:r>
    </w:p>
    <w:p>
      <w:pPr>
        <w:pStyle w:val="TextBody"/>
        <w:bidi w:val="0"/>
        <w:spacing w:before="240" w:after="0"/>
        <w:jc w:val="left"/>
        <w:rPr>
          <w:rFonts w:ascii="Times New Roman" w:hAnsi="Times New Roman"/>
          <w:sz w:val="20"/>
        </w:rPr>
      </w:pPr>
      <w:r>
        <w:rPr>
          <w:rFonts w:ascii="Times New Roman" w:hAnsi="Times New Roman"/>
          <w:sz w:val="20"/>
        </w:rPr>
        <w:t xml:space="preserve">During 2023, the Compensation and Human Resources Committee granted RSUs to the NEOs having the grant date values shown in the table below: </w:t>
      </w:r>
    </w:p>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2585"/>
        <w:gridCol w:w="120"/>
        <w:gridCol w:w="358"/>
        <w:gridCol w:w="2512"/>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283"/>
              <w:jc w:val="left"/>
              <w:rPr>
                <w:b/>
              </w:rPr>
            </w:pPr>
            <w:r>
              <w:rPr>
                <w:b/>
              </w:rPr>
              <w:t>Named Executive Officer</w:t>
            </w:r>
          </w:p>
        </w:tc>
        <w:tc>
          <w:tcPr>
            <w:tcW w:w="120" w:type="dxa"/>
            <w:tcBorders/>
            <w:vAlign w:val="center"/>
          </w:tcPr>
          <w:p>
            <w:pPr>
              <w:pStyle w:val="TableContents"/>
              <w:bidi w:val="0"/>
              <w:spacing w:before="0" w:after="283"/>
              <w:jc w:val="left"/>
              <w:rPr/>
            </w:pPr>
            <w:r>
              <w:rPr/>
              <w:t>  </w:t>
            </w:r>
          </w:p>
        </w:tc>
        <w:tc>
          <w:tcPr>
            <w:tcW w:w="2870" w:type="dxa"/>
            <w:gridSpan w:val="2"/>
            <w:tcBorders/>
            <w:vAlign w:val="center"/>
          </w:tcPr>
          <w:p>
            <w:pPr>
              <w:pStyle w:val="TableContents"/>
              <w:bidi w:val="0"/>
              <w:spacing w:before="0" w:after="283"/>
              <w:jc w:val="center"/>
              <w:rPr>
                <w:b/>
              </w:rPr>
            </w:pPr>
            <w:r>
              <w:rPr>
                <w:b/>
              </w:rPr>
              <w:t>Grant Award Value of 2023</w:t>
              <w:br/>
              <w:t>LTI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2512" w:type="dxa"/>
            <w:tcBorders/>
            <w:shd w:fill="CCEEFF" w:val="clear"/>
            <w:vAlign w:val="center"/>
          </w:tcPr>
          <w:p>
            <w:pPr>
              <w:pStyle w:val="TableContents"/>
              <w:bidi w:val="0"/>
              <w:spacing w:before="0" w:after="283"/>
              <w:jc w:val="right"/>
              <w:rPr/>
            </w:pPr>
            <w:r>
              <w:rPr/>
              <w:t>1,500,000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2512" w:type="dxa"/>
            <w:tcBorders/>
            <w:vAlign w:val="center"/>
          </w:tcPr>
          <w:p>
            <w:pPr>
              <w:pStyle w:val="TableContents"/>
              <w:bidi w:val="0"/>
              <w:spacing w:before="0" w:after="283"/>
              <w:jc w:val="right"/>
              <w:rPr/>
            </w:pPr>
            <w:r>
              <w:rPr/>
              <w:t>370,000</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2512" w:type="dxa"/>
            <w:tcBorders/>
            <w:shd w:fill="CCEEFF" w:val="clear"/>
            <w:vAlign w:val="center"/>
          </w:tcPr>
          <w:p>
            <w:pPr>
              <w:pStyle w:val="TableContents"/>
              <w:bidi w:val="0"/>
              <w:spacing w:before="0" w:after="283"/>
              <w:jc w:val="right"/>
              <w:rPr/>
            </w:pPr>
            <w:r>
              <w:rPr/>
              <w:t>387,500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2512" w:type="dxa"/>
            <w:tcBorders/>
            <w:vAlign w:val="center"/>
          </w:tcPr>
          <w:p>
            <w:pPr>
              <w:pStyle w:val="TableContents"/>
              <w:bidi w:val="0"/>
              <w:spacing w:before="0" w:after="283"/>
              <w:jc w:val="right"/>
              <w:rPr/>
            </w:pPr>
            <w:r>
              <w:rPr/>
              <w:t>172,500</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2512" w:type="dxa"/>
            <w:tcBorders/>
            <w:shd w:fill="CCEEFF" w:val="clear"/>
            <w:vAlign w:val="center"/>
          </w:tcPr>
          <w:p>
            <w:pPr>
              <w:pStyle w:val="TableContents"/>
              <w:bidi w:val="0"/>
              <w:spacing w:before="0" w:after="283"/>
              <w:jc w:val="right"/>
              <w:rPr/>
            </w:pPr>
            <w:r>
              <w:rPr/>
              <w:t>172,500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2512" w:type="dxa"/>
            <w:tcBorders/>
            <w:vAlign w:val="center"/>
          </w:tcPr>
          <w:p>
            <w:pPr>
              <w:pStyle w:val="TableContents"/>
              <w:bidi w:val="0"/>
              <w:spacing w:before="0" w:after="283"/>
              <w:jc w:val="right"/>
              <w:rPr/>
            </w:pPr>
            <w:r>
              <w:rPr/>
              <w:t>172,500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RSUs vest over three years on a quarterly vesting schedule, subject to continued employment on the applicable vesting dates.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Performance-Based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Prior to our initial public offering, certain of our NEOs were granted performance-based stock options which were subject to vesting based on achievement of certain multiples of invested capital of our former major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private equity holder, as measured on certain dates/events. At the beginning of 2023, a portion of these performance-based stock options had not yet been earned, and therefore continued to serve as a performance-based equity incentive tool, ensuring ongoing alignment of the NEOs’ compensation opportunities with Company performance/stock price. During 2023, all of these performance-based options became fully vested in accordance with the terms of the applicable award agreements. Given these awards have now been fully earned, the Compensation and Human Resources Committee will continue to review our LTI program to ensure that the interests of the executive officers are aligned with those of our shareholders through the use of new LTI vehicles that are designed to focus on increased shareholder value, retention and pay-for-performance metrics that are consistent with the Company’s strategy to align with the market practices of our peers and other mature, steady-state public companies, as described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2024 Compensation Decisions – Continued Focus on Performance-Based Equity Awards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2024, the Compensation and Human Resources Committee approved a 2024 LTI program consisting of both RSUs and performance-based restricted stock units (“PSUs”). The introduction of PSUs to the LTI program reflects the Compensation and Human Resources Committee’s intention to continuously update our existing compensation programs to reflect the growth of our business and continued transition from a majority-held Company to a more mature organization. For time-based RSUs granted to our executive officers in 2024, the Compensation and Human Resources Committee approved a three-year annual vesting schedule to align with the practices of more steady-state publicly traded companies. For the 2024 PSUs, the Compensation and Human Resources Committee approved the following performance metrics: Adjusted EPS (weighted at 50%) and Relative Pretax Margin (weighted at 50%). Mr. Bricker and Mr. Davis received 60% of their 2024 LTI grant in the form of PSUs and 40% in the form of time-based RSUs, while the other NEOs received 25% in the form of PSUs and 75% of their 2024 LTI grants in the form of time-based RSUs. The Compensation and Human Resources Committee also approved a “phase in” schedule for future PSU awards for executive officers (other than Mr. Bricker and Mr. Davis, who will continue to receive at least a 60%/40% split) which would provide that such executive officers’ LTI award for 2025 would be 37% in the form of PSUs and 63% in the form of time-based RSUs, with a split of 50%/50% being phased in by 2026.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AND OTHER BENEFITS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participate in the same ongoing retirement plans as our other employees generally, including a defined contribution plan. The Company also provides a cell phone allowance in certain circumstances, and contributes to life insurance and health savings accounts for the named executive officers. Our named executive officers are also entitled to receive flight benefits under our Universal Air Travel Plan (“ATP”). Under the ATP, certain executives, including our NEOs, receive an annual dollar value that they may use for personal travel on our flights for themselves and certain qualifying friends and family. Each one-way flight taken is valued at $75. As the ATP benefit utilized by the executive is taxable income to the NEOs, the Company pays such taxes on a grossed-up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EXECUTIVE COMPENSATION TABLES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compensation paid or awarded to our named executive officers, or NEOs, by the Company and its affiliates for services rendered in all capacities to the Company and its affiliates in fiscal years 2021, 2022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7"/>
        <w:gridCol w:w="120"/>
        <w:gridCol w:w="60"/>
        <w:gridCol w:w="500"/>
        <w:gridCol w:w="60"/>
        <w:gridCol w:w="120"/>
        <w:gridCol w:w="920"/>
        <w:gridCol w:w="120"/>
        <w:gridCol w:w="920"/>
        <w:gridCol w:w="120"/>
        <w:gridCol w:w="1142"/>
        <w:gridCol w:w="60"/>
        <w:gridCol w:w="1220"/>
        <w:gridCol w:w="120"/>
        <w:gridCol w:w="1490"/>
        <w:gridCol w:w="120"/>
        <w:gridCol w:w="1116"/>
      </w:tblGrid>
      <w:tr>
        <w:trPr/>
        <w:tc>
          <w:tcPr>
            <w:tcW w:w="19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12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pPr>
            <w:r>
              <w:rPr>
                <w:b/>
              </w:rPr>
              <w:t>Bonus</w:t>
            </w:r>
            <w:r>
              <w:rPr/>
              <w:br/>
            </w:r>
            <w:r>
              <w:rPr>
                <w:b/>
              </w:rPr>
              <w:t>($)(1)</w:t>
            </w:r>
          </w:p>
        </w:tc>
        <w:tc>
          <w:tcPr>
            <w:tcW w:w="120" w:type="dxa"/>
            <w:tcBorders/>
            <w:vAlign w:val="center"/>
          </w:tcPr>
          <w:p>
            <w:pPr>
              <w:pStyle w:val="TableContents"/>
              <w:bidi w:val="0"/>
              <w:spacing w:before="0" w:after="283"/>
              <w:jc w:val="left"/>
              <w:rPr/>
            </w:pPr>
            <w:r>
              <w:rPr/>
              <w:t>  </w:t>
            </w:r>
          </w:p>
        </w:tc>
        <w:tc>
          <w:tcPr>
            <w:tcW w:w="1142" w:type="dxa"/>
            <w:tcBorders>
              <w:bottom w:val="single" w:sz="8" w:space="0" w:color="000000"/>
            </w:tcBorders>
            <w:tcMar>
              <w:bottom w:w="28" w:type="dxa"/>
            </w:tcMar>
            <w:vAlign w:val="center"/>
          </w:tcPr>
          <w:p>
            <w:pPr>
              <w:pStyle w:val="TableContents"/>
              <w:bidi w:val="0"/>
              <w:spacing w:before="0" w:after="283"/>
              <w:jc w:val="center"/>
              <w:rPr/>
            </w:pPr>
            <w:r>
              <w:rPr>
                <w:b/>
              </w:rPr>
              <w:t>Stock</w:t>
              <w:br/>
              <w:t>Awards</w:t>
            </w:r>
            <w:r>
              <w:rPr/>
              <w:br/>
            </w:r>
            <w:r>
              <w:rPr>
                <w:b/>
              </w:rPr>
              <w:t>($)(2)</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w:t>
              <w:br/>
              <w:t>Plan(3)</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($)(4)</w:t>
            </w:r>
          </w:p>
        </w:tc>
        <w:tc>
          <w:tcPr>
            <w:tcW w:w="120" w:type="dxa"/>
            <w:tcBorders/>
            <w:vAlign w:val="center"/>
          </w:tcPr>
          <w:p>
            <w:pPr>
              <w:pStyle w:val="TableContents"/>
              <w:bidi w:val="0"/>
              <w:spacing w:before="0" w:after="283"/>
              <w:jc w:val="left"/>
              <w:rPr/>
            </w:pPr>
            <w:r>
              <w:rPr/>
              <w:t>  </w:t>
            </w:r>
          </w:p>
        </w:tc>
        <w:tc>
          <w:tcPr>
            <w:tcW w:w="1116" w:type="dxa"/>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r>
      <w:tr>
        <w:trPr/>
        <w:tc>
          <w:tcPr>
            <w:tcW w:w="199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Jude Bricker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$546,875</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$500,000</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$1,500,000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$670,204</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$32,727</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$3,249,806</w:t>
            </w:r>
          </w:p>
        </w:tc>
      </w:tr>
      <w:tr>
        <w:trPr/>
        <w:tc>
          <w:tcPr>
            <w:tcW w:w="199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$280,208</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$492,195(5)</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$21,417</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$793,820</w:t>
            </w:r>
          </w:p>
        </w:tc>
      </w:tr>
      <w:tr>
        <w:trPr/>
        <w:tc>
          <w:tcPr>
            <w:tcW w:w="199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$200,000</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$345,500</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$21,592</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$567,092</w:t>
            </w:r>
          </w:p>
        </w:tc>
      </w:tr>
      <w:tr>
        <w:trPr/>
        <w:tc>
          <w:tcPr>
            <w:tcW w:w="1997"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Dave Davis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$447,500</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$300,000</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$370,000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$443,765</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$21,104</w:t>
            </w:r>
          </w:p>
        </w:tc>
        <w:tc>
          <w:tcPr>
            <w:tcW w:w="12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center"/>
              <w:rPr/>
            </w:pPr>
            <w:r>
              <w:rPr/>
              <w:t>$1,582,369</w:t>
            </w:r>
          </w:p>
        </w:tc>
      </w:tr>
      <w:tr>
        <w:trPr/>
        <w:tc>
          <w:tcPr>
            <w:tcW w:w="1997"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President and 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$360,000</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$148,500</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$337,504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$16,564</w:t>
            </w:r>
          </w:p>
        </w:tc>
        <w:tc>
          <w:tcPr>
            <w:tcW w:w="12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center"/>
              <w:rPr/>
            </w:pPr>
            <w:r>
              <w:rPr/>
              <w:t>$862,568</w:t>
            </w:r>
          </w:p>
        </w:tc>
      </w:tr>
      <w:tr>
        <w:trPr/>
        <w:tc>
          <w:tcPr>
            <w:tcW w:w="1997"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$360,000</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$315,314</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$16,492</w:t>
            </w:r>
          </w:p>
        </w:tc>
        <w:tc>
          <w:tcPr>
            <w:tcW w:w="12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center"/>
              <w:rPr/>
            </w:pPr>
            <w:r>
              <w:rPr/>
              <w:t>$691,806</w:t>
            </w:r>
          </w:p>
        </w:tc>
      </w:tr>
      <w:tr>
        <w:trPr/>
        <w:tc>
          <w:tcPr>
            <w:tcW w:w="1997"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r>
      <w:tr>
        <w:trPr/>
        <w:tc>
          <w:tcPr>
            <w:tcW w:w="199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Gregory Mays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$351,250</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$387,500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$289,113</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$23,854</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$1,051,717</w:t>
            </w:r>
          </w:p>
        </w:tc>
      </w:tr>
      <w:tr>
        <w:trPr/>
        <w:tc>
          <w:tcPr>
            <w:tcW w:w="199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Operating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$304,583</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$192,150</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$193,770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$18,609</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$709,111</w:t>
            </w:r>
          </w:p>
        </w:tc>
      </w:tr>
      <w:tr>
        <w:trPr/>
        <w:tc>
          <w:tcPr>
            <w:tcW w:w="199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$300,000</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$262,500</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$20,389</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$582,889</w:t>
            </w:r>
          </w:p>
        </w:tc>
      </w:tr>
      <w:tr>
        <w:trPr/>
        <w:tc>
          <w:tcPr>
            <w:tcW w:w="1997"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Eric Levenhagen</w:t>
            </w:r>
          </w:p>
          <w:p>
            <w:pPr>
              <w:pStyle w:val="TableContents"/>
              <w:bidi w:val="0"/>
              <w:spacing w:before="0" w:after="20"/>
              <w:jc w:val="left"/>
              <w:rPr>
                <w:rFonts w:ascii="Times New Roman" w:hAnsi="Times New Roman"/>
                <w:sz w:val="20"/>
              </w:rPr>
            </w:pPr>
            <w:r>
              <w:rPr>
                <w:rFonts w:ascii="Times New Roman" w:hAnsi="Times New Roman"/>
                <w:sz w:val="20"/>
              </w:rPr>
              <w:t>SVP and Human Resources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$273,542</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$172,500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$168,712</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$20,842</w:t>
            </w:r>
          </w:p>
        </w:tc>
        <w:tc>
          <w:tcPr>
            <w:tcW w:w="12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center"/>
              <w:rPr/>
            </w:pPr>
            <w:r>
              <w:rPr/>
              <w:t>$635,596</w:t>
            </w:r>
          </w:p>
        </w:tc>
      </w:tr>
      <w:tr>
        <w:trPr/>
        <w:tc>
          <w:tcPr>
            <w:tcW w:w="1997"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r>
      <w:tr>
        <w:trPr/>
        <w:tc>
          <w:tcPr>
            <w:tcW w:w="199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Rose Neale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$273,542</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$172,500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$168,712</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$16,690</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$631,444</w:t>
            </w:r>
          </w:p>
        </w:tc>
      </w:tr>
      <w:tr>
        <w:trPr/>
        <w:tc>
          <w:tcPr>
            <w:tcW w:w="199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Counsel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$213,125</w:t>
            </w:r>
          </w:p>
        </w:tc>
        <w:tc>
          <w:tcPr>
            <w:tcW w:w="12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$101,588</w:t>
            </w:r>
          </w:p>
        </w:tc>
        <w:tc>
          <w:tcPr>
            <w:tcW w:w="12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center"/>
              <w:rPr/>
            </w:pPr>
            <w:r>
              <w:rPr/>
              <w:t>$400,000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$8,759</w:t>
            </w:r>
          </w:p>
        </w:tc>
        <w:tc>
          <w:tcPr>
            <w:tcW w:w="12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center"/>
              <w:rPr/>
            </w:pPr>
            <w:r>
              <w:rPr/>
              <w:t>$723,472</w:t>
            </w:r>
          </w:p>
        </w:tc>
      </w:tr>
      <w:tr>
        <w:trPr/>
        <w:tc>
          <w:tcPr>
            <w:tcW w:w="1997"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Grant Whitney</w:t>
            </w:r>
          </w:p>
          <w:p>
            <w:pPr>
              <w:pStyle w:val="TableContents"/>
              <w:bidi w:val="0"/>
              <w:spacing w:before="0" w:after="20"/>
              <w:jc w:val="left"/>
              <w:rPr>
                <w:rFonts w:ascii="Times New Roman" w:hAnsi="Times New Roman"/>
                <w:sz w:val="20"/>
              </w:rPr>
            </w:pPr>
            <w:r>
              <w:rPr>
                <w:rFonts w:ascii="Times New Roman" w:hAnsi="Times New Roman"/>
                <w:sz w:val="20"/>
              </w:rPr>
              <w:t>SVP and Chief Revenue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$281,875</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center"/>
              <w:rPr/>
            </w:pPr>
            <w:r>
              <w:rPr/>
              <w:t>$172,500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$175,538</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$15,479</w:t>
            </w:r>
          </w:p>
        </w:tc>
        <w:tc>
          <w:tcPr>
            <w:tcW w:w="12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center"/>
              <w:rPr/>
            </w:pPr>
            <w:r>
              <w:rPr/>
              <w:t>$645,392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Messrs. Bricker and Davis, the amounts shown in this column for 2023 reflect a one-time agreement bonus paid in connection with the entry into their respective employment agreements in May of 2023, of $500,000 and $300,000, respectively. Amounts for fiscal year 2022 for all NEOs reflect discretionary annual cash bonuses for performance for fiscal year 2022. </w:t>
            </w:r>
          </w:p>
        </w:tc>
      </w:tr>
    </w:tbl>
    <w:p>
      <w:pPr>
        <w:pStyle w:val="TextBody"/>
        <w:bidi w:val="0"/>
        <w:spacing w:before="0" w:after="0"/>
        <w:jc w:val="left"/>
        <w:rPr>
          <w:rFonts w:ascii="Times New Roman" w:hAnsi="Times New Roman"/>
          <w:sz w:val="20"/>
        </w:rPr>
      </w:pPr>
      <w:r>
        <w:rPr>
          <w:rFonts w:ascii="Times New Roman" w:hAnsi="Times New Roman"/>
          <w:sz w:val="20"/>
        </w:rPr>
        <w:t xml:space="preserve">Amounts for fiscal year 2021 reflect (i) for Mr. Bricker, a discretionary annual cash bonus of $245,500 for performance for fiscal year 2021 and a one-time special performance bonus of $100,000, and (ii) for Messrs. Davis and Mays, a discretionary annual cash bonus for performance for fiscal year 2021.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reflect the grant date fair value of restricted stock units granted to our NEOs in the applicable fiscal year, calculated in accordance with FASB ASC Topic 718. For additional information on the valuation assumptions regarding the stock awards, refer to Note 10 to our audited consolidated financial statements for the year ended December 31, 2023, which are included in our Annual Report on Form 10-K for the fiscal year ended December 31, 2023 filed with the SEC.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for 2023 reflect the annual bonus amounts earned pursuant to the Company’s annual cash bonus program for 2023, based on achievement of the applicable performance metrics. These amounts are being reported as Non-Equity Incentive Plan compensation in order to reflect that the bonus amounts earned are based on formulaic performance metrics.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of our NEOs, the amounts under “All Other Compensation” for fiscal year 2023 represent the Company’s contributions in respect of life insurance and our 401(k) Plan ($14,407 for Mr. Bricker, $13,229 for Messrs. Davis and Mays, $12,984 for Mr. Whitney, $12,601 for Ms. Neale and $13,472 for Mr. Levenhagen), annual cell phone allowance ($720 for Messrs. Bricker, Davis, Mays, Whitney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Levenhagen, and $180 for Ms. Neale), and the Company’s contributions in respect of health savings accounts ($500 for all NEOs) and flight benefits under our ATP. Under the ATP, certain executives, including our NEOs, receive an annual dollar value that they may use for personal travel on our flights for themselves and certain qualifying friends and family. Each one-way flight taken is valued at $75. For fiscal 2023, each NEO utilized a travel bank under the ATP ($17,100 for Mr. Bricker, $3,300 for Mr. Davis, $4,875 for Mr. Mays, $1,275 for Mr. Whitney, $1,425 for Ms. Neale and $6,150 for Mr. Levenhagen). The ATP benefit utilized by the executive is taxable income to the NEOs and the Company pays such taxes on a grossed up basis, and the amounts referred to in the prior sentence include the amount of any such gross up paid.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granted 24,258 restricted stock units to Jude Bricker on June 9, 2022, with a grant date fair value equal to $492,195. Based on Treasury and SEC guidance, the grant inadvertently caused Mr. Bricker’s total compensation for fiscal year 2022 to temporarily exceed certain compensation restrictions applicable to the Company in connection with the Coronavirus Aid, Relief and Economic Security Act (“CARES Act”) by $318,710. Once this was identified, in January 2023, Mr. Bricker voluntarily rescinded the unvested portion of the grant that caused the compensation to exceed the CARES Act limit. Because the original equity grant was a grant on paper only, it did not result in Mr. Bricker receiving cash benefits in excess of his relevant total compensation threshold, and, as noted here, the excess amount was related to a portion of the equity award grant which had not yet vested and was subsequently rescinded.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2023 Grants of Plan-Based Equity Awards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for each of the named executive officers, information concerning each grant of an equity award made during the year ended December 31, 2023. This information supplements the information about these awards set forth in the Summary Compensation Table. </w:t>
      </w:r>
    </w:p>
    <w:p>
      <w:pPr>
        <w:pStyle w:val="TextBody"/>
        <w:bidi w:val="0"/>
        <w:spacing w:before="0" w:after="0"/>
        <w:jc w:val="left"/>
        <w:rPr/>
      </w:pPr>
      <w:r>
        <w:rPr/>
        <w:t> </w:t>
      </w:r>
    </w:p>
    <w:tbl>
      <w:tblPr>
        <w:tblW w:w="6889" w:type="dxa"/>
        <w:jc w:val="left"/>
        <w:tblInd w:w="0" w:type="dxa"/>
        <w:tblLayout w:type="fixed"/>
        <w:tblCellMar>
          <w:top w:w="0" w:type="dxa"/>
          <w:left w:w="0" w:type="dxa"/>
          <w:bottom w:w="0" w:type="dxa"/>
          <w:right w:w="0" w:type="dxa"/>
        </w:tblCellMar>
      </w:tblPr>
      <w:tblGrid>
        <w:gridCol w:w="1415"/>
        <w:gridCol w:w="120"/>
        <w:gridCol w:w="60"/>
        <w:gridCol w:w="1114"/>
        <w:gridCol w:w="60"/>
        <w:gridCol w:w="120"/>
        <w:gridCol w:w="168"/>
        <w:gridCol w:w="1907"/>
        <w:gridCol w:w="60"/>
        <w:gridCol w:w="120"/>
        <w:gridCol w:w="96"/>
        <w:gridCol w:w="1574"/>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 Stock</w:t>
              <w:br/>
              <w:t>Awards: Number of</w:t>
              <w:br/>
              <w:t>Shares of Stock or</w:t>
              <w:br/>
              <w:t>Units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 Fair</w:t>
              <w:br/>
              <w:t>Value of Stock</w:t>
              <w:br/>
              <w:t>Awards</w:t>
              <w:br/>
              <w:t>($)(2)</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05/08/2023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pPr>
            <w:r>
              <w:rPr/>
              <w:t>83,057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1,500,000</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05/08/2023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907" w:type="dxa"/>
            <w:tcBorders/>
            <w:vAlign w:val="center"/>
          </w:tcPr>
          <w:p>
            <w:pPr>
              <w:pStyle w:val="TableContents"/>
              <w:bidi w:val="0"/>
              <w:spacing w:before="0" w:after="283"/>
              <w:jc w:val="right"/>
              <w:rPr/>
            </w:pPr>
            <w:r>
              <w:rPr/>
              <w:t>20,488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370,000</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01/03/2023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pPr>
            <w:r>
              <w:rPr/>
              <w:t>24,326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387,500</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01/03/2023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907" w:type="dxa"/>
            <w:tcBorders/>
            <w:vAlign w:val="center"/>
          </w:tcPr>
          <w:p>
            <w:pPr>
              <w:pStyle w:val="TableContents"/>
              <w:bidi w:val="0"/>
              <w:spacing w:before="0" w:after="283"/>
              <w:jc w:val="right"/>
              <w:rPr/>
            </w:pPr>
            <w:r>
              <w:rPr/>
              <w:t>10,829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172,500</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01/03/2023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pPr>
            <w:r>
              <w:rPr/>
              <w:t>10,829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172,500</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01/03/2023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907" w:type="dxa"/>
            <w:tcBorders/>
            <w:vAlign w:val="center"/>
          </w:tcPr>
          <w:p>
            <w:pPr>
              <w:pStyle w:val="TableContents"/>
              <w:bidi w:val="0"/>
              <w:spacing w:before="0" w:after="283"/>
              <w:jc w:val="right"/>
              <w:rPr/>
            </w:pPr>
            <w:r>
              <w:rPr/>
              <w:t>10,829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172,500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RSUs granted during fiscal year 2023. RSUs vest based on the continued service of the NEO through the applicable vesting dates. See the footnotes to the 2023 Outstanding Equity Awards at Fiscal Year-End Table for more information regarding the applicable vesting schedules.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grant date fair value of RSUs granted to our NEOs in the applicable fiscal year, calculated in accordance with FASB ASC Topic 718. For additional information on the valuation assumptions regarding the stock awards, refer to Note 10 to our audited consolidated financial statements for the year ended December 31, 2023, which are included in our Annual Report on Form 10-K for the fiscal year ended December 31, 2023, filed with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2023 Outstanding Equity Awards at Fiscal Year-End Table </w:t>
      </w:r>
    </w:p>
    <w:p>
      <w:pPr>
        <w:pStyle w:val="TextBody"/>
        <w:bidi w:val="0"/>
        <w:spacing w:before="0" w:after="0"/>
        <w:jc w:val="left"/>
        <w:rPr/>
      </w:pPr>
      <w:r>
        <w:rPr/>
        <w:t> </w:t>
      </w:r>
    </w:p>
    <w:tbl>
      <w:tblPr>
        <w:tblW w:w="11790" w:type="dxa"/>
        <w:jc w:val="left"/>
        <w:tblInd w:w="0" w:type="dxa"/>
        <w:tblLayout w:type="fixed"/>
        <w:tblCellMar>
          <w:top w:w="0" w:type="dxa"/>
          <w:left w:w="0" w:type="dxa"/>
          <w:bottom w:w="0" w:type="dxa"/>
          <w:right w:w="0" w:type="dxa"/>
        </w:tblCellMar>
      </w:tblPr>
      <w:tblGrid>
        <w:gridCol w:w="1040"/>
        <w:gridCol w:w="60"/>
        <w:gridCol w:w="72"/>
        <w:gridCol w:w="1193"/>
        <w:gridCol w:w="60"/>
        <w:gridCol w:w="60"/>
        <w:gridCol w:w="270"/>
        <w:gridCol w:w="1175"/>
        <w:gridCol w:w="60"/>
        <w:gridCol w:w="60"/>
        <w:gridCol w:w="276"/>
        <w:gridCol w:w="1199"/>
        <w:gridCol w:w="60"/>
        <w:gridCol w:w="60"/>
        <w:gridCol w:w="292"/>
        <w:gridCol w:w="1168"/>
        <w:gridCol w:w="60"/>
        <w:gridCol w:w="60"/>
        <w:gridCol w:w="60"/>
        <w:gridCol w:w="1055"/>
        <w:gridCol w:w="60"/>
        <w:gridCol w:w="60"/>
        <w:gridCol w:w="124"/>
        <w:gridCol w:w="1411"/>
        <w:gridCol w:w="215"/>
        <w:gridCol w:w="60"/>
        <w:gridCol w:w="100"/>
        <w:gridCol w:w="1345"/>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 Plan</w:t>
              <w:br/>
              <w:t>Awards:</w:t>
              <w:br/>
              <w:t>Number of</w:t>
              <w:br/>
              <w:t>Securities</w:t>
              <w:br/>
              <w:t>Underlying</w:t>
              <w:br/>
              <w:t>Unexercised</w:t>
              <w:br/>
              <w:t>Unearned</w:t>
              <w:br/>
              <w:t>Options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 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w:t>
              <w:br/>
              <w:t>That Have Not</w:t>
              <w:br/>
              <w:t>Vested</w:t>
              <w:br/>
              <w:t>(#)(2)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Value</w:t>
              <w:br/>
              <w:t>of Shares or</w:t>
              <w:br/>
              <w:t>Units of Stock</w:t>
              <w:br/>
              <w:t>That Have</w:t>
              <w:br/>
              <w:t>Not Vested</w:t>
              <w:br/>
              <w:t>($)(5)</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1,411,492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11/21/2028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55,370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870,970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458,627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5.30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4/17/2029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9,702</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152,612</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121,406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15.17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11/19/2029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15,365</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241,691</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537,342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5,570</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87,616</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18,243</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286,962</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2,478</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38,979</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8,120</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127,728</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20,150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07/27/2031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11,500</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180,895</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8,120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127,728</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212,526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5.30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7/31/2029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2,695</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42,392</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8,120</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127,728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Options were originally granted as options to purchase SCA common stock and were converted into options to purchase common stock in connection with the Reorganization Transactions. Reflects time-based and performance-based options previously granted that were fully vested as of December 31, 2023.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NEOs were granted RSUs on June 9, 2022, which vest in 12 quarterly installments on the last day of each calendar quarter following the vesting commencement date (i.e., the last day of the first full calendar quarter following June 9, 2022), subject to the NEO’s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Mr. Bricker and Davis were granted RSUs on May 8, 2023. For Mr. Bricker, three twelfths (3/12th) of the award vested on June 30, 2023, and the remaining nine twelfths (9/12th) of the award will vest ratably over the subsequent nine (9) calendar quarters, subject to Mr. Bricker’s continued employment through the applicable vesting date. For Mr. Davis, two twelfths (2/12th) of the award vested on June 30, 2023, and the remaining ten twelfths (10/12th) of the award will vest ratably over the subsequent ten (10) calendar quarters, subject to Mr. Davis’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NEOs, other than Mr. Bricker and Davis, were granted RSUs on January 3, 2023, which vest in 12 quarterly installments on the last day of each calendar quarter following the vesting commencement date (i.e., the last day of the first full calendar quarter following January 6, 2023), subject to the NEO’s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this column are determined by multiplying the number of shares or units reported in the “Number of Shares or Units That Have Not Vested” column by $15.73, the closing price of our common stock on December 29, 2023 (the last trading day of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2023 Option Exercises and Stock Vested Table </w:t>
      </w:r>
    </w:p>
    <w:p>
      <w:pPr>
        <w:pStyle w:val="TextBody"/>
        <w:bidi w:val="0"/>
        <w:spacing w:before="0" w:after="0"/>
        <w:jc w:val="left"/>
        <w:rPr/>
      </w:pPr>
      <w:r>
        <w:rPr/>
        <w:t> </w:t>
      </w:r>
    </w:p>
    <w:tbl>
      <w:tblPr>
        <w:tblW w:w="12295" w:type="dxa"/>
        <w:jc w:val="left"/>
        <w:tblInd w:w="0" w:type="dxa"/>
        <w:tblLayout w:type="fixed"/>
        <w:tblCellMar>
          <w:top w:w="0" w:type="dxa"/>
          <w:left w:w="0" w:type="dxa"/>
          <w:bottom w:w="0" w:type="dxa"/>
          <w:right w:w="0" w:type="dxa"/>
        </w:tblCellMar>
      </w:tblPr>
      <w:tblGrid>
        <w:gridCol w:w="1040"/>
        <w:gridCol w:w="60"/>
        <w:gridCol w:w="202"/>
        <w:gridCol w:w="2698"/>
        <w:gridCol w:w="60"/>
        <w:gridCol w:w="60"/>
        <w:gridCol w:w="160"/>
        <w:gridCol w:w="2620"/>
        <w:gridCol w:w="60"/>
        <w:gridCol w:w="60"/>
        <w:gridCol w:w="260"/>
        <w:gridCol w:w="2955"/>
        <w:gridCol w:w="60"/>
        <w:gridCol w:w="60"/>
        <w:gridCol w:w="130"/>
        <w:gridCol w:w="1735"/>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60" w:type="dxa"/>
            <w:tcBorders/>
            <w:vAlign w:val="center"/>
          </w:tcPr>
          <w:p>
            <w:pPr>
              <w:pStyle w:val="TableContents"/>
              <w:bidi w:val="0"/>
              <w:spacing w:before="0" w:after="283"/>
              <w:jc w:val="left"/>
              <w:rPr/>
            </w:pPr>
            <w:r>
              <w:rPr/>
              <w:t> </w:t>
            </w:r>
          </w:p>
        </w:tc>
        <w:tc>
          <w:tcPr>
            <w:tcW w:w="29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Acquired</w:t>
              <w:br/>
              <w:t>on Exercise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Realized on Exercise</w:t>
              <w:br/>
              <w:t>Date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Acquired on</w:t>
              <w:br/>
              <w:t>Vesting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Realized on</w:t>
              <w:br/>
              <w:t>Vesting ($)(2)</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2698" w:type="dxa"/>
            <w:tcBorders/>
            <w:shd w:fill="CCEEFF" w:val="clear"/>
            <w:vAlign w:val="center"/>
          </w:tcPr>
          <w:p>
            <w:pPr>
              <w:pStyle w:val="TableContents"/>
              <w:bidi w:val="0"/>
              <w:spacing w:before="0" w:after="283"/>
              <w:jc w:val="right"/>
              <w:rPr/>
            </w:pPr>
            <w:r>
              <w:rPr/>
              <w:t>37,787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2620" w:type="dxa"/>
            <w:tcBorders/>
            <w:shd w:fill="CCEEFF" w:val="clear"/>
            <w:vAlign w:val="center"/>
          </w:tcPr>
          <w:p>
            <w:pPr>
              <w:pStyle w:val="TableContents"/>
              <w:bidi w:val="0"/>
              <w:spacing w:before="0" w:after="283"/>
              <w:jc w:val="right"/>
              <w:rPr/>
            </w:pPr>
            <w:r>
              <w:rPr/>
              <w:t>683,776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955" w:type="dxa"/>
            <w:tcBorders/>
            <w:shd w:fill="CCEEFF" w:val="clear"/>
            <w:vAlign w:val="center"/>
          </w:tcPr>
          <w:p>
            <w:pPr>
              <w:pStyle w:val="TableContents"/>
              <w:bidi w:val="0"/>
              <w:spacing w:before="0" w:after="283"/>
              <w:jc w:val="right"/>
              <w:rPr/>
            </w:pPr>
            <w:r>
              <w:rPr/>
              <w:t>29,709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598,892</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6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right"/>
              <w:rPr/>
            </w:pPr>
            <w:r>
              <w:rPr/>
              <w:t>10,668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203,081</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26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2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955" w:type="dxa"/>
            <w:tcBorders/>
            <w:shd w:fill="CCEEFF" w:val="clear"/>
            <w:vAlign w:val="center"/>
          </w:tcPr>
          <w:p>
            <w:pPr>
              <w:pStyle w:val="TableContents"/>
              <w:bidi w:val="0"/>
              <w:spacing w:before="0" w:after="283"/>
              <w:jc w:val="right"/>
              <w:rPr/>
            </w:pPr>
            <w:r>
              <w:rPr/>
              <w:t>9,267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174,792</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right"/>
              <w:rPr/>
            </w:pPr>
            <w:r>
              <w:rPr/>
              <w:t>133,838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620" w:type="dxa"/>
            <w:tcBorders/>
            <w:vAlign w:val="center"/>
          </w:tcPr>
          <w:p>
            <w:pPr>
              <w:pStyle w:val="TableContents"/>
              <w:bidi w:val="0"/>
              <w:spacing w:before="0" w:after="283"/>
              <w:jc w:val="right"/>
              <w:rPr/>
            </w:pPr>
            <w:r>
              <w:rPr/>
              <w:t>1,988,124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right"/>
              <w:rPr/>
            </w:pPr>
            <w:r>
              <w:rPr/>
              <w:t>4,127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77,840</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26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2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955" w:type="dxa"/>
            <w:tcBorders/>
            <w:shd w:fill="CCEEFF" w:val="clear"/>
            <w:vAlign w:val="center"/>
          </w:tcPr>
          <w:p>
            <w:pPr>
              <w:pStyle w:val="TableContents"/>
              <w:bidi w:val="0"/>
              <w:spacing w:before="0" w:after="283"/>
              <w:jc w:val="right"/>
              <w:rPr/>
            </w:pPr>
            <w:r>
              <w:rPr/>
              <w:t>9,281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172,339</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right"/>
              <w:rPr/>
            </w:pPr>
            <w:r>
              <w:rPr/>
              <w:t>17,055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620" w:type="dxa"/>
            <w:tcBorders/>
            <w:vAlign w:val="center"/>
          </w:tcPr>
          <w:p>
            <w:pPr>
              <w:pStyle w:val="TableContents"/>
              <w:bidi w:val="0"/>
              <w:spacing w:before="0" w:after="283"/>
              <w:jc w:val="right"/>
              <w:rPr/>
            </w:pPr>
            <w:r>
              <w:rPr/>
              <w:t>174,411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right"/>
              <w:rPr/>
            </w:pPr>
            <w:r>
              <w:rPr/>
              <w:t>4,249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80,077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exercise of options is calculated by multiplying the number of shares exercised times the difference between the fair market value of a common share at the time of exercise and the exercise price of the options.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is calculated by multiplying the number of shares vested by the closing price of our shares on the date the stock awards vested.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Messrs. Bricker, Davis and Mays are party to employment agreements with the Company, and Mr. Whitney, Ms. Neale and Mr. Levenhagen are party to employment letters with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Jude Bricker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agreement with Jude Bricker to serve as Chief Executive Officer of the Company, dated as of April 11, 2023. The agreement extends for an initial term of four years from April 11, 2023 until April 11, 2027, and will continue to be automatically extended for successive one-year periods, unless either party provides written notice of non-renewal at least 90 days prior to the expiration of the initial term or any extended term. Pursuant to the employment agreement, Mr. Bricker’s annual base salary beginning May 1, 2023 will be no less than $650,000. Mr. Bricker was also paid a signing cash bonus of $500,000 shortly following the date on which the employment agreement was signed, and he is also eligible for a discretionary performance-based annual bonus with a target equal to 125% of his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Bricker’s agreement, Mr. Bricker was granted $1,500,000 in the form of the restricted stock units, subject to the terms and conditions of the 2021 Omnibus Incentive Plan. For the 2024 fiscal year, Mr. Bricker will receive, subject to Board approval and subject to Mr. Bricker remaining employed through the grant date, restricted stock units under the 2021 Omnibus Incentive Plan having a target value of $2,000,000, consisting of 60% performance-based restricted stock units and 40% time-based restricted stock units. For subsequent fiscal years, Mr. Bricker will be eligible to receive restricted stock units under the 2021 Omnibus Incentive Plan having a target value of $2,000,000 per annum and containing such other terms as determined by the Board, including with respect to any performance conditions applicable to such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Mr. Bricker is also entitled to travel benefits, including an annual credit of $20,000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Mr. Bricker’s travel benefits are non-forfeitable and therefore are useable by Mr. Bricker for the remainder of his life.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Bricker’s employment agreement also provides for compensation and benefits under specified circumstances in connection with the termination of his employment, as described below under “-Potential Payments Upon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Bricker is subject to restrictive covenants, including non-competition during employment and for 12 months thereafter, non-solicitation of employees (including no-hire), officers, customers, consultants and suppliers during employment and for 12 months thereafter, non-disclosure of confidential information for a perpetual period of time and non-disparagement by Mr. Bricker for a perpetual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Dave Davis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agreement with Dave Davis to serve as President and Chief Financial Officer, effective as of April 11, 2023. The agreement extends for a term of two years until April 11, 2025. Pursuant to the employment agreement, Mr. Davis’ annual base salary beginning May 1, 2023, will be no less than $500,000. Mr. Davis was paid a signing cash bonus of $300,000 shortly following the date on which the employment agreement was signed, and he will be eligible for a discretionary performance-based annual bonus with a target equal to 100% of his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Davis’ agreement, Mr. Davis was granted $370,000 in the form of the restricted stock units, subject to the terms and conditions of the 2021 Omnibus Incentive Plan. For the 2024 fiscal year, Mr. Davis will receive, subject to Board approval and subject to Mr. Davis remaining employed through the grant date, restricted stock units under the 2021 Omnibus Incentive Plan having a target value of $850,000, consisting of 60% performance-based restricted stock units and 40% time-based restricted stock units. For subsequent fiscal years, Mr. Davis will be eligible to receive restricted stock units under the 2021 Omnibus Incentive Plan having a target value of $850,000 per annum and containing such other terms as determined by the Board, including with respect to any performance conditions applicable to such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Mr. Davis’ travel benefits are non-forfeitable and therefore are useable by Mr. Davis for the remainder of his life.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Davis’ employment agreement also provides for compensation and benefits under specified circumstances in connection with the termination of his employment, as described below under “-Potential Payments Upon Termination.” </w:t>
      </w:r>
    </w:p>
    <w:p>
      <w:pPr>
        <w:pStyle w:val="TextBody"/>
        <w:bidi w:val="0"/>
        <w:spacing w:before="240" w:after="0"/>
        <w:jc w:val="left"/>
        <w:rPr>
          <w:rFonts w:ascii="Times New Roman" w:hAnsi="Times New Roman"/>
          <w:sz w:val="20"/>
        </w:rPr>
      </w:pPr>
      <w:r>
        <w:rPr>
          <w:rFonts w:ascii="Times New Roman" w:hAnsi="Times New Roman"/>
          <w:sz w:val="20"/>
        </w:rPr>
        <w:t xml:space="preserve">Mr. Davis is subject to restrictive covenants, including non-competition during employment and for 12 months thereafter, non-solicitation of employees (including no-hire), officers, consultants, customers and suppliers during employment and for 12 months thereafter, non-disclosure of confidential information for a perpetual period of time and non-disparagement by Mr. Davis for a perpetual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Gregory Mays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Neither party provided a notice of non-renewal in 2024, so the contract currently extends until June 3, 2025. Pursuant to the employment agreement, Mr. Mays’ annual base salary will be no less than $300,000 with a discretionary annual bonus target to be no less than 75% of his annual base salary. Effective as of July 1, 2023, Mr. Mays’ annual base salary was adjusted to $400,000 with a discretionary annual bonus target equal to 80% of his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Mr. Mays is also entitled to travel benefits, including an annual credit of $12,500 in his ATP account for personal travel on Company scheduled flights for him and certain qualifying friends and family. Mr. Mays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travel on scheduled Company flights in accordance with the Company’s general employee travel policy, the cost of which is not deducted from Mr. Mays’ ATP account. Upon the earlier to occur of (x) reaching five (5) years of service from June 3, 2019; or (y) the consummation of certain change in control transaction(s), these travel benefits will vest and become non-forfeitable for the executive’s lifetime.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Mays’ employment letter also provides for compensation and benefits under specified circumstances in connection with the termination of his employment, as described below under “-Potential Payments Upon Termination.” </w:t>
      </w:r>
    </w:p>
    <w:p>
      <w:pPr>
        <w:pStyle w:val="TextBody"/>
        <w:bidi w:val="0"/>
        <w:spacing w:before="240" w:after="0"/>
        <w:jc w:val="left"/>
        <w:rPr>
          <w:rFonts w:ascii="Times New Roman" w:hAnsi="Times New Roman"/>
          <w:sz w:val="20"/>
        </w:rPr>
      </w:pPr>
      <w:r>
        <w:rPr>
          <w:rFonts w:ascii="Times New Roman" w:hAnsi="Times New Roman"/>
          <w:sz w:val="20"/>
        </w:rPr>
        <w:t xml:space="preserve">Mr. Mays is subject to restrictive covenants, including non-competition during employment and for 12 months thereafter, non-solicitation of employees (including no-hire), officers, consultants, customers and suppliers during employment and for 12 months thereafter, non-disclosure of confidential information for a perpetual period of time and non-disparagement by Mr. Mays for a perpetual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Eric Levenhagen Employment Letter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Eric Levenhagen to serve as Senior Vice President and Chief Human Resources Officer, effective as of July 1, 2023, on an at-will basis. Pursuant to the employment letter, Mr. Levenhagen’s annual base salary is currently $325,000. Mr. Levenhagen is also eligible to receive a discretionary annual bonus. </w:t>
      </w:r>
    </w:p>
    <w:p>
      <w:pPr>
        <w:pStyle w:val="TextBody"/>
        <w:bidi w:val="0"/>
        <w:spacing w:before="240" w:after="0"/>
        <w:jc w:val="left"/>
        <w:rPr>
          <w:rFonts w:ascii="Times New Roman" w:hAnsi="Times New Roman"/>
          <w:sz w:val="20"/>
        </w:rPr>
      </w:pPr>
      <w:r>
        <w:rPr>
          <w:rFonts w:ascii="Times New Roman" w:hAnsi="Times New Roman"/>
          <w:sz w:val="20"/>
        </w:rPr>
        <w:t xml:space="preserve">Mr. Levenhagen is also entitled to travel benefits, including an annual credit of $10,000 in his ATP account for personal travel on Company scheduled flights for him and certain qualifying friends and family. Mr. Levenhagen may also travel on scheduled Company flights in accordance with the Company’s general employee travel policy, the cost of which is not deducted from Mr. Levenhagen’s ATP account. Mr. Levenhagen’s travel benefits are non-forfeitable and therefore are useable by Mr. Levenhagen for the remainder of his life.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Levenhagen’s employment letter also provides for compensation and benefits under specified circumstances in connection with the termination of his employment, as described below under “-Potential Payments Upon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Rose Neale Employment Letter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Rose Neale to serve as Senior Vice President and General Counsel, effective as of July 1, 2023, on an at-will basis. Pursuant to the employment letter, Ms. Neale’s annual base salary is currently $325,000. Ms. Neale is also eligible to receive a discretionary annual bonus. </w:t>
      </w:r>
    </w:p>
    <w:p>
      <w:pPr>
        <w:pStyle w:val="TextBody"/>
        <w:bidi w:val="0"/>
        <w:spacing w:before="240" w:after="0"/>
        <w:jc w:val="left"/>
        <w:rPr>
          <w:rFonts w:ascii="Times New Roman" w:hAnsi="Times New Roman"/>
          <w:sz w:val="20"/>
        </w:rPr>
      </w:pPr>
      <w:r>
        <w:rPr>
          <w:rFonts w:ascii="Times New Roman" w:hAnsi="Times New Roman"/>
          <w:sz w:val="20"/>
        </w:rPr>
        <w:t xml:space="preserve">Ms. Neale is also entitled to travel benefits, including an annual credit of $10,000 in her ATP account for personal travel on Company scheduled flights for her and certain qualifying friends and family. Ms. Neale may also travel on scheduled Company flights in accordance with the Company’s general employee travel policy, the cost of which is not deducted from Ms. Neale’s ATP account. Upon the earlier to occur of (x) reaching five (5) years of service with the Company measured from April 19, 2021; or (y) the consummation of certain change in control transaction(s), these travel benefits will vest and become non-forfeitable for the executive’s lifetime.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Ms. Neale’s employment letter also provides for compensation and benefits under specified circumstances in connection with the termination of her employment, as described below under “-Potential Payments Upon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Grant Whitney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Sun Country entered into an employment letter with Grant Whitney to serve as Senior Vice President and Chief Revenue Officer, effective as of July 1, 2023, on an at-will basis. Pursuant to the employment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Whitney’s annual base salary is currently $325,000. Mr. Whitney is also eligible to receive a discretionary annual bonus. </w:t>
      </w:r>
    </w:p>
    <w:p>
      <w:pPr>
        <w:pStyle w:val="TextBody"/>
        <w:bidi w:val="0"/>
        <w:spacing w:before="240" w:after="0"/>
        <w:jc w:val="left"/>
        <w:rPr>
          <w:rFonts w:ascii="Times New Roman" w:hAnsi="Times New Roman"/>
          <w:sz w:val="20"/>
        </w:rPr>
      </w:pPr>
      <w:r>
        <w:rPr>
          <w:rFonts w:ascii="Times New Roman" w:hAnsi="Times New Roman"/>
          <w:sz w:val="20"/>
        </w:rPr>
        <w:t xml:space="preserve">Mr. Whitney is also entitled to travel benefits, including an annual credit of $10,000 in his ATP account for personal travel on Company scheduled flights for him and certain qualifying friends and family. Mr. Whitney may also travel on scheduled Company flights in accordance with the Company’s general employee travel policy, the cost of which is not deducted from Mr. Whitney’s ATP account. Upon the earlier to occur of (x) reaching five (5) years of service with the Company measured from May 20, 2019; or (y) the consummation of certain change in control transaction(s), these travel benefits will vest and become non-forfeitable for the executive’s lifetime.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and benefits described herein, Mr. Whitney’s employment letter also provides for compensation and benefits under specified circumstances in connection with the termination of his employment, as described below under “-Potential Payments Upon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w:t>
      </w:r>
    </w:p>
    <w:p>
      <w:pPr>
        <w:pStyle w:val="TextBody"/>
        <w:bidi w:val="0"/>
        <w:spacing w:before="120" w:after="0"/>
        <w:jc w:val="left"/>
        <w:rPr>
          <w:rFonts w:ascii="Times New Roman" w:hAnsi="Times New Roman"/>
          <w:sz w:val="20"/>
        </w:rPr>
      </w:pPr>
      <w:r>
        <w:rPr>
          <w:rFonts w:ascii="Times New Roman" w:hAnsi="Times New Roman"/>
          <w:sz w:val="20"/>
        </w:rPr>
        <w:t xml:space="preserve">Upon a termination of employment for any reason, each of the named executive officers would be entitled to (i) any amount of annual base salary earned, but not yet paid, through the termination date, (ii) any annual bonus for the year prior to the year of termination that was earned, but not yet paid, (iii) any reimbursable expenses owed, (iv) any amount arising from participation in, or benefits under, any employee benefit plans, programs or arrangements (including, where applicable, any death and disability benefits), (v) any rights to indemnification to the extent required pursuant to the provisions of the Company’s and its subsidiaries’ bylaws, articles of incorporation or other governing documents or policies, (vi) any rights in his or her capacity as a holder of the Company’s equity or derivative securities (which, in the case of options or restricted stock units will be determined in accordance with the terms and conditions of the 2021 Omnibus Incentive Plan and applicable award agreement) and (vii) to the extent vested in his or her travel benefits as of the date of his or her termination of employment, vested travel benefits for the remainder of his or her lifetime (the “Accrued Obligations”). With respect to Mr. Bricker and Mr. Davis, each of them would also be entitled to receive the health care benefits set forth in the Health Care Side Letter by and among each of Messrs. Bricker and Davis and Sun Country Airlines Holdings Inc., dated as of March 7, 2021 (the “Health Care Side Letter”), as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Mr. Bricker’s employment agreement, upon a termination of employment by the Company without Cause or a resignation for Good Reason (each, a “Qualifying Termination”), or upon the Company’s non-renewal of the initial four-year employment term, Mr. Bricker would be entitled to: (i) any Accrued Obligations, and (ii) a severance payment equal to 1.5 times the sum of his base salary plus his target annual bonus, payable over 12 months (the “Bricker Severance Benefits”). If Mr. Bricker had incurred a Qualifying Termination of employment on December 31, 2023, this severance amount would have been $2,193,750 (using the target annual bonus in effect as of December 31, 2023 as a percentage of annual base salary in effect as of December 31, 2023). The Bricker Severance Benefits are conditioned upon Mr. Bricker’s execution of a general release of claims and compliance with restrictive covenant obligations. Mr. Bricker would also become entitled to receive the health care benefits set forth in his Health Care Side Letter, as described in more detail below. The Bricker Agreement contemplates that Mr. Bricker may continue to provide services to the Company as a member of the Board and/or as a consultant to the Company for a period of time following a termination of his employment.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Mr. Davis’ employment agreement, upon a Qualifying Termination that occurs prior to the second anniversary of the Effective Date, Mr. Davis would be entitled to: (i) any Accrued Obligations, and (ii) a severance payment equal to his base salary plus his target annual bonus, payable over 12 months (the “Davis Severance Benefits”). If Mr. Davis had incurred a Qualifying Termination of employment on December 31, 2023, this severance amount would have been $1,000,000 (using the target annual bonus in effect as of December 31, 2023 as a percentage of base salary in effect as of December 31, 2023. The Davis Severance Benefits are conditioned upon Mr. Davis’ execution of a general release of claims and compliance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restrictive covenant obligations. Mr. Bricker would also become entitled to receive the health care benefits set forth in his Health Care Side Letter, as described in more detail below. The Davis Agreement contemplates that Mr. Davis may continue to provide services to the Company as a member of the Board and/or as a consultant to the Company for a period of time following a termination of his employment.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agreement with Mr. Mays, and the employment letters with Mr. Levenhagen, Ms. Neale and Mr. Whitney, upon a termination of employment by the Company without Cause, these executives would be entitled to the following benefits, subject to execution of a general release of claims: (i) his or her Accrued Obligations and (ii) continued payment of his or her base salary until the earlier of the 12-month anniversary of the termination date or the first date that the executive violates any of his or her applicable restrictive covenants. If any of Messrs. Mays, Levenhagen or Whitney, or Ms. Neale, had been terminated by the Company without Cause as of December 31, 2023, the severance payment described in subsection (ii) of the foregoing sentence would have been $400,000, $325,000, $325,000 and $325,000,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Mr. Bricker’s employment agreement, Good Reason shall mean any of the following actions that are taken by the Company without his express written consent: (i) a material reduction of Executive’s duties and responsibilities in his capacity as Chief Executive Officer of the Company (which, without limitation, shall be deemed to occur if the common stock of the Company is no longer listed on a national securities exchange, unless the Executive becomes the Chief Executive Officer of the ultimate parent of the Company and such parent’s shares are listed on a national securities exchange) or change in title or a change that results in the Executive no longer reporting directly and exclusively to the full Board (except where, to the extent required by applicable law or listing standards, the Executive is required to report to a committee thereof, it being understand that as of the Effective Date, no such requirement currently exists), (ii) a reduction in the Executive’s Base Salary or target annual bonus opportunity, (iii) a failure to pay an Annual Bonus (to the extent earned) in accordance with Section 3(b) or to make an LTIP award during the Term in accordance with Section 3(d), (iv) the relocation of the Company’s principal executive offices to a location outside a 50-mile radius of the current location, or (v) any material breach by the Company of any material term or provision of this Agreement or any other written agreement between the Executive and the Company and its Affiliates; provided, however, that the Executive cannot terminate his employment for Good Reason unless the Executive has first provided written notice to the Company of the existence of the circumstances providing grounds for termination for Good Reason within thirty (30) days of becoming aware of the existence of such grounds and the Company has been afforded at least thirty (30) days from the date on which such notice is provided to cure such circumstances and has failed to do so. If the Executive does not terminate his employment for Good Reason within thirty (30) days after the expiration of such cure period, then the Executive will be deemed to have waived the Executive’s right to terminate for Good Reason with respect to such grounds.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Mr. Davis’ employment agreement, Good Reason shall mean any of the followings actions that are taken by the Company without his express written consent: (i) a material reduction of Executive’s duties and responsibilities in his capacity as President and Chief Financial Officer of the Company (which, without limitation, shall be deemed to occur if the common stock of the Company is no longer listed on a national securities exchange, unless the Executive becomes the President and Chief Financial Officer of the ultimate parent of the Company and such parent’s shares are listed on a national securities exchange) or change in title or a change that results in the Executive no longer reporting to only the chief executive officer of the Company or to the full Board (or a committee thereof), (ii) a reduction in the Executive’s Base Salary or target annual bonus opportunity, (iii) a failure to pay an Annual Bonus (to the extent earned) in accordance with Section 3(b) or to make an LTIP award during the Term in accordance with Section 3(d), (iv) the relocation of the Company’s principal executive offices to a location outside a 50-mile radius of the current location, or (v) any material breach by the Company of any material term or provision of this Agreement or any other written agreement between the Executive and the Company and its Affiliates; provided, however, that the Executive cannot terminate his employment for Good Reason unless the Executive has first provided written notice to the Company of the existence of the circumstances providing grounds for termination for Good Reason within thirty (30) days of becoming aware of the existence of such grounds and the Company has been afforded at least thirty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(30) days from the date on which such notice is provided to cure such circumstances and has failed to do so. If the Executive does not terminate his employment for Good Reason within thirty (30) days after the expiration of such cure period, then the Executive will be deemed to have waived the Executive’s right to terminate for Good Reason with respect to such grounds.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Messrs. Bricker and Davis, in the event that the payment of the severance benefits described above (together with any other payments or benefits) will result in Messrs. Bricker or Davis being subject to the excise tax imposed on certain “golden parachute” arrangements under Sections 280G and 4999 of the Code, the employment agreements provide that such payments and benefits will be reduced to the largest amount which can be paid without the imposition of such excise tax, but only if such reduction would result in the executive retaining a larger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after-tax</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benefit than if he had received all payments and been subject to the excise tax.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addition,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the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Compensation and Human Resources Committee Report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Compensation and Human Resources Committee has reviewed and discussed with our Company’s management the CD&amp;A included in this proxy statement and, based on that review and discussion, recommends to the Board that the CD&amp;A be included in this proxy statement.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Submitted by the Compensation and Human Resources Committee of the Board: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Marion Blakey, Chair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Patrick O’Keeffe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Jennifer Vogel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Pay Versus Performance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required by Section 953(a) of the Dodd-Frank Wall Street Reform and Consumer Protection Act, and Item 402(v) of Regulation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we are providing the following information about the relationship between executive compensation actually paid and certain financial performance of the Company.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1810" w:type="dxa"/>
        <w:jc w:val="left"/>
        <w:tblInd w:w="0" w:type="dxa"/>
        <w:tblLayout w:type="fixed"/>
        <w:tblCellMar>
          <w:top w:w="0" w:type="dxa"/>
          <w:left w:w="0" w:type="dxa"/>
          <w:bottom w:w="0" w:type="dxa"/>
          <w:right w:w="0" w:type="dxa"/>
        </w:tblCellMar>
      </w:tblPr>
      <w:tblGrid>
        <w:gridCol w:w="500"/>
        <w:gridCol w:w="60"/>
        <w:gridCol w:w="173"/>
        <w:gridCol w:w="1212"/>
        <w:gridCol w:w="60"/>
        <w:gridCol w:w="60"/>
        <w:gridCol w:w="156"/>
        <w:gridCol w:w="1229"/>
        <w:gridCol w:w="155"/>
        <w:gridCol w:w="60"/>
        <w:gridCol w:w="215"/>
        <w:gridCol w:w="1230"/>
        <w:gridCol w:w="60"/>
        <w:gridCol w:w="60"/>
        <w:gridCol w:w="173"/>
        <w:gridCol w:w="1212"/>
        <w:gridCol w:w="155"/>
        <w:gridCol w:w="60"/>
        <w:gridCol w:w="238"/>
        <w:gridCol w:w="952"/>
        <w:gridCol w:w="102"/>
        <w:gridCol w:w="102"/>
        <w:gridCol w:w="238"/>
        <w:gridCol w:w="953"/>
        <w:gridCol w:w="60"/>
        <w:gridCol w:w="60"/>
        <w:gridCol w:w="177"/>
        <w:gridCol w:w="863"/>
        <w:gridCol w:w="60"/>
        <w:gridCol w:w="60"/>
        <w:gridCol w:w="154"/>
        <w:gridCol w:w="886"/>
        <w:gridCol w:w="7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0" w:type="dxa"/>
            <w:vMerge w:val="restart"/>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Year</w:t>
            </w:r>
          </w:p>
        </w:tc>
        <w:tc>
          <w:tcPr>
            <w:tcW w:w="60" w:type="dxa"/>
            <w:vMerge w:val="restart"/>
            <w:tcBorders/>
            <w:vAlign w:val="center"/>
          </w:tcPr>
          <w:p>
            <w:pPr>
              <w:pStyle w:val="TableContents"/>
              <w:bidi w:val="0"/>
              <w:spacing w:before="0" w:after="283"/>
              <w:jc w:val="left"/>
              <w:rPr/>
            </w:pPr>
            <w:r>
              <w:rPr/>
              <w:t> </w:t>
            </w:r>
          </w:p>
        </w:tc>
        <w:tc>
          <w:tcPr>
            <w:tcW w:w="1385" w:type="dxa"/>
            <w:gridSpan w:val="2"/>
            <w:vMerge w:val="restart"/>
            <w:tcBorders>
              <w:bottom w:val="single" w:sz="8" w:space="0" w:color="000000"/>
            </w:tcBorders>
            <w:tcMar>
              <w:bottom w:w="28" w:type="dxa"/>
            </w:tcMar>
            <w:vAlign w:val="center"/>
          </w:tcPr>
          <w:p>
            <w:pPr>
              <w:pStyle w:val="TableContents"/>
              <w:bidi w:val="0"/>
              <w:spacing w:before="0" w:after="0"/>
              <w:jc w:val="center"/>
              <w:rPr/>
            </w:pPr>
            <w:r>
              <w:rPr/>
              <w:t>Summary</w:t>
              <w:br/>
              <w:t>Compensation</w:t>
              <w:br/>
              <w:t>Table Total</w:t>
              <w:br/>
              <w:t>for PEO</w:t>
            </w:r>
          </w:p>
          <w:p>
            <w:pPr>
              <w:pStyle w:val="TableContents"/>
              <w:bidi w:val="0"/>
              <w:spacing w:before="0" w:after="0"/>
              <w:jc w:val="center"/>
              <w:rPr>
                <w:sz w:val="9"/>
              </w:rPr>
            </w:pPr>
            <w:r>
              <w:rPr>
                <w:sz w:val="9"/>
              </w:rPr>
              <w:t>(1)</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85" w:type="dxa"/>
            <w:gridSpan w:val="2"/>
            <w:vMerge w:val="restart"/>
            <w:tcBorders>
              <w:bottom w:val="single" w:sz="8" w:space="0" w:color="000000"/>
            </w:tcBorders>
            <w:tcMar>
              <w:bottom w:w="28" w:type="dxa"/>
            </w:tcMar>
            <w:vAlign w:val="center"/>
          </w:tcPr>
          <w:p>
            <w:pPr>
              <w:pStyle w:val="TableContents"/>
              <w:bidi w:val="0"/>
              <w:spacing w:before="0" w:after="0"/>
              <w:jc w:val="center"/>
              <w:rPr/>
            </w:pPr>
            <w:r>
              <w:rPr/>
              <w:t>Compensation</w:t>
              <w:br/>
              <w:t>Actually Paid to</w:t>
              <w:br/>
              <w:t>PEO</w:t>
            </w:r>
          </w:p>
          <w:p>
            <w:pPr>
              <w:pStyle w:val="TableContents"/>
              <w:bidi w:val="0"/>
              <w:spacing w:before="0" w:after="0"/>
              <w:jc w:val="center"/>
              <w:rPr>
                <w:sz w:val="9"/>
              </w:rPr>
            </w:pPr>
            <w:r>
              <w:rPr>
                <w:sz w:val="9"/>
              </w:rPr>
              <w:t>(2)</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pPr>
            <w:r>
              <w:rPr/>
              <w:t>Average</w:t>
              <w:br/>
              <w:t>Summary</w:t>
              <w:br/>
              <w:t>Compensation</w:t>
              <w:br/>
              <w:t>Table Total for</w:t>
            </w:r>
          </w:p>
          <w:p>
            <w:pPr>
              <w:pStyle w:val="TableContents"/>
              <w:bidi w:val="0"/>
              <w:spacing w:before="0" w:after="0"/>
              <w:jc w:val="center"/>
              <w:rPr>
                <w:spacing w:val="0"/>
              </w:rPr>
            </w:pPr>
            <w:r>
              <w:rPr>
                <w:spacing w:val="0"/>
              </w:rPr>
              <w:t>Non-PEO</w:t>
            </w:r>
          </w:p>
          <w:p>
            <w:pPr>
              <w:pStyle w:val="TableContents"/>
              <w:bidi w:val="0"/>
              <w:spacing w:before="0" w:after="0"/>
              <w:jc w:val="center"/>
              <w:rPr/>
            </w:pPr>
            <w:r>
              <w:rPr/>
              <w:br/>
              <w:t>NEOs</w:t>
            </w:r>
          </w:p>
          <w:p>
            <w:pPr>
              <w:pStyle w:val="TableContents"/>
              <w:bidi w:val="0"/>
              <w:spacing w:before="0" w:after="0"/>
              <w:jc w:val="center"/>
              <w:rPr>
                <w:sz w:val="9"/>
              </w:rPr>
            </w:pPr>
            <w:r>
              <w:rPr>
                <w:sz w:val="9"/>
              </w:rPr>
              <w:t>(3)</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85" w:type="dxa"/>
            <w:gridSpan w:val="2"/>
            <w:vMerge w:val="restart"/>
            <w:tcBorders>
              <w:bottom w:val="single" w:sz="8" w:space="0" w:color="000000"/>
            </w:tcBorders>
            <w:tcMar>
              <w:bottom w:w="28" w:type="dxa"/>
            </w:tcMar>
            <w:vAlign w:val="center"/>
          </w:tcPr>
          <w:p>
            <w:pPr>
              <w:pStyle w:val="TableContents"/>
              <w:bidi w:val="0"/>
              <w:spacing w:before="0" w:after="0"/>
              <w:jc w:val="center"/>
              <w:rPr/>
            </w:pPr>
            <w:r>
              <w:rPr/>
              <w:t>Average</w:t>
              <w:br/>
              <w:t>Compensation</w:t>
              <w:br/>
              <w:t>Actually Paid</w:t>
              <w:br/>
              <w:t xml:space="preserve">to </w:t>
            </w:r>
          </w:p>
          <w:p>
            <w:pPr>
              <w:pStyle w:val="TableContents"/>
              <w:bidi w:val="0"/>
              <w:spacing w:before="0" w:after="0"/>
              <w:jc w:val="center"/>
              <w:rPr>
                <w:spacing w:val="0"/>
              </w:rPr>
            </w:pPr>
            <w:r>
              <w:rPr>
                <w:spacing w:val="0"/>
              </w:rPr>
              <w:t>Non-PEO</w:t>
            </w:r>
          </w:p>
          <w:p>
            <w:pPr>
              <w:pStyle w:val="TableContents"/>
              <w:bidi w:val="0"/>
              <w:spacing w:before="0" w:after="0"/>
              <w:jc w:val="center"/>
              <w:rPr/>
            </w:pPr>
            <w:r>
              <w:rPr/>
              <w:br/>
              <w:t>NEOs</w:t>
            </w:r>
          </w:p>
          <w:p>
            <w:pPr>
              <w:pStyle w:val="TableContents"/>
              <w:bidi w:val="0"/>
              <w:spacing w:before="0" w:after="0"/>
              <w:jc w:val="center"/>
              <w:rPr>
                <w:sz w:val="9"/>
              </w:rPr>
            </w:pPr>
            <w:r>
              <w:rPr>
                <w:sz w:val="9"/>
              </w:rPr>
              <w:t>(4)</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gridSpan w:val="6"/>
            <w:tcBorders>
              <w:bottom w:val="single" w:sz="8" w:space="0" w:color="000000"/>
            </w:tcBorders>
            <w:tcMar>
              <w:bottom w:w="28" w:type="dxa"/>
            </w:tcMar>
            <w:vAlign w:val="center"/>
          </w:tcPr>
          <w:p>
            <w:pPr>
              <w:pStyle w:val="TableContents"/>
              <w:bidi w:val="0"/>
              <w:spacing w:before="0" w:after="283"/>
              <w:jc w:val="center"/>
              <w:rPr/>
            </w:pPr>
            <w:r>
              <w:rPr/>
              <w:t>Value of Initial Fixed $100</w:t>
              <w:br/>
              <w:t>Investment Based On:</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0"/>
              <w:jc w:val="center"/>
              <w:rPr/>
            </w:pPr>
            <w:r>
              <w:rPr/>
              <w:t>Net Income</w:t>
              <w:br/>
              <w:t>(thousands)</w:t>
            </w:r>
          </w:p>
          <w:p>
            <w:pPr>
              <w:pStyle w:val="TableContents"/>
              <w:bidi w:val="0"/>
              <w:spacing w:before="0" w:after="0"/>
              <w:jc w:val="center"/>
              <w:rPr>
                <w:sz w:val="9"/>
              </w:rPr>
            </w:pPr>
            <w:r>
              <w:rPr>
                <w:sz w:val="9"/>
              </w:rPr>
              <w:t>(7)</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0"/>
              <w:jc w:val="center"/>
              <w:rPr/>
            </w:pPr>
            <w:r>
              <w:rPr/>
              <w:t>Adjusted</w:t>
              <w:br/>
              <w:t>EBITDA</w:t>
              <w:br/>
              <w:t>(thousands)</w:t>
            </w:r>
          </w:p>
          <w:p>
            <w:pPr>
              <w:pStyle w:val="TableContents"/>
              <w:bidi w:val="0"/>
              <w:spacing w:before="0" w:after="0"/>
              <w:jc w:val="center"/>
              <w:rPr>
                <w:sz w:val="9"/>
              </w:rPr>
            </w:pPr>
            <w:r>
              <w:rPr>
                <w:sz w:val="9"/>
              </w:rPr>
              <w:t>(8)</w:t>
            </w:r>
          </w:p>
        </w:tc>
        <w:tc>
          <w:tcPr>
            <w:tcW w:w="75" w:type="dxa"/>
            <w:vMerge w:val="restart"/>
            <w:tcBorders/>
            <w:vAlign w:val="center"/>
          </w:tcPr>
          <w:p>
            <w:pPr>
              <w:pStyle w:val="TableContents"/>
              <w:bidi w:val="0"/>
              <w:spacing w:before="0" w:after="283"/>
              <w:jc w:val="left"/>
              <w:rPr/>
            </w:pPr>
            <w:r>
              <w:rPr/>
              <w:t> </w:t>
            </w:r>
          </w:p>
        </w:tc>
      </w:tr>
      <w:tr>
        <w:trPr/>
        <w:tc>
          <w:tcPr>
            <w:tcW w:w="50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8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85"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4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8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jc w:val="center"/>
              <w:rPr/>
            </w:pPr>
            <w:r>
              <w:rPr/>
              <w:t>Total</w:t>
              <w:br/>
              <w:t>Shareholder</w:t>
              <w:br/>
              <w:t>Return</w:t>
            </w:r>
          </w:p>
          <w:p>
            <w:pPr>
              <w:pStyle w:val="TableContents"/>
              <w:bidi w:val="0"/>
              <w:spacing w:before="0" w:after="0"/>
              <w:jc w:val="center"/>
              <w:rPr>
                <w:sz w:val="9"/>
              </w:rPr>
            </w:pPr>
            <w:r>
              <w:rPr>
                <w:sz w:val="9"/>
              </w:rPr>
              <w:t>(5)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0"/>
              <w:jc w:val="center"/>
              <w:rPr/>
            </w:pPr>
            <w:r>
              <w:rPr/>
              <w:t>Peer Group</w:t>
              <w:br/>
              <w:t>Total</w:t>
              <w:br/>
              <w:t>Shareholder</w:t>
              <w:br/>
              <w:t>Return</w:t>
            </w:r>
          </w:p>
          <w:p>
            <w:pPr>
              <w:pStyle w:val="TableContents"/>
              <w:bidi w:val="0"/>
              <w:spacing w:before="0" w:after="0"/>
              <w:jc w:val="center"/>
              <w:rPr>
                <w:sz w:val="9"/>
              </w:rPr>
            </w:pPr>
            <w:r>
              <w:rPr>
                <w:sz w:val="9"/>
              </w:rPr>
              <w:t>(6)</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0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4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500"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(a)</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t>(f)</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pPr>
            <w:r>
              <w:rPr/>
              <w:t>(g)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w:t>
            </w:r>
          </w:p>
          <w:p>
            <w:pPr>
              <w:pStyle w:val="TableContents"/>
              <w:bidi w:val="0"/>
              <w:spacing w:before="0" w:after="0"/>
              <w:jc w:val="left"/>
              <w:rPr>
                <w:rFonts w:ascii="Times New Roman" w:hAnsi="Times New Roman"/>
                <w:sz w:val="12"/>
              </w:rPr>
            </w:pPr>
            <w:r>
              <w:rPr>
                <w:rFonts w:ascii="Times New Roman" w:hAnsi="Times New Roman"/>
                <w:sz w:val="12"/>
              </w:rPr>
              <w:t xml:space="preserve">(9)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3,249,806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10,128,470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908,628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2,626,772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43.24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3" w:type="dxa"/>
            <w:tcBorders/>
            <w:shd w:fill="CCEEFF" w:val="clear"/>
            <w:vAlign w:val="center"/>
          </w:tcPr>
          <w:p>
            <w:pPr>
              <w:pStyle w:val="TableContents"/>
              <w:bidi w:val="0"/>
              <w:spacing w:before="0" w:after="283"/>
              <w:jc w:val="right"/>
              <w:rPr/>
            </w:pPr>
            <w:r>
              <w:rPr/>
              <w:t>59.15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72,181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224,835</w:t>
            </w:r>
          </w:p>
        </w:tc>
        <w:tc>
          <w:tcPr>
            <w:tcW w:w="75" w:type="dxa"/>
            <w:tcBorders/>
            <w:shd w:fill="CCEEFF" w:val="clear"/>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12" w:type="dxa"/>
            <w:tcBorders/>
            <w:vAlign w:val="center"/>
          </w:tcPr>
          <w:p>
            <w:pPr>
              <w:pStyle w:val="TableContents"/>
              <w:bidi w:val="0"/>
              <w:spacing w:before="0" w:after="283"/>
              <w:jc w:val="right"/>
              <w:rPr/>
            </w:pPr>
            <w:r>
              <w:rPr/>
              <w:t>793,820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229" w:type="dxa"/>
            <w:tcBorders/>
            <w:vAlign w:val="center"/>
          </w:tcPr>
          <w:p>
            <w:pPr>
              <w:pStyle w:val="TableContents"/>
              <w:bidi w:val="0"/>
              <w:spacing w:before="0" w:after="283"/>
              <w:jc w:val="right"/>
              <w:rPr/>
            </w:pPr>
            <w:r>
              <w:rPr/>
              <w:t>7,215,267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230" w:type="dxa"/>
            <w:tcBorders/>
            <w:vAlign w:val="center"/>
          </w:tcPr>
          <w:p>
            <w:pPr>
              <w:pStyle w:val="TableContents"/>
              <w:bidi w:val="0"/>
              <w:spacing w:before="0" w:after="283"/>
              <w:jc w:val="right"/>
              <w:rPr/>
            </w:pPr>
            <w:r>
              <w:rPr/>
              <w:t>793,020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12" w:type="dxa"/>
            <w:tcBorders/>
            <w:vAlign w:val="center"/>
          </w:tcPr>
          <w:p>
            <w:pPr>
              <w:pStyle w:val="TableContents"/>
              <w:bidi w:val="0"/>
              <w:spacing w:before="0" w:after="283"/>
              <w:jc w:val="right"/>
              <w:rPr/>
            </w:pPr>
            <w:r>
              <w:rPr/>
              <w:t>1,349,647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43.60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3" w:type="dxa"/>
            <w:tcBorders/>
            <w:vAlign w:val="center"/>
          </w:tcPr>
          <w:p>
            <w:pPr>
              <w:pStyle w:val="TableContents"/>
              <w:bidi w:val="0"/>
              <w:spacing w:before="0" w:after="283"/>
              <w:jc w:val="right"/>
              <w:rPr/>
            </w:pPr>
            <w:r>
              <w:rPr/>
              <w:t>46.12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jc w:val="right"/>
              <w:rPr/>
            </w:pPr>
            <w:r>
              <w:rPr/>
              <w:t>17,676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125,570</w:t>
            </w:r>
          </w:p>
        </w:tc>
        <w:tc>
          <w:tcPr>
            <w:tcW w:w="75" w:type="dxa"/>
            <w:tcBorders/>
            <w:vAlign w:val="center"/>
          </w:tcPr>
          <w:p>
            <w:pPr>
              <w:pStyle w:val="TableContents"/>
              <w:bidi w:val="0"/>
              <w:spacing w:before="0" w:after="283"/>
              <w:jc w:val="left"/>
              <w:rPr/>
            </w:pPr>
            <w:r>
              <w:rPr/>
              <w:t> </w:t>
            </w:r>
          </w:p>
        </w:tc>
      </w:tr>
      <w:tr>
        <w:trPr/>
        <w:tc>
          <w:tcPr>
            <w:tcW w:w="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2021 </w:t>
            </w:r>
          </w:p>
          <w:p>
            <w:pPr>
              <w:pStyle w:val="TableContents"/>
              <w:bidi w:val="0"/>
              <w:spacing w:before="0" w:after="0"/>
              <w:jc w:val="left"/>
              <w:rPr>
                <w:rFonts w:ascii="Times New Roman" w:hAnsi="Times New Roman"/>
                <w:sz w:val="12"/>
              </w:rPr>
            </w:pPr>
            <w:r>
              <w:rPr>
                <w:rFonts w:ascii="Times New Roman" w:hAnsi="Times New Roman"/>
                <w:sz w:val="12"/>
              </w:rPr>
              <w:t xml:space="preserve">(10)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567,092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13,334,200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637,347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6,011,246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74.90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3" w:type="dxa"/>
            <w:tcBorders/>
            <w:shd w:fill="CCEEFF" w:val="clear"/>
            <w:vAlign w:val="center"/>
          </w:tcPr>
          <w:p>
            <w:pPr>
              <w:pStyle w:val="TableContents"/>
              <w:bidi w:val="0"/>
              <w:spacing w:before="0" w:after="283"/>
              <w:jc w:val="right"/>
              <w:rPr/>
            </w:pPr>
            <w:r>
              <w:rPr/>
              <w:t>71.28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81,248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105,490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(b) are the amounts of total compensation reported for Mr. Bricker (our Chief Executive Officer) for each corresponding year in the “Total” column of the Summary Compensation Table.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(c) represent the amount of “compensation actually paid” to Mr. Bricker,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Mr. Bricker during the applicable year. In accordance with the requirements of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Mr. Bricker’s total compensation for each year to determine the compensation actually paid: </w:t>
            </w:r>
          </w:p>
        </w:tc>
      </w:tr>
    </w:tbl>
    <w:p>
      <w:pPr>
        <w:pStyle w:val="TextBody"/>
        <w:bidi w:val="0"/>
        <w:spacing w:before="0" w:after="0"/>
        <w:jc w:val="left"/>
        <w:rPr>
          <w:shd w:fill="FFFFFF" w:val="clear"/>
        </w:rPr>
      </w:pPr>
      <w:r>
        <w:rPr>
          <w:shd w:fill="FFFFFF" w:val="clear"/>
        </w:rPr>
        <w:t> </w:t>
      </w:r>
    </w:p>
    <w:tbl>
      <w:tblPr>
        <w:tblW w:w="6730" w:type="dxa"/>
        <w:jc w:val="left"/>
        <w:tblInd w:w="0" w:type="dxa"/>
        <w:tblLayout w:type="fixed"/>
        <w:tblCellMar>
          <w:top w:w="0" w:type="dxa"/>
          <w:left w:w="0" w:type="dxa"/>
          <w:bottom w:w="0" w:type="dxa"/>
          <w:right w:w="0" w:type="dxa"/>
        </w:tblCellMar>
      </w:tblPr>
      <w:tblGrid>
        <w:gridCol w:w="455"/>
        <w:gridCol w:w="120"/>
        <w:gridCol w:w="1445"/>
        <w:gridCol w:w="120"/>
        <w:gridCol w:w="1535"/>
        <w:gridCol w:w="120"/>
        <w:gridCol w:w="1250"/>
        <w:gridCol w:w="120"/>
        <w:gridCol w:w="156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center"/>
              <w:rPr/>
            </w:pPr>
            <w:r>
              <w:rPr/>
              <w:t>Reported</w:t>
              <w:br/>
              <w:t>Summary</w:t>
              <w:br/>
              <w:t>Compensation</w:t>
              <w:br/>
              <w:t>Table Total for</w:t>
              <w:br/>
              <w:t>PEO</w:t>
            </w:r>
          </w:p>
        </w:tc>
        <w:tc>
          <w:tcPr>
            <w:tcW w:w="12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0"/>
              <w:jc w:val="center"/>
              <w:rPr/>
            </w:pPr>
            <w:r>
              <w:rPr/>
              <w:t>Reported</w:t>
              <w:br/>
              <w:t>Value of Equity</w:t>
              <w:br/>
              <w:t>Awards</w:t>
            </w:r>
          </w:p>
          <w:p>
            <w:pPr>
              <w:pStyle w:val="TableContents"/>
              <w:bidi w:val="0"/>
              <w:spacing w:before="0" w:after="0"/>
              <w:jc w:val="center"/>
              <w:rPr>
                <w:sz w:val="9"/>
              </w:rPr>
            </w:pPr>
            <w:r>
              <w:rPr>
                <w:sz w:val="9"/>
              </w:rPr>
              <w:t>(a)</w:t>
            </w:r>
          </w:p>
        </w:tc>
        <w:tc>
          <w:tcPr>
            <w:tcW w:w="12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0"/>
              <w:jc w:val="center"/>
              <w:rPr/>
            </w:pPr>
            <w:r>
              <w:rPr/>
              <w:t>Equity</w:t>
              <w:br/>
              <w:t>Award</w:t>
              <w:br/>
              <w:t>Adjustments</w:t>
            </w:r>
          </w:p>
          <w:p>
            <w:pPr>
              <w:pStyle w:val="TableContents"/>
              <w:bidi w:val="0"/>
              <w:spacing w:before="0" w:after="0"/>
              <w:jc w:val="center"/>
              <w:rPr>
                <w:sz w:val="9"/>
              </w:rPr>
            </w:pPr>
            <w:r>
              <w:rPr>
                <w:sz w:val="9"/>
              </w:rPr>
              <w:t>(b)</w:t>
            </w:r>
          </w:p>
        </w:tc>
        <w:tc>
          <w:tcPr>
            <w:tcW w:w="120" w:type="dxa"/>
            <w:tcBorders/>
            <w:vAlign w:val="center"/>
          </w:tcPr>
          <w:p>
            <w:pPr>
              <w:pStyle w:val="TableContents"/>
              <w:bidi w:val="0"/>
              <w:spacing w:before="0" w:after="283"/>
              <w:jc w:val="left"/>
              <w:rPr/>
            </w:pPr>
            <w:r>
              <w:rPr/>
              <w:t>  </w:t>
            </w:r>
          </w:p>
        </w:tc>
        <w:tc>
          <w:tcPr>
            <w:tcW w:w="1565" w:type="dxa"/>
            <w:tcBorders>
              <w:bottom w:val="single" w:sz="8" w:space="0" w:color="000000"/>
            </w:tcBorders>
            <w:tcMar>
              <w:bottom w:w="28" w:type="dxa"/>
            </w:tcMar>
            <w:vAlign w:val="center"/>
          </w:tcPr>
          <w:p>
            <w:pPr>
              <w:pStyle w:val="TableContents"/>
              <w:bidi w:val="0"/>
              <w:spacing w:before="0" w:after="283"/>
              <w:jc w:val="center"/>
              <w:rPr/>
            </w:pPr>
            <w:r>
              <w:rPr/>
              <w:t>Compensation</w:t>
              <w:br/>
              <w:t>Actually Paid to</w:t>
              <w:br/>
              <w:t>PEO</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$3,249,806</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($1,500,000)</w:t>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$8,378,664</w:t>
            </w:r>
          </w:p>
        </w:tc>
        <w:tc>
          <w:tcPr>
            <w:tcW w:w="12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center"/>
              <w:rPr/>
            </w:pPr>
            <w:r>
              <w:rPr/>
              <w:t>$10,128,470</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$793,820</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($492,195)</w:t>
            </w:r>
          </w:p>
        </w:tc>
        <w:tc>
          <w:tcPr>
            <w:tcW w:w="12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($7,516,892)</w:t>
            </w:r>
          </w:p>
        </w:tc>
        <w:tc>
          <w:tcPr>
            <w:tcW w:w="12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pPr>
            <w:r>
              <w:rPr/>
              <w:t>($7,215,267)</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12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$567,092</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($0)</w:t>
            </w:r>
          </w:p>
        </w:tc>
        <w:tc>
          <w:tcPr>
            <w:tcW w:w="12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12,767,108</w:t>
            </w:r>
          </w:p>
        </w:tc>
        <w:tc>
          <w:tcPr>
            <w:tcW w:w="12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center"/>
              <w:rPr/>
            </w:pPr>
            <w:r>
              <w:rPr/>
              <w:t>$13,334,200</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“Stock Awards” column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equity award adjustments for each applicable year include the addition (or subtraction, as applicable) of the following: (i)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 xml:space="preserve">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All performance-based stock options were fully-vested as of December 31, 2023.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amounts deducted or added in calculating the equity award adjustments are as follows: </w:t>
      </w:r>
    </w:p>
    <w:p>
      <w:pPr>
        <w:pStyle w:val="TextBody"/>
        <w:bidi w:val="0"/>
        <w:spacing w:before="0" w:after="0"/>
        <w:jc w:val="left"/>
        <w:rPr>
          <w:shd w:fill="FFFFFF" w:val="clear"/>
        </w:rPr>
      </w:pPr>
      <w:r>
        <w:rPr>
          <w:shd w:fill="FFFFFF" w:val="clear"/>
        </w:rPr>
        <w:t> </w:t>
      </w:r>
    </w:p>
    <w:tbl>
      <w:tblPr>
        <w:tblW w:w="9505" w:type="dxa"/>
        <w:jc w:val="left"/>
        <w:tblInd w:w="0" w:type="dxa"/>
        <w:tblLayout w:type="fixed"/>
        <w:tblCellMar>
          <w:top w:w="0" w:type="dxa"/>
          <w:left w:w="0" w:type="dxa"/>
          <w:bottom w:w="0" w:type="dxa"/>
          <w:right w:w="0" w:type="dxa"/>
        </w:tblCellMar>
      </w:tblPr>
      <w:tblGrid>
        <w:gridCol w:w="455"/>
        <w:gridCol w:w="60"/>
        <w:gridCol w:w="1025"/>
        <w:gridCol w:w="60"/>
        <w:gridCol w:w="1325"/>
        <w:gridCol w:w="60"/>
        <w:gridCol w:w="1280"/>
        <w:gridCol w:w="60"/>
        <w:gridCol w:w="1100"/>
        <w:gridCol w:w="60"/>
        <w:gridCol w:w="1250"/>
        <w:gridCol w:w="60"/>
        <w:gridCol w:w="1385"/>
        <w:gridCol w:w="60"/>
        <w:gridCol w:w="126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t>Year End</w:t>
              <w:br/>
              <w:t>Fair Value</w:t>
              <w:br/>
              <w:t>of Equity</w:t>
              <w:br/>
              <w:t>Awards</w:t>
            </w:r>
          </w:p>
        </w:tc>
        <w:tc>
          <w:tcPr>
            <w:tcW w:w="60" w:type="dxa"/>
            <w:tcBorders/>
            <w:vAlign w:val="center"/>
          </w:tcPr>
          <w:p>
            <w:pPr>
              <w:pStyle w:val="TableContents"/>
              <w:bidi w:val="0"/>
              <w:spacing w:before="0" w:after="283"/>
              <w:jc w:val="left"/>
              <w:rPr/>
            </w:pPr>
            <w:r>
              <w:rPr/>
              <w:t> </w:t>
            </w:r>
          </w:p>
        </w:tc>
        <w:tc>
          <w:tcPr>
            <w:tcW w:w="1325" w:type="dxa"/>
            <w:tcBorders>
              <w:bottom w:val="single" w:sz="8" w:space="0" w:color="000000"/>
            </w:tcBorders>
            <w:tcMar>
              <w:bottom w:w="28" w:type="dxa"/>
            </w:tcMar>
            <w:vAlign w:val="center"/>
          </w:tcPr>
          <w:p>
            <w:pPr>
              <w:pStyle w:val="TableContents"/>
              <w:bidi w:val="0"/>
              <w:spacing w:before="0" w:after="283"/>
              <w:jc w:val="center"/>
              <w:rPr/>
            </w:pPr>
            <w:r>
              <w:rPr/>
              <w:t>Year over</w:t>
              <w:br/>
              <w:t>Year Change</w:t>
              <w:br/>
              <w:t>in Fair Value</w:t>
              <w:br/>
              <w:t>of</w:t>
              <w:br/>
              <w:t>Outstanding</w:t>
              <w:br/>
              <w:t>and Unvested</w:t>
              <w:br/>
              <w:t>Equity</w:t>
              <w:br/>
              <w:t>Awards</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pPr>
            <w:r>
              <w:rPr/>
              <w:t>Fair Value as</w:t>
              <w:br/>
              <w:t>of Vesting</w:t>
              <w:br/>
              <w:t>Date of</w:t>
              <w:br/>
              <w:t>Equity</w:t>
              <w:br/>
              <w:t>Awards</w:t>
              <w:br/>
              <w:t>Granted and</w:t>
              <w:br/>
              <w:t>Vested in the</w:t>
              <w:br/>
              <w:t>Year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t>Change in</w:t>
              <w:br/>
              <w:t>Fair Value</w:t>
              <w:br/>
              <w:t>of Equity</w:t>
              <w:br/>
              <w:t>Awards</w:t>
              <w:br/>
              <w:t>Granted in</w:t>
              <w:br/>
              <w:t>Prior Years</w:t>
              <w:br/>
              <w:t>that Vested</w:t>
              <w:br/>
              <w:t>in the Year</w:t>
            </w:r>
          </w:p>
        </w:tc>
        <w:tc>
          <w:tcPr>
            <w:tcW w:w="6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pPr>
            <w:r>
              <w:rPr/>
              <w:t>Fair Value at</w:t>
              <w:br/>
              <w:t>the End of</w:t>
              <w:br/>
              <w:t>the Prior</w:t>
              <w:br/>
              <w:t>Year of</w:t>
              <w:br/>
              <w:t>Equity</w:t>
              <w:br/>
              <w:t>Awards that</w:t>
              <w:br/>
              <w:t>Failed to</w:t>
              <w:br/>
              <w:t>Meet</w:t>
              <w:br/>
              <w:t>Vesting</w:t>
              <w:br/>
              <w:t>Conditions</w:t>
              <w:br/>
              <w:t>in the Year</w:t>
            </w:r>
          </w:p>
        </w:tc>
        <w:tc>
          <w:tcPr>
            <w:tcW w:w="60" w:type="dxa"/>
            <w:tcBorders/>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spacing w:before="0" w:after="283"/>
              <w:jc w:val="center"/>
              <w:rPr/>
            </w:pPr>
            <w:r>
              <w:rPr/>
              <w:t>Value of</w:t>
              <w:br/>
              <w:t>Dividends or</w:t>
              <w:br/>
              <w:t>other</w:t>
              <w:br/>
              <w:t>Earnings Paid</w:t>
              <w:br/>
              <w:t>on Stock or</w:t>
              <w:br/>
              <w:t>Option</w:t>
              <w:br/>
              <w:t>Awards not</w:t>
              <w:br/>
              <w:t>Otherwise</w:t>
              <w:br/>
              <w:t>Reflected in</w:t>
              <w:br/>
              <w:t>Fair Value or</w:t>
              <w:br/>
              <w:t>Total</w:t>
              <w:br/>
              <w:t>Compensation</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pPr>
            <w:r>
              <w:rPr/>
              <w:t>Total</w:t>
              <w:br/>
              <w:t>Equity</w:t>
              <w:br/>
              <w:t>Award</w:t>
              <w:br/>
              <w:t>Adjustments</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$870,970</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$566,682</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$6,941,012</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$8,378,664</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$352,663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($7,401,352)</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$27,519</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($495,722)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$0</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$0</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($7,516,892)</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$10,480,064</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$2,287,044</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$12,767,108</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(d) represent the average of the amounts reported for the Company’s named executive officers (NEOs) as a group (excluding Mr. Bricker, who serves as our PEO) in the “Total” column of the Summary Compensation Table in each applicable year. The names of each of these NEOs included for purposes of calculating the average amounts in each applicable year are as follows: (i) for 2021, Dave Davis and Gregory Mays; (ii) for 2022, Dave Davis and Rose Neale; and (iii) for 2023, Dave Davis, Grant Whitney, Gregory Mays, Rose Neale and Eric Levenhagen.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(e) represent the average amount of “compensation actually paid” to the NEOs as a group (excluding Mr. Bricker),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these NEOs as a group during the applicable year. In accordance with the requirements of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average total compensation for these NEOs as a group for each year to determine the compensation actually paid, using the same methodology described above in Note 2: </w:t>
            </w:r>
          </w:p>
        </w:tc>
      </w:tr>
    </w:tbl>
    <w:p>
      <w:pPr>
        <w:pStyle w:val="TextBody"/>
        <w:bidi w:val="0"/>
        <w:spacing w:before="0" w:after="0"/>
        <w:jc w:val="left"/>
        <w:rPr>
          <w:shd w:fill="FFFFFF" w:val="clear"/>
        </w:rPr>
      </w:pPr>
      <w:r>
        <w:rPr>
          <w:shd w:fill="FFFFFF" w:val="clear"/>
        </w:rPr>
        <w:t> </w:t>
      </w:r>
    </w:p>
    <w:tbl>
      <w:tblPr>
        <w:tblW w:w="8865" w:type="dxa"/>
        <w:jc w:val="left"/>
        <w:tblInd w:w="0" w:type="dxa"/>
        <w:tblLayout w:type="fixed"/>
        <w:tblCellMar>
          <w:top w:w="0" w:type="dxa"/>
          <w:left w:w="0" w:type="dxa"/>
          <w:bottom w:w="0" w:type="dxa"/>
          <w:right w:w="0" w:type="dxa"/>
        </w:tblCellMar>
      </w:tblPr>
      <w:tblGrid>
        <w:gridCol w:w="455"/>
        <w:gridCol w:w="120"/>
        <w:gridCol w:w="1445"/>
        <w:gridCol w:w="120"/>
        <w:gridCol w:w="1535"/>
        <w:gridCol w:w="120"/>
        <w:gridCol w:w="1520"/>
        <w:gridCol w:w="120"/>
        <w:gridCol w:w="1655"/>
        <w:gridCol w:w="120"/>
        <w:gridCol w:w="165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0"/>
              <w:jc w:val="center"/>
              <w:rPr/>
            </w:pPr>
            <w:r>
              <w:rPr/>
              <w:t>Average</w:t>
              <w:br/>
              <w:t>Reported</w:t>
              <w:br/>
              <w:t>Summary</w:t>
              <w:br/>
              <w:t>Compensation</w:t>
              <w:br/>
              <w:t>Table Total for</w:t>
            </w:r>
          </w:p>
          <w:p>
            <w:pPr>
              <w:pStyle w:val="TableContents"/>
              <w:bidi w:val="0"/>
              <w:spacing w:before="0" w:after="0"/>
              <w:jc w:val="center"/>
              <w:rPr>
                <w:spacing w:val="0"/>
              </w:rPr>
            </w:pPr>
            <w:r>
              <w:rPr>
                <w:spacing w:val="0"/>
              </w:rPr>
              <w:t>Non-PEO</w:t>
            </w:r>
          </w:p>
          <w:p>
            <w:pPr>
              <w:pStyle w:val="TableContents"/>
              <w:bidi w:val="0"/>
              <w:spacing w:before="0" w:after="0"/>
              <w:jc w:val="center"/>
              <w:rPr/>
            </w:pPr>
            <w:r>
              <w:rPr/>
              <w:br/>
              <w:t>NEOs</w:t>
            </w:r>
          </w:p>
        </w:tc>
        <w:tc>
          <w:tcPr>
            <w:tcW w:w="12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center"/>
              <w:rPr/>
            </w:pPr>
            <w:r>
              <w:rPr/>
              <w:t>Average</w:t>
              <w:br/>
              <w:t>Reported</w:t>
              <w:br/>
              <w:t>Value of Equity</w:t>
              <w:br/>
              <w:t>Awards</w:t>
            </w:r>
          </w:p>
        </w:tc>
        <w:tc>
          <w:tcPr>
            <w:tcW w:w="120"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0"/>
              <w:jc w:val="center"/>
              <w:rPr/>
            </w:pPr>
            <w:r>
              <w:rPr/>
              <w:t>Average Equity</w:t>
              <w:br/>
              <w:t>Award</w:t>
              <w:br/>
              <w:t>Adjustments</w:t>
            </w:r>
          </w:p>
          <w:p>
            <w:pPr>
              <w:pStyle w:val="TableContents"/>
              <w:bidi w:val="0"/>
              <w:spacing w:before="0" w:after="0"/>
              <w:jc w:val="center"/>
              <w:rPr>
                <w:sz w:val="9"/>
              </w:rPr>
            </w:pPr>
            <w:r>
              <w:rPr>
                <w:sz w:val="9"/>
              </w:rPr>
              <w:t>(a)</w:t>
            </w:r>
          </w:p>
        </w:tc>
        <w:tc>
          <w:tcPr>
            <w:tcW w:w="120" w:type="dxa"/>
            <w:tcBorders/>
            <w:vAlign w:val="center"/>
          </w:tcPr>
          <w:p>
            <w:pPr>
              <w:pStyle w:val="TableContents"/>
              <w:bidi w:val="0"/>
              <w:spacing w:before="0" w:after="283"/>
              <w:jc w:val="left"/>
              <w:rPr/>
            </w:pPr>
            <w:r>
              <w:rPr/>
              <w:t>  </w:t>
            </w:r>
          </w:p>
        </w:tc>
        <w:tc>
          <w:tcPr>
            <w:tcW w:w="1655" w:type="dxa"/>
            <w:tcBorders>
              <w:bottom w:val="single" w:sz="8" w:space="0" w:color="000000"/>
            </w:tcBorders>
            <w:tcMar>
              <w:bottom w:w="28" w:type="dxa"/>
            </w:tcMar>
            <w:vAlign w:val="center"/>
          </w:tcPr>
          <w:p>
            <w:pPr>
              <w:pStyle w:val="TableContents"/>
              <w:bidi w:val="0"/>
              <w:spacing w:before="0" w:after="283"/>
              <w:jc w:val="center"/>
              <w:rPr/>
            </w:pPr>
            <w:r>
              <w:rPr/>
              <w:t>Average</w:t>
              <w:br/>
              <w:t>Reported</w:t>
              <w:br/>
              <w:t>Change in the</w:t>
              <w:br/>
              <w:t>Actuarial Present</w:t>
              <w:br/>
              <w:t>Value of Pension</w:t>
              <w:br/>
              <w:t>Benefits</w:t>
            </w:r>
          </w:p>
        </w:tc>
        <w:tc>
          <w:tcPr>
            <w:tcW w:w="120" w:type="dxa"/>
            <w:tcBorders/>
            <w:vAlign w:val="center"/>
          </w:tcPr>
          <w:p>
            <w:pPr>
              <w:pStyle w:val="TableContents"/>
              <w:bidi w:val="0"/>
              <w:spacing w:before="0" w:after="283"/>
              <w:jc w:val="left"/>
              <w:rPr/>
            </w:pPr>
            <w:r>
              <w:rPr/>
              <w:t>  </w:t>
            </w:r>
          </w:p>
        </w:tc>
        <w:tc>
          <w:tcPr>
            <w:tcW w:w="1655" w:type="dxa"/>
            <w:tcBorders>
              <w:bottom w:val="single" w:sz="8" w:space="0" w:color="000000"/>
            </w:tcBorders>
            <w:tcMar>
              <w:bottom w:w="28" w:type="dxa"/>
            </w:tcMar>
            <w:vAlign w:val="center"/>
          </w:tcPr>
          <w:p>
            <w:pPr>
              <w:pStyle w:val="TableContents"/>
              <w:bidi w:val="0"/>
              <w:spacing w:before="0" w:after="0"/>
              <w:jc w:val="center"/>
              <w:rPr/>
            </w:pPr>
            <w:r>
              <w:rPr/>
              <w:t>Average</w:t>
              <w:br/>
              <w:t>Compensation</w:t>
              <w:br/>
              <w:t>Actually Paid to</w:t>
            </w:r>
          </w:p>
          <w:p>
            <w:pPr>
              <w:pStyle w:val="TableContents"/>
              <w:bidi w:val="0"/>
              <w:spacing w:before="0" w:after="0"/>
              <w:jc w:val="center"/>
              <w:rPr>
                <w:spacing w:val="0"/>
              </w:rPr>
            </w:pPr>
            <w:r>
              <w:rPr>
                <w:spacing w:val="0"/>
              </w:rPr>
              <w:t>Non-PEO NEOs</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$908,628</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($255,000)</w:t>
            </w:r>
          </w:p>
        </w:tc>
        <w:tc>
          <w:tcPr>
            <w:tcW w:w="12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$1,973,144</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$2,626,772</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$793,020</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($368,752)</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($1,773,915)</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($1,349,647)</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12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$637,347</w:t>
            </w:r>
          </w:p>
        </w:tc>
        <w:tc>
          <w:tcPr>
            <w:tcW w:w="12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($0)</w:t>
            </w:r>
          </w:p>
        </w:tc>
        <w:tc>
          <w:tcPr>
            <w:tcW w:w="12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$5,373,899</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$6,011,246</w:t>
            </w:r>
          </w:p>
        </w:tc>
      </w:tr>
    </w:tbl>
    <w:p>
      <w:pPr>
        <w:pStyle w:val="TextBody"/>
        <w:bidi w:val="0"/>
        <w:spacing w:before="0" w:after="0"/>
        <w:jc w:val="left"/>
        <w:rPr>
          <w:shd w:fill="FFFFFF" w:val="clear"/>
        </w:rPr>
      </w:pPr>
      <w:r>
        <w:rPr>
          <w:shd w:fill="FFFFFF" w:val="clear"/>
        </w:rPr>
        <w:t> </w:t>
      </w:r>
    </w:p>
    <w:tbl>
      <w:tblPr>
        <w:tblW w:w="8905" w:type="dxa"/>
        <w:jc w:val="left"/>
        <w:tblInd w:w="0" w:type="dxa"/>
        <w:tblLayout w:type="fixed"/>
        <w:tblCellMar>
          <w:top w:w="0" w:type="dxa"/>
          <w:left w:w="0" w:type="dxa"/>
          <w:bottom w:w="0" w:type="dxa"/>
          <w:right w:w="0" w:type="dxa"/>
        </w:tblCellMar>
      </w:tblPr>
      <w:tblGrid>
        <w:gridCol w:w="75"/>
        <w:gridCol w:w="275"/>
        <w:gridCol w:w="8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deducted or added in calculating the total average equity award adjustments are as follows: </w:t>
            </w:r>
          </w:p>
        </w:tc>
      </w:tr>
    </w:tbl>
    <w:p>
      <w:pPr>
        <w:pStyle w:val="TextBody"/>
        <w:bidi w:val="0"/>
        <w:spacing w:before="0" w:after="0"/>
        <w:jc w:val="left"/>
        <w:rPr>
          <w:shd w:fill="FFFFFF" w:val="clear"/>
        </w:rPr>
      </w:pPr>
      <w:r>
        <w:rPr>
          <w:shd w:fill="FFFFFF" w:val="clear"/>
        </w:rPr>
        <w:t> </w:t>
      </w:r>
    </w:p>
    <w:tbl>
      <w:tblPr>
        <w:tblW w:w="9640" w:type="dxa"/>
        <w:jc w:val="left"/>
        <w:tblInd w:w="0" w:type="dxa"/>
        <w:tblLayout w:type="fixed"/>
        <w:tblCellMar>
          <w:top w:w="0" w:type="dxa"/>
          <w:left w:w="0" w:type="dxa"/>
          <w:bottom w:w="0" w:type="dxa"/>
          <w:right w:w="0" w:type="dxa"/>
        </w:tblCellMar>
      </w:tblPr>
      <w:tblGrid>
        <w:gridCol w:w="455"/>
        <w:gridCol w:w="60"/>
        <w:gridCol w:w="1025"/>
        <w:gridCol w:w="60"/>
        <w:gridCol w:w="1460"/>
        <w:gridCol w:w="60"/>
        <w:gridCol w:w="1265"/>
        <w:gridCol w:w="60"/>
        <w:gridCol w:w="1100"/>
        <w:gridCol w:w="60"/>
        <w:gridCol w:w="1265"/>
        <w:gridCol w:w="60"/>
        <w:gridCol w:w="1385"/>
        <w:gridCol w:w="60"/>
        <w:gridCol w:w="126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t>Average</w:t>
              <w:br/>
              <w:t>Year End</w:t>
              <w:br/>
              <w:t>Fair Value</w:t>
              <w:br/>
              <w:t>of Equity</w:t>
              <w:br/>
              <w:t>Awards</w:t>
            </w:r>
          </w:p>
        </w:tc>
        <w:tc>
          <w:tcPr>
            <w:tcW w:w="6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pPr>
            <w:r>
              <w:rPr/>
              <w:t>Year over</w:t>
              <w:br/>
              <w:t>Year Average</w:t>
              <w:br/>
              <w:t>Change in Fair</w:t>
              <w:br/>
              <w:t>Value of</w:t>
              <w:br/>
              <w:t>Outstanding</w:t>
              <w:br/>
              <w:t>and Unvested</w:t>
              <w:br/>
              <w:t>Equity Awards</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pPr>
            <w:r>
              <w:rPr/>
              <w:t>Average Fair</w:t>
              <w:br/>
              <w:t>Value as of</w:t>
              <w:br/>
              <w:t>Vesting Date</w:t>
              <w:br/>
              <w:t>of Equity</w:t>
              <w:br/>
              <w:t>Awards</w:t>
              <w:br/>
              <w:t>Granted and</w:t>
              <w:br/>
              <w:t>Vested in</w:t>
              <w:br/>
              <w:t>the Year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t>Average</w:t>
              <w:br/>
              <w:t>Change in</w:t>
              <w:br/>
              <w:t>Fair Value</w:t>
              <w:br/>
              <w:t>of Equity</w:t>
              <w:br/>
              <w:t>Awards</w:t>
              <w:br/>
              <w:t>Granted in</w:t>
              <w:br/>
              <w:t>Prior Years</w:t>
              <w:br/>
              <w:t>that Vested</w:t>
              <w:br/>
              <w:t>in the Year</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pPr>
            <w:r>
              <w:rPr/>
              <w:t>Average Fair</w:t>
              <w:br/>
              <w:t>Value at the</w:t>
              <w:br/>
              <w:t>End of the</w:t>
              <w:br/>
              <w:t>Prior Year</w:t>
              <w:br/>
              <w:t>of Equity</w:t>
              <w:br/>
              <w:t>Awards that</w:t>
              <w:br/>
              <w:t>Failed to</w:t>
              <w:br/>
              <w:t>Meet</w:t>
              <w:br/>
              <w:t>Vesting</w:t>
              <w:br/>
              <w:t>Conditions</w:t>
              <w:br/>
              <w:t>in the Year</w:t>
            </w:r>
          </w:p>
        </w:tc>
        <w:tc>
          <w:tcPr>
            <w:tcW w:w="60" w:type="dxa"/>
            <w:tcBorders/>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spacing w:before="0" w:after="283"/>
              <w:jc w:val="center"/>
              <w:rPr/>
            </w:pPr>
            <w:r>
              <w:rPr/>
              <w:t>Average</w:t>
              <w:br/>
              <w:t>Value of</w:t>
              <w:br/>
              <w:t>Dividends or</w:t>
              <w:br/>
              <w:t>other</w:t>
              <w:br/>
              <w:t>Earnings Paid</w:t>
              <w:br/>
              <w:t>on Stock or</w:t>
              <w:br/>
              <w:t>Option</w:t>
              <w:br/>
              <w:t>Awards not</w:t>
              <w:br/>
              <w:t>Otherwise</w:t>
              <w:br/>
              <w:t>Reflected in</w:t>
              <w:br/>
              <w:t>Fair Value or</w:t>
              <w:br/>
              <w:t>Total</w:t>
              <w:br/>
              <w:t>Compensation</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pPr>
            <w:r>
              <w:rPr/>
              <w:t>Total</w:t>
              <w:br/>
              <w:t>Average</w:t>
              <w:br/>
              <w:t>Equity</w:t>
              <w:br/>
              <w:t>Award</w:t>
              <w:br/>
              <w:t>Adjustments</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$221,412</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($831)</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$76,247</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$1,676,316</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$1,973,144</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$264,220</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($1,950,545)</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$20,619</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($108,208)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($1,773,915)</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$4,477,443</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$896,456</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$5,373,899</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 peer group TSR, weighted according to the respective companies’ stock market capitalization at the beginning of each period for which a return is indicated. The peer group used for this purpose is the following published industry index: NYSE ARCA Airline Index.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(7)</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net income reflected in the Company’s audited financial statements for the applicable year.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(8)</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net income plus interest expense, depreciation and amortization, interest income, provision for income taxes, stock-based compensation expense, impact of Special Items, net, (as presented in Note 16 of Part II, Item 8 of the 2023 10-K) adjustments to the Tax Receivable Agreement (“TRA”) for the period (as presented in Note 14 of Part II, Item 8 of the 2023 10-K) and other cash and non-cash charges resulting from matters we consider not to be indicative of our ongoing operations.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(9)</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Actually Paid for 2023 reflects the fact that a number of the NEOs’ performance-based stock options vested during 2023 and were fully vested by December 31, 2023. These options vested based on achievement of certain multiples of invested capital of our former major private equity holder and do not reflect amounts actually paid to the NEOs during such year.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(10)</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Compensation Paid for 2021 reflects the fact that the Company’s stock price increased following its IPO, which results in correspondingly higher valuations of equity-based awards as presented in the table above. These amounts do not necessarily reflect compensation paid or received during such year.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Financial Performance Measures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described in greater detail in “Executive Compensation – Compensation Discussion and Analysis,” the Company’s executive compensation program reflects a variable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pay-for-performance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in no particular order: </w:t>
      </w:r>
    </w:p>
    <w:p>
      <w:pPr>
        <w:pStyle w:val="TextBody"/>
        <w:bidi w:val="0"/>
        <w:spacing w:before="0" w:after="0"/>
        <w:jc w:val="left"/>
        <w:rPr>
          <w:shd w:fill="FFFFFF" w:val="clear"/>
        </w:rPr>
      </w:pPr>
      <w:r>
        <w:rPr>
          <w:shd w:fill="FFFFFF" w:val="clea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Fuel-neutral Adjusted EBT Margin </w:t>
            </w:r>
          </w:p>
        </w:tc>
      </w:tr>
    </w:tbl>
    <w:p>
      <w:pPr>
        <w:pStyle w:val="TextBody"/>
        <w:bidi w:val="0"/>
        <w:spacing w:before="0" w:after="0"/>
        <w:jc w:val="left"/>
        <w:rPr>
          <w:shd w:fill="FFFFFF" w:val="clear"/>
        </w:rPr>
      </w:pPr>
      <w:r>
        <w:rPr>
          <w:shd w:fill="FFFFFF" w:val="clea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EBT Margin Ranking </w:t>
            </w:r>
          </w:p>
        </w:tc>
      </w:tr>
    </w:tbl>
    <w:p>
      <w:pPr>
        <w:pStyle w:val="TextBody"/>
        <w:bidi w:val="0"/>
        <w:spacing w:before="0" w:after="0"/>
        <w:jc w:val="left"/>
        <w:rPr>
          <w:shd w:fill="FFFFFF" w:val="clear"/>
        </w:rPr>
      </w:pPr>
      <w:r>
        <w:rPr>
          <w:shd w:fill="FFFFFF" w:val="clear"/>
        </w:rPr>
        <w:t> </w:t>
      </w:r>
    </w:p>
    <w:tbl>
      <w:tblPr>
        <w:tblW w:w="1660" w:type="dxa"/>
        <w:jc w:val="left"/>
        <w:tblInd w:w="0" w:type="dxa"/>
        <w:tblLayout w:type="fixed"/>
        <w:tblCellMar>
          <w:top w:w="0" w:type="dxa"/>
          <w:left w:w="0" w:type="dxa"/>
          <w:bottom w:w="0" w:type="dxa"/>
          <w:right w:w="0" w:type="dxa"/>
        </w:tblCellMar>
      </w:tblPr>
      <w:tblGrid>
        <w:gridCol w:w="75"/>
        <w:gridCol w:w="110"/>
        <w:gridCol w:w="60"/>
        <w:gridCol w:w="1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CASM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Relationship between Compensation Actually Paid and Total Shareholder Return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Compensation actually paid to our CEO and non-CEO NEOs on average as a group (as calculated pursuant to Item 402(v) of Reg S-K) was highest during 2021, which correlates with our total share holder return for 2021, which was higher in 2021 than in 2022 or 2023. Relatedly, Company total shareholder return decreased from 2021 to 2022, and compensation actual paid also decreased from 2021 to 2022.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Relationship between Compensation Actually Paid and Net Income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Compensation actually paid to our CEO and non-CEO NEOs on average as a group (as calculated pursuant to Item 402(v) of Reg S-K) for 2021, 2022 and 2023 directly correlates to net income levels for those years. Specifically, compensation actually paid was lowest during 2022 (as compared to 2021 and 2023), and net income was lowest during 2022 (as compared to 2021 and 2023). Similarly, compensation actually paid was highest in 2021 (as compared to 2022 and 2023), and net income was highest during 2021 (as compared to 2022 and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Relationship between Compensation Actually Paid and Adjusted EBITDA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Compensation actually paid to our CEO and non-CEO NEOs on average as a group (as calculated pursuant to Item 402(v) of Reg S-K) for 2021, 2022 and 2023 does not directly correlate to Adjusted EBITDA for the years presented in the table. Compensation actually paid was highest in 2021 (as compared to 2022 and 2023), and Adjusted EBITDA was lowest during 2021 (as compared to 2022 and 2023). However, there is some correlation, given that compensation actually paid during 2023 increased from 2022, and Adjusted EBITDA similarly increased from 2022 to 2023.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Relationship between Company TSR and Peer Group TSR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2021, Company total shareholder return was slightly higher than peer group total shareholder return. During 2022, Company total shareholder return was slightly lower than peer group total shareholder return. Peer group total shareholder in 2023 increased from 2022, whereas Company total shareholder return for 2023 remained relatively consistent with 2022 levels.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2023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During 2023, none of the members of our Board of Directors received any compensation from the Company for their services on the Board, except as set forth below. During fiscal year 2023, with respect to the period from January 1, 2023 through July 31, 2023, our non-employee director compensation program consisted of the following: annual cash retainer fee equal to $50,000 ($75,000 for the Board Chair), and additional fees as follows: $20,000 for the Audit Committee Chair, $15,000 for the Compensation and Human Resources Committee Chair, $10,000 for the Nominating and Corporate Governance Committee Chair and $10,000 for the Safety Committee Chair. The Board of Directors periodically reviews director compensation to ensure that it is appropriate and in line with our Peer Group. In August of 2023, the Compensation and Human Resources Committee, in consultation with the committee’s independent compensation consultant, recommended, and the Board of Directors approved, adjustments to the non-employee compensation program, which became effective for the period beginning August 1, 2023, as follows: annual cash retainer fee equal to $75,000 ($100,000 for the Board Chair) and additional fees as follows: $25,000 for the Audit Committee Chair, $20,000 for the Compensation and Human Resources Committee Chair, $15,000 for the Nominating and Governance Committee Chair and $15,000 for the Safety Committee Chair. All cash retainers are paid quarterly. Non-employee directors also receive an annual equity retainer consisting of RSUs having a grant date value of $120,000 ($170,000 for the Board Chair). The annual equity retainers are generally granted in connection with the Company’s annual stockholders’ meeting each year; in addition, newly-appointed directors receive a pro-rata annual equity grant at the time they join the Board. </w:t>
      </w:r>
    </w:p>
    <w:p>
      <w:pPr>
        <w:pStyle w:val="TextBody"/>
        <w:bidi w:val="0"/>
        <w:spacing w:before="0" w:after="0"/>
        <w:jc w:val="left"/>
        <w:rPr/>
      </w:pPr>
      <w:r>
        <w:rPr/>
        <w:t> </w:t>
      </w:r>
    </w:p>
    <w:tbl>
      <w:tblPr>
        <w:tblW w:w="7025" w:type="dxa"/>
        <w:jc w:val="left"/>
        <w:tblInd w:w="0" w:type="dxa"/>
        <w:tblLayout w:type="fixed"/>
        <w:tblCellMar>
          <w:top w:w="0" w:type="dxa"/>
          <w:left w:w="0" w:type="dxa"/>
          <w:bottom w:w="0" w:type="dxa"/>
          <w:right w:w="0" w:type="dxa"/>
        </w:tblCellMar>
      </w:tblPr>
      <w:tblGrid>
        <w:gridCol w:w="1685"/>
        <w:gridCol w:w="120"/>
        <w:gridCol w:w="210"/>
        <w:gridCol w:w="1025"/>
        <w:gridCol w:w="60"/>
        <w:gridCol w:w="120"/>
        <w:gridCol w:w="140"/>
        <w:gridCol w:w="800"/>
        <w:gridCol w:w="60"/>
        <w:gridCol w:w="120"/>
        <w:gridCol w:w="298"/>
        <w:gridCol w:w="1192"/>
        <w:gridCol w:w="60"/>
        <w:gridCol w:w="120"/>
        <w:gridCol w:w="140"/>
        <w:gridCol w:w="800"/>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b/>
              </w:rPr>
              <w:t>Fees earned</w:t>
            </w:r>
            <w:r>
              <w:rPr/>
              <w:br/>
            </w:r>
            <w:r>
              <w:rPr>
                <w:b/>
              </w:rPr>
              <w:t>or Paid</w:t>
            </w:r>
            <w:r>
              <w:rPr/>
              <w:br/>
            </w:r>
            <w:r>
              <w:rPr>
                <w:b/>
              </w:rPr>
              <w:t>in Cash</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b/>
              </w:rPr>
              <w:t>Stock</w:t>
            </w:r>
            <w:r>
              <w:rPr/>
              <w:br/>
            </w:r>
            <w:r>
              <w:rPr>
                <w:b/>
              </w:rPr>
              <w:t>Awards</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w:t>
            </w:r>
            <w:r>
              <w:rPr/>
              <w:br/>
            </w:r>
            <w:r>
              <w:rPr>
                <w:b/>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Marion Blakey</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71,306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191,306</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C. Kennedy</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76,306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191,306</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O’Keeffe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55,255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175,255</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Peterson</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42,755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163,505</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Kerry Philipovitch</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66,306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187,506</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Vogel</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76,369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246,369</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Dave Siegel</w:t>
            </w:r>
            <w:r>
              <w:rPr>
                <w:rFonts w:ascii="Times New Roman" w:hAnsi="Times New Roman"/>
                <w:b/>
                <w:sz w:val="20"/>
              </w:rPr>
              <w:t>(4)</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reflects fees earned or paid in cash in respect of services provided in fiscal year 2023.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reflect the aggregate grant date fair value of each award granted in 2023, calculated in accordance with FASB ASC Topic 718. During 2023, certain of our directors were granted restricted stock units that vest on the first anniversary of the grant date, subject to continued service on our Board of Directors.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“All Other Compensation” represent the ATP benefit utilized by the director. For fiscal year 2023, directors received a travel bank of $10,000 under the ATP. The value of this benefit is reported as taxable income with taxes on such income paid for by the Company.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Siegel resigned from the Board on March 7, 2023. In connection with Mr. Siegel’s departure from the Board, Mr. Siegel became entitled to the following benefits: (i) continued vesting of his options according to criteria applicable to the Company’s senior management team, which options have now fully vested pursuant to the terms of such awards, (ii) permission to be privy to any changes made to the future vesting schedules of Messrs. Bricker and Davis, (iii) extension of Mr. Siegel’s period to exercise his vested options for five years after vesting and (iv) lifetime travel benefits on the Company’s (or its successor’s) flights, up to a maximum of $10,000 per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each of the non-employee directors held unvested, outstanding stock awards as follows: Marion Blakey (6,186); Thomas C. Kennedy (6,186); Patrick O’Keeffe (6,186); Kerry Philipovitch (6,186); Gail Peterson (12,502); and Jennifer Vogel (8,805).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9" w:name="toc798883_7"/>
      <w:bookmarkEnd w:id="9"/>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compensation arrangements for our executive officers and directors (see “Executive Compensation” for a discussion of compensation arrangements for our named executive officers and directors) and the transactions discussed below, there were no transactions since the beginning of our 2023 fiscal year, or any currently proposed transaction, to which we were a party or will be a party, in which: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capital stock, or any member of the immediate family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General Counsel and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policy requires that notice of a proposed related person transaction be provided to the General Counsel prior to entry into such transaction. If the General Counsel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If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 </w:t>
      </w:r>
    </w:p>
    <w:p>
      <w:pPr>
        <w:pStyle w:val="TextBody"/>
        <w:bidi w:val="0"/>
        <w:spacing w:before="360" w:after="0"/>
        <w:jc w:val="left"/>
        <w:rPr>
          <w:rFonts w:ascii="Times New Roman" w:hAnsi="Times New Roman"/>
          <w:b/>
          <w:sz w:val="20"/>
        </w:rPr>
      </w:pPr>
      <w:r>
        <w:rPr>
          <w:rFonts w:ascii="Times New Roman" w:hAnsi="Times New Roman"/>
          <w:b/>
          <w:sz w:val="20"/>
        </w:rPr>
        <w:t xml:space="preserve">Anuvu </w:t>
      </w:r>
    </w:p>
    <w:p>
      <w:pPr>
        <w:pStyle w:val="TextBody"/>
        <w:bidi w:val="0"/>
        <w:spacing w:before="120" w:after="0"/>
        <w:jc w:val="left"/>
        <w:rPr>
          <w:rFonts w:ascii="Times New Roman" w:hAnsi="Times New Roman"/>
          <w:sz w:val="20"/>
        </w:rPr>
      </w:pPr>
      <w:r>
        <w:rPr>
          <w:rFonts w:ascii="Times New Roman" w:hAnsi="Times New Roman"/>
          <w:sz w:val="20"/>
        </w:rPr>
        <w:t xml:space="preserve">We use Anuvu Corporation (“Anuvu”), a provider of media, content, connectivity, and data analytics, as an in-flight Wi-Fi provider for a select few of our aircraft. Anuvu is partially owned by investment funds managed by affiliates of Apollo. We expensed approximately $203,000 for services with Anuvu in 2023, which services were provided on an arms’ length basis.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 </w:t>
      </w:r>
    </w:p>
    <w:p>
      <w:pPr>
        <w:pStyle w:val="TextBody"/>
        <w:bidi w:val="0"/>
        <w:spacing w:before="240" w:after="0"/>
        <w:jc w:val="left"/>
        <w:rPr>
          <w:rFonts w:ascii="Times New Roman" w:hAnsi="Times New Roman"/>
          <w:sz w:val="20"/>
        </w:rPr>
      </w:pPr>
      <w:r>
        <w:rPr>
          <w:rFonts w:ascii="Times New Roman" w:hAnsi="Times New Roman"/>
          <w:sz w:val="20"/>
        </w:rPr>
        <w:t xml:space="preserve">Further, the Stockholders Agreement sets forth certain information rights granted to the Apollo Stockholder. The Stockholders Agreement also provided Apollo and its affiliates with certain consent rights, but these provisions are no longer applicable as a result of Apollo’s current holdings in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2021, we entered into a registration rights agreement (the “Registration Rights Agreement”) with the Apollo Stockholder, Amazon, PAR Investment Partners, L.P.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 </w:t>
      </w:r>
    </w:p>
    <w:p>
      <w:pPr>
        <w:pStyle w:val="TextBody"/>
        <w:bidi w:val="0"/>
        <w:spacing w:before="240" w:after="0"/>
        <w:jc w:val="left"/>
        <w:rPr>
          <w:rFonts w:ascii="Times New Roman" w:hAnsi="Times New Roman"/>
          <w:sz w:val="20"/>
        </w:rPr>
      </w:pPr>
      <w:r>
        <w:rPr>
          <w:rFonts w:ascii="Times New Roman" w:hAnsi="Times New Roman"/>
          <w:sz w:val="20"/>
        </w:rPr>
        <w:t xml:space="preserve">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 </w:t>
      </w:r>
    </w:p>
    <w:p>
      <w:pPr>
        <w:pStyle w:val="TextBody"/>
        <w:bidi w:val="0"/>
        <w:spacing w:before="240" w:after="0"/>
        <w:jc w:val="left"/>
        <w:rPr>
          <w:rFonts w:ascii="Times New Roman" w:hAnsi="Times New Roman"/>
          <w:sz w:val="20"/>
        </w:rPr>
      </w:pPr>
      <w:r>
        <w:rPr>
          <w:rFonts w:ascii="Times New Roman" w:hAnsi="Times New Roman"/>
          <w:sz w:val="20"/>
        </w:rPr>
        <w:t xml:space="preserve">All expenses of registration under the Registration Rights Agreement, including the legal fees of counsel chosen by stockholders participating in a registration, will be paid by us.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granted in the Registration Rights Agreement are subject to customary restrictions including blackout periods and, if a registration is underwritten, any limitations on the number of shares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included in the underwritten offering as reasonably advised by the managing underwriter or underwriters. The Registration Rights Agreement also contains customary indemnification and contribution provisions. The Registration Rights Agreement is governed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2021, we entered into an income tax receivable agreement pursuant to which our pre-IPO stockholders, which includes certain members of the Company’s management and certain members of the Company’s Board of Directors,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We expect to be able to utilize the Pre-IPO Tax Attributes. We expect that the Pre-IPO Tax Attributes will reduce the amount of tax that we and our subsidiaries would otherwise be required to pay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 </w:t>
      </w:r>
    </w:p>
    <w:p>
      <w:pPr>
        <w:pStyle w:val="TextBody"/>
        <w:bidi w:val="0"/>
        <w:spacing w:before="240" w:after="0"/>
        <w:jc w:val="left"/>
        <w:rPr>
          <w:rFonts w:ascii="Times New Roman" w:hAnsi="Times New Roman"/>
          <w:sz w:val="20"/>
        </w:rPr>
      </w:pPr>
      <w:r>
        <w:rPr>
          <w:rFonts w:ascii="Times New Roman" w:hAnsi="Times New Roman"/>
          <w:sz w:val="20"/>
        </w:rPr>
        <w:t xml:space="preserve">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 </w:t>
      </w:r>
    </w:p>
    <w:p>
      <w:pPr>
        <w:pStyle w:val="TextBody"/>
        <w:bidi w:val="0"/>
        <w:spacing w:before="240" w:after="0"/>
        <w:jc w:val="left"/>
        <w:rPr>
          <w:rFonts w:ascii="Times New Roman" w:hAnsi="Times New Roman"/>
          <w:sz w:val="20"/>
        </w:rPr>
      </w:pPr>
      <w:r>
        <w:rPr>
          <w:rFonts w:ascii="Times New Roman" w:hAnsi="Times New Roman"/>
          <w:sz w:val="20"/>
        </w:rPr>
        <w:t xml:space="preserve">Any future changes in the realizability of our Pre-IPO Tax Attributes in each case, attributable to periods prior to our initial public offering, will impact the amount of the liability that will be paid to our pre-IPO stockholders, which includes certain members of the Company’s management and certain members of the Company’s Board of Directors.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$101 million as of December 31, 2023. We plan to use cash flow from operations and availability under the Revolving Credit Facility to fund our obligations under the income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If we undergo certain mergers, stock and asset sales, other forms of business combinations or other transactions constituting a “change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are unable to make payments under the income tax receivable agreement, such payments will be deferred and will accrue interest at a rate of SOFR plus 3.00%-5.00%.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0" w:name="toc798883_10"/>
      <w:bookmarkEnd w:id="10"/>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reviewed and discussed with the Company’s management and with KPMG the audited financial statements of the Company for the fiscal year ended December 31, 2023. The Audit Committee has discussed with KPMG the matters required to be discussed under the standards of the Public Company Accounting Oversight Board (“PCAOB”) and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also received the written disclosures and the letter from KPMG required by the applicable requirements of the PCAOB regarding the independent accountant’s communication with the Audit Committee concerning independence and the Audit Committee has discussed the independence of KPMG with that firm. </w:t>
      </w:r>
    </w:p>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of the matters noted above, the Audit Committee recommended to the Board of Directors that the Company’s audited financial statements be included in the Company’s Annual Report on Form 10-K for the fiscal year ended December 31, 2023, for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Audit Committee: </w:t>
      </w:r>
    </w:p>
    <w:p>
      <w:pPr>
        <w:pStyle w:val="TextBody"/>
        <w:bidi w:val="0"/>
        <w:spacing w:before="480" w:after="0"/>
        <w:jc w:val="left"/>
        <w:rPr>
          <w:rFonts w:ascii="Times New Roman" w:hAnsi="Times New Roman"/>
          <w:sz w:val="20"/>
        </w:rPr>
      </w:pPr>
      <w:r>
        <w:rPr>
          <w:rFonts w:ascii="Times New Roman" w:hAnsi="Times New Roman"/>
          <w:sz w:val="20"/>
        </w:rPr>
        <w:t xml:space="preserve">Thomas C. Kennedy, Chairperson </w:t>
      </w:r>
    </w:p>
    <w:p>
      <w:pPr>
        <w:pStyle w:val="TextBody"/>
        <w:bidi w:val="0"/>
        <w:spacing w:before="120" w:after="0"/>
        <w:jc w:val="left"/>
        <w:rPr>
          <w:rFonts w:ascii="Times New Roman" w:hAnsi="Times New Roman"/>
          <w:sz w:val="20"/>
        </w:rPr>
      </w:pPr>
      <w:r>
        <w:rPr>
          <w:rFonts w:ascii="Times New Roman" w:hAnsi="Times New Roman"/>
          <w:sz w:val="20"/>
        </w:rPr>
        <w:t xml:space="preserve">Kerry Philipovitch </w:t>
      </w:r>
    </w:p>
    <w:p>
      <w:pPr>
        <w:pStyle w:val="TextBody"/>
        <w:bidi w:val="0"/>
        <w:spacing w:before="120" w:after="0"/>
        <w:jc w:val="left"/>
        <w:rPr>
          <w:rFonts w:ascii="Times New Roman" w:hAnsi="Times New Roman"/>
          <w:sz w:val="20"/>
        </w:rPr>
      </w:pPr>
      <w:r>
        <w:rPr>
          <w:rFonts w:ascii="Times New Roman" w:hAnsi="Times New Roman"/>
          <w:sz w:val="20"/>
        </w:rPr>
        <w:t xml:space="preserve">Jennifer Vogel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1" w:name="toc798883_11"/>
      <w:bookmarkEnd w:id="11"/>
      <w:r>
        <w:rPr>
          <w:rFonts w:ascii="Times New Roman" w:hAnsi="Times New Roman"/>
          <w:b/>
          <w:sz w:val="20"/>
        </w:rPr>
        <w:t xml:space="preserve">AUDIT-RELATED FEES, TAX FEES AND ALL OTHER FEES </w:t>
      </w:r>
    </w:p>
    <w:p>
      <w:pPr>
        <w:pStyle w:val="TextBody"/>
        <w:bidi w:val="0"/>
        <w:spacing w:before="240" w:after="0"/>
        <w:jc w:val="left"/>
        <w:rPr>
          <w:rFonts w:ascii="Times New Roman" w:hAnsi="Times New Roman"/>
          <w:sz w:val="20"/>
        </w:rPr>
      </w:pPr>
      <w:r>
        <w:rPr>
          <w:rFonts w:ascii="Times New Roman" w:hAnsi="Times New Roman"/>
          <w:sz w:val="20"/>
        </w:rPr>
        <w:t xml:space="preserve">Fees paid or accrued for professional services provided by our independent auditors in each of the categories listed are as follows for the periods presented. All such fees are in accordance with our approval policies described below. </w:t>
      </w:r>
    </w:p>
    <w:p>
      <w:pPr>
        <w:pStyle w:val="TextBody"/>
        <w:bidi w:val="0"/>
        <w:spacing w:before="0" w:after="0"/>
        <w:jc w:val="left"/>
        <w:rPr/>
      </w:pPr>
      <w:r>
        <w:rPr/>
        <w:t> </w:t>
      </w:r>
    </w:p>
    <w:tbl>
      <w:tblPr>
        <w:tblW w:w="4507" w:type="dxa"/>
        <w:jc w:val="left"/>
        <w:tblInd w:w="0" w:type="dxa"/>
        <w:tblLayout w:type="fixed"/>
        <w:tblCellMar>
          <w:top w:w="0" w:type="dxa"/>
          <w:left w:w="0" w:type="dxa"/>
          <w:bottom w:w="0" w:type="dxa"/>
          <w:right w:w="0" w:type="dxa"/>
        </w:tblCellMar>
      </w:tblPr>
      <w:tblGrid>
        <w:gridCol w:w="1595"/>
        <w:gridCol w:w="120"/>
        <w:gridCol w:w="157"/>
        <w:gridCol w:w="1101"/>
        <w:gridCol w:w="67"/>
        <w:gridCol w:w="134"/>
        <w:gridCol w:w="157"/>
        <w:gridCol w:w="1101"/>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 Category</w:t>
            </w:r>
          </w:p>
        </w:tc>
        <w:tc>
          <w:tcPr>
            <w:tcW w:w="120"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1,400,200</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1,073,424</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181,725</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pPr>
            <w:r>
              <w:rPr/>
              <w:t>118,079</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0</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0</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1,581,925</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1,191,503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-primarily represent amounts for services related to the audit of our consolidated financial statements, reviews of our interim condensed consolidated financial statements, and the issuance of consents and for other periodic reports or documents filed with the SEC. </w:t>
      </w:r>
    </w:p>
    <w:p>
      <w:pPr>
        <w:pStyle w:val="TextBody"/>
        <w:bidi w:val="0"/>
        <w:spacing w:before="240" w:after="0"/>
        <w:jc w:val="left"/>
        <w:rPr>
          <w:rFonts w:ascii="Times New Roman" w:hAnsi="Times New Roman"/>
          <w:sz w:val="20"/>
        </w:rPr>
      </w:pPr>
      <w:r>
        <w:rPr>
          <w:rFonts w:ascii="Times New Roman" w:hAnsi="Times New Roman"/>
          <w:i/>
          <w:sz w:val="20"/>
        </w:rPr>
        <w:t>Audit-Related Fees</w:t>
      </w:r>
      <w:r>
        <w:rPr>
          <w:rFonts w:ascii="Times New Roman" w:hAnsi="Times New Roman"/>
          <w:sz w:val="20"/>
        </w:rPr>
        <w:t xml:space="preserve">-represent amounts for assurance and related services that are reasonably related to the performance of the audit or review of our financial statements, including fees related to the Company’s filings with the SEC and related comfort letters for its initial public offering and secondary offerings, and annual PFC audit. </w:t>
      </w:r>
    </w:p>
    <w:p>
      <w:pPr>
        <w:pStyle w:val="TextBody"/>
        <w:bidi w:val="0"/>
        <w:spacing w:before="24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-represent amounts for tax compliance, tax advice, and tax planning services. </w:t>
      </w:r>
    </w:p>
    <w:p>
      <w:pPr>
        <w:pStyle w:val="TextBody"/>
        <w:bidi w:val="0"/>
        <w:spacing w:before="24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-consist of all other fees for services other than those in the above categories and primarily consist of non-audit due diligence procedures in connection with our mergers and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adopted a pre-approval policy that provides guidelines for the audit, audit-related, tax, and other permissible non-audit services that may be provided by the independent auditors. The policy identifies the guiding principles that must be considered by the Audit Committee in approving services to ensure that the auditors’ independence is not impaired. Under the policy, the Audit Committee annually, and from time to time, pre-approves the audit engagement fees and terms of all audit and permitted non-audit services to be provided by the independent auditor.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2" w:name="toc798883_8"/>
      <w:bookmarkEnd w:id="12"/>
      <w:r>
        <w:rPr>
          <w:rFonts w:ascii="Times New Roman" w:hAnsi="Times New Roman"/>
          <w:b/>
          <w:sz w:val="20"/>
        </w:rPr>
        <w:t xml:space="preserve">PROPOSAL 2—NON-BINDING (ADVISORY) VOTE ON THE FREQUECY OF FUTURE ADVISORY VOTES TO APPROVE COMPENSATION OF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Section 14A of the Exchange Act and pursuant to the Dodd-Frank Act, we are providing our stockholders the opportunity to indicate how frequently we should seek future advisory say-on-pay votes on the compensation of our named executive officers. Under this proposal, stockholders may indicate whether they would prefer that the advisory say-on-pay vote on the compensation of our named executive officers occur every one, two or three years. Stockholders also may abstain from voting on this proposal. A vote on this proposal is required to be held at least every six years.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and Human Resources Committee and the Board believe that holding an advisory vote to approve the compensation of our named executive compensation “every year” is the best approach, because it allows stockholders to provide direct input on our compensation policies and programs consistent with our annual reporting of named executive compensation. This advisory vote, although not binding on the Board or the Compensation and Human Resources Committee, will be taken into account by the Board and the Compensation and Human Resources Committee when determining the frequency of holding future advisory say-on-pay votes.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Board of Directors recommends that the stockholders vote every “1 YEAR” on the frequency of advisory votes to approve named executive officer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proposal will be approved by the affirmative vote of a majority of the shares of our common stock present in person or by proxy at the Annual Meeting and entitled to vote. Abstentions will have the effect of voting “against” the proposal. If none of the three frequencies (1 year, 2 years or 3 years) receives the vote of a majority of the voting power of the shares present or represented by proxy at the Annual Meeting and entitled to vote, then the Board of Directors will consider the frequency that received the highest number of such affirmative votes to be the recommendation of stockholders with respect to this proposal. </w:t>
      </w:r>
    </w:p>
    <w:p>
      <w:pPr>
        <w:pStyle w:val="TextBody"/>
        <w:bidi w:val="0"/>
        <w:spacing w:before="360" w:after="0"/>
        <w:jc w:val="left"/>
        <w:rPr>
          <w:rFonts w:ascii="Times New Roman" w:hAnsi="Times New Roman"/>
          <w:b/>
          <w:sz w:val="20"/>
        </w:rPr>
      </w:pPr>
      <w:bookmarkStart w:id="13" w:name="toc798883_9"/>
      <w:bookmarkEnd w:id="13"/>
      <w:r>
        <w:rPr>
          <w:rFonts w:ascii="Times New Roman" w:hAnsi="Times New Roman"/>
          <w:b/>
          <w:sz w:val="20"/>
        </w:rPr>
        <w:t xml:space="preserve">PROPOSAL 3—NON-BINDING (ADVISORY) VOTE TO APPROVE THE COMPENSATION OF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Section 14A of the Securities Exchange Act of 1934, as amended (the “Exchange Act”) and pursuant to the Dodd-Frank Wall Street Reform and Consumer Protection Act of 2010 (the “Dodd-Frank Act”), we are required to provide our stockholders with an advisory vote to approve named executive officer compensation at least every three years, beginning with the 2024 Annual Meeting. This advisory vote, commonly known as a “say-on-pay” vote, is a non-binding vote on the compensation paid to our named executive officers as disclosed under the heading “Executive Compensation” beginning on page 20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designed to attract, motivate and retain highly qualified executives who are able to help achieve the Company’s objectives and create stockholder value over the long term. Our executive compensation programs and objectives are described in detail in “Executive Compensation-Compensation Discussion and Analysis” and the level of compensation paid to our named executive officers during the last three years is set out in the Summary Compensation Table and related information. Our Compensation and Human Resources Committee believes that our executive compensation program is effective in achieving our objectives. </w:t>
      </w:r>
    </w:p>
    <w:p>
      <w:pPr>
        <w:pStyle w:val="TextBody"/>
        <w:bidi w:val="0"/>
        <w:spacing w:before="240" w:after="0"/>
        <w:jc w:val="left"/>
        <w:rPr>
          <w:rFonts w:ascii="Times New Roman" w:hAnsi="Times New Roman"/>
          <w:sz w:val="20"/>
        </w:rPr>
      </w:pPr>
      <w:r>
        <w:rPr>
          <w:rFonts w:ascii="Times New Roman" w:hAnsi="Times New Roman"/>
          <w:sz w:val="20"/>
        </w:rPr>
        <w:t xml:space="preserve">This advisory vote to approve named executive officer compensation is not binding on our Board or the Compensation and Human Resources Committee. However, the Board and the Compensation and Human Resources Committee value our stockholders’ input and will take into account the result of the vote when determining future executive compensation arrangements.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Board of Directors recommends that the stockholders vote “FOR” the advisory approval of named executive officer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4" w:name="toc798883_12"/>
      <w:bookmarkEnd w:id="14"/>
      <w:r>
        <w:rPr>
          <w:rFonts w:ascii="Times New Roman" w:hAnsi="Times New Roman"/>
          <w:b/>
          <w:sz w:val="20"/>
        </w:rPr>
        <w:t xml:space="preserve">PROPOSAL 4—RATIFICATION OF APPOINTMENT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appointed KPMG to be the Company’s independent registered public accounting firm for the fiscal year ending December 31, 2023. KPMG has served as the Company’s or its predecessor’s independent registered public accounting firm since fiscal year 2018 and is considered by the Audit Committee and the Board of Directors to be well qualified. Representatives of KPMG are expected to be present at the Annual Meeting. Such representatives will have the opportunity to make a statement if they desire to do so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The proposal will be approved by the affirmative vote of a majority of the shares of our common stock present in person or by proxy at the Annual Meeting and entitled to vote. Abstentions will have the effect of voting “against” the proposal. Brokers have discretion to vote any uninstructed shares over the ratification of appointment of accountants.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Board of Directors recommends that the stockholders vote “FOR” such ratification.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5" w:name="toc798883_13"/>
      <w:bookmarkEnd w:id="1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the Record Date (or such other date indicated in the footnotes below), by: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we know to beneficially own more than 5% of our common stock;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for fiscal year 2023; </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directors; and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 As of the Record Date, 52,659,305, shares of common stock were issued and outstanding. </w:t>
      </w:r>
    </w:p>
    <w:p>
      <w:pPr>
        <w:pStyle w:val="TextBody"/>
        <w:bidi w:val="0"/>
        <w:spacing w:before="0" w:after="0"/>
        <w:jc w:val="left"/>
        <w:rPr/>
      </w:pPr>
      <w:r>
        <w:rPr/>
        <w:t> </w:t>
      </w:r>
    </w:p>
    <w:tbl>
      <w:tblPr>
        <w:tblW w:w="9007" w:type="dxa"/>
        <w:jc w:val="left"/>
        <w:tblInd w:w="0" w:type="dxa"/>
        <w:tblLayout w:type="fixed"/>
        <w:tblCellMar>
          <w:top w:w="0" w:type="dxa"/>
          <w:left w:w="0" w:type="dxa"/>
          <w:bottom w:w="0" w:type="dxa"/>
          <w:right w:w="0" w:type="dxa"/>
        </w:tblCellMar>
      </w:tblPr>
      <w:tblGrid>
        <w:gridCol w:w="5990"/>
        <w:gridCol w:w="60"/>
        <w:gridCol w:w="87"/>
        <w:gridCol w:w="1606"/>
        <w:gridCol w:w="87"/>
        <w:gridCol w:w="87"/>
        <w:gridCol w:w="94"/>
        <w:gridCol w:w="706"/>
        <w:gridCol w:w="290"/>
      </w:tblGrid>
      <w:tr>
        <w:trPr/>
        <w:tc>
          <w:tcPr>
            <w:tcW w:w="5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7" w:type="dxa"/>
            <w:gridSpan w:val="6"/>
            <w:tcBorders>
              <w:bottom w:val="single" w:sz="8" w:space="0" w:color="000000"/>
            </w:tcBorders>
            <w:tcMar>
              <w:bottom w:w="28" w:type="dxa"/>
            </w:tcMar>
            <w:vAlign w:val="center"/>
          </w:tcPr>
          <w:p>
            <w:pPr>
              <w:pStyle w:val="TableContents"/>
              <w:bidi w:val="0"/>
              <w:spacing w:before="0" w:after="283"/>
              <w:jc w:val="center"/>
              <w:rPr/>
            </w:pPr>
            <w:r>
              <w:rPr>
                <w:b/>
              </w:rPr>
              <w:t>Shares of Common Stock</w:t>
            </w:r>
            <w:r>
              <w:rPr/>
              <w:br/>
            </w:r>
            <w:r>
              <w:rPr>
                <w:b/>
              </w:rPr>
              <w:t>Beneficially Owned</w:t>
            </w:r>
          </w:p>
        </w:tc>
        <w:tc>
          <w:tcPr>
            <w:tcW w:w="290"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606"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SCA Horus Holdings, LLC; and</w:t>
            </w:r>
          </w:p>
          <w:p>
            <w:pPr>
              <w:pStyle w:val="TableContents"/>
              <w:bidi w:val="0"/>
              <w:spacing w:before="0" w:after="20"/>
              <w:jc w:val="left"/>
              <w:rPr>
                <w:rFonts w:ascii="Times New Roman" w:hAnsi="Times New Roman"/>
                <w:sz w:val="20"/>
              </w:rPr>
            </w:pPr>
            <w:r>
              <w:rPr>
                <w:rFonts w:ascii="Times New Roman" w:hAnsi="Times New Roman"/>
                <w:sz w:val="20"/>
              </w:rPr>
              <w:t>AP VIII (SCA Stock AIV), LLC; (1)</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11,161,105</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21.2</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 (2)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6,067,439</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11.5</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Vanguard Group (3)</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4,601,829</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8.7</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Macquarie Group Limited;</w:t>
            </w:r>
          </w:p>
          <w:p>
            <w:pPr>
              <w:pStyle w:val="TableContents"/>
              <w:bidi w:val="0"/>
              <w:spacing w:before="0" w:after="0"/>
              <w:jc w:val="left"/>
              <w:rPr>
                <w:rFonts w:ascii="Times New Roman" w:hAnsi="Times New Roman"/>
                <w:sz w:val="20"/>
              </w:rPr>
            </w:pPr>
            <w:r>
              <w:rPr>
                <w:rFonts w:ascii="Times New Roman" w:hAnsi="Times New Roman"/>
                <w:sz w:val="20"/>
              </w:rPr>
              <w:t>Macquarie Management Holdings; and</w:t>
            </w:r>
          </w:p>
          <w:p>
            <w:pPr>
              <w:pStyle w:val="TableContents"/>
              <w:bidi w:val="0"/>
              <w:spacing w:before="0" w:after="20"/>
              <w:jc w:val="left"/>
              <w:rPr>
                <w:rFonts w:ascii="Times New Roman" w:hAnsi="Times New Roman"/>
                <w:sz w:val="20"/>
              </w:rPr>
            </w:pPr>
            <w:r>
              <w:rPr>
                <w:rFonts w:ascii="Times New Roman" w:hAnsi="Times New Roman"/>
                <w:sz w:val="20"/>
              </w:rPr>
              <w:t>Macquarie Investment Management Business Trust (4)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3,788,897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7.2</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International Investors (5)</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3,280,677</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6.2</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Global Jets ETF (6)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2,850,525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5.4</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 Investment Partners, L.P.;</w:t>
            </w:r>
          </w:p>
          <w:p>
            <w:pPr>
              <w:pStyle w:val="TableContents"/>
              <w:bidi w:val="0"/>
              <w:spacing w:before="0" w:after="0"/>
              <w:jc w:val="left"/>
              <w:rPr>
                <w:rFonts w:ascii="Times New Roman" w:hAnsi="Times New Roman"/>
                <w:sz w:val="20"/>
              </w:rPr>
            </w:pPr>
            <w:r>
              <w:rPr>
                <w:rFonts w:ascii="Times New Roman" w:hAnsi="Times New Roman"/>
                <w:sz w:val="20"/>
              </w:rPr>
              <w:t>PAR Group II, L.P.; and</w:t>
            </w:r>
          </w:p>
          <w:p>
            <w:pPr>
              <w:pStyle w:val="TableContents"/>
              <w:bidi w:val="0"/>
              <w:spacing w:before="0" w:after="20"/>
              <w:jc w:val="left"/>
              <w:rPr>
                <w:rFonts w:ascii="Times New Roman" w:hAnsi="Times New Roman"/>
                <w:sz w:val="20"/>
              </w:rPr>
            </w:pPr>
            <w:r>
              <w:rPr>
                <w:rFonts w:ascii="Times New Roman" w:hAnsi="Times New Roman"/>
                <w:sz w:val="20"/>
              </w:rPr>
              <w:t>PAR Capital Management, Inc. (7)</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2,767,000</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5.3</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606"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Marion Blakey (8)</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17,381</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Jude Bricker</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1,496,207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2.8</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Dave Davis</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294,654</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Thomas C. Kennedy (9)</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16,086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Levenhagen</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2,135</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Mays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354,513</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Rose Neale</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25,842</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O’Keeffe (10)</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17,317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Peterson (11)</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12,502</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Kerry Philipovitch (12)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19,994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Vogel (13)</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28,739</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 Whitney</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138,199</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All current directors and executive officers as a group</w:t>
            </w:r>
            <w:r>
              <w:rPr>
                <w:rFonts w:ascii="Times New Roman" w:hAnsi="Times New Roman"/>
                <w:sz w:val="20"/>
              </w:rPr>
              <w:t xml:space="preserve"> (12 persons) (14)</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2,421,434</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4.6</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SCA Horus Holdings, LLC (the “Apollo Stockholder”), AP VIII (SCA Stock AIV), LLC (“AP VII”), Antonie Munfakh and Richard Offutt, is included herein based on information set forth in a Form 4 filed with the SEC on on January 11, 2024, relating to such shares beneficially owned as of January 11, 2024. Each of the Apollo Stockholder, AP VII, Mr. Munfakh and Mr. Offutt has shared voting power and shared dispositive power with respect to 11,161,105 shares of the Company’s common stock. The Apollo Stockholder is managed by a board of directors consisting of Richard Offutt and Antonie Munfakh. Messrs. Offutt and Munfakh each disclaim any beneficial ownership of the shares of common stock held by the Apollo Stockholder except to the extent of their pecuniary interest therein. The address for AP VII is 100 West Putnam Avenue, Greenwich, CT 06830. The address of the Apollo Stockholder and Messrs. Munfakh and Offutt is 9 West 57th Street, 42nd Floor, New York, NY 10019.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Blackrock, Inc. is included herein based on an Amendment No. 2 to a Schedule 13G filed with the SEC on January 24, 2024, relating to such shares beneficially owned as of December 31, 2023. Blackrock, Inc. has sole voting power with respect to 5,977,990 shares of the Company’s common stock and sole dispositive power with respect to 6,067,439 shares of the Company’s common stock. The address for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The Vanguard Group is included herein based on an Amendment No. 1 to a Schedule 13G filed with the SEC on February 13, 2024, relating to such shares beneficially owned as of December 31, 2023. The Vanguard Group has shared voting power with respect to 45,740 shares of the Company’s common stock, sole dispositive power with respect to 4,532,328 shares of the Company’s common stock and shared dispositive power with respect to 69,501 shares of the Company’s common stock. The address for The Vanguard Group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(4)</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Macquarie Group Limited (“MGL”), Macquarie Management Holdings Inc. (“MMH”) and Macquarie Investment Management Business Trust (“MIMBT”), is included herein based on a Schedule 13G jointly filed with the SEC on February 14, 2024, relating to such shares beneficially owned as of December 31, 2023. MGL has no voting power over any of the shares of the Company’s common stock. MMH and MIMBT each have sole voting power and sole dispositive power with respect to 3,788,897 shares of the Company’s common stock. The address for MGL is 50 Martin Place Sydney, New South Wales, Australia. The address of MMH and MIMBT is 610 Market Street, Philadelphia, PA 19106.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Capital International Investors is included herein based on an Amendment No. 1 to a Schedule 13G filed with the SEC on February 9, 2024, relating to such shares beneficially owned as of December 31, 2023. Capital International Investors has sole voting power and sole dispositive power with respect to all of its shares of the Company’s common stock. The address for Capital International Investors is 333 South Hope Street, 55th Fl, Los Angeles, CA 90071.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(6)</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U.S. Global Jets ETF is included herein based on Schedule 13G filed with the SEC on February 8, 2024, relating to such shares beneficially owned as of December 31, 2023. U.S. Global Jets ETF has sole voting power and sole dispositive power with respect to all of its shares of the Company’s common stock. The address for by U.S. Global Jets ETF is 615 East Michigan Street, Milwaukee, Wisconsin 53202.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(7)</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beneficial ownership of our common stock by PAR Investment Partners, L.P. (“PAR Investment”), PAR Group II, L.P. (“PAR II”), and PAR Capital Management, Inc. (“PAR Capital”) is included herein based on a Schedule 13G jointly filed with the SEC on November 14, 2023, relating to such shares beneficially owned as of November 14, 2023. PAR Investment, PAR II and PAR Capital each have sole voting power and sole dispositive power with respect to 2,767,000 shares of the Company’s common stock. The address for each of PAR Investment, PAR II and PAR Capital is 200 Clarendon Street, FL 48 Boston, MA 02116.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(8)</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6,186 shares of common stock issuable upon the vesting of restricted stock units within 60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(9)</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6,186 shares of common stock issuable upon the vesting of restricted stock units within 60 days.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(10)</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6,186 shares of common stock issuable upon the vesting of restricted stock units within 60 days.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(11)</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6,186 shares of common stock issuable upon the vesting of restricted stock units within 60 days.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(12)</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6,186 shares of common stock issuable upon the vesting of restricted stock units within 60 days.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(13)</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8,805 shares of common stock issuable upon the vesting of restricted stock units within 60 days.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(14)</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beneficially owned includes 39,735 shares of common stock issuable upon the vesting of restricted stock units within 60 days. This group includes (i) all current non-employee directors and (ii) all current executive officers, determined as of the Record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6" w:name="toc798883_14"/>
      <w:bookmarkEnd w:id="16"/>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the Company’s executive officers, directors, and persons who own more than 10% of a registered class of the Company’s equity securities (the “10% Stockholders”) to file reports of ownership and changes of ownership with the SEC. The Company assists its directors, officers and certain 10% Stockholders by assisting in their completion of Section 16 reports and filing these reports on their behalf. Based solely on a review of Section 16(a) reports filed electronically with the SEC during or with respect to the fiscal year ended December 31, 2023, or written representations that no other reports were required, the Company believes that our Section 16(a) reporting persons complied with all applicable filing requirements during the fiscal year ended December 31, 2023, except for the following: One late report for Ms. Vogel, reporting one transaction late; one late report for Ms. Peterson, reporting one transaction late; and two late reports for Mr. Trousdale, one reporting five transactions late and one reporting one transaction 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7" w:name="toc798883_15"/>
      <w:bookmarkEnd w:id="17"/>
      <w:r>
        <w:rPr>
          <w:rFonts w:ascii="Times New Roman" w:hAnsi="Times New Roman"/>
          <w:b/>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Company’s common stock who wishes to present a proposal for inclusion in the Company’s proxy statement for the 2025 annual meeting of stockholders (the “2025 Annual Meeting”) pursuant to Rule 14a-8 under the Securities Exchange Act of 1934 (“Rule 14a-8” and “Exchange Act”, respectively) must deliver the proposal to our principal executive offices (Sun Country Airlines Holdings, Inc., 2005 Cargo Road, Minneapolis, MN 55450) to the attention of our Secretary no later than the close of business on December 30, 2024 unless the date of the 2025 Annual Meeting is more than 30 days before or after June 12, 2025, in which case the stockholder proposal must be received a reasonable time before we begin to print and mail 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For any stockholder proposal or director nomination that is not submitted for inclusion in our proxy statement pursuant to the process set forth above but is instead sought to be presented directly at the 2025 Annual Meeting, stockholders are advised to review our bylaws as they contain requirements with respect to advance notice of stockholder proposals and director nominations. 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w:t>
      </w:r>
    </w:p>
    <w:p>
      <w:pPr>
        <w:pStyle w:val="TextBody"/>
        <w:bidi w:val="0"/>
        <w:spacing w:before="240" w:after="0"/>
        <w:jc w:val="left"/>
        <w:rPr>
          <w:rFonts w:ascii="Times New Roman" w:hAnsi="Times New Roman"/>
          <w:sz w:val="20"/>
        </w:rPr>
      </w:pPr>
      <w:r>
        <w:rPr>
          <w:rFonts w:ascii="Times New Roman" w:hAnsi="Times New Roman"/>
          <w:sz w:val="20"/>
        </w:rPr>
        <w:t xml:space="preserve">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advance notice procedures in our bylaws and other requirements under the Exchange Act, stockholders who intend to solicit proxies in support of director nominees other than our nominees must provide notice that sets forth the information required by Rule 14a-19 under the Exchange Act no later than April 13,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8" w:name="toc798883_16"/>
      <w:bookmarkEnd w:id="18"/>
      <w:r>
        <w:rPr>
          <w:rFonts w:ascii="Times New Roman" w:hAnsi="Times New Roman"/>
          <w:b/>
          <w:sz w:val="20"/>
        </w:rPr>
        <w:t xml:space="preserve">HOUSEHOLDING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to deliver a single Notice of Internet Availability of Proxy Materials or a single copy of proxy materials to multiple stockholders sharing an address unless a company has received contrary instructions from one or more of the stockholders at that address. This means that only one copy of the Annual Report on Form 10-K, for the fiscal year ended December 31, 2023, this proxy statement and Notice of Internet Availability of Proxy Materials may have been sent to multiple stockholders in your household. If you would prefer to receive separate copies of the Notice of Internet Availability of Proxy Materials and/or proxy statement, either now or in the future, please contact the Legal Department by mailing a request to Sun Country Airlines Holdings, Inc., 2005 Cargo Road, Minneapolis, MN 55450, or by calling our telephone number at 651-681-3900. Upon written or oral request to the Legal Department, we will promptly provide a separate copy of the Annual Report on Form 10-K, for the fiscal year ended December 31, 2023, and this proxy statement and Notice of Internet Availability of Proxy Materials. In addition, stockholders at a shared address who receive multiple Notice of Internet Availability of Proxy Materials or multiple copies of proxy statements may request to receive a single Notice of Internet Availability of Proxy Materials or a single copy of proxy statements in the future in the same manner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9" w:name="toc798883_17"/>
      <w:bookmarkEnd w:id="19"/>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at the time of the preparation of this proxy statement, knows of no business to come before the Annual Meeting other than that referred to herein. If any other business should properly come before the Annual Meeting or any adjournment or postponement thereof, the persons named in the enclosed proxy will have authority to vote, in their discretion, all shares represented by such proxies that have been received and not theretofore properly revoked. </w:t>
      </w:r>
    </w:p>
    <w:p>
      <w:pPr>
        <w:pStyle w:val="TextBody"/>
        <w:bidi w:val="0"/>
        <w:spacing w:before="240" w:after="0"/>
        <w:jc w:val="left"/>
        <w:rPr>
          <w:rFonts w:ascii="Times New Roman" w:hAnsi="Times New Roman"/>
          <w:sz w:val="20"/>
        </w:rPr>
      </w:pPr>
      <w:r>
        <w:rPr>
          <w:rFonts w:ascii="Times New Roman" w:hAnsi="Times New Roman"/>
          <w:sz w:val="20"/>
        </w:rPr>
        <w:t xml:space="preserve">We file our annual reports on Form 10-K, quarterly reports on Form 10-Q, current reports on Form 8-K, proxy statements, and other documents electronically with the SEC under the Exchange Act. You may obtain such reports from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Our Investor Relations website address is www.ir.suncountry.com. We make available, free of charge through our Investor Relations website, our annual reports on Form 10-K, quarterly reports on Form 10-Q, current reports on Form 8-K, and amendments to those reports filed or furnished pursuant to Sections 13(a) or 15(d) of the Exchange Act as soon as reasonably practicable after such material is electronically filed with, or furnished to, the SEC. </w:t>
      </w:r>
    </w:p>
    <w:p>
      <w:pPr>
        <w:pStyle w:val="TextBody"/>
        <w:bidi w:val="0"/>
        <w:spacing w:before="240" w:after="0"/>
        <w:jc w:val="left"/>
        <w:rPr>
          <w:rFonts w:ascii="Times New Roman" w:hAnsi="Times New Roman"/>
          <w:b/>
          <w:sz w:val="20"/>
        </w:rPr>
      </w:pPr>
      <w:r>
        <w:rPr>
          <w:rFonts w:ascii="Times New Roman" w:hAnsi="Times New Roman"/>
          <w:b/>
          <w:sz w:val="20"/>
        </w:rPr>
        <w:t xml:space="preserve">Upon the written request of any record holder or beneficial owner of common stock entitled to vote at the Annual Meeting, we will, without charge, provide a copy of our Annual Report on Form 10-K, including the financial statements and the financial statement schedules, for the fiscal year ended December 31, 2023, as filed with the SEC. Requests should be directed to Investor Relations, Sun Country Airlines Holdings, Inc., 2005 Cargo Road, Minneapolis, MN 55450.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0" w:name="toc798883_18"/>
      <w:bookmarkEnd w:id="20"/>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proxy statement that are not clearly historical in nature are forward-looking. Without limiting the generality of the preceding sentence,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information involves risks, uncertainties and other factors that could cause actual results to differ materially from those expressed or implied in, or reasonably inferred from, such statements. Therefore, caution should be taken not to place undue reliance on any such forward-looking statements. Much of the information in this proxy statement that looks towards future performance of the Company is based on various factors and important assumptions about future events that may or may not actually occur. As a result, our operations and financial results in the future could differ materially and substantially from those we have included in this proxy statement.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SUN COUNTRY AIRLINES HOLDINGS, INC. 2005 CARGO ROAD MINNEAPOLIS, MN 55450 SCAN TO VIEW MATERIALS &amp; VOTE w VOTE BY INTERNET Before The Meeting—Go to www.proxyvote.com or scan the QR Barcode above Use the Internet to transmit your voting instructions and for electronic delivery of information. Vote by 11:59 P.M. ET on June 11, 2024. Have your proxy card in hand when you access the web site and follow the instructions to obtain your records and to create an electronic voting instruction form. During The Meeting—Go to www.virtualshareholdermeeting.com/SNCY2024 You may attend the meeting via the Internet and vote during the meeting. Have the information that is printed in the box marked by the arrow available and follow the instructions. VOTE BY PHONE—1-800-690-6903 Use any touch-tone telephone to transmit your voting instructions. Vote by 11:59 P.M. ET on June 11, 2024.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V50563-P05294 KEEP THIS PORTION FOR YOUR RECORDS THIS PROXY CARD IS VALID ONLY WHEN SIGNED AND DATED. DETACH AND RETURN THIS PORTION ONLY SUN COUNTRY AIRLINES HOLDINGS, INC. The Board of Directors recommends you vote FOR the following: 1. The election of Jude Bricker, Dave Davis, and Kerry Philipovitch to the Board as Class III Directors, in each case, for a term of three years expiring at the annual meeting of stockholders of the Company to be held in 2027; Nominees: For Withhold 1a. Jude Bricker ! ! 1b. Dave Davis ! ! 1c. Kerry Philipovitch ! ! The Board of Directors recommends you vote 1 Year 2 Years 3 Years Abstain 1 YEAR on the following proposal: 2. To vote, on a non-binding, advisory basis, on the ! ! ! ! frequency of future advisory votes to approve the compensation of the Company’s named executive officers; The Board of Directors recommends you vote FOR the For Against Abstain following proposal: 3. To vote, on a non-binding, advisory basis, to approve ! ! ! the compensation of the Company’s named executive officers; and The Board of Directors recommends you vote FOR the For Against Abstain following proposal: 4. The ratification of the appointment of KPMG LLP as the ! ! ! Company’s independent registered public accounting firm for the fiscal year ending December 31, 2024.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Annual Report and Notice &amp; Proxy Statement are available at www.proxyvote.com. V50564-P05294 SUN COUNTRY AIRLINES HOLDINGS, INC. Annual Meeting of Stockholders June 12, 2024 9:00 AM, CDT This proxy is solicited by the Board of Directors The stockholder(s) hereby appoint(s) Rose Neale, General Counsel, as proxy, with the power to appoint her substitute, and hereby authorize(s) her to represent and to vote, as designated on the reverse side of this ballot, all of the shares of common stock of SUN COUNTRY AIRLINES HOLDINGS, INC. that the stockholder(s) is/are entitled to vote at the Annual Meeting of Stockholders to be held at 9:00 AM, CDT on June 12, 2024, at www.virtualshareholdermeeting.com/SNCY2024,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30346</Words>
  <Characters>162737</Characters>
  <CharactersWithSpaces>194180</CharactersWithSpaces>
  <Paragraphs>3601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