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4526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45269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BARCLAYS PLC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4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CHURCHILL PLACE</w:t>
            </w:r>
          </w:p>
        </w:tc>
        <w:tc>
          <w:tcPr>
            <w:tcW w:w="15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CANARY WHARF</w:t>
            </w:r>
          </w:p>
        </w:tc>
        <w:tc>
          <w:tcPr>
            <w:tcW w:w="15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E14 5HP</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4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6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11/06/2024</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0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78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78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0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5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5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5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5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jc w:val="both"/>
        <w:ind w:left="40" w:right="100"/>
        <w:spacing w:after="0" w:line="244" w:lineRule="auto"/>
        <w:rPr>
          <w:sz w:val="20"/>
          <w:szCs w:val="20"/>
          <w:color w:val="auto"/>
        </w:rPr>
      </w:pPr>
      <w:r>
        <w:rPr>
          <w:rFonts w:ascii="Times New Roman" w:cs="Times New Roman" w:eastAsia="Times New Roman" w:hAnsi="Times New Roman"/>
          <w:sz w:val="13"/>
          <w:szCs w:val="13"/>
          <w:color w:val="008000"/>
        </w:rPr>
        <w:t>a)The reporting persons did not engage in any reportable transactions during the relevant period. The reporting persons are no longer subject to Section 16 as a result of return of certain stock borrow and repurchase transaction activity that did not create in the reporting persons, a pecuniary interest in the securities. b)Name of Person Filing: (1) Barclays PLC (2) Barclays Bank PLC (controlled by Barclays PLC) (3) Barclays Capital Inc. (controlled by Barclays PLC) (4) Barclays Capital Securities Ltd. (controlled by Barclays PLC) (c) Address of Principal Business Office or, if non, Residence: (1) Barclays PLC 1 Churchill Place London, E14 5HP, England (2) Barclays Bank PLC 1 Churchill Place London, E14 5HP, England (3) Barclays Capital Inc. 745 Seventh Avenue New York, New York 10019 United States (4) Barclays Capital Securities Ltd. 1 Churchill Place London, E14 5HP, England</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Suejean Mott</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11/08/2024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0312069"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2024-11-08T16:41:24Z</dcterms:created>
  <dcterms:modified xsi:type="dcterms:W3CDTF">2024-11-08T16:41:24Z</dcterms:modified>
</cp:coreProperties>
</file>