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March 8, 2021.</w:t>
      </w:r>
    </w:p>
    <w:p>
      <w:pPr>
        <w:spacing w:after="0" w:line="40" w:lineRule="exact"/>
        <w:rPr>
          <w:sz w:val="24"/>
          <w:szCs w:val="24"/>
          <w:color w:val="auto"/>
        </w:rPr>
      </w:pPr>
    </w:p>
    <w:p>
      <w:pPr>
        <w:jc w:val="right"/>
        <w:ind w:right="20"/>
        <w:spacing w:after="0"/>
        <w:rPr>
          <w:sz w:val="20"/>
          <w:szCs w:val="20"/>
          <w:color w:val="auto"/>
        </w:rPr>
      </w:pPr>
      <w:r>
        <w:rPr>
          <w:rFonts w:ascii="Arial" w:cs="Arial" w:eastAsia="Arial" w:hAnsi="Arial"/>
          <w:sz w:val="15"/>
          <w:szCs w:val="15"/>
          <w:b w:val="1"/>
          <w:bCs w:val="1"/>
          <w:color w:val="auto"/>
        </w:rPr>
        <w:t>Registration No. 333-252858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36830</wp:posOffset>
            </wp:positionV>
            <wp:extent cx="6889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104140</wp:posOffset>
            </wp:positionV>
            <wp:extent cx="6889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104140</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2 TO</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105410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50" w:lineRule="exact"/>
        <w:rPr>
          <w:sz w:val="24"/>
          <w:szCs w:val="24"/>
          <w:color w:val="auto"/>
        </w:rPr>
      </w:pPr>
    </w:p>
    <w:p>
      <w:pPr>
        <w:jc w:val="center"/>
        <w:ind w:right="-179"/>
        <w:spacing w:after="0"/>
        <w:rPr>
          <w:sz w:val="20"/>
          <w:szCs w:val="20"/>
          <w:color w:val="auto"/>
        </w:rPr>
      </w:pPr>
      <w:r>
        <w:rPr>
          <w:rFonts w:ascii="Arial" w:cs="Arial" w:eastAsia="Arial" w:hAnsi="Arial"/>
          <w:sz w:val="35"/>
          <w:szCs w:val="35"/>
          <w:b w:val="1"/>
          <w:bCs w:val="1"/>
          <w:color w:val="auto"/>
        </w:rPr>
        <w:t>Sun Country Airlines Holdings, Inc.</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106045</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9" w:lineRule="exact"/>
        <w:rPr>
          <w:sz w:val="24"/>
          <w:szCs w:val="24"/>
          <w:color w:val="auto"/>
        </w:rPr>
      </w:pPr>
    </w:p>
    <w:tbl>
      <w:tblPr>
        <w:tblLayout w:type="fixed"/>
        <w:tblInd w:w="1080" w:type="dxa"/>
        <w:tblCellMar>
          <w:top w:w="0" w:type="dxa"/>
          <w:left w:w="0" w:type="dxa"/>
          <w:bottom w:w="0" w:type="dxa"/>
          <w:right w:w="0" w:type="dxa"/>
        </w:tblCellMar>
      </w:tblPr>
      <w:tr>
        <w:trPr>
          <w:trHeight w:val="208"/>
        </w:trPr>
        <w:tc>
          <w:tcPr>
            <w:tcW w:w="340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center"/>
              <w:ind w:left="164"/>
              <w:spacing w:after="0"/>
              <w:rPr>
                <w:sz w:val="20"/>
                <w:szCs w:val="20"/>
                <w:color w:val="auto"/>
              </w:rPr>
            </w:pPr>
            <w:r>
              <w:rPr>
                <w:rFonts w:ascii="Arial" w:cs="Arial" w:eastAsia="Arial" w:hAnsi="Arial"/>
                <w:sz w:val="18"/>
                <w:szCs w:val="18"/>
                <w:b w:val="1"/>
                <w:bCs w:val="1"/>
                <w:color w:val="auto"/>
                <w:w w:val="89"/>
              </w:rPr>
              <w:t>4512</w:t>
            </w:r>
          </w:p>
        </w:tc>
        <w:tc>
          <w:tcPr>
            <w:tcW w:w="3260" w:type="dxa"/>
            <w:vAlign w:val="bottom"/>
          </w:tcPr>
          <w:p>
            <w:pPr>
              <w:jc w:val="center"/>
              <w:ind w:left="1763"/>
              <w:spacing w:after="0"/>
              <w:rPr>
                <w:sz w:val="20"/>
                <w:szCs w:val="20"/>
                <w:color w:val="auto"/>
              </w:rPr>
            </w:pPr>
            <w:r>
              <w:rPr>
                <w:rFonts w:ascii="Arial" w:cs="Arial" w:eastAsia="Arial" w:hAnsi="Arial"/>
                <w:sz w:val="18"/>
                <w:szCs w:val="18"/>
                <w:b w:val="1"/>
                <w:bCs w:val="1"/>
                <w:color w:val="auto"/>
                <w:w w:val="89"/>
              </w:rPr>
              <w:t>82-4092570</w:t>
            </w:r>
          </w:p>
        </w:tc>
      </w:tr>
      <w:tr>
        <w:trPr>
          <w:trHeight w:val="146"/>
        </w:trPr>
        <w:tc>
          <w:tcPr>
            <w:tcW w:w="3400" w:type="dxa"/>
            <w:vAlign w:val="bottom"/>
          </w:tcPr>
          <w:p>
            <w:pPr>
              <w:jc w:val="center"/>
              <w:ind w:right="1407"/>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280" w:type="dxa"/>
            <w:vAlign w:val="bottom"/>
          </w:tcPr>
          <w:p>
            <w:pPr>
              <w:jc w:val="center"/>
              <w:ind w:left="164"/>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3260" w:type="dxa"/>
            <w:vAlign w:val="bottom"/>
          </w:tcPr>
          <w:p>
            <w:pPr>
              <w:jc w:val="center"/>
              <w:ind w:left="1763"/>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3400" w:type="dxa"/>
            <w:vAlign w:val="bottom"/>
          </w:tcPr>
          <w:p>
            <w:pPr>
              <w:jc w:val="center"/>
              <w:ind w:right="1407"/>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jc w:val="center"/>
              <w:ind w:left="164"/>
              <w:spacing w:after="0"/>
              <w:rPr>
                <w:sz w:val="20"/>
                <w:szCs w:val="20"/>
                <w:color w:val="auto"/>
              </w:rPr>
            </w:pPr>
            <w:r>
              <w:rPr>
                <w:rFonts w:ascii="Arial" w:cs="Arial" w:eastAsia="Arial" w:hAnsi="Arial"/>
                <w:sz w:val="14"/>
                <w:szCs w:val="14"/>
                <w:b w:val="1"/>
                <w:bCs w:val="1"/>
                <w:color w:val="auto"/>
                <w:w w:val="91"/>
              </w:rPr>
              <w:t>Classification Code Number)</w:t>
            </w:r>
          </w:p>
        </w:tc>
        <w:tc>
          <w:tcPr>
            <w:tcW w:w="3260" w:type="dxa"/>
            <w:vAlign w:val="bottom"/>
          </w:tcPr>
          <w:p>
            <w:pPr>
              <w:jc w:val="center"/>
              <w:ind w:left="1783"/>
              <w:spacing w:after="0"/>
              <w:rPr>
                <w:sz w:val="20"/>
                <w:szCs w:val="20"/>
                <w:color w:val="auto"/>
              </w:rPr>
            </w:pPr>
            <w:r>
              <w:rPr>
                <w:rFonts w:ascii="Arial" w:cs="Arial" w:eastAsia="Arial" w:hAnsi="Arial"/>
                <w:sz w:val="14"/>
                <w:szCs w:val="14"/>
                <w:b w:val="1"/>
                <w:bCs w:val="1"/>
                <w:color w:val="auto"/>
                <w:w w:val="94"/>
              </w:rPr>
              <w:t>Identification Number)</w:t>
            </w:r>
          </w:p>
        </w:tc>
      </w:tr>
      <w:tr>
        <w:trPr>
          <w:trHeight w:val="180"/>
        </w:trPr>
        <w:tc>
          <w:tcPr>
            <w:tcW w:w="34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5"/>
                <w:szCs w:val="15"/>
                <w:b w:val="1"/>
                <w:bCs w:val="1"/>
                <w:color w:val="auto"/>
                <w:w w:val="91"/>
              </w:rPr>
              <w:t>2005 Cargo Road</w:t>
            </w:r>
          </w:p>
        </w:tc>
        <w:tc>
          <w:tcPr>
            <w:tcW w:w="3260" w:type="dxa"/>
            <w:vAlign w:val="bottom"/>
          </w:tcPr>
          <w:p>
            <w:pPr>
              <w:spacing w:after="0"/>
              <w:rPr>
                <w:sz w:val="15"/>
                <w:szCs w:val="15"/>
                <w:color w:val="auto"/>
              </w:rPr>
            </w:pPr>
          </w:p>
        </w:tc>
      </w:tr>
      <w:tr>
        <w:trPr>
          <w:trHeight w:val="160"/>
        </w:trPr>
        <w:tc>
          <w:tcPr>
            <w:tcW w:w="34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3"/>
              </w:rPr>
              <w:t>Minneapolis, MN 55450</w:t>
            </w:r>
          </w:p>
        </w:tc>
        <w:tc>
          <w:tcPr>
            <w:tcW w:w="3260" w:type="dxa"/>
            <w:vAlign w:val="bottom"/>
          </w:tcPr>
          <w:p>
            <w:pPr>
              <w:spacing w:after="0"/>
              <w:rPr>
                <w:sz w:val="13"/>
                <w:szCs w:val="13"/>
                <w:color w:val="auto"/>
              </w:rPr>
            </w:pPr>
          </w:p>
        </w:tc>
      </w:tr>
      <w:tr>
        <w:trPr>
          <w:trHeight w:val="164"/>
        </w:trPr>
        <w:tc>
          <w:tcPr>
            <w:tcW w:w="3400" w:type="dxa"/>
            <w:vAlign w:val="bottom"/>
          </w:tcPr>
          <w:p>
            <w:pPr>
              <w:spacing w:after="0"/>
              <w:rPr>
                <w:sz w:val="14"/>
                <w:szCs w:val="14"/>
                <w:color w:val="auto"/>
              </w:rPr>
            </w:pPr>
          </w:p>
        </w:tc>
        <w:tc>
          <w:tcPr>
            <w:tcW w:w="2280" w:type="dxa"/>
            <w:vAlign w:val="bottom"/>
          </w:tcPr>
          <w:p>
            <w:pPr>
              <w:jc w:val="right"/>
              <w:ind w:right="584"/>
              <w:spacing w:after="0" w:line="164" w:lineRule="exact"/>
              <w:rPr>
                <w:sz w:val="20"/>
                <w:szCs w:val="20"/>
                <w:color w:val="auto"/>
              </w:rPr>
            </w:pPr>
            <w:r>
              <w:rPr>
                <w:rFonts w:ascii="Arial" w:cs="Arial" w:eastAsia="Arial" w:hAnsi="Arial"/>
                <w:sz w:val="15"/>
                <w:szCs w:val="15"/>
                <w:b w:val="1"/>
                <w:bCs w:val="1"/>
                <w:color w:val="auto"/>
              </w:rPr>
              <w:t>(651) 681-3900</w:t>
            </w:r>
          </w:p>
        </w:tc>
        <w:tc>
          <w:tcPr>
            <w:tcW w:w="3260" w:type="dxa"/>
            <w:vAlign w:val="bottom"/>
          </w:tcPr>
          <w:p>
            <w:pPr>
              <w:spacing w:after="0"/>
              <w:rPr>
                <w:sz w:val="14"/>
                <w:szCs w:val="14"/>
                <w:color w:val="auto"/>
              </w:rPr>
            </w:pPr>
          </w:p>
        </w:tc>
      </w:tr>
      <w:tr>
        <w:trPr>
          <w:trHeight w:val="172"/>
        </w:trPr>
        <w:tc>
          <w:tcPr>
            <w:tcW w:w="8940" w:type="dxa"/>
            <w:vAlign w:val="bottom"/>
            <w:gridSpan w:val="3"/>
          </w:tcPr>
          <w:p>
            <w:pPr>
              <w:jc w:val="center"/>
              <w:ind w:left="67"/>
              <w:spacing w:after="0"/>
              <w:rPr>
                <w:sz w:val="20"/>
                <w:szCs w:val="20"/>
                <w:color w:val="auto"/>
              </w:rPr>
            </w:pPr>
            <w:r>
              <w:rPr>
                <w:rFonts w:ascii="Arial" w:cs="Arial" w:eastAsia="Arial" w:hAnsi="Arial"/>
                <w:sz w:val="13"/>
                <w:szCs w:val="13"/>
                <w:b w:val="1"/>
                <w:bCs w:val="1"/>
                <w:color w:val="auto"/>
                <w:w w:val="92"/>
              </w:rPr>
              <w:t>(Address, Including Zip Code, and Telephone Number, Including Area Code, of Registrant’s Principal Executive Offices)</w:t>
            </w:r>
          </w:p>
        </w:tc>
      </w:tr>
      <w:tr>
        <w:trPr>
          <w:trHeight w:val="133"/>
        </w:trPr>
        <w:tc>
          <w:tcPr>
            <w:tcW w:w="340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r>
      <w:tr>
        <w:trPr>
          <w:trHeight w:val="175"/>
        </w:trPr>
        <w:tc>
          <w:tcPr>
            <w:tcW w:w="34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5"/>
                <w:szCs w:val="15"/>
                <w:b w:val="1"/>
                <w:bCs w:val="1"/>
                <w:color w:val="auto"/>
                <w:w w:val="89"/>
              </w:rPr>
              <w:t>Eric Levenhagen, Esq.</w:t>
            </w:r>
          </w:p>
        </w:tc>
        <w:tc>
          <w:tcPr>
            <w:tcW w:w="3260" w:type="dxa"/>
            <w:vAlign w:val="bottom"/>
          </w:tcPr>
          <w:p>
            <w:pPr>
              <w:spacing w:after="0"/>
              <w:rPr>
                <w:sz w:val="15"/>
                <w:szCs w:val="15"/>
                <w:color w:val="auto"/>
              </w:rPr>
            </w:pPr>
          </w:p>
        </w:tc>
      </w:tr>
      <w:tr>
        <w:trPr>
          <w:trHeight w:val="160"/>
        </w:trPr>
        <w:tc>
          <w:tcPr>
            <w:tcW w:w="34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General Counsel and Secretary</w:t>
            </w:r>
          </w:p>
        </w:tc>
        <w:tc>
          <w:tcPr>
            <w:tcW w:w="3260" w:type="dxa"/>
            <w:vAlign w:val="bottom"/>
          </w:tcPr>
          <w:p>
            <w:pPr>
              <w:spacing w:after="0"/>
              <w:rPr>
                <w:sz w:val="13"/>
                <w:szCs w:val="13"/>
                <w:color w:val="auto"/>
              </w:rPr>
            </w:pPr>
          </w:p>
        </w:tc>
      </w:tr>
      <w:tr>
        <w:trPr>
          <w:trHeight w:val="160"/>
        </w:trPr>
        <w:tc>
          <w:tcPr>
            <w:tcW w:w="34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1"/>
              </w:rPr>
              <w:t>2005 Cargo Road</w:t>
            </w:r>
          </w:p>
        </w:tc>
        <w:tc>
          <w:tcPr>
            <w:tcW w:w="3260" w:type="dxa"/>
            <w:vAlign w:val="bottom"/>
          </w:tcPr>
          <w:p>
            <w:pPr>
              <w:spacing w:after="0"/>
              <w:rPr>
                <w:sz w:val="13"/>
                <w:szCs w:val="13"/>
                <w:color w:val="auto"/>
              </w:rPr>
            </w:pPr>
          </w:p>
        </w:tc>
      </w:tr>
      <w:tr>
        <w:trPr>
          <w:trHeight w:val="163"/>
        </w:trPr>
        <w:tc>
          <w:tcPr>
            <w:tcW w:w="3400" w:type="dxa"/>
            <w:vAlign w:val="bottom"/>
          </w:tcPr>
          <w:p>
            <w:pPr>
              <w:spacing w:after="0"/>
              <w:rPr>
                <w:sz w:val="14"/>
                <w:szCs w:val="14"/>
                <w:color w:val="auto"/>
              </w:rPr>
            </w:pPr>
          </w:p>
        </w:tc>
        <w:tc>
          <w:tcPr>
            <w:tcW w:w="228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3"/>
              </w:rPr>
              <w:t>Minneapolis, MN 55450</w:t>
            </w:r>
          </w:p>
        </w:tc>
        <w:tc>
          <w:tcPr>
            <w:tcW w:w="3260" w:type="dxa"/>
            <w:vAlign w:val="bottom"/>
          </w:tcPr>
          <w:p>
            <w:pPr>
              <w:spacing w:after="0"/>
              <w:rPr>
                <w:sz w:val="14"/>
                <w:szCs w:val="14"/>
                <w:color w:val="auto"/>
              </w:rPr>
            </w:pPr>
          </w:p>
        </w:tc>
      </w:tr>
      <w:tr>
        <w:trPr>
          <w:trHeight w:val="201"/>
        </w:trPr>
        <w:tc>
          <w:tcPr>
            <w:tcW w:w="3400" w:type="dxa"/>
            <w:vAlign w:val="bottom"/>
          </w:tcPr>
          <w:p>
            <w:pPr>
              <w:spacing w:after="0"/>
              <w:rPr>
                <w:sz w:val="17"/>
                <w:szCs w:val="17"/>
                <w:color w:val="auto"/>
              </w:rPr>
            </w:pPr>
          </w:p>
        </w:tc>
        <w:tc>
          <w:tcPr>
            <w:tcW w:w="2280" w:type="dxa"/>
            <w:vAlign w:val="bottom"/>
          </w:tcPr>
          <w:p>
            <w:pPr>
              <w:jc w:val="right"/>
              <w:ind w:right="564"/>
              <w:spacing w:after="0"/>
              <w:rPr>
                <w:sz w:val="20"/>
                <w:szCs w:val="20"/>
                <w:color w:val="auto"/>
              </w:rPr>
            </w:pPr>
            <w:r>
              <w:rPr>
                <w:rFonts w:ascii="Arial" w:cs="Arial" w:eastAsia="Arial" w:hAnsi="Arial"/>
                <w:sz w:val="16"/>
                <w:szCs w:val="16"/>
                <w:b w:val="1"/>
                <w:bCs w:val="1"/>
                <w:color w:val="auto"/>
              </w:rPr>
              <w:t>(651) 681-3900</w:t>
            </w:r>
          </w:p>
        </w:tc>
        <w:tc>
          <w:tcPr>
            <w:tcW w:w="3260" w:type="dxa"/>
            <w:vAlign w:val="bottom"/>
          </w:tcPr>
          <w:p>
            <w:pPr>
              <w:spacing w:after="0"/>
              <w:rPr>
                <w:sz w:val="17"/>
                <w:szCs w:val="17"/>
                <w:color w:val="auto"/>
              </w:rPr>
            </w:pPr>
          </w:p>
        </w:tc>
      </w:tr>
      <w:tr>
        <w:trPr>
          <w:trHeight w:val="172"/>
        </w:trPr>
        <w:tc>
          <w:tcPr>
            <w:tcW w:w="8940" w:type="dxa"/>
            <w:vAlign w:val="bottom"/>
            <w:gridSpan w:val="3"/>
          </w:tcPr>
          <w:p>
            <w:pPr>
              <w:jc w:val="center"/>
              <w:ind w:left="67"/>
              <w:spacing w:after="0"/>
              <w:rPr>
                <w:sz w:val="20"/>
                <w:szCs w:val="20"/>
                <w:color w:val="auto"/>
              </w:rPr>
            </w:pPr>
            <w:r>
              <w:rPr>
                <w:rFonts w:ascii="Arial" w:cs="Arial" w:eastAsia="Arial" w:hAnsi="Arial"/>
                <w:sz w:val="13"/>
                <w:szCs w:val="13"/>
                <w:b w:val="1"/>
                <w:bCs w:val="1"/>
                <w:color w:val="auto"/>
                <w:w w:val="92"/>
              </w:rPr>
              <w:t>(Name, Address, Including Zip Code, and Telephone Number, Including Area Code, of Agent For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84455</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54" w:lineRule="exact"/>
        <w:rPr>
          <w:sz w:val="24"/>
          <w:szCs w:val="24"/>
          <w:color w:val="auto"/>
        </w:rPr>
      </w:pPr>
    </w:p>
    <w:tbl>
      <w:tblPr>
        <w:tblLayout w:type="fixed"/>
        <w:tblInd w:w="1380" w:type="dxa"/>
        <w:tblCellMar>
          <w:top w:w="0" w:type="dxa"/>
          <w:left w:w="0" w:type="dxa"/>
          <w:bottom w:w="0" w:type="dxa"/>
          <w:right w:w="0" w:type="dxa"/>
        </w:tblCellMar>
      </w:tblPr>
      <w:tr>
        <w:trPr>
          <w:trHeight w:val="224"/>
        </w:trPr>
        <w:tc>
          <w:tcPr>
            <w:tcW w:w="3480" w:type="dxa"/>
            <w:vAlign w:val="bottom"/>
          </w:tcPr>
          <w:p>
            <w:pPr>
              <w:spacing w:after="0"/>
              <w:rPr>
                <w:sz w:val="19"/>
                <w:szCs w:val="19"/>
                <w:color w:val="auto"/>
              </w:rPr>
            </w:pPr>
          </w:p>
        </w:tc>
        <w:tc>
          <w:tcPr>
            <w:tcW w:w="446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Copies to:</w:t>
            </w:r>
          </w:p>
        </w:tc>
      </w:tr>
      <w:tr>
        <w:trPr>
          <w:trHeight w:val="183"/>
        </w:trPr>
        <w:tc>
          <w:tcPr>
            <w:tcW w:w="3480" w:type="dxa"/>
            <w:vAlign w:val="bottom"/>
          </w:tcPr>
          <w:p>
            <w:pPr>
              <w:jc w:val="center"/>
              <w:ind w:right="325"/>
              <w:spacing w:after="0"/>
              <w:rPr>
                <w:sz w:val="20"/>
                <w:szCs w:val="20"/>
                <w:color w:val="auto"/>
              </w:rPr>
            </w:pPr>
            <w:r>
              <w:rPr>
                <w:rFonts w:ascii="Arial" w:cs="Arial" w:eastAsia="Arial" w:hAnsi="Arial"/>
                <w:sz w:val="15"/>
                <w:szCs w:val="15"/>
                <w:b w:val="1"/>
                <w:bCs w:val="1"/>
                <w:color w:val="auto"/>
                <w:w w:val="92"/>
              </w:rPr>
              <w:t>Brian M. Janson, Esq.</w:t>
            </w:r>
          </w:p>
        </w:tc>
        <w:tc>
          <w:tcPr>
            <w:tcW w:w="4460" w:type="dxa"/>
            <w:vAlign w:val="bottom"/>
          </w:tcPr>
          <w:p>
            <w:pPr>
              <w:jc w:val="center"/>
              <w:ind w:left="2543"/>
              <w:spacing w:after="0"/>
              <w:rPr>
                <w:sz w:val="20"/>
                <w:szCs w:val="20"/>
                <w:color w:val="auto"/>
              </w:rPr>
            </w:pPr>
            <w:r>
              <w:rPr>
                <w:rFonts w:ascii="Arial" w:cs="Arial" w:eastAsia="Arial" w:hAnsi="Arial"/>
                <w:sz w:val="15"/>
                <w:szCs w:val="15"/>
                <w:b w:val="1"/>
                <w:bCs w:val="1"/>
                <w:color w:val="auto"/>
                <w:w w:val="93"/>
              </w:rPr>
              <w:t>Michael Kaplan, Esq.</w:t>
            </w:r>
          </w:p>
        </w:tc>
      </w:tr>
      <w:tr>
        <w:trPr>
          <w:trHeight w:val="160"/>
        </w:trPr>
        <w:tc>
          <w:tcPr>
            <w:tcW w:w="3480" w:type="dxa"/>
            <w:vAlign w:val="bottom"/>
          </w:tcPr>
          <w:p>
            <w:pPr>
              <w:jc w:val="center"/>
              <w:ind w:right="325"/>
              <w:spacing w:after="0" w:line="160" w:lineRule="exact"/>
              <w:rPr>
                <w:sz w:val="20"/>
                <w:szCs w:val="20"/>
                <w:color w:val="auto"/>
              </w:rPr>
            </w:pPr>
            <w:r>
              <w:rPr>
                <w:rFonts w:ascii="Arial" w:cs="Arial" w:eastAsia="Arial" w:hAnsi="Arial"/>
                <w:sz w:val="15"/>
                <w:szCs w:val="15"/>
                <w:b w:val="1"/>
                <w:bCs w:val="1"/>
                <w:color w:val="auto"/>
                <w:w w:val="94"/>
              </w:rPr>
              <w:t>Paul, Weiss, Rifkind, Wharton &amp; Garrison LLP</w:t>
            </w:r>
          </w:p>
        </w:tc>
        <w:tc>
          <w:tcPr>
            <w:tcW w:w="4460" w:type="dxa"/>
            <w:vAlign w:val="bottom"/>
          </w:tcPr>
          <w:p>
            <w:pPr>
              <w:jc w:val="center"/>
              <w:ind w:left="2543"/>
              <w:spacing w:after="0" w:line="160" w:lineRule="exact"/>
              <w:rPr>
                <w:sz w:val="20"/>
                <w:szCs w:val="20"/>
                <w:color w:val="auto"/>
              </w:rPr>
            </w:pPr>
            <w:r>
              <w:rPr>
                <w:rFonts w:ascii="Arial" w:cs="Arial" w:eastAsia="Arial" w:hAnsi="Arial"/>
                <w:sz w:val="15"/>
                <w:szCs w:val="15"/>
                <w:b w:val="1"/>
                <w:bCs w:val="1"/>
                <w:color w:val="auto"/>
                <w:w w:val="91"/>
              </w:rPr>
              <w:t>Derek Dostal, Esq.</w:t>
            </w:r>
          </w:p>
        </w:tc>
      </w:tr>
      <w:tr>
        <w:trPr>
          <w:trHeight w:val="160"/>
        </w:trPr>
        <w:tc>
          <w:tcPr>
            <w:tcW w:w="3480" w:type="dxa"/>
            <w:vAlign w:val="bottom"/>
          </w:tcPr>
          <w:p>
            <w:pPr>
              <w:jc w:val="center"/>
              <w:ind w:right="345"/>
              <w:spacing w:after="0" w:line="160" w:lineRule="exact"/>
              <w:rPr>
                <w:sz w:val="20"/>
                <w:szCs w:val="20"/>
                <w:color w:val="auto"/>
              </w:rPr>
            </w:pPr>
            <w:r>
              <w:rPr>
                <w:rFonts w:ascii="Arial" w:cs="Arial" w:eastAsia="Arial" w:hAnsi="Arial"/>
                <w:sz w:val="15"/>
                <w:szCs w:val="15"/>
                <w:b w:val="1"/>
                <w:bCs w:val="1"/>
                <w:color w:val="auto"/>
                <w:w w:val="89"/>
              </w:rPr>
              <w:t>1285 Avenue of the Americas</w:t>
            </w:r>
          </w:p>
        </w:tc>
        <w:tc>
          <w:tcPr>
            <w:tcW w:w="4460" w:type="dxa"/>
            <w:vAlign w:val="bottom"/>
          </w:tcPr>
          <w:p>
            <w:pPr>
              <w:jc w:val="center"/>
              <w:ind w:left="2543"/>
              <w:spacing w:after="0" w:line="160" w:lineRule="exact"/>
              <w:rPr>
                <w:sz w:val="20"/>
                <w:szCs w:val="20"/>
                <w:color w:val="auto"/>
              </w:rPr>
            </w:pPr>
            <w:r>
              <w:rPr>
                <w:rFonts w:ascii="Arial" w:cs="Arial" w:eastAsia="Arial" w:hAnsi="Arial"/>
                <w:sz w:val="15"/>
                <w:szCs w:val="15"/>
                <w:b w:val="1"/>
                <w:bCs w:val="1"/>
                <w:color w:val="auto"/>
                <w:w w:val="95"/>
              </w:rPr>
              <w:t>Davis Polk &amp; Wardwell LLP</w:t>
            </w:r>
          </w:p>
        </w:tc>
      </w:tr>
      <w:tr>
        <w:trPr>
          <w:trHeight w:val="160"/>
        </w:trPr>
        <w:tc>
          <w:tcPr>
            <w:tcW w:w="3480" w:type="dxa"/>
            <w:vAlign w:val="bottom"/>
          </w:tcPr>
          <w:p>
            <w:pPr>
              <w:jc w:val="center"/>
              <w:ind w:right="345"/>
              <w:spacing w:after="0" w:line="160" w:lineRule="exact"/>
              <w:rPr>
                <w:sz w:val="20"/>
                <w:szCs w:val="20"/>
                <w:color w:val="auto"/>
              </w:rPr>
            </w:pPr>
            <w:r>
              <w:rPr>
                <w:rFonts w:ascii="Arial" w:cs="Arial" w:eastAsia="Arial" w:hAnsi="Arial"/>
                <w:sz w:val="15"/>
                <w:szCs w:val="15"/>
                <w:b w:val="1"/>
                <w:bCs w:val="1"/>
                <w:color w:val="auto"/>
                <w:w w:val="93"/>
              </w:rPr>
              <w:t>New York, NY 10019-6064</w:t>
            </w:r>
          </w:p>
        </w:tc>
        <w:tc>
          <w:tcPr>
            <w:tcW w:w="4460" w:type="dxa"/>
            <w:vAlign w:val="bottom"/>
          </w:tcPr>
          <w:p>
            <w:pPr>
              <w:jc w:val="center"/>
              <w:ind w:left="2543"/>
              <w:spacing w:after="0" w:line="160" w:lineRule="exact"/>
              <w:rPr>
                <w:sz w:val="20"/>
                <w:szCs w:val="20"/>
                <w:color w:val="auto"/>
              </w:rPr>
            </w:pPr>
            <w:r>
              <w:rPr>
                <w:rFonts w:ascii="Arial" w:cs="Arial" w:eastAsia="Arial" w:hAnsi="Arial"/>
                <w:sz w:val="15"/>
                <w:szCs w:val="15"/>
                <w:b w:val="1"/>
                <w:bCs w:val="1"/>
                <w:color w:val="auto"/>
                <w:w w:val="90"/>
              </w:rPr>
              <w:t>450 Lexington Avenue</w:t>
            </w:r>
          </w:p>
        </w:tc>
      </w:tr>
      <w:tr>
        <w:trPr>
          <w:trHeight w:val="160"/>
        </w:trPr>
        <w:tc>
          <w:tcPr>
            <w:tcW w:w="3480" w:type="dxa"/>
            <w:vAlign w:val="bottom"/>
          </w:tcPr>
          <w:p>
            <w:pPr>
              <w:jc w:val="center"/>
              <w:ind w:right="345"/>
              <w:spacing w:after="0" w:line="160" w:lineRule="exact"/>
              <w:rPr>
                <w:sz w:val="20"/>
                <w:szCs w:val="20"/>
                <w:color w:val="auto"/>
              </w:rPr>
            </w:pPr>
            <w:r>
              <w:rPr>
                <w:rFonts w:ascii="Arial" w:cs="Arial" w:eastAsia="Arial" w:hAnsi="Arial"/>
                <w:sz w:val="15"/>
                <w:szCs w:val="15"/>
                <w:b w:val="1"/>
                <w:bCs w:val="1"/>
                <w:color w:val="auto"/>
                <w:w w:val="91"/>
              </w:rPr>
              <w:t>(212) 373-3000</w:t>
            </w:r>
          </w:p>
        </w:tc>
        <w:tc>
          <w:tcPr>
            <w:tcW w:w="4460" w:type="dxa"/>
            <w:vAlign w:val="bottom"/>
          </w:tcPr>
          <w:p>
            <w:pPr>
              <w:jc w:val="center"/>
              <w:ind w:left="2523"/>
              <w:spacing w:after="0" w:line="160" w:lineRule="exact"/>
              <w:rPr>
                <w:sz w:val="20"/>
                <w:szCs w:val="20"/>
                <w:color w:val="auto"/>
              </w:rPr>
            </w:pPr>
            <w:r>
              <w:rPr>
                <w:rFonts w:ascii="Arial" w:cs="Arial" w:eastAsia="Arial" w:hAnsi="Arial"/>
                <w:sz w:val="15"/>
                <w:szCs w:val="15"/>
                <w:b w:val="1"/>
                <w:bCs w:val="1"/>
                <w:color w:val="auto"/>
                <w:w w:val="93"/>
              </w:rPr>
              <w:t>New York, NY 10017</w:t>
            </w:r>
          </w:p>
        </w:tc>
      </w:tr>
      <w:tr>
        <w:trPr>
          <w:trHeight w:val="194"/>
        </w:trPr>
        <w:tc>
          <w:tcPr>
            <w:tcW w:w="3480" w:type="dxa"/>
            <w:vAlign w:val="bottom"/>
          </w:tcPr>
          <w:p>
            <w:pPr>
              <w:spacing w:after="0"/>
              <w:rPr>
                <w:sz w:val="16"/>
                <w:szCs w:val="16"/>
                <w:color w:val="auto"/>
              </w:rPr>
            </w:pPr>
          </w:p>
        </w:tc>
        <w:tc>
          <w:tcPr>
            <w:tcW w:w="4460" w:type="dxa"/>
            <w:vAlign w:val="bottom"/>
          </w:tcPr>
          <w:p>
            <w:pPr>
              <w:jc w:val="center"/>
              <w:ind w:left="2523"/>
              <w:spacing w:after="0"/>
              <w:rPr>
                <w:sz w:val="20"/>
                <w:szCs w:val="20"/>
                <w:color w:val="auto"/>
              </w:rPr>
            </w:pPr>
            <w:r>
              <w:rPr>
                <w:rFonts w:ascii="Arial" w:cs="Arial" w:eastAsia="Arial" w:hAnsi="Arial"/>
                <w:sz w:val="15"/>
                <w:szCs w:val="15"/>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81915</wp:posOffset>
            </wp:positionV>
            <wp:extent cx="1443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53" w:lineRule="exact"/>
        <w:rPr>
          <w:sz w:val="24"/>
          <w:szCs w:val="24"/>
          <w:color w:val="auto"/>
        </w:rPr>
      </w:pPr>
    </w:p>
    <w:p>
      <w:pPr>
        <w:ind w:left="200"/>
        <w:spacing w:after="0"/>
        <w:rPr>
          <w:sz w:val="20"/>
          <w:szCs w:val="20"/>
          <w:color w:val="auto"/>
        </w:rPr>
      </w:pPr>
      <w:r>
        <w:rPr>
          <w:rFonts w:ascii="Arial" w:cs="Arial" w:eastAsia="Arial" w:hAnsi="Arial"/>
          <w:sz w:val="13"/>
          <w:szCs w:val="13"/>
          <w:color w:val="auto"/>
        </w:rPr>
        <w:t>Approximate date of commencement of proposed sale to the public: As soon as practicable after the effective date of this registration statement.</w:t>
      </w:r>
    </w:p>
    <w:p>
      <w:pPr>
        <w:spacing w:after="0" w:line="19" w:lineRule="exact"/>
        <w:rPr>
          <w:sz w:val="24"/>
          <w:szCs w:val="24"/>
          <w:color w:val="auto"/>
        </w:rPr>
      </w:pPr>
    </w:p>
    <w:p>
      <w:pPr>
        <w:ind w:left="20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1" w:lineRule="exact"/>
        <w:rPr>
          <w:sz w:val="24"/>
          <w:szCs w:val="24"/>
          <w:color w:val="auto"/>
        </w:rPr>
      </w:pPr>
    </w:p>
    <w:p>
      <w:pPr>
        <w:ind w:left="200" w:right="440"/>
        <w:spacing w:after="0" w:line="160"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left="200" w:right="12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left="200" w:right="12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0" w:right="14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2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04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342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04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120" w:type="dxa"/>
            <w:vAlign w:val="bottom"/>
          </w:tcPr>
          <w:p>
            <w:pPr>
              <w:ind w:left="3040"/>
              <w:spacing w:after="0"/>
              <w:rPr>
                <w:sz w:val="20"/>
                <w:szCs w:val="20"/>
                <w:color w:val="auto"/>
              </w:rPr>
            </w:pPr>
            <w:r>
              <w:rPr>
                <w:rFonts w:ascii="Arial" w:cs="Arial" w:eastAsia="Arial" w:hAnsi="Arial"/>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 w:lineRule="exact"/>
        <w:rPr>
          <w:sz w:val="24"/>
          <w:szCs w:val="24"/>
          <w:color w:val="auto"/>
        </w:rPr>
      </w:pPr>
    </w:p>
    <w:p>
      <w:pPr>
        <w:ind w:left="200" w:right="140" w:firstLine="325"/>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76200</wp:posOffset>
            </wp:positionV>
            <wp:extent cx="1443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48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3"/>
              </w:rPr>
              <w:t>Proposed</w:t>
            </w:r>
          </w:p>
        </w:tc>
        <w:tc>
          <w:tcPr>
            <w:tcW w:w="1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6"/>
              </w:rPr>
              <w:t>Proposed</w:t>
            </w: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88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Amount to be</w:t>
            </w:r>
          </w:p>
        </w:tc>
        <w:tc>
          <w:tcPr>
            <w:tcW w:w="1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5"/>
              </w:rPr>
              <w:t>Maximum</w:t>
            </w:r>
          </w:p>
        </w:tc>
        <w:tc>
          <w:tcPr>
            <w:tcW w:w="18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5"/>
              </w:rPr>
              <w:t>Maximum</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8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Offering Price</w:t>
            </w:r>
          </w:p>
        </w:tc>
        <w:tc>
          <w:tcPr>
            <w:tcW w:w="18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Aggregate</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Price(1)(2)</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Fee(3)</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par value $0.01 per share</w:t>
            </w:r>
          </w:p>
        </w:tc>
        <w:tc>
          <w:tcPr>
            <w:tcW w:w="1880" w:type="dxa"/>
            <w:vAlign w:val="bottom"/>
            <w:tcBorders>
              <w:bottom w:val="single" w:sz="8" w:color="auto"/>
              <w:right w:val="single" w:sz="8" w:color="auto"/>
            </w:tcBorders>
          </w:tcPr>
          <w:p>
            <w:pPr>
              <w:jc w:val="right"/>
              <w:ind w:right="466"/>
              <w:spacing w:after="0"/>
              <w:rPr>
                <w:sz w:val="20"/>
                <w:szCs w:val="20"/>
                <w:color w:val="auto"/>
              </w:rPr>
            </w:pPr>
            <w:r>
              <w:rPr>
                <w:rFonts w:ascii="Arial" w:cs="Arial" w:eastAsia="Arial" w:hAnsi="Arial"/>
                <w:sz w:val="16"/>
                <w:szCs w:val="16"/>
                <w:color w:val="auto"/>
              </w:rPr>
              <w:t>10,454,545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$23.00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$240,454,535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$26,234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4"/>
          <w:szCs w:val="24"/>
          <w:color w:val="auto"/>
        </w:rPr>
      </w:pPr>
    </w:p>
    <w:p>
      <w:pPr>
        <w:ind w:left="520" w:hanging="321"/>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w:t>
      </w:r>
    </w:p>
    <w:p>
      <w:pPr>
        <w:spacing w:after="0" w:line="6" w:lineRule="exact"/>
        <w:rPr>
          <w:rFonts w:ascii="Arial" w:cs="Arial" w:eastAsia="Arial" w:hAnsi="Arial"/>
          <w:sz w:val="13"/>
          <w:szCs w:val="13"/>
          <w:color w:val="auto"/>
        </w:rPr>
      </w:pPr>
    </w:p>
    <w:p>
      <w:pPr>
        <w:ind w:left="520" w:hanging="321"/>
        <w:spacing w:after="0" w:line="234"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1,363,636 shares of common stock that the underwriters have the option to purchase. See “</w:t>
      </w:r>
      <w:r>
        <w:rPr>
          <w:rFonts w:ascii="Arial" w:cs="Arial" w:eastAsia="Arial" w:hAnsi="Arial"/>
          <w:sz w:val="13"/>
          <w:szCs w:val="13"/>
          <w:i w:val="1"/>
          <w:iCs w:val="1"/>
          <w:color w:val="auto"/>
        </w:rPr>
        <w:t>Underwriting (Conflict of Interest).”</w:t>
      </w:r>
    </w:p>
    <w:p>
      <w:pPr>
        <w:ind w:left="520" w:hanging="321"/>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paid $10,910 of the registration fee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90170</wp:posOffset>
            </wp:positionV>
            <wp:extent cx="1443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62" w:lineRule="exact"/>
        <w:rPr>
          <w:sz w:val="24"/>
          <w:szCs w:val="24"/>
          <w:color w:val="auto"/>
        </w:rPr>
      </w:pPr>
    </w:p>
    <w:p>
      <w:pPr>
        <w:jc w:val="both"/>
        <w:ind w:left="200" w:right="44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45720</wp:posOffset>
            </wp:positionV>
            <wp:extent cx="6889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87630</wp:posOffset>
            </wp:positionV>
            <wp:extent cx="6889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ectPr>
          <w:pgSz w:w="11900" w:h="16838" w:orient="portrait"/>
          <w:cols w:equalWidth="0" w:num="1">
            <w:col w:w="11060"/>
          </w:cols>
          <w:pgMar w:left="320" w:top="228"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40"/>
        <w:spacing w:after="0" w:line="282"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dated March 8, 2021</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PROSPECTUS</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9,090,909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155575</wp:posOffset>
            </wp:positionV>
            <wp:extent cx="2127885" cy="26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788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Sun Country Airlines Holdings, Inc.</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161290</wp:posOffset>
            </wp:positionV>
            <wp:extent cx="1443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4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This is the initial public offering of shares of common stock of Sun Country Airlines Holdings, Inc., a Delaware corporation. We are offering 9,090,909 shares of common</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stock.</w:t>
      </w:r>
    </w:p>
    <w:p>
      <w:pPr>
        <w:spacing w:after="0" w:line="81" w:lineRule="exact"/>
        <w:rPr>
          <w:sz w:val="20"/>
          <w:szCs w:val="20"/>
          <w:color w:val="auto"/>
        </w:rPr>
      </w:pPr>
    </w:p>
    <w:p>
      <w:pPr>
        <w:ind w:left="200" w:right="400" w:firstLine="434"/>
        <w:spacing w:after="0" w:line="246" w:lineRule="auto"/>
        <w:rPr>
          <w:sz w:val="20"/>
          <w:szCs w:val="20"/>
          <w:color w:val="auto"/>
        </w:rPr>
      </w:pPr>
      <w:r>
        <w:rPr>
          <w:rFonts w:ascii="Arial" w:cs="Arial" w:eastAsia="Arial" w:hAnsi="Arial"/>
          <w:sz w:val="15"/>
          <w:szCs w:val="15"/>
          <w:color w:val="auto"/>
        </w:rPr>
        <w:t>We expect the public offering price to be between $21.00 and $23.00 per share. Prior to this offering, there has been no public market for our common stock. We have applied to list our common stock on the Nasdaq Global Select Market (“Nasdaq”) under the symbol “SNCY.”</w:t>
      </w:r>
    </w:p>
    <w:p>
      <w:pPr>
        <w:spacing w:after="0" w:line="72" w:lineRule="exact"/>
        <w:rPr>
          <w:sz w:val="20"/>
          <w:szCs w:val="20"/>
          <w:color w:val="auto"/>
        </w:rPr>
      </w:pPr>
    </w:p>
    <w:p>
      <w:pPr>
        <w:ind w:left="200" w:right="60" w:firstLine="434"/>
        <w:spacing w:after="0" w:line="230" w:lineRule="auto"/>
        <w:rPr>
          <w:sz w:val="20"/>
          <w:szCs w:val="20"/>
          <w:color w:val="auto"/>
        </w:rPr>
      </w:pPr>
      <w:r>
        <w:rPr>
          <w:rFonts w:ascii="Arial" w:cs="Arial" w:eastAsia="Arial" w:hAnsi="Arial"/>
          <w:sz w:val="15"/>
          <w:szCs w:val="15"/>
          <w:color w:val="auto"/>
        </w:rPr>
        <w:t>SCA Horus Holdings, LLC (the “Apollo Stockholder”), which is an affiliate of certain investment funds managed by affiliates of Apollo Global Management, Inc., is currently our majority stockholder. Following the completion of this offering and related transactions, the Apollo Stockholder will continue to own a majority of the voting power of our outstanding common stock. As a result, we expect to be a “controlled company” under the corporate governance rules for Nasdaq-listed companies and will be exempt from certain corporate governance requirements of such rules. See “</w:t>
      </w:r>
      <w:r>
        <w:rPr>
          <w:rFonts w:ascii="Arial" w:cs="Arial" w:eastAsia="Arial" w:hAnsi="Arial"/>
          <w:sz w:val="15"/>
          <w:szCs w:val="15"/>
          <w:i w:val="1"/>
          <w:iCs w:val="1"/>
          <w:color w:val="auto"/>
        </w:rPr>
        <w:t>Risk Factors—Risks Related to this Offering and Ownership of our Common Stock</w:t>
      </w:r>
      <w:r>
        <w:rPr>
          <w:rFonts w:ascii="Arial" w:cs="Arial" w:eastAsia="Arial" w:hAnsi="Arial"/>
          <w:sz w:val="15"/>
          <w:szCs w:val="15"/>
          <w:color w:val="auto"/>
        </w:rPr>
        <w:t>,” “</w:t>
      </w:r>
      <w:r>
        <w:rPr>
          <w:rFonts w:ascii="Arial" w:cs="Arial" w:eastAsia="Arial" w:hAnsi="Arial"/>
          <w:sz w:val="15"/>
          <w:szCs w:val="15"/>
          <w:i w:val="1"/>
          <w:iCs w:val="1"/>
          <w:color w:val="auto"/>
        </w:rPr>
        <w:t>Management—Controlled</w:t>
      </w:r>
      <w:r>
        <w:rPr>
          <w:rFonts w:ascii="Arial" w:cs="Arial" w:eastAsia="Arial" w:hAnsi="Arial"/>
          <w:sz w:val="15"/>
          <w:szCs w:val="15"/>
          <w:color w:val="auto"/>
        </w:rPr>
        <w:t xml:space="preserve"> </w:t>
      </w:r>
      <w:r>
        <w:rPr>
          <w:rFonts w:ascii="Arial" w:cs="Arial" w:eastAsia="Arial" w:hAnsi="Arial"/>
          <w:sz w:val="15"/>
          <w:szCs w:val="15"/>
          <w:i w:val="1"/>
          <w:iCs w:val="1"/>
          <w:color w:val="auto"/>
        </w:rPr>
        <w:t>Company</w:t>
      </w:r>
      <w:r>
        <w:rPr>
          <w:rFonts w:ascii="Arial" w:cs="Arial" w:eastAsia="Arial" w:hAnsi="Arial"/>
          <w:sz w:val="15"/>
          <w:szCs w:val="15"/>
          <w:color w:val="auto"/>
        </w:rPr>
        <w:t>” and “</w:t>
      </w:r>
      <w:r>
        <w:rPr>
          <w:rFonts w:ascii="Arial" w:cs="Arial" w:eastAsia="Arial" w:hAnsi="Arial"/>
          <w:sz w:val="15"/>
          <w:szCs w:val="15"/>
          <w:i w:val="1"/>
          <w:iCs w:val="1"/>
          <w:color w:val="auto"/>
        </w:rPr>
        <w:t>Principal Stockholders</w:t>
      </w:r>
      <w:r>
        <w:rPr>
          <w:rFonts w:ascii="Arial" w:cs="Arial" w:eastAsia="Arial" w:hAnsi="Arial"/>
          <w:sz w:val="15"/>
          <w:szCs w:val="15"/>
          <w:color w:val="auto"/>
        </w:rPr>
        <w:t>.”</w:t>
      </w:r>
    </w:p>
    <w:p>
      <w:pPr>
        <w:spacing w:after="0" w:line="78" w:lineRule="exact"/>
        <w:rPr>
          <w:sz w:val="20"/>
          <w:szCs w:val="20"/>
          <w:color w:val="auto"/>
        </w:rPr>
      </w:pPr>
    </w:p>
    <w:p>
      <w:pPr>
        <w:ind w:left="200" w:right="660" w:firstLine="434"/>
        <w:spacing w:after="0" w:line="246" w:lineRule="auto"/>
        <w:rPr>
          <w:sz w:val="20"/>
          <w:szCs w:val="20"/>
          <w:color w:val="auto"/>
        </w:rPr>
      </w:pPr>
      <w:r>
        <w:rPr>
          <w:rFonts w:ascii="Arial" w:cs="Arial" w:eastAsia="Arial" w:hAnsi="Arial"/>
          <w:sz w:val="15"/>
          <w:szCs w:val="15"/>
          <w:color w:val="auto"/>
        </w:rPr>
        <w:t>We are also an “emerging growth company” as defined in the Jumpstart Our Business Startups Act of 2012 and are eligible for reduced public company reporting requirements. Please see “</w:t>
      </w:r>
      <w:r>
        <w:rPr>
          <w:rFonts w:ascii="Arial" w:cs="Arial" w:eastAsia="Arial" w:hAnsi="Arial"/>
          <w:sz w:val="15"/>
          <w:szCs w:val="15"/>
          <w:i w:val="1"/>
          <w:iCs w:val="1"/>
          <w:color w:val="auto"/>
        </w:rPr>
        <w:t>Prospectus Summary— Implications of Being an Emerging Growth Company</w:t>
      </w:r>
      <w:r>
        <w:rPr>
          <w:rFonts w:ascii="Arial" w:cs="Arial" w:eastAsia="Arial" w:hAnsi="Arial"/>
          <w:sz w:val="15"/>
          <w:szCs w:val="15"/>
          <w:color w:val="auto"/>
        </w:rPr>
        <w:t>.”</w:t>
      </w:r>
    </w:p>
    <w:p>
      <w:pPr>
        <w:spacing w:after="0" w:line="72" w:lineRule="exact"/>
        <w:rPr>
          <w:sz w:val="20"/>
          <w:szCs w:val="20"/>
          <w:color w:val="auto"/>
        </w:rPr>
      </w:pPr>
    </w:p>
    <w:p>
      <w:pPr>
        <w:ind w:left="200" w:firstLine="434"/>
        <w:spacing w:after="0" w:line="246"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w:t>
      </w:r>
      <w:r>
        <w:rPr>
          <w:rFonts w:ascii="Arial" w:cs="Arial" w:eastAsia="Arial" w:hAnsi="Arial"/>
          <w:sz w:val="15"/>
          <w:szCs w:val="15"/>
          <w:color w:val="auto"/>
        </w:rPr>
        <w:t xml:space="preserve"> </w:t>
      </w:r>
      <w:r>
        <w:rPr>
          <w:rFonts w:ascii="Arial" w:cs="Arial" w:eastAsia="Arial" w:hAnsi="Arial"/>
          <w:sz w:val="15"/>
          <w:szCs w:val="15"/>
          <w:i w:val="1"/>
          <w:iCs w:val="1"/>
          <w:color w:val="auto"/>
        </w:rPr>
        <w:t>Limited Ownership and Voting by Foreign Owners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138430</wp:posOffset>
            </wp:positionV>
            <wp:extent cx="1443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01" w:lineRule="exact"/>
        <w:rPr>
          <w:sz w:val="20"/>
          <w:szCs w:val="20"/>
          <w:color w:val="auto"/>
        </w:rPr>
      </w:pPr>
    </w:p>
    <w:p>
      <w:pPr>
        <w:ind w:left="6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common stock involves risks that are described in the “</w:t>
      </w:r>
      <w:hyperlink w:anchor="page30">
        <w:r>
          <w:rPr>
            <w:rFonts w:ascii="Arial" w:cs="Arial" w:eastAsia="Arial" w:hAnsi="Arial"/>
            <w:sz w:val="15"/>
            <w:szCs w:val="15"/>
            <w:b w:val="1"/>
            <w:bCs w:val="1"/>
            <w:i w:val="1"/>
            <w:iCs w:val="1"/>
            <w:u w:val="single" w:color="auto"/>
            <w:color w:val="0000EE"/>
          </w:rPr>
          <w:t>Risk Factors</w:t>
        </w:r>
      </w:hyperlink>
      <w:r>
        <w:rPr>
          <w:rFonts w:ascii="Arial" w:cs="Arial" w:eastAsia="Arial" w:hAnsi="Arial"/>
          <w:sz w:val="15"/>
          <w:szCs w:val="15"/>
          <w:b w:val="1"/>
          <w:bCs w:val="1"/>
          <w:color w:val="auto"/>
        </w:rPr>
        <w:t>” section beginning on page 22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146050</wp:posOffset>
            </wp:positionV>
            <wp:extent cx="1443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61"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2460" w:type="dxa"/>
            <w:vAlign w:val="bottom"/>
            <w:gridSpan w:val="2"/>
          </w:tcPr>
          <w:p>
            <w:pPr>
              <w:ind w:left="1860"/>
              <w:spacing w:after="0"/>
              <w:rPr>
                <w:sz w:val="20"/>
                <w:szCs w:val="20"/>
                <w:color w:val="auto"/>
              </w:rPr>
            </w:pPr>
            <w:r>
              <w:rPr>
                <w:rFonts w:ascii="Arial" w:cs="Arial" w:eastAsia="Arial" w:hAnsi="Arial"/>
                <w:sz w:val="14"/>
                <w:szCs w:val="14"/>
                <w:b w:val="1"/>
                <w:bCs w:val="1"/>
                <w:color w:val="auto"/>
                <w:w w:val="88"/>
              </w:rPr>
              <w:t>Per Share</w:t>
            </w:r>
          </w:p>
        </w:tc>
        <w:tc>
          <w:tcPr>
            <w:tcW w:w="52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53"/>
        </w:trPr>
        <w:tc>
          <w:tcPr>
            <w:tcW w:w="45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Public offering price</w:t>
            </w:r>
          </w:p>
        </w:tc>
        <w:tc>
          <w:tcPr>
            <w:tcW w:w="18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587"/>
              <w:spacing w:after="0" w:line="153" w:lineRule="exact"/>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0"/>
        </w:trPr>
        <w:tc>
          <w:tcPr>
            <w:tcW w:w="4500" w:type="dxa"/>
            <w:vAlign w:val="bottom"/>
          </w:tcPr>
          <w:p>
            <w:pPr>
              <w:spacing w:after="0" w:line="160"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12"/>
                <w:szCs w:val="12"/>
                <w:color w:val="auto"/>
              </w:rPr>
              <w:t>(1)</w:t>
            </w:r>
          </w:p>
        </w:tc>
        <w:tc>
          <w:tcPr>
            <w:tcW w:w="2460" w:type="dxa"/>
            <w:vAlign w:val="bottom"/>
            <w:gridSpan w:val="2"/>
          </w:tcPr>
          <w:p>
            <w:pPr>
              <w:ind w:left="1860"/>
              <w:spacing w:after="0" w:line="160"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587"/>
              <w:spacing w:after="0" w:line="16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r>
      <w:tr>
        <w:trPr>
          <w:trHeight w:val="160"/>
        </w:trPr>
        <w:tc>
          <w:tcPr>
            <w:tcW w:w="45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Proceeds to us, before expenses</w:t>
            </w:r>
          </w:p>
        </w:tc>
        <w:tc>
          <w:tcPr>
            <w:tcW w:w="2460" w:type="dxa"/>
            <w:vAlign w:val="bottom"/>
            <w:gridSpan w:val="2"/>
            <w:shd w:val="clear" w:color="auto" w:fill="CCEEFF"/>
          </w:tcPr>
          <w:p>
            <w:pPr>
              <w:ind w:left="1860"/>
              <w:spacing w:after="0" w:line="160"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587"/>
              <w:spacing w:after="0" w:line="160"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0" w:lineRule="exact"/>
        <w:rPr>
          <w:sz w:val="20"/>
          <w:szCs w:val="20"/>
          <w:color w:val="auto"/>
        </w:rPr>
      </w:pPr>
    </w:p>
    <w:p>
      <w:pPr>
        <w:ind w:left="620" w:hanging="421"/>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for additional information regarding the underwriters’ compensation and reimbursement of expenses.</w:t>
      </w:r>
    </w:p>
    <w:p>
      <w:pPr>
        <w:spacing w:after="0" w:line="93" w:lineRule="exact"/>
        <w:rPr>
          <w:sz w:val="20"/>
          <w:szCs w:val="20"/>
          <w:color w:val="auto"/>
        </w:rPr>
      </w:pPr>
    </w:p>
    <w:p>
      <w:pPr>
        <w:ind w:left="200" w:right="460" w:firstLine="434"/>
        <w:spacing w:after="0" w:line="246" w:lineRule="auto"/>
        <w:rPr>
          <w:sz w:val="20"/>
          <w:szCs w:val="20"/>
          <w:color w:val="auto"/>
        </w:rPr>
      </w:pPr>
      <w:r>
        <w:rPr>
          <w:rFonts w:ascii="Arial" w:cs="Arial" w:eastAsia="Arial" w:hAnsi="Arial"/>
          <w:sz w:val="15"/>
          <w:szCs w:val="15"/>
          <w:color w:val="auto"/>
        </w:rPr>
        <w:t>The underwriters may also exercise their option to purchase up to an additional 1,363,636 shares from us at the public offering price, less underwriting discounts and commissions, for 30 days after the date of this prospectus.</w:t>
      </w:r>
    </w:p>
    <w:p>
      <w:pPr>
        <w:spacing w:after="0" w:line="72" w:lineRule="exact"/>
        <w:rPr>
          <w:sz w:val="20"/>
          <w:szCs w:val="20"/>
          <w:color w:val="auto"/>
        </w:rPr>
      </w:pPr>
    </w:p>
    <w:p>
      <w:pPr>
        <w:ind w:left="200" w:right="20" w:firstLine="434"/>
        <w:spacing w:after="0" w:line="242" w:lineRule="auto"/>
        <w:rPr>
          <w:sz w:val="20"/>
          <w:szCs w:val="20"/>
          <w:color w:val="auto"/>
        </w:rPr>
      </w:pPr>
      <w:r>
        <w:rPr>
          <w:rFonts w:ascii="Arial" w:cs="Arial" w:eastAsia="Arial" w:hAnsi="Arial"/>
          <w:sz w:val="14"/>
          <w:szCs w:val="14"/>
          <w:color w:val="auto"/>
        </w:rPr>
        <w:t>Each of PAR Investment Partners, L.P. (“PAR Capital”) and certain funds or accounts managed by an investment adviser subsidiary of Blackrock, Inc. (such funds and accounts, the “Blackrock Entities”) has agreed to purchase shares of common stock from the Apollo Stockholder in private placements that are expected to close concurrently with this offering. Each of PAR Capital and the Blackrock Entities is a “qualified institutional buyer” as defined in Rule 144A under the Securities Act of 1933, as amended. The number of shares of common stock to be purchased by PAR Capital from the Apollo Stockholder will be based on an aggregate purchase price of $50.0 million and a price per share equal to 94% of the initial public offering price. The number of shares of common stock to be purchased by the Blackrock Entities from the Apollo Stockholder will be based on an aggregate purchase price of $50.0 million and a price per share equal to 94% of the initial public offering price. Assuming an initial public offering price of $22.00 per share of common stock, the midpoint of the range set forth on the cover page of this prospectus, PAR Capital will purchase 2,417,794 shares of common stock from the Apollo Stockholder and the Blackrock Entities will purchase an aggregate of 2,417,790 shares of common stock from the Apollo Stockholder. Each private placement is subject to certain closing conditions, including a requirement that total gross proceeds from the sale of shares by us in this offering will be at least $175 million. Each of PAR Capital and the Blackrock Entities has entered into an agreement with the underwriters pursuant to which it has agreed not to dispose of its shares for a period of 180 days after the date of this prospectus, subject to certain exceptions. See “</w:t>
      </w:r>
      <w:r>
        <w:rPr>
          <w:rFonts w:ascii="Arial" w:cs="Arial" w:eastAsia="Arial" w:hAnsi="Arial"/>
          <w:sz w:val="14"/>
          <w:szCs w:val="14"/>
          <w:i w:val="1"/>
          <w:iCs w:val="1"/>
          <w:color w:val="auto"/>
        </w:rPr>
        <w:t>Summary—Private Placements</w:t>
      </w:r>
      <w:r>
        <w:rPr>
          <w:rFonts w:ascii="Arial" w:cs="Arial" w:eastAsia="Arial" w:hAnsi="Arial"/>
          <w:sz w:val="14"/>
          <w:szCs w:val="14"/>
          <w:color w:val="auto"/>
        </w:rPr>
        <w:t>.”</w:t>
      </w:r>
    </w:p>
    <w:p>
      <w:pPr>
        <w:spacing w:after="0" w:line="72" w:lineRule="exact"/>
        <w:rPr>
          <w:sz w:val="20"/>
          <w:szCs w:val="20"/>
          <w:color w:val="auto"/>
        </w:rPr>
      </w:pPr>
    </w:p>
    <w:p>
      <w:pPr>
        <w:ind w:left="200" w:right="500" w:firstLine="434"/>
        <w:spacing w:after="0" w:line="25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0"/>
          <w:szCs w:val="20"/>
          <w:color w:val="auto"/>
        </w:rPr>
      </w:pPr>
    </w:p>
    <w:p>
      <w:pPr>
        <w:ind w:left="640"/>
        <w:spacing w:after="0"/>
        <w:tabs>
          <w:tab w:leader="none" w:pos="6800" w:val="left"/>
        </w:tabs>
        <w:rPr>
          <w:sz w:val="20"/>
          <w:szCs w:val="20"/>
          <w:color w:val="auto"/>
        </w:rPr>
      </w:pPr>
      <w:r>
        <w:rPr>
          <w:rFonts w:ascii="Arial" w:cs="Arial" w:eastAsia="Arial" w:hAnsi="Arial"/>
          <w:sz w:val="15"/>
          <w:szCs w:val="15"/>
          <w:color w:val="auto"/>
        </w:rPr>
        <w:t>The underwriters expect to deliver the shares of common stock against payment on or about</w:t>
      </w:r>
      <w:r>
        <w:rPr>
          <w:sz w:val="20"/>
          <w:szCs w:val="20"/>
          <w:color w:val="auto"/>
        </w:rPr>
        <w:tab/>
      </w:r>
      <w:r>
        <w:rPr>
          <w:rFonts w:ascii="Arial" w:cs="Arial" w:eastAsia="Arial" w:hAnsi="Arial"/>
          <w:sz w:val="13"/>
          <w:szCs w:val="13"/>
          <w:color w:val="auto"/>
        </w:rPr>
        <w:t>, 2021.</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i w:val="1"/>
          <w:iCs w:val="1"/>
          <w:color w:val="auto"/>
        </w:rPr>
        <w:t>Joint Bookrunners</w:t>
      </w:r>
    </w:p>
    <w:p>
      <w:pPr>
        <w:spacing w:after="0" w:line="231" w:lineRule="exact"/>
        <w:rPr>
          <w:sz w:val="20"/>
          <w:szCs w:val="20"/>
          <w:color w:val="auto"/>
        </w:rPr>
      </w:pPr>
    </w:p>
    <w:p>
      <w:pPr>
        <w:ind w:left="200"/>
        <w:spacing w:after="0"/>
        <w:tabs>
          <w:tab w:leader="none" w:pos="5100" w:val="left"/>
          <w:tab w:leader="none" w:pos="8720" w:val="left"/>
        </w:tabs>
        <w:rPr>
          <w:sz w:val="20"/>
          <w:szCs w:val="20"/>
          <w:color w:val="auto"/>
        </w:rPr>
      </w:pP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18"/>
          <w:szCs w:val="18"/>
          <w:b w:val="1"/>
          <w:bCs w:val="1"/>
          <w:color w:val="auto"/>
        </w:rPr>
        <w:t>Deutsche Bank Securities</w:t>
      </w:r>
    </w:p>
    <w:p>
      <w:pPr>
        <w:spacing w:after="0" w:line="64" w:lineRule="exact"/>
        <w:rPr>
          <w:sz w:val="20"/>
          <w:szCs w:val="20"/>
          <w:color w:val="auto"/>
        </w:rPr>
      </w:pPr>
    </w:p>
    <w:p>
      <w:pPr>
        <w:ind w:left="200"/>
        <w:spacing w:after="0"/>
        <w:tabs>
          <w:tab w:leader="none" w:pos="10280" w:val="left"/>
        </w:tabs>
        <w:rPr>
          <w:sz w:val="20"/>
          <w:szCs w:val="20"/>
          <w:color w:val="auto"/>
        </w:rPr>
      </w:pPr>
      <w:r>
        <w:rPr>
          <w:rFonts w:ascii="Arial" w:cs="Arial" w:eastAsia="Arial" w:hAnsi="Arial"/>
          <w:sz w:val="21"/>
          <w:szCs w:val="21"/>
          <w:b w:val="1"/>
          <w:bCs w:val="1"/>
          <w:color w:val="auto"/>
        </w:rPr>
        <w:t>Goldman Sachs &amp; Co. LLC</w:t>
      </w:r>
      <w:r>
        <w:rPr>
          <w:sz w:val="20"/>
          <w:szCs w:val="20"/>
          <w:color w:val="auto"/>
        </w:rPr>
        <w:tab/>
      </w:r>
      <w:r>
        <w:rPr>
          <w:rFonts w:ascii="Arial" w:cs="Arial" w:eastAsia="Arial" w:hAnsi="Arial"/>
          <w:sz w:val="19"/>
          <w:szCs w:val="19"/>
          <w:b w:val="1"/>
          <w:bCs w:val="1"/>
          <w:color w:val="auto"/>
        </w:rPr>
        <w:t>Nomura</w:t>
      </w: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Co-Managers</w:t>
      </w:r>
    </w:p>
    <w:p>
      <w:pPr>
        <w:spacing w:after="0" w:line="119" w:lineRule="exact"/>
        <w:rPr>
          <w:sz w:val="20"/>
          <w:szCs w:val="20"/>
          <w:color w:val="auto"/>
        </w:rPr>
      </w:pPr>
    </w:p>
    <w:p>
      <w:pPr>
        <w:ind w:left="200"/>
        <w:spacing w:after="0"/>
        <w:tabs>
          <w:tab w:leader="none" w:pos="3340" w:val="left"/>
          <w:tab w:leader="none" w:pos="5860" w:val="left"/>
          <w:tab w:leader="none" w:pos="8820" w:val="left"/>
        </w:tabs>
        <w:rPr>
          <w:sz w:val="20"/>
          <w:szCs w:val="20"/>
          <w:color w:val="auto"/>
        </w:rPr>
      </w:pPr>
      <w:r>
        <w:rPr>
          <w:rFonts w:ascii="Arial" w:cs="Arial" w:eastAsia="Arial" w:hAnsi="Arial"/>
          <w:sz w:val="18"/>
          <w:szCs w:val="18"/>
          <w:b w:val="1"/>
          <w:bCs w:val="1"/>
          <w:color w:val="auto"/>
        </w:rPr>
        <w:t>Apollo Global Securities</w:t>
      </w:r>
      <w:r>
        <w:rPr>
          <w:sz w:val="20"/>
          <w:szCs w:val="20"/>
          <w:color w:val="auto"/>
        </w:rPr>
        <w:tab/>
      </w:r>
      <w:r>
        <w:rPr>
          <w:rFonts w:ascii="Arial" w:cs="Arial" w:eastAsia="Arial" w:hAnsi="Arial"/>
          <w:sz w:val="18"/>
          <w:szCs w:val="18"/>
          <w:b w:val="1"/>
          <w:bCs w:val="1"/>
          <w:color w:val="auto"/>
        </w:rPr>
        <w:t>AmeriVet Securities</w:t>
      </w:r>
      <w:r>
        <w:rPr>
          <w:sz w:val="20"/>
          <w:szCs w:val="20"/>
          <w:color w:val="auto"/>
        </w:rPr>
        <w:tab/>
      </w:r>
      <w:r>
        <w:rPr>
          <w:rFonts w:ascii="Arial" w:cs="Arial" w:eastAsia="Arial" w:hAnsi="Arial"/>
          <w:sz w:val="18"/>
          <w:szCs w:val="18"/>
          <w:b w:val="1"/>
          <w:bCs w:val="1"/>
          <w:color w:val="auto"/>
        </w:rPr>
        <w:t>Siebert Williams Shank</w:t>
      </w:r>
      <w:r>
        <w:rPr>
          <w:sz w:val="20"/>
          <w:szCs w:val="20"/>
          <w:color w:val="auto"/>
        </w:rPr>
        <w:tab/>
      </w:r>
      <w:r>
        <w:rPr>
          <w:rFonts w:ascii="Arial" w:cs="Arial" w:eastAsia="Arial" w:hAnsi="Arial"/>
          <w:sz w:val="17"/>
          <w:szCs w:val="17"/>
          <w:b w:val="1"/>
          <w:bCs w:val="1"/>
          <w:color w:val="auto"/>
        </w:rPr>
        <w:t>Tribal Capital Markets, LLC</w:t>
      </w:r>
    </w:p>
    <w:p>
      <w:pPr>
        <w:sectPr>
          <w:pgSz w:w="11900" w:h="16838" w:orient="portrait"/>
          <w:cols w:equalWidth="0" w:num="1">
            <w:col w:w="11040"/>
          </w:cols>
          <w:pgMar w:left="320" w:top="454" w:right="539" w:bottom="1440" w:gutter="0" w:footer="0" w:header="0"/>
        </w:sectPr>
      </w:pPr>
    </w:p>
    <w:p>
      <w:pPr>
        <w:spacing w:after="0" w:line="246" w:lineRule="exact"/>
        <w:rPr>
          <w:sz w:val="20"/>
          <w:szCs w:val="20"/>
          <w:color w:val="auto"/>
        </w:rPr>
      </w:pPr>
    </w:p>
    <w:p>
      <w:pPr>
        <w:ind w:left="4180"/>
        <w:spacing w:after="0"/>
        <w:tabs>
          <w:tab w:leader="none" w:pos="6660" w:val="left"/>
        </w:tabs>
        <w:rPr>
          <w:sz w:val="20"/>
          <w:szCs w:val="20"/>
          <w:color w:val="auto"/>
        </w:rPr>
      </w:pPr>
      <w:r>
        <w:rPr>
          <w:rFonts w:ascii="Arial" w:cs="Arial" w:eastAsia="Arial" w:hAnsi="Arial"/>
          <w:sz w:val="15"/>
          <w:szCs w:val="15"/>
          <w:b w:val="1"/>
          <w:bCs w:val="1"/>
          <w:color w:val="auto"/>
        </w:rPr>
        <w:t>The date of this prospectus is</w:t>
      </w:r>
      <w:r>
        <w:rPr>
          <w:sz w:val="20"/>
          <w:szCs w:val="20"/>
          <w:color w:val="auto"/>
        </w:rPr>
        <w:tab/>
      </w:r>
      <w:r>
        <w:rPr>
          <w:rFonts w:ascii="Arial" w:cs="Arial" w:eastAsia="Arial" w:hAnsi="Arial"/>
          <w:sz w:val="13"/>
          <w:szCs w:val="13"/>
          <w:b w:val="1"/>
          <w:bCs w:val="1"/>
          <w:color w:val="auto"/>
        </w:rPr>
        <w:t>, 2021</w:t>
      </w:r>
    </w:p>
    <w:p>
      <w:pPr>
        <w:sectPr>
          <w:pgSz w:w="11900" w:h="16838" w:orient="portrait"/>
          <w:cols w:equalWidth="0" w:num="1">
            <w:col w:w="11040"/>
          </w:cols>
          <w:pgMar w:left="320" w:top="454" w:right="539"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222885</wp:posOffset>
            </wp:positionV>
            <wp:extent cx="5107940" cy="6610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07940" cy="661098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firstLine="434"/>
        <w:spacing w:after="0" w:line="351" w:lineRule="auto"/>
        <w:rPr>
          <w:sz w:val="20"/>
          <w:szCs w:val="20"/>
          <w:color w:val="auto"/>
        </w:rPr>
      </w:pPr>
      <w:r>
        <w:rPr>
          <w:rFonts w:ascii="Arial" w:cs="Arial" w:eastAsia="Arial" w:hAnsi="Arial"/>
          <w:sz w:val="14"/>
          <w:szCs w:val="14"/>
          <w:b w:val="1"/>
          <w:bCs w:val="1"/>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33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60" w:type="dxa"/>
            <w:vAlign w:val="bottom"/>
          </w:tcPr>
          <w:p>
            <w:pPr>
              <w:ind w:left="44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441"/>
        </w:trPr>
        <w:tc>
          <w:tcPr>
            <w:tcW w:w="84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Cautionary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Dividend Policy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Dilution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Selected Historical Consolidated Financial Data</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Management’s Discussion and Analysis of Financial Condition and Results of Operations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Industry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Business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Management</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Executive Compensation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Certain Relationships and Related Party Transactions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Principal Stockholders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Shares Eligible for Future Sale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Material U.S. Federal Income Tax Considerations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3"/>
        </w:trPr>
        <w:tc>
          <w:tcPr>
            <w:tcW w:w="8460" w:type="dxa"/>
            <w:vAlign w:val="bottom"/>
          </w:tcPr>
          <w:p>
            <w:pPr>
              <w:spacing w:after="0"/>
              <w:rPr>
                <w:rFonts w:ascii="Arial" w:cs="Arial" w:eastAsia="Arial" w:hAnsi="Arial"/>
                <w:sz w:val="18"/>
                <w:szCs w:val="18"/>
                <w:color w:val="0000EE"/>
              </w:rPr>
            </w:pPr>
            <w:hyperlink w:anchor="page187">
              <w:r>
                <w:rPr>
                  <w:rFonts w:ascii="Arial" w:cs="Arial" w:eastAsia="Arial" w:hAnsi="Arial"/>
                  <w:sz w:val="18"/>
                  <w:szCs w:val="18"/>
                  <w:u w:val="single" w:color="auto"/>
                  <w:color w:val="0000EE"/>
                </w:rPr>
                <w:t>Underwriting</w:t>
              </w:r>
              <w:r>
                <w:rPr>
                  <w:rFonts w:ascii="Arial" w:cs="Arial" w:eastAsia="Arial" w:hAnsi="Arial"/>
                  <w:sz w:val="18"/>
                  <w:szCs w:val="18"/>
                  <w:color w:val="0000EE"/>
                </w:rPr>
                <w:t xml:space="preserve"> </w:t>
              </w:r>
            </w:hyperlink>
            <w:r>
              <w:rPr>
                <w:rFonts w:ascii="Arial" w:cs="Arial" w:eastAsia="Arial" w:hAnsi="Arial"/>
                <w:sz w:val="18"/>
                <w:szCs w:val="18"/>
                <w:color w:val="000000"/>
              </w:rPr>
              <w:t>(Conflict</w:t>
            </w:r>
            <w:r>
              <w:rPr>
                <w:rFonts w:ascii="Arial" w:cs="Arial" w:eastAsia="Arial" w:hAnsi="Arial"/>
                <w:sz w:val="18"/>
                <w:szCs w:val="18"/>
                <w:color w:val="0000EE"/>
              </w:rPr>
              <w:t xml:space="preserve"> </w:t>
            </w:r>
            <w:r>
              <w:rPr>
                <w:rFonts w:ascii="Arial" w:cs="Arial" w:eastAsia="Arial" w:hAnsi="Arial"/>
                <w:sz w:val="18"/>
                <w:szCs w:val="18"/>
                <w:color w:val="000000"/>
              </w:rPr>
              <w:t>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4"/>
        </w:trPr>
        <w:tc>
          <w:tcPr>
            <w:tcW w:w="8460" w:type="dxa"/>
            <w:vAlign w:val="bottom"/>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Index to Consolidated Financial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96" w:lineRule="exact"/>
        <w:rPr>
          <w:sz w:val="20"/>
          <w:szCs w:val="20"/>
          <w:color w:val="auto"/>
        </w:rPr>
      </w:pPr>
    </w:p>
    <w:p>
      <w:pPr>
        <w:ind w:left="200" w:right="140" w:firstLine="434"/>
        <w:spacing w:after="0" w:line="337" w:lineRule="auto"/>
        <w:rPr>
          <w:sz w:val="20"/>
          <w:szCs w:val="20"/>
          <w:color w:val="auto"/>
        </w:rPr>
      </w:pPr>
      <w:r>
        <w:rPr>
          <w:rFonts w:ascii="Arial" w:cs="Arial" w:eastAsia="Arial" w:hAnsi="Arial"/>
          <w:sz w:val="14"/>
          <w:szCs w:val="14"/>
          <w:b w:val="1"/>
          <w:bCs w:val="1"/>
          <w:color w:val="auto"/>
        </w:rPr>
        <w:t>Neither we nor the underwriters have authorized any other person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133" w:lineRule="exact"/>
        <w:rPr>
          <w:sz w:val="20"/>
          <w:szCs w:val="20"/>
          <w:color w:val="auto"/>
        </w:rPr>
      </w:pPr>
    </w:p>
    <w:p>
      <w:pPr>
        <w:ind w:left="200" w:right="340" w:firstLine="434"/>
        <w:spacing w:after="0" w:line="307" w:lineRule="auto"/>
        <w:rPr>
          <w:sz w:val="20"/>
          <w:szCs w:val="20"/>
          <w:color w:val="auto"/>
        </w:rPr>
      </w:pPr>
      <w:r>
        <w:rPr>
          <w:rFonts w:ascii="Arial" w:cs="Arial" w:eastAsia="Arial" w:hAnsi="Arial"/>
          <w:sz w:val="16"/>
          <w:szCs w:val="16"/>
          <w:b w:val="1"/>
          <w:bCs w:val="1"/>
          <w:color w:val="auto"/>
        </w:rPr>
        <w:t>Through and including ,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320" w:top="454"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4"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 AND MARKET DATA</w:t>
      </w:r>
    </w:p>
    <w:p>
      <w:pPr>
        <w:spacing w:after="0" w:line="224"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BASIS OF PRESENTATION</w:t>
      </w:r>
    </w:p>
    <w:p>
      <w:pPr>
        <w:spacing w:after="0" w:line="224"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8"/>
          <w:szCs w:val="18"/>
          <w:i w:val="1"/>
          <w:iCs w:val="1"/>
          <w:color w:val="auto"/>
        </w:rPr>
        <w:t>Prospectus Summary—The Reorganization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p>
    <w:p>
      <w:pPr>
        <w:spacing w:after="0" w:line="191" w:lineRule="exact"/>
        <w:rPr>
          <w:sz w:val="20"/>
          <w:szCs w:val="20"/>
          <w:color w:val="auto"/>
        </w:rPr>
      </w:pPr>
    </w:p>
    <w:p>
      <w:pPr>
        <w:ind w:left="200" w:right="100" w:firstLine="434"/>
        <w:spacing w:after="0" w:line="249" w:lineRule="auto"/>
        <w:rPr>
          <w:sz w:val="20"/>
          <w:szCs w:val="20"/>
          <w:color w:val="auto"/>
        </w:rPr>
      </w:pPr>
      <w:r>
        <w:rPr>
          <w:rFonts w:ascii="Arial" w:cs="Arial" w:eastAsia="Arial" w:hAnsi="Arial"/>
          <w:sz w:val="18"/>
          <w:szCs w:val="18"/>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97"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All consolidated financial statements presented in this prospectus have been prepared in U.S. dollars in accordance with generally accepted accounting principles in the United States of America (“GAAP”).</w:t>
      </w:r>
    </w:p>
    <w:p>
      <w:pPr>
        <w:spacing w:after="0" w:line="179" w:lineRule="exact"/>
        <w:rPr>
          <w:sz w:val="20"/>
          <w:szCs w:val="20"/>
          <w:color w:val="auto"/>
        </w:rPr>
      </w:pPr>
    </w:p>
    <w:p>
      <w:pPr>
        <w:ind w:left="200" w:right="700" w:firstLine="434"/>
        <w:spacing w:after="0" w:line="266" w:lineRule="auto"/>
        <w:rPr>
          <w:sz w:val="20"/>
          <w:szCs w:val="20"/>
          <w:color w:val="auto"/>
        </w:rPr>
      </w:pPr>
      <w:r>
        <w:rPr>
          <w:rFonts w:ascii="Arial" w:cs="Arial" w:eastAsia="Arial" w:hAnsi="Arial"/>
          <w:sz w:val="18"/>
          <w:szCs w:val="18"/>
          <w:color w:val="auto"/>
        </w:rPr>
        <w:t>For the years ended December 31, 2019 and 2018, we were managed as a single segment that provided scheduled service and charter air transportation to passengers. In May 2020, we began providing air cargo</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454"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6" w:lineRule="auto"/>
        <w:rPr>
          <w:sz w:val="20"/>
          <w:szCs w:val="20"/>
          <w:color w:val="auto"/>
        </w:rPr>
      </w:pPr>
      <w:r>
        <w:rPr>
          <w:rFonts w:ascii="Arial" w:cs="Arial" w:eastAsia="Arial" w:hAnsi="Arial"/>
          <w:sz w:val="18"/>
          <w:szCs w:val="18"/>
          <w:color w:val="auto"/>
        </w:rPr>
        <w:t>services under the ATSA (as defined in the “Glossary of Terms”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9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GLOSSARY OF TERMS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 glossary of certain terms used in this prospectus:</w:t>
      </w:r>
    </w:p>
    <w:p>
      <w:pPr>
        <w:spacing w:after="0" w:line="218" w:lineRule="exact"/>
        <w:rPr>
          <w:sz w:val="20"/>
          <w:szCs w:val="20"/>
          <w:color w:val="auto"/>
        </w:rPr>
      </w:pPr>
    </w:p>
    <w:p>
      <w:pPr>
        <w:ind w:left="200" w:right="180" w:firstLine="434"/>
        <w:spacing w:after="0" w:line="284" w:lineRule="auto"/>
        <w:rPr>
          <w:sz w:val="20"/>
          <w:szCs w:val="20"/>
          <w:color w:val="auto"/>
        </w:rPr>
      </w:pPr>
      <w:r>
        <w:rPr>
          <w:rFonts w:ascii="Arial" w:cs="Arial" w:eastAsia="Arial" w:hAnsi="Arial"/>
          <w:sz w:val="16"/>
          <w:szCs w:val="16"/>
          <w:color w:val="auto"/>
        </w:rPr>
        <w:t>“Adjusted CASM” means CASM excluding fuel costs, costs related to our cargo operations (starting in 2020 when we launched our cargo operations), certain commissions and other costs of selling our vacations product and excluding special items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itinerary service fees, on-board sales and sales of trip insurance.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18" w:lineRule="exact"/>
        <w:rPr>
          <w:sz w:val="20"/>
          <w:szCs w:val="20"/>
          <w:color w:val="auto"/>
        </w:rPr>
      </w:pPr>
    </w:p>
    <w:p>
      <w:pPr>
        <w:ind w:left="200" w:right="60" w:firstLine="434"/>
        <w:spacing w:after="0" w:line="329" w:lineRule="auto"/>
        <w:rPr>
          <w:sz w:val="20"/>
          <w:szCs w:val="20"/>
          <w:color w:val="auto"/>
        </w:rPr>
      </w:pPr>
      <w:r>
        <w:rPr>
          <w:rFonts w:ascii="Arial" w:cs="Arial" w:eastAsia="Arial" w:hAnsi="Arial"/>
          <w:sz w:val="16"/>
          <w:szCs w:val="16"/>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“Available seat miles” or “ASMs” means the number of seats available for passengers multiplied by the number of miles the seats are flown.</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daily basis.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18"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“CASM” or “unit costs” means operating expenses divided by total ASMs. When CASM is referenced or presented for other airlines, it has been adjusted to our average stage length for the period presented.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4"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“CBA” means a collective bargaining agreement.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“Charter service” means flights operated for specific customers who purchase the entire flight from us and specify the origination and destination.</w:t>
      </w:r>
    </w:p>
    <w:p>
      <w:pPr>
        <w:spacing w:after="0" w:line="241"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1" w:lineRule="exact"/>
        <w:rPr>
          <w:sz w:val="20"/>
          <w:szCs w:val="20"/>
          <w:color w:val="auto"/>
        </w:rPr>
      </w:pPr>
    </w:p>
    <w:p>
      <w:pPr>
        <w:ind w:left="200" w:right="760" w:firstLine="434"/>
        <w:spacing w:after="0" w:line="329" w:lineRule="auto"/>
        <w:rPr>
          <w:sz w:val="20"/>
          <w:szCs w:val="20"/>
          <w:color w:val="auto"/>
        </w:rPr>
      </w:pPr>
      <w:r>
        <w:rPr>
          <w:rFonts w:ascii="Arial" w:cs="Arial" w:eastAsia="Arial" w:hAnsi="Arial"/>
          <w:sz w:val="16"/>
          <w:szCs w:val="16"/>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“Freighters” include the aircraft operated under the ATSA, which are configured entirely for cargo operations.</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“LCC” means low-cost carrier and includes JetBlue Airways and Southwest Airlines.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“Load factor” means the percentage of aircraft seat miles actually occupied on a flight (RPMs divided by ASMs) for scheduled service.</w:t>
      </w:r>
    </w:p>
    <w:p>
      <w:pPr>
        <w:spacing w:after="0" w:line="230"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“NMB” means the National Mediation Board.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“OTAs” means online travel agents.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“PRASM” means scheduled service revenue divided by ASMs for scheduled service.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0"/>
          </w:cols>
          <w:pgMar w:left="320" w:top="454"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“RLA” means the United States Railway Labor Act.</w:t>
      </w:r>
    </w:p>
    <w:p>
      <w:pPr>
        <w:spacing w:after="0" w:line="218"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“Scheduled service revenue” consists of base fares, unused and expired passenger credits and other expired travel credits for scheduled service.</w:t>
      </w:r>
    </w:p>
    <w:p>
      <w:pPr>
        <w:spacing w:after="0" w:line="241"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 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73"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“VFR” means visiting friends and relatives.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4"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21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3560" cy="582168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4" w:lineRule="exact"/>
        <w:rPr>
          <w:sz w:val="20"/>
          <w:szCs w:val="20"/>
          <w:color w:val="auto"/>
        </w:rPr>
      </w:pPr>
    </w:p>
    <w:p>
      <w:pPr>
        <w:ind w:left="380" w:right="60" w:firstLine="420"/>
        <w:spacing w:after="0" w:line="268" w:lineRule="auto"/>
        <w:rPr>
          <w:sz w:val="20"/>
          <w:szCs w:val="20"/>
          <w:color w:val="auto"/>
        </w:rPr>
      </w:pPr>
      <w:r>
        <w:rPr>
          <w:rFonts w:ascii="Arial" w:cs="Arial" w:eastAsia="Arial" w:hAnsi="Arial"/>
          <w:sz w:val="17"/>
          <w:szCs w:val="17"/>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left="380" w:firstLine="420"/>
        <w:spacing w:after="0" w:line="283"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2" w:lineRule="exact"/>
        <w:rPr>
          <w:sz w:val="20"/>
          <w:szCs w:val="20"/>
          <w:color w:val="auto"/>
        </w:rPr>
      </w:pPr>
    </w:p>
    <w:p>
      <w:pPr>
        <w:ind w:left="380" w:firstLine="420"/>
        <w:spacing w:after="0" w:line="264"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 higher TRASM than ULCCs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8"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7"/>
          <w:szCs w:val="17"/>
          <w:b w:val="1"/>
          <w:bCs w:val="1"/>
          <w:i w:val="1"/>
          <w:iCs w:val="1"/>
          <w:color w:val="auto"/>
        </w:rPr>
        <w:t xml:space="preserve">Charter. </w:t>
      </w:r>
      <w:r>
        <w:rPr>
          <w:rFonts w:ascii="Arial" w:cs="Arial" w:eastAsia="Arial" w:hAnsi="Arial"/>
          <w:sz w:val="17"/>
          <w:szCs w:val="17"/>
          <w:color w:val="auto"/>
        </w:rPr>
        <w:t>Our charter business, which is one of the largest narrow body charter operations in the United States, is a key component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4" w:right="7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568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3560" cy="55683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100"/>
        <w:spacing w:after="0" w:line="281" w:lineRule="auto"/>
        <w:rPr>
          <w:sz w:val="20"/>
          <w:szCs w:val="20"/>
          <w:color w:val="auto"/>
        </w:rPr>
      </w:pPr>
      <w:r>
        <w:rPr>
          <w:rFonts w:ascii="Arial" w:cs="Arial" w:eastAsia="Arial" w:hAnsi="Arial"/>
          <w:sz w:val="16"/>
          <w:szCs w:val="16"/>
          <w:color w:val="auto"/>
        </w:rPr>
        <w:t>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73" w:lineRule="exact"/>
        <w:rPr>
          <w:sz w:val="20"/>
          <w:szCs w:val="20"/>
          <w:color w:val="auto"/>
        </w:rPr>
      </w:pPr>
    </w:p>
    <w:p>
      <w:pPr>
        <w:ind w:left="380" w:firstLine="420"/>
        <w:spacing w:after="0" w:line="283" w:lineRule="auto"/>
        <w:rPr>
          <w:sz w:val="20"/>
          <w:szCs w:val="20"/>
          <w:color w:val="auto"/>
        </w:rPr>
      </w:pPr>
      <w:r>
        <w:rPr>
          <w:rFonts w:ascii="Arial" w:cs="Arial" w:eastAsia="Arial" w:hAnsi="Arial"/>
          <w:sz w:val="16"/>
          <w:szCs w:val="16"/>
          <w:b w:val="1"/>
          <w:bCs w:val="1"/>
          <w:i w:val="1"/>
          <w:iCs w:val="1"/>
          <w:color w:val="auto"/>
        </w:rPr>
        <w:t xml:space="preserve">Cargo. </w:t>
      </w:r>
      <w:r>
        <w:rPr>
          <w:rFonts w:ascii="Arial" w:cs="Arial" w:eastAsia="Arial" w:hAnsi="Arial"/>
          <w:sz w:val="16"/>
          <w:szCs w:val="16"/>
          <w:color w:val="auto"/>
        </w:rPr>
        <w:t>On December 13, 2019, we signed a six-year contract (with two, two-year extension options, for a total term of 10 years),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 to as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380" w:right="20" w:firstLine="420"/>
        <w:spacing w:after="0" w:line="329" w:lineRule="auto"/>
        <w:rPr>
          <w:sz w:val="20"/>
          <w:szCs w:val="20"/>
          <w:color w:val="auto"/>
        </w:rPr>
      </w:pPr>
      <w:r>
        <w:rPr>
          <w:rFonts w:ascii="Arial" w:cs="Arial" w:eastAsia="Arial" w:hAnsi="Arial"/>
          <w:sz w:val="16"/>
          <w:szCs w:val="16"/>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41" w:lineRule="exact"/>
        <w:rPr>
          <w:sz w:val="20"/>
          <w:szCs w:val="20"/>
          <w:color w:val="auto"/>
        </w:rPr>
      </w:pPr>
    </w:p>
    <w:p>
      <w:pPr>
        <w:ind w:left="1300" w:right="100" w:hanging="403"/>
        <w:spacing w:after="0" w:line="25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95" w:lineRule="exact"/>
        <w:rPr>
          <w:rFonts w:ascii="Arial" w:cs="Arial" w:eastAsia="Arial" w:hAnsi="Arial"/>
          <w:sz w:val="18"/>
          <w:szCs w:val="18"/>
          <w:color w:val="auto"/>
        </w:rPr>
      </w:pPr>
    </w:p>
    <w:p>
      <w:pPr>
        <w:ind w:left="1300" w:right="100" w:hanging="403"/>
        <w:spacing w:after="0" w:line="272"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4"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38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3560" cy="58381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right="720" w:hanging="403"/>
        <w:spacing w:after="0" w:line="29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greatly expanded our ancillary products and services, which consist of baggage fees, seat assignment fees and other fees, increasing average ancillary revenue per scheduled service passenger by 148% from 2017 to 2019.</w:t>
      </w:r>
    </w:p>
    <w:p>
      <w:pPr>
        <w:spacing w:after="0" w:line="62" w:lineRule="exact"/>
        <w:rPr>
          <w:rFonts w:ascii="Arial" w:cs="Arial" w:eastAsia="Arial" w:hAnsi="Arial"/>
          <w:sz w:val="17"/>
          <w:szCs w:val="17"/>
          <w:color w:val="auto"/>
        </w:rPr>
      </w:pPr>
    </w:p>
    <w:p>
      <w:pPr>
        <w:ind w:left="1300" w:hanging="403"/>
        <w:spacing w:after="0" w:line="26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86" w:lineRule="exact"/>
        <w:rPr>
          <w:rFonts w:ascii="Arial" w:cs="Arial" w:eastAsia="Arial" w:hAnsi="Arial"/>
          <w:sz w:val="18"/>
          <w:szCs w:val="18"/>
          <w:color w:val="auto"/>
        </w:rPr>
      </w:pPr>
    </w:p>
    <w:p>
      <w:pPr>
        <w:ind w:left="1300" w:right="620" w:hanging="403"/>
        <w:spacing w:after="0" w:line="27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72" w:lineRule="exact"/>
        <w:rPr>
          <w:sz w:val="20"/>
          <w:szCs w:val="20"/>
          <w:color w:val="auto"/>
        </w:rPr>
      </w:pPr>
    </w:p>
    <w:p>
      <w:pPr>
        <w:ind w:left="380" w:right="220" w:firstLine="420"/>
        <w:spacing w:after="0" w:line="256" w:lineRule="auto"/>
        <w:rPr>
          <w:sz w:val="20"/>
          <w:szCs w:val="20"/>
          <w:color w:val="auto"/>
        </w:rPr>
      </w:pPr>
      <w:r>
        <w:rPr>
          <w:rFonts w:ascii="Arial" w:cs="Arial" w:eastAsia="Arial" w:hAnsi="Arial"/>
          <w:sz w:val="18"/>
          <w:szCs w:val="18"/>
          <w:color w:val="auto"/>
        </w:rPr>
        <w:t>While the COVID-19 induced industry downturn has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112" w:lineRule="exact"/>
        <w:rPr>
          <w:sz w:val="20"/>
          <w:szCs w:val="20"/>
          <w:color w:val="auto"/>
        </w:rPr>
      </w:pPr>
    </w:p>
    <w:p>
      <w:pPr>
        <w:ind w:left="380" w:right="40" w:firstLine="420"/>
        <w:spacing w:after="0" w:line="281"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78"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 Program”) under the Coronavirus Aid, Relief, and Economic Security Act (the “CARES Act”) and accepted a loan from Treasury through the CARES Act Loan Program (the “CARES Act Loan”) without issuing any warrants, unlike nearly all other carriers with whom we compete that received government assistance. We have also maintained our pre-COVID-19 corporate credit ratings throughout the downturn. With the expectation that recently authorized COVID-19 vaccines will be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4"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065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3560" cy="4065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80" w:firstLine="420"/>
        <w:spacing w:after="0" w:line="294"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Competitive Strengths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18" w:lineRule="exact"/>
        <w:rPr>
          <w:sz w:val="20"/>
          <w:szCs w:val="20"/>
          <w:color w:val="auto"/>
        </w:rPr>
      </w:pPr>
    </w:p>
    <w:p>
      <w:pPr>
        <w:ind w:left="380" w:right="80" w:firstLine="420"/>
        <w:spacing w:after="0" w:line="287" w:lineRule="auto"/>
        <w:rPr>
          <w:sz w:val="20"/>
          <w:szCs w:val="20"/>
          <w:color w:val="auto"/>
        </w:rPr>
      </w:pPr>
      <w:r>
        <w:rPr>
          <w:rFonts w:ascii="Arial" w:cs="Arial" w:eastAsia="Arial" w:hAnsi="Arial"/>
          <w:sz w:val="16"/>
          <w:szCs w:val="16"/>
          <w:b w:val="1"/>
          <w:bCs w:val="1"/>
          <w:i w:val="1"/>
          <w:iCs w:val="1"/>
          <w:color w:val="auto"/>
        </w:rPr>
        <w:t xml:space="preserve">Diversified and Resilient Business Model. </w:t>
      </w:r>
      <w:r>
        <w:rPr>
          <w:rFonts w:ascii="Arial" w:cs="Arial" w:eastAsia="Arial" w:hAnsi="Arial"/>
          <w:sz w:val="16"/>
          <w:szCs w:val="16"/>
          <w:color w:val="auto"/>
        </w:rPr>
        <w:t>Our diversified business model, which includes significant leisure and VFR focused scheduled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have continued to fly in 2020, while our casino customers are subject to long-term contracts and began flying again in June 2020. Our cargo business exhibited steady growth in 2020 as flying ramped up and demand remained strong, driven by underlying secular growth in e-commerce.</w:t>
      </w:r>
    </w:p>
    <w:p>
      <w:pPr>
        <w:spacing w:after="0" w:line="169" w:lineRule="exact"/>
        <w:rPr>
          <w:sz w:val="20"/>
          <w:szCs w:val="20"/>
          <w:color w:val="auto"/>
        </w:rPr>
      </w:pPr>
    </w:p>
    <w:p>
      <w:pPr>
        <w:ind w:left="380" w:right="100" w:firstLine="420"/>
        <w:spacing w:after="0" w:line="282"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 business to capture what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4" w:right="7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56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3560" cy="656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right="20" w:firstLine="420"/>
        <w:spacing w:after="0" w:line="249" w:lineRule="auto"/>
        <w:rPr>
          <w:sz w:val="20"/>
          <w:szCs w:val="20"/>
          <w:color w:val="auto"/>
        </w:rPr>
      </w:pPr>
      <w:r>
        <w:rPr>
          <w:rFonts w:ascii="Arial" w:cs="Arial" w:eastAsia="Arial" w:hAnsi="Arial"/>
          <w:sz w:val="18"/>
          <w:szCs w:val="18"/>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197" w:lineRule="exact"/>
        <w:rPr>
          <w:sz w:val="20"/>
          <w:szCs w:val="20"/>
          <w:color w:val="auto"/>
        </w:rPr>
      </w:pPr>
    </w:p>
    <w:p>
      <w:pPr>
        <w:ind w:left="380" w:firstLine="420"/>
        <w:spacing w:after="0" w:line="264" w:lineRule="auto"/>
        <w:rPr>
          <w:sz w:val="20"/>
          <w:szCs w:val="20"/>
          <w:color w:val="auto"/>
        </w:rPr>
      </w:pPr>
      <w:r>
        <w:rPr>
          <w:rFonts w:ascii="Arial" w:cs="Arial" w:eastAsia="Arial" w:hAnsi="Arial"/>
          <w:sz w:val="17"/>
          <w:szCs w:val="17"/>
          <w:b w:val="1"/>
          <w:bCs w:val="1"/>
          <w:i w:val="1"/>
          <w:iCs w:val="1"/>
          <w:color w:val="auto"/>
        </w:rPr>
        <w:t xml:space="preserve">Tactical Mid-Life Fleet with Flexible Operations. </w:t>
      </w:r>
      <w:r>
        <w:rPr>
          <w:rFonts w:ascii="Arial" w:cs="Arial" w:eastAsia="Arial" w:hAnsi="Arial"/>
          <w:sz w:val="17"/>
          <w:szCs w:val="17"/>
          <w:color w:val="auto"/>
        </w:rPr>
        <w:t>We maintain low aircraft ownership costs by acquiring mid-life Boeing 737-800 aircraft,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85" w:lineRule="exact"/>
        <w:rPr>
          <w:sz w:val="20"/>
          <w:szCs w:val="20"/>
          <w:color w:val="auto"/>
        </w:rPr>
      </w:pPr>
    </w:p>
    <w:p>
      <w:pPr>
        <w:ind w:left="380" w:right="100" w:firstLine="420"/>
        <w:spacing w:after="0" w:line="256"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superior to ULCCs while maintaining lower fares than LCCs and larger full service carriers. Some of the reasons that we believe we have a superior brand to ULCCs include:</w:t>
      </w:r>
    </w:p>
    <w:p>
      <w:pPr>
        <w:spacing w:after="0" w:line="96" w:lineRule="exact"/>
        <w:rPr>
          <w:sz w:val="20"/>
          <w:szCs w:val="20"/>
          <w:color w:val="auto"/>
        </w:rPr>
      </w:pPr>
    </w:p>
    <w:p>
      <w:pPr>
        <w:ind w:left="1300" w:right="400" w:hanging="403"/>
        <w:spacing w:after="0" w:line="266"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Our Cabin Experience. </w:t>
      </w:r>
      <w:r>
        <w:rPr>
          <w:rFonts w:ascii="Arial" w:cs="Arial" w:eastAsia="Arial" w:hAnsi="Arial"/>
          <w:sz w:val="18"/>
          <w:szCs w:val="18"/>
          <w:color w:val="auto"/>
        </w:rPr>
        <w:t>All of our 737-800 aircraft have new state-of-the-art seats that comfortably recline and have full size tray</w:t>
      </w:r>
      <w:r>
        <w:rPr>
          <w:rFonts w:ascii="Arial" w:cs="Arial" w:eastAsia="Arial" w:hAnsi="Arial"/>
          <w:sz w:val="18"/>
          <w:szCs w:val="18"/>
          <w:i w:val="1"/>
          <w:iCs w:val="1"/>
          <w:color w:val="auto"/>
        </w:rPr>
        <w:t xml:space="preserve"> </w:t>
      </w:r>
      <w:r>
        <w:rPr>
          <w:rFonts w:ascii="Arial" w:cs="Arial" w:eastAsia="Arial" w:hAnsi="Arial"/>
          <w:sz w:val="18"/>
          <w:szCs w:val="18"/>
          <w:color w:val="auto"/>
        </w:rPr>
        <w:t>tables. Our seats have an average pitch of approximately 31 inches,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320" w:top="454" w:right="7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463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3560" cy="64630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spacing w:after="0" w:line="253" w:lineRule="auto"/>
        <w:rPr>
          <w:sz w:val="20"/>
          <w:szCs w:val="20"/>
          <w:color w:val="auto"/>
        </w:rPr>
      </w:pPr>
      <w:r>
        <w:rPr>
          <w:rFonts w:ascii="Arial" w:cs="Arial" w:eastAsia="Arial" w:hAnsi="Arial"/>
          <w:sz w:val="18"/>
          <w:szCs w:val="18"/>
          <w:color w:val="auto"/>
        </w:rPr>
        <w:t>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98" w:lineRule="exact"/>
        <w:rPr>
          <w:sz w:val="20"/>
          <w:szCs w:val="20"/>
          <w:color w:val="auto"/>
        </w:rPr>
      </w:pPr>
    </w:p>
    <w:p>
      <w:pPr>
        <w:ind w:left="1300" w:hanging="403"/>
        <w:spacing w:after="0" w:line="283"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 overhauled our passenger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transition, 68% of our Minneapolis originating passengers have checked in either online or at a kiosk. System wide over 55%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5" w:lineRule="exact"/>
        <w:rPr>
          <w:sz w:val="20"/>
          <w:szCs w:val="20"/>
          <w:color w:val="auto"/>
        </w:rPr>
      </w:pPr>
    </w:p>
    <w:p>
      <w:pPr>
        <w:ind w:left="380" w:right="340" w:firstLine="420"/>
        <w:spacing w:after="0" w:line="266" w:lineRule="auto"/>
        <w:rPr>
          <w:sz w:val="20"/>
          <w:szCs w:val="20"/>
          <w:color w:val="auto"/>
        </w:rPr>
      </w:pPr>
      <w:r>
        <w:rPr>
          <w:rFonts w:ascii="Arial" w:cs="Arial" w:eastAsia="Arial" w:hAnsi="Arial"/>
          <w:sz w:val="18"/>
          <w:szCs w:val="18"/>
          <w:b w:val="1"/>
          <w:bCs w:val="1"/>
          <w:i w:val="1"/>
          <w:iCs w:val="1"/>
          <w:color w:val="auto"/>
        </w:rPr>
        <w:t xml:space="preserve">Competitive Low Cost Structure. </w:t>
      </w:r>
      <w:r>
        <w:rPr>
          <w:rFonts w:ascii="Arial" w:cs="Arial" w:eastAsia="Arial" w:hAnsi="Arial"/>
          <w:sz w:val="18"/>
          <w:szCs w:val="18"/>
          <w:color w:val="auto"/>
        </w:rPr>
        <w:t>Our CASM declined from 10.09 cents for the year ended December 31, 2017 to 8.82 cents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2019. Our Adjusted CASM declined from 7.80 cents for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320" w:top="454" w:right="7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914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3560" cy="5914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40"/>
        <w:spacing w:after="0" w:line="267" w:lineRule="auto"/>
        <w:rPr>
          <w:sz w:val="20"/>
          <w:szCs w:val="20"/>
          <w:color w:val="auto"/>
        </w:rPr>
      </w:pPr>
      <w:r>
        <w:rPr>
          <w:rFonts w:ascii="Arial" w:cs="Arial" w:eastAsia="Arial" w:hAnsi="Arial"/>
          <w:sz w:val="17"/>
          <w:szCs w:val="17"/>
          <w:color w:val="auto"/>
        </w:rPr>
        <w:t>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80"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b w:val="1"/>
          <w:bCs w:val="1"/>
          <w:i w:val="1"/>
          <w:iCs w:val="1"/>
          <w:color w:val="auto"/>
        </w:rPr>
        <w:t xml:space="preserve">Strong Position in Our Profitable MSP Home Market. </w:t>
      </w:r>
      <w:r>
        <w:rPr>
          <w:rFonts w:ascii="Arial" w:cs="Arial" w:eastAsia="Arial" w:hAnsi="Arial"/>
          <w:sz w:val="16"/>
          <w:szCs w:val="16"/>
          <w:color w:val="auto"/>
        </w:rPr>
        <w:t>We have been based in the Minneapolis-St. Paul area since our founding over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78" w:lineRule="exact"/>
        <w:rPr>
          <w:sz w:val="20"/>
          <w:szCs w:val="20"/>
          <w:color w:val="auto"/>
        </w:rPr>
      </w:pPr>
    </w:p>
    <w:p>
      <w:pPr>
        <w:ind w:left="380" w:right="40" w:firstLine="420"/>
        <w:spacing w:after="0" w:line="290" w:lineRule="auto"/>
        <w:rPr>
          <w:sz w:val="20"/>
          <w:szCs w:val="20"/>
          <w:color w:val="auto"/>
        </w:rPr>
      </w:pPr>
      <w:r>
        <w:rPr>
          <w:rFonts w:ascii="Arial" w:cs="Arial" w:eastAsia="Arial" w:hAnsi="Arial"/>
          <w:sz w:val="16"/>
          <w:szCs w:val="16"/>
          <w:b w:val="1"/>
          <w:bCs w:val="1"/>
          <w:i w:val="1"/>
          <w:iCs w:val="1"/>
          <w:color w:val="auto"/>
        </w:rPr>
        <w:t xml:space="preserve">Seasoned Management Team. </w:t>
      </w:r>
      <w:r>
        <w:rPr>
          <w:rFonts w:ascii="Arial" w:cs="Arial" w:eastAsia="Arial" w:hAnsi="Arial"/>
          <w:sz w:val="16"/>
          <w:szCs w:val="16"/>
          <w:color w:val="auto"/>
        </w:rPr>
        <w:t>Our Chief Executive Officer, Jude Bricker, joined Sun Country Airlines in July 2017 and has over 16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Growth Strategy</w:t>
      </w:r>
    </w:p>
    <w:p>
      <w:pPr>
        <w:spacing w:after="0" w:line="224" w:lineRule="exact"/>
        <w:rPr>
          <w:sz w:val="20"/>
          <w:szCs w:val="20"/>
          <w:color w:val="auto"/>
        </w:rPr>
      </w:pPr>
    </w:p>
    <w:p>
      <w:pPr>
        <w:ind w:left="380" w:right="280" w:firstLine="420"/>
        <w:spacing w:after="0" w:line="26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 that we plan to continue once the U.S. air travel market rebounds from the COVID-19 induced downturn.</w:t>
      </w:r>
    </w:p>
    <w:p>
      <w:pPr>
        <w:spacing w:after="0" w:line="86" w:lineRule="exact"/>
        <w:rPr>
          <w:sz w:val="20"/>
          <w:szCs w:val="20"/>
          <w:color w:val="auto"/>
        </w:rPr>
      </w:pPr>
    </w:p>
    <w:p>
      <w:pPr>
        <w:ind w:left="1300" w:right="260" w:hanging="403"/>
        <w:spacing w:after="0" w:line="29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Network</w:t>
      </w:r>
      <w:r>
        <w:rPr>
          <w:rFonts w:ascii="Arial" w:cs="Arial" w:eastAsia="Arial" w:hAnsi="Arial"/>
          <w:sz w:val="17"/>
          <w:szCs w:val="17"/>
          <w:color w:val="auto"/>
        </w:rPr>
        <w:t>. We launched 64 new markets from 2018 through 2019 and developed a repeatable network growth strategy. Our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is expected to support passenger fleet growth to approximately 50 aircraft by the end of 2023.</w:t>
      </w:r>
    </w:p>
    <w:p>
      <w:pPr>
        <w:spacing w:after="0" w:line="62" w:lineRule="exact"/>
        <w:rPr>
          <w:rFonts w:ascii="Arial" w:cs="Arial" w:eastAsia="Arial" w:hAnsi="Arial"/>
          <w:sz w:val="17"/>
          <w:szCs w:val="17"/>
          <w:color w:val="auto"/>
        </w:rPr>
      </w:pPr>
    </w:p>
    <w:p>
      <w:pPr>
        <w:ind w:left="1300" w:right="80" w:hanging="403"/>
        <w:spacing w:after="0" w:line="25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us to focus on growth with low capital commitments. We believe the current dislocation in the aircraft market will enable us to access new aircraft at an attractive cost relative to our peers.</w:t>
      </w:r>
    </w:p>
    <w:p>
      <w:pPr>
        <w:spacing w:after="0" w:line="95" w:lineRule="exact"/>
        <w:rPr>
          <w:rFonts w:ascii="Arial" w:cs="Arial" w:eastAsia="Arial" w:hAnsi="Arial"/>
          <w:sz w:val="18"/>
          <w:szCs w:val="18"/>
          <w:color w:val="auto"/>
        </w:rPr>
      </w:pPr>
    </w:p>
    <w:p>
      <w:pPr>
        <w:ind w:left="1300" w:right="280" w:hanging="403"/>
        <w:spacing w:after="0" w:line="329"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Customer</w:t>
      </w:r>
      <w:r>
        <w:rPr>
          <w:rFonts w:ascii="Arial" w:cs="Arial" w:eastAsia="Arial" w:hAnsi="Arial"/>
          <w:sz w:val="16"/>
          <w:szCs w:val="16"/>
          <w:color w:val="auto"/>
        </w:rPr>
        <w:t>. We rebranded the airline around a leisure product with a significant ancillary revenue component which we believe will</w:t>
      </w:r>
      <w:r>
        <w:rPr>
          <w:rFonts w:ascii="Arial" w:cs="Arial" w:eastAsia="Arial" w:hAnsi="Arial"/>
          <w:sz w:val="16"/>
          <w:szCs w:val="16"/>
          <w:i w:val="1"/>
          <w:iCs w:val="1"/>
          <w:color w:val="auto"/>
        </w:rPr>
        <w:t xml:space="preserve"> </w:t>
      </w:r>
      <w:r>
        <w:rPr>
          <w:rFonts w:ascii="Arial" w:cs="Arial" w:eastAsia="Arial" w:hAnsi="Arial"/>
          <w:sz w:val="16"/>
          <w:szCs w:val="16"/>
          <w:color w:val="auto"/>
        </w:rPr>
        <w:t>allow us to stimulate demand during the rebound from COVID-19 earlier than airlines focused on business travelers.</w:t>
      </w: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4" w:right="7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167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3560" cy="61677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right="140" w:hanging="403"/>
        <w:spacing w:after="0" w:line="26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Culture</w:t>
      </w:r>
      <w:r>
        <w:rPr>
          <w:rFonts w:ascii="Arial" w:cs="Arial" w:eastAsia="Arial" w:hAnsi="Arial"/>
          <w:sz w:val="18"/>
          <w:szCs w:val="18"/>
          <w:color w:val="auto"/>
        </w:rPr>
        <w:t>. We installed a new management team with a cost-conscious ethos, which included moving our headquarters into a hangar at</w:t>
      </w:r>
      <w:r>
        <w:rPr>
          <w:rFonts w:ascii="Arial" w:cs="Arial" w:eastAsia="Arial" w:hAnsi="Arial"/>
          <w:sz w:val="18"/>
          <w:szCs w:val="18"/>
          <w:i w:val="1"/>
          <w:iCs w:val="1"/>
          <w:color w:val="auto"/>
        </w:rPr>
        <w:t xml:space="preserve"> </w:t>
      </w:r>
      <w:r>
        <w:rPr>
          <w:rFonts w:ascii="Arial" w:cs="Arial" w:eastAsia="Arial" w:hAnsi="Arial"/>
          <w:sz w:val="18"/>
          <w:szCs w:val="18"/>
          <w:color w:val="auto"/>
        </w:rPr>
        <w:t>MSP.</w:t>
      </w:r>
    </w:p>
    <w:p>
      <w:pPr>
        <w:spacing w:after="0" w:line="86" w:lineRule="exact"/>
        <w:rPr>
          <w:rFonts w:ascii="Arial" w:cs="Arial" w:eastAsia="Arial" w:hAnsi="Arial"/>
          <w:sz w:val="18"/>
          <w:szCs w:val="18"/>
          <w:color w:val="auto"/>
        </w:rPr>
      </w:pPr>
    </w:p>
    <w:p>
      <w:pPr>
        <w:ind w:left="1300" w:right="560" w:hanging="403"/>
        <w:spacing w:after="0" w:line="26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believe our initiatives have provided us with a platform to profitably grow our business. Key elements of our growth strategy include:</w:t>
      </w:r>
    </w:p>
    <w:p>
      <w:pPr>
        <w:spacing w:after="0" w:line="241" w:lineRule="exact"/>
        <w:rPr>
          <w:sz w:val="20"/>
          <w:szCs w:val="20"/>
          <w:color w:val="auto"/>
        </w:rPr>
      </w:pPr>
    </w:p>
    <w:p>
      <w:pPr>
        <w:ind w:left="380" w:right="200" w:firstLine="420"/>
        <w:spacing w:after="0" w:line="287" w:lineRule="auto"/>
        <w:rPr>
          <w:sz w:val="20"/>
          <w:szCs w:val="20"/>
          <w:color w:val="auto"/>
        </w:rPr>
      </w:pPr>
      <w:r>
        <w:rPr>
          <w:rFonts w:ascii="Arial" w:cs="Arial" w:eastAsia="Arial" w:hAnsi="Arial"/>
          <w:sz w:val="16"/>
          <w:szCs w:val="16"/>
          <w:b w:val="1"/>
          <w:bCs w:val="1"/>
          <w:i w:val="1"/>
          <w:iCs w:val="1"/>
          <w:color w:val="auto"/>
        </w:rPr>
        <w:t xml:space="preserve">Leverage the Expected Rebound in Our Passenger Business. </w:t>
      </w:r>
      <w:r>
        <w:rPr>
          <w:rFonts w:ascii="Arial" w:cs="Arial" w:eastAsia="Arial" w:hAnsi="Arial"/>
          <w:sz w:val="16"/>
          <w:szCs w:val="16"/>
          <w:color w:val="auto"/>
        </w:rPr>
        <w:t>The number of domestic LCC and ULCC passenger enplanements grew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69" w:lineRule="exact"/>
        <w:rPr>
          <w:sz w:val="20"/>
          <w:szCs w:val="20"/>
          <w:color w:val="auto"/>
        </w:rPr>
      </w:pPr>
    </w:p>
    <w:p>
      <w:pPr>
        <w:ind w:left="380" w:firstLine="420"/>
        <w:spacing w:after="0" w:line="253"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 transportation services flying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91"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 xml:space="preserve">Expand our Peak Demand Flying in Minneapolis and Beyond. </w:t>
      </w:r>
      <w:r>
        <w:rPr>
          <w:rFonts w:ascii="Arial" w:cs="Arial" w:eastAsia="Arial" w:hAnsi="Arial"/>
          <w:sz w:val="17"/>
          <w:szCs w:val="17"/>
          <w:color w:val="auto"/>
        </w:rPr>
        <w:t>Following a rebound in U.S. air travel, we intend to continue growing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82" w:lineRule="exact"/>
        <w:rPr>
          <w:sz w:val="20"/>
          <w:szCs w:val="20"/>
          <w:color w:val="auto"/>
        </w:rPr>
      </w:pPr>
    </w:p>
    <w:p>
      <w:pPr>
        <w:ind w:left="380" w:firstLine="420"/>
        <w:spacing w:after="0" w:line="284" w:lineRule="auto"/>
        <w:rPr>
          <w:sz w:val="20"/>
          <w:szCs w:val="20"/>
          <w:color w:val="auto"/>
        </w:rPr>
      </w:pPr>
      <w:r>
        <w:rPr>
          <w:rFonts w:ascii="Arial" w:cs="Arial" w:eastAsia="Arial" w:hAnsi="Arial"/>
          <w:sz w:val="16"/>
          <w:szCs w:val="16"/>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73" w:lineRule="exact"/>
        <w:rPr>
          <w:sz w:val="20"/>
          <w:szCs w:val="20"/>
          <w:color w:val="auto"/>
        </w:rPr>
      </w:pPr>
    </w:p>
    <w:p>
      <w:pPr>
        <w:ind w:left="380" w:right="160" w:firstLine="420"/>
        <w:spacing w:after="0" w:line="253" w:lineRule="auto"/>
        <w:rPr>
          <w:sz w:val="20"/>
          <w:szCs w:val="20"/>
          <w:color w:val="auto"/>
        </w:rPr>
      </w:pPr>
      <w:r>
        <w:rPr>
          <w:rFonts w:ascii="Arial" w:cs="Arial" w:eastAsia="Arial" w:hAnsi="Arial"/>
          <w:sz w:val="18"/>
          <w:szCs w:val="18"/>
          <w:b w:val="1"/>
          <w:bCs w:val="1"/>
          <w:i w:val="1"/>
          <w:iCs w:val="1"/>
          <w:color w:val="auto"/>
        </w:rPr>
        <w:t xml:space="preserve">Continue to Increase Our Margins and Free Cash Flow. </w:t>
      </w:r>
      <w:r>
        <w:rPr>
          <w:rFonts w:ascii="Arial" w:cs="Arial" w:eastAsia="Arial" w:hAnsi="Arial"/>
          <w:sz w:val="18"/>
          <w:szCs w:val="18"/>
          <w:color w:val="auto"/>
        </w:rPr>
        <w:t>From December 31, 2017 through December 31, 2019, we reduced our CASM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10.09 cents to 8.82 cents and our Adjusted CASM from 7.80 cents to 6.31 cents, a level comparable to ULCCs. When combined with our TRASM, which remains comparable to LCCs and higher than ULCCs, we generate highly competitive margins. Our period of investment in fleet renewal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4"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7079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3560" cy="70796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160"/>
        <w:spacing w:after="0" w:line="287" w:lineRule="auto"/>
        <w:rPr>
          <w:sz w:val="20"/>
          <w:szCs w:val="20"/>
          <w:color w:val="auto"/>
        </w:rPr>
      </w:pPr>
      <w:r>
        <w:rPr>
          <w:rFonts w:ascii="Arial" w:cs="Arial" w:eastAsia="Arial" w:hAnsi="Arial"/>
          <w:sz w:val="16"/>
          <w:szCs w:val="16"/>
          <w:color w:val="auto"/>
        </w:rPr>
        <w:t>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37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Route Network</w:t>
      </w:r>
    </w:p>
    <w:p>
      <w:pPr>
        <w:spacing w:after="0" w:line="224" w:lineRule="exact"/>
        <w:rPr>
          <w:sz w:val="20"/>
          <w:szCs w:val="20"/>
          <w:color w:val="auto"/>
        </w:rPr>
      </w:pPr>
    </w:p>
    <w:p>
      <w:pPr>
        <w:ind w:left="380" w:firstLine="420"/>
        <w:spacing w:after="0" w:line="256" w:lineRule="auto"/>
        <w:rPr>
          <w:sz w:val="20"/>
          <w:szCs w:val="20"/>
          <w:color w:val="auto"/>
        </w:rPr>
      </w:pPr>
      <w:r>
        <w:rPr>
          <w:rFonts w:ascii="Arial" w:cs="Arial" w:eastAsia="Arial" w:hAnsi="Arial"/>
          <w:sz w:val="18"/>
          <w:szCs w:val="18"/>
          <w:color w:val="auto"/>
        </w:rPr>
        <w:t>As of December 31, 2020, we served 53 airports throughout the United States, Mexico, Central America and the Caribbean. During 2020, our focus has been on serving markets out of MSP, particularly core leisure markets (MCO, RSW, PHX, LAS, LAX).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 Factor Summary</w:t>
      </w:r>
    </w:p>
    <w:p>
      <w:pPr>
        <w:spacing w:after="0" w:line="224" w:lineRule="exact"/>
        <w:rPr>
          <w:sz w:val="20"/>
          <w:szCs w:val="20"/>
          <w:color w:val="auto"/>
        </w:rPr>
      </w:pPr>
    </w:p>
    <w:p>
      <w:pPr>
        <w:ind w:left="380" w:right="100" w:firstLine="420"/>
        <w:spacing w:after="0" w:line="253" w:lineRule="auto"/>
        <w:rPr>
          <w:sz w:val="20"/>
          <w:szCs w:val="20"/>
          <w:color w:val="auto"/>
        </w:rPr>
      </w:pPr>
      <w:r>
        <w:rPr>
          <w:rFonts w:ascii="Arial" w:cs="Arial" w:eastAsia="Arial" w:hAnsi="Arial"/>
          <w:sz w:val="18"/>
          <w:szCs w:val="18"/>
          <w:color w:val="auto"/>
        </w:rPr>
        <w:t>Participating in this offering involves substantial risk. Our ability to execute our strategy also is subject to certain risks. The risks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98" w:lineRule="exact"/>
        <w:rPr>
          <w:sz w:val="20"/>
          <w:szCs w:val="20"/>
          <w:color w:val="auto"/>
        </w:rPr>
      </w:pPr>
    </w:p>
    <w:p>
      <w:pPr>
        <w:ind w:left="1300" w:right="80" w:hanging="403"/>
        <w:spacing w:after="0" w:line="26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and its effects, including related travel restrictions, social distancing measures and decreased demand for air travel;</w:t>
      </w:r>
    </w:p>
    <w:p>
      <w:pPr>
        <w:spacing w:after="0" w:line="86" w:lineRule="exact"/>
        <w:rPr>
          <w:rFonts w:ascii="Arial" w:cs="Arial" w:eastAsia="Arial" w:hAnsi="Arial"/>
          <w:sz w:val="18"/>
          <w:szCs w:val="18"/>
          <w:color w:val="auto"/>
        </w:rPr>
      </w:pPr>
    </w:p>
    <w:p>
      <w:pPr>
        <w:ind w:left="1300" w:right="180" w:hanging="403"/>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9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aircraft fuel and our ability to control other costs;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threatened or actual terrorist attacks or security concerns;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4"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910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3560" cy="69107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operate in an exceedingly competitive industry;</w:t>
      </w:r>
    </w:p>
    <w:p>
      <w:pPr>
        <w:spacing w:after="0" w:line="125" w:lineRule="exact"/>
        <w:rPr>
          <w:rFonts w:ascii="Arial" w:cs="Arial" w:eastAsia="Arial" w:hAnsi="Arial"/>
          <w:sz w:val="18"/>
          <w:szCs w:val="18"/>
          <w:color w:val="auto"/>
        </w:rPr>
      </w:pPr>
    </w:p>
    <w:p>
      <w:pPr>
        <w:ind w:left="1300" w:right="60" w:hanging="403"/>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adverse weather, federal government shutdowns, aircraft-type groundings, increased security measures or disease outbreaks;</w:t>
      </w:r>
    </w:p>
    <w:p>
      <w:pPr>
        <w:spacing w:after="0" w:line="86"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realize the anticipated strategic and financial benefits of the ATSA with Amazon;</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restrictions on or increased taxes applicable to charges for ancillary products and services; or</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concentration in the Minneapolis-St. Paul market.</w:t>
      </w: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Sponsor</w:t>
      </w:r>
    </w:p>
    <w:p>
      <w:pPr>
        <w:spacing w:after="0" w:line="224" w:lineRule="exact"/>
        <w:rPr>
          <w:sz w:val="20"/>
          <w:szCs w:val="20"/>
          <w:color w:val="auto"/>
        </w:rPr>
      </w:pPr>
    </w:p>
    <w:p>
      <w:pPr>
        <w:ind w:left="380" w:right="140" w:firstLine="420"/>
        <w:spacing w:after="0" w:line="253" w:lineRule="auto"/>
        <w:rPr>
          <w:sz w:val="20"/>
          <w:szCs w:val="20"/>
          <w:color w:val="auto"/>
        </w:rPr>
      </w:pPr>
      <w:r>
        <w:rPr>
          <w:rFonts w:ascii="Arial" w:cs="Arial" w:eastAsia="Arial" w:hAnsi="Arial"/>
          <w:sz w:val="18"/>
          <w:szCs w:val="18"/>
          <w:color w:val="auto"/>
        </w:rPr>
        <w:t>Founded in 1990, Apollo is a leading global alternative investment manager with offices in New York, Los Angeles, San Diego, Houston, Bethesda, London, Frankfurt, Madrid, Luxembourg, Mumbai, Delhi, Singapore, Hong Kong, Shanghai and Tokyo. Apollo had assets under management of approximately $455 billion as of December 31, 2020 in credit, private equity and real assets funds invested across a core group of nine industries where Apollo has considerable knowledge and resources.</w:t>
      </w:r>
    </w:p>
    <w:p>
      <w:pPr>
        <w:spacing w:after="0" w:line="191" w:lineRule="exact"/>
        <w:rPr>
          <w:sz w:val="20"/>
          <w:szCs w:val="20"/>
          <w:color w:val="auto"/>
        </w:rPr>
      </w:pPr>
    </w:p>
    <w:p>
      <w:pPr>
        <w:ind w:left="380" w:firstLine="420"/>
        <w:spacing w:after="0" w:line="253" w:lineRule="auto"/>
        <w:rPr>
          <w:sz w:val="20"/>
          <w:szCs w:val="20"/>
          <w:color w:val="auto"/>
        </w:rPr>
      </w:pPr>
      <w:r>
        <w:rPr>
          <w:rFonts w:ascii="Arial" w:cs="Arial" w:eastAsia="Arial" w:hAnsi="Arial"/>
          <w:sz w:val="18"/>
          <w:szCs w:val="18"/>
          <w:color w:val="auto"/>
        </w:rPr>
        <w:t>Upon the closing of this offering and the Private Placements (as defined below), we will be a “controlled company” within the meaning of the Nasdaq corporate governance standards because more than 50% of the voting power of our outstanding common stock will be owned by the Apollo Stockholder. For further information on the implications of this distinction, see “</w:t>
      </w:r>
      <w:r>
        <w:rPr>
          <w:rFonts w:ascii="Arial" w:cs="Arial" w:eastAsia="Arial" w:hAnsi="Arial"/>
          <w:sz w:val="18"/>
          <w:szCs w:val="18"/>
          <w:i w:val="1"/>
          <w:iCs w:val="1"/>
          <w:color w:val="auto"/>
        </w:rPr>
        <w:t>Risk Factors—Risks Related to this Offering and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 Controlled Company</w:t>
      </w:r>
      <w:r>
        <w:rPr>
          <w:rFonts w:ascii="Arial" w:cs="Arial" w:eastAsia="Arial" w:hAnsi="Arial"/>
          <w:sz w:val="18"/>
          <w:szCs w:val="18"/>
          <w:color w:val="auto"/>
        </w:rPr>
        <w:t>.”</w:t>
      </w:r>
    </w:p>
    <w:p>
      <w:pPr>
        <w:spacing w:after="0" w:line="191" w:lineRule="exact"/>
        <w:rPr>
          <w:sz w:val="20"/>
          <w:szCs w:val="20"/>
          <w:color w:val="auto"/>
        </w:rPr>
      </w:pPr>
    </w:p>
    <w:p>
      <w:pPr>
        <w:ind w:left="380" w:right="220" w:firstLine="420"/>
        <w:spacing w:after="0" w:line="286" w:lineRule="auto"/>
        <w:rPr>
          <w:sz w:val="20"/>
          <w:szCs w:val="20"/>
          <w:color w:val="auto"/>
        </w:rPr>
      </w:pPr>
      <w:r>
        <w:rPr>
          <w:rFonts w:ascii="Arial" w:cs="Arial" w:eastAsia="Arial" w:hAnsi="Arial"/>
          <w:sz w:val="16"/>
          <w:szCs w:val="16"/>
          <w:color w:val="auto"/>
        </w:rPr>
        <w:t>Following the closing of this offering, the Apollo Stockholder will continue to have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6"/>
          <w:szCs w:val="16"/>
          <w:i w:val="1"/>
          <w:iCs w:val="1"/>
          <w:color w:val="auto"/>
        </w:rPr>
        <w:t>Management—Board Composition</w:t>
      </w:r>
      <w:r>
        <w:rPr>
          <w:rFonts w:ascii="Arial" w:cs="Arial" w:eastAsia="Arial" w:hAnsi="Arial"/>
          <w:sz w:val="16"/>
          <w:szCs w:val="16"/>
          <w:color w:val="auto"/>
        </w:rPr>
        <w:t>,” “</w:t>
      </w:r>
      <w:r>
        <w:rPr>
          <w:rFonts w:ascii="Arial" w:cs="Arial" w:eastAsia="Arial" w:hAnsi="Arial"/>
          <w:sz w:val="16"/>
          <w:szCs w:val="16"/>
          <w:i w:val="1"/>
          <w:iCs w:val="1"/>
          <w:color w:val="auto"/>
        </w:rPr>
        <w:t>Certain Relationships and Related Party Transactions—Stockholders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and “</w:t>
      </w:r>
      <w:r>
        <w:rPr>
          <w:rFonts w:ascii="Arial" w:cs="Arial" w:eastAsia="Arial" w:hAnsi="Arial"/>
          <w:sz w:val="16"/>
          <w:szCs w:val="16"/>
          <w:i w:val="1"/>
          <w:iCs w:val="1"/>
          <w:color w:val="auto"/>
        </w:rPr>
        <w:t>Description of Capital Stock—Composition of Board of Directors; Election and Removal of Directors</w:t>
      </w:r>
      <w:r>
        <w:rPr>
          <w:rFonts w:ascii="Arial" w:cs="Arial" w:eastAsia="Arial" w:hAnsi="Arial"/>
          <w:sz w:val="16"/>
          <w:szCs w:val="16"/>
          <w:color w:val="auto"/>
        </w:rPr>
        <w:t>” for more information.</w:t>
      </w:r>
    </w:p>
    <w:p>
      <w:pPr>
        <w:spacing w:after="0" w:line="37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4" w:lineRule="exact"/>
        <w:rPr>
          <w:sz w:val="20"/>
          <w:szCs w:val="20"/>
          <w:color w:val="auto"/>
        </w:rPr>
      </w:pPr>
    </w:p>
    <w:p>
      <w:pPr>
        <w:jc w:val="both"/>
        <w:ind w:left="380" w:right="20" w:firstLine="420"/>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96" w:lineRule="exact"/>
        <w:rPr>
          <w:sz w:val="20"/>
          <w:szCs w:val="20"/>
          <w:color w:val="auto"/>
        </w:rPr>
      </w:pPr>
    </w:p>
    <w:p>
      <w:pPr>
        <w:ind w:left="1300" w:right="600" w:hanging="403"/>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on the effectiveness of our internal control over financial reporting;</w:t>
      </w:r>
    </w:p>
    <w:p>
      <w:pPr>
        <w:spacing w:after="0" w:line="86" w:lineRule="exact"/>
        <w:rPr>
          <w:rFonts w:ascii="Arial" w:cs="Arial" w:eastAsia="Arial" w:hAnsi="Arial"/>
          <w:sz w:val="18"/>
          <w:szCs w:val="18"/>
          <w:color w:val="auto"/>
        </w:rPr>
      </w:pPr>
    </w:p>
    <w:p>
      <w:pPr>
        <w:ind w:left="1300" w:right="80" w:hanging="403"/>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new or revised financial accounting standards applicable to public companies until such standards are also applicable to private companies;</w:t>
      </w:r>
    </w:p>
    <w:p>
      <w:pPr>
        <w:spacing w:after="0" w:line="86" w:lineRule="exact"/>
        <w:rPr>
          <w:rFonts w:ascii="Arial" w:cs="Arial" w:eastAsia="Arial" w:hAnsi="Arial"/>
          <w:sz w:val="18"/>
          <w:szCs w:val="18"/>
          <w:color w:val="auto"/>
        </w:rPr>
      </w:pPr>
    </w:p>
    <w:p>
      <w:pPr>
        <w:ind w:left="1300" w:right="40" w:hanging="403"/>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95" w:lineRule="exact"/>
        <w:rPr>
          <w:rFonts w:ascii="Arial" w:cs="Arial" w:eastAsia="Arial" w:hAnsi="Arial"/>
          <w:sz w:val="18"/>
          <w:szCs w:val="18"/>
          <w:color w:val="auto"/>
        </w:rPr>
      </w:pPr>
    </w:p>
    <w:p>
      <w:pPr>
        <w:ind w:left="1300" w:right="1000" w:hanging="403"/>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86" w:lineRule="exact"/>
        <w:rPr>
          <w:rFonts w:ascii="Arial" w:cs="Arial" w:eastAsia="Arial" w:hAnsi="Arial"/>
          <w:sz w:val="18"/>
          <w:szCs w:val="18"/>
          <w:color w:val="auto"/>
        </w:rPr>
      </w:pPr>
    </w:p>
    <w:p>
      <w:pPr>
        <w:ind w:left="1300" w:hanging="40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4"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21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3560" cy="58216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6"/>
          <w:szCs w:val="16"/>
          <w:color w:val="auto"/>
        </w:rPr>
        <w:t>We may take advantage of these provisions until the end of the fiscal year following the fifth anniversary of our initial public offering or such earlier time that we are no longer an “emerging growth company.” We will cease to be an “emerging growth company” if we have $1.07 billion or more in total annual gross revenues during our most recently completed fiscal year, if we become a “large accelerated filer” with the market value of our common stock held by non-affiliates exceeding $700 million or more as of the last business day of the second quarter of such fiscal year, or as of any date on which we have issued more than $1.0 billion in non-convertible debt over the three-year period to such date.</w:t>
      </w:r>
    </w:p>
    <w:p>
      <w:pPr>
        <w:spacing w:after="0" w:line="165" w:lineRule="exact"/>
        <w:rPr>
          <w:sz w:val="20"/>
          <w:szCs w:val="20"/>
          <w:color w:val="auto"/>
        </w:rPr>
      </w:pPr>
    </w:p>
    <w:p>
      <w:pPr>
        <w:ind w:left="380" w:right="100" w:firstLine="420"/>
        <w:spacing w:after="0" w:line="266" w:lineRule="auto"/>
        <w:rPr>
          <w:sz w:val="20"/>
          <w:szCs w:val="20"/>
          <w:color w:val="auto"/>
        </w:rPr>
      </w:pPr>
      <w:r>
        <w:rPr>
          <w:rFonts w:ascii="Arial" w:cs="Arial" w:eastAsia="Arial" w:hAnsi="Arial"/>
          <w:sz w:val="17"/>
          <w:szCs w:val="17"/>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38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Reorganization Transactions</w:t>
      </w:r>
    </w:p>
    <w:p>
      <w:pPr>
        <w:spacing w:after="0" w:line="224" w:lineRule="exact"/>
        <w:rPr>
          <w:sz w:val="20"/>
          <w:szCs w:val="20"/>
          <w:color w:val="auto"/>
        </w:rPr>
      </w:pPr>
    </w:p>
    <w:p>
      <w:pPr>
        <w:ind w:left="380" w:firstLine="420"/>
        <w:spacing w:after="0" w:line="290" w:lineRule="auto"/>
        <w:rPr>
          <w:sz w:val="20"/>
          <w:szCs w:val="20"/>
          <w:color w:val="auto"/>
        </w:rPr>
      </w:pPr>
      <w:r>
        <w:rPr>
          <w:rFonts w:ascii="Arial" w:cs="Arial" w:eastAsia="Arial" w:hAnsi="Arial"/>
          <w:sz w:val="16"/>
          <w:szCs w:val="16"/>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165" w:lineRule="exact"/>
        <w:rPr>
          <w:sz w:val="20"/>
          <w:szCs w:val="20"/>
          <w:color w:val="auto"/>
        </w:rPr>
      </w:pPr>
    </w:p>
    <w:p>
      <w:pPr>
        <w:ind w:left="380" w:right="40" w:firstLine="420"/>
        <w:spacing w:after="0" w:line="294" w:lineRule="auto"/>
        <w:rPr>
          <w:sz w:val="20"/>
          <w:szCs w:val="20"/>
          <w:color w:val="auto"/>
        </w:rPr>
      </w:pPr>
      <w:r>
        <w:rPr>
          <w:rFonts w:ascii="Arial" w:cs="Arial" w:eastAsia="Arial" w:hAnsi="Arial"/>
          <w:sz w:val="16"/>
          <w:szCs w:val="16"/>
          <w:color w:val="auto"/>
        </w:rPr>
        <w:t>Prior to this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62" w:lineRule="exact"/>
        <w:rPr>
          <w:sz w:val="20"/>
          <w:szCs w:val="20"/>
          <w:color w:val="auto"/>
        </w:rPr>
      </w:pPr>
    </w:p>
    <w:p>
      <w:pPr>
        <w:ind w:left="380" w:right="80" w:firstLine="420"/>
        <w:spacing w:after="0" w:line="284"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73" w:lineRule="exact"/>
        <w:rPr>
          <w:sz w:val="20"/>
          <w:szCs w:val="20"/>
          <w:color w:val="auto"/>
        </w:rPr>
      </w:pPr>
    </w:p>
    <w:p>
      <w:pPr>
        <w:jc w:val="both"/>
        <w:ind w:left="380" w:right="140" w:firstLine="420"/>
        <w:spacing w:after="0" w:line="256" w:lineRule="auto"/>
        <w:rPr>
          <w:sz w:val="20"/>
          <w:szCs w:val="20"/>
          <w:color w:val="auto"/>
        </w:rPr>
      </w:pPr>
      <w:r>
        <w:rPr>
          <w:rFonts w:ascii="Arial" w:cs="Arial" w:eastAsia="Arial" w:hAnsi="Arial"/>
          <w:sz w:val="18"/>
          <w:szCs w:val="18"/>
          <w:color w:val="auto"/>
        </w:rPr>
        <w:t>Prior to this offering, we effected an approximately 18.8886 for 1 stock split of our common stock (the “Stock Split”), with exercise prices for our outstanding warrants and options appropriately adjusted. As of February 28, 2021, giving effect to the Stock Split, we had an aggregate of 46,698,922 shares of our common stock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320" w:top="454" w:right="7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740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3560" cy="47409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260"/>
        <w:spacing w:after="0" w:line="256" w:lineRule="auto"/>
        <w:rPr>
          <w:sz w:val="20"/>
          <w:szCs w:val="20"/>
          <w:color w:val="auto"/>
        </w:rPr>
      </w:pPr>
      <w:r>
        <w:rPr>
          <w:rFonts w:ascii="Arial" w:cs="Arial" w:eastAsia="Arial" w:hAnsi="Arial"/>
          <w:sz w:val="18"/>
          <w:szCs w:val="18"/>
          <w:color w:val="auto"/>
        </w:rPr>
        <w:t>warrants to purchase an aggregate of 9,482,606 shares of our common stock outstanding at an exercise price of approximately $15.17 per share, approximately 10.7% of which have vested, and options to purchase an aggregate of 5,893,704 shares of our common stock outstanding at a weighted average exercise price of $6.38 per share.</w:t>
      </w:r>
    </w:p>
    <w:p>
      <w:pPr>
        <w:spacing w:after="0" w:line="189" w:lineRule="exact"/>
        <w:rPr>
          <w:sz w:val="20"/>
          <w:szCs w:val="20"/>
          <w:color w:val="auto"/>
        </w:rPr>
      </w:pPr>
    </w:p>
    <w:p>
      <w:pPr>
        <w:ind w:left="380" w:right="860" w:firstLine="420"/>
        <w:spacing w:after="0" w:line="253" w:lineRule="auto"/>
        <w:rPr>
          <w:sz w:val="20"/>
          <w:szCs w:val="20"/>
          <w:color w:val="auto"/>
        </w:rPr>
      </w:pPr>
      <w:r>
        <w:rPr>
          <w:rFonts w:ascii="Arial" w:cs="Arial" w:eastAsia="Arial" w:hAnsi="Arial"/>
          <w:sz w:val="18"/>
          <w:szCs w:val="18"/>
          <w:color w:val="auto"/>
        </w:rPr>
        <w:t>In this prospectus, we refer to the transactions described in this section as the “Reorganization Transactions.” The Reorganization Transactions are intended to simplify our capital structure and to facilitate this offering.</w:t>
      </w:r>
    </w:p>
    <w:p>
      <w:pPr>
        <w:jc w:val="center"/>
        <w:ind w:right="-399"/>
        <w:spacing w:after="0"/>
        <w:rPr>
          <w:sz w:val="20"/>
          <w:szCs w:val="20"/>
          <w:color w:val="auto"/>
        </w:rPr>
      </w:pPr>
      <w:r>
        <w:rPr>
          <w:rFonts w:ascii="Arial" w:cs="Arial" w:eastAsia="Arial" w:hAnsi="Arial"/>
          <w:sz w:val="18"/>
          <w:szCs w:val="18"/>
          <w:b w:val="1"/>
          <w:bCs w:val="1"/>
          <w:color w:val="auto"/>
        </w:rPr>
        <w:t>Private Placements</w:t>
      </w:r>
    </w:p>
    <w:p>
      <w:pPr>
        <w:spacing w:after="0" w:line="207"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color w:val="auto"/>
        </w:rPr>
        <w:t>Each of PAR Capital and the Blackrock Entities has agreed to purchase shares of common stock from the Apollo Stockholder in private placements that are expected to close concurrently with this offering. The number of shares of common stock to be purchased by PAR Capital from the Apollo Stockholder will be based on an aggregate purchase price of $50.0 million and a price per share equal to 94% of the initial public offering price. The number of shares of common stock to be purchased by the Blackrock Entities from the Apollo Stockholder will be based on an aggregate purchase price of $50.0 million and a price per share equal to 94% of the initial public offering price. Assuming an initial public offering price of $22.00 per share of common stock, the midpoint of the range set forth on the cover page of this prospectus, PAR Capital will purchase 2,417,794 shares of common stock from the Apollo Stockholder and the Blackrock Entities will purchase an aggregate of 2,417,790 shares of common stock from the Apollo Stockholder. The private placements are expected to close concurrently with this offering. Each of PAR Capital and the Blackrock Entities is a “qualified institutional buyer” as defined in Rule 144A under the Securities Act of 1933, as amended, and the sale of the shares to PAR Capital and the Blackrock Entities will not be registered under the Securities Act. These private placements, which we refer to as the “Private Placements,” are subject to customary closing conditions, including a requirement that total gross proceeds from the sale of shares by us in this offering will be at least $175 million. This offering is not conditioned upon the closing of the Private Placements and neither Private Placement is conditioned on the closing of the other Private Placement. If either Private Placement does not close, the Apollo Stockholder will continue to hold the shares they would have otherwise sold to PAR Capital or the Blackrock Entities, as applicable. Barclays Capital Inc. is serving as placement agent for the Private Placements and will receive a placement fee from the Apollo Stockholder in connection therewith.</w:t>
      </w: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24" w:lineRule="exact"/>
        <w:rPr>
          <w:sz w:val="20"/>
          <w:szCs w:val="20"/>
          <w:color w:val="auto"/>
        </w:rPr>
      </w:pPr>
    </w:p>
    <w:p>
      <w:pPr>
        <w:ind w:left="380" w:firstLine="420"/>
        <w:spacing w:after="0" w:line="250" w:lineRule="auto"/>
        <w:rPr>
          <w:sz w:val="20"/>
          <w:szCs w:val="20"/>
          <w:color w:val="auto"/>
        </w:rPr>
      </w:pPr>
      <w:r>
        <w:rPr>
          <w:rFonts w:ascii="Arial" w:cs="Arial" w:eastAsia="Arial" w:hAnsi="Arial"/>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320" w:top="454" w:right="7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277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3560" cy="627761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pacing w:after="0" w:line="224" w:lineRule="exact"/>
        <w:rPr>
          <w:sz w:val="20"/>
          <w:szCs w:val="20"/>
          <w:color w:val="auto"/>
        </w:rPr>
      </w:pPr>
    </w:p>
    <w:p>
      <w:pPr>
        <w:ind w:left="380" w:right="120" w:firstLine="420"/>
        <w:spacing w:after="0" w:line="266" w:lineRule="auto"/>
        <w:rPr>
          <w:sz w:val="20"/>
          <w:szCs w:val="20"/>
          <w:color w:val="auto"/>
        </w:rPr>
      </w:pPr>
      <w:r>
        <w:rPr>
          <w:rFonts w:ascii="Arial" w:cs="Arial" w:eastAsia="Arial" w:hAnsi="Arial"/>
          <w:sz w:val="18"/>
          <w:szCs w:val="18"/>
          <w:color w:val="auto"/>
        </w:rPr>
        <w:t>By participating in this offering, you are representing that you are a citizen of the United States, as defined in 49 U.S.C. § 40102(a)(15).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p>
      <w:pPr>
        <w:sectPr>
          <w:pgSz w:w="11900" w:h="16838" w:orient="portrait"/>
          <w:cols w:equalWidth="0" w:num="1">
            <w:col w:w="10860"/>
          </w:cols>
          <w:pgMar w:left="320" w:top="454" w:right="719" w:bottom="1440" w:gutter="0" w:footer="0" w:header="0"/>
        </w:sect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Issuer</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 by us</w:t>
      </w:r>
    </w:p>
    <w:p>
      <w:pPr>
        <w:spacing w:after="0" w:line="3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left="380" w:right="560"/>
        <w:spacing w:after="0" w:line="329" w:lineRule="auto"/>
        <w:rPr>
          <w:sz w:val="20"/>
          <w:szCs w:val="20"/>
          <w:color w:val="auto"/>
        </w:rPr>
      </w:pPr>
      <w:r>
        <w:rPr>
          <w:rFonts w:ascii="Arial" w:cs="Arial" w:eastAsia="Arial" w:hAnsi="Arial"/>
          <w:sz w:val="16"/>
          <w:szCs w:val="16"/>
          <w:color w:val="auto"/>
        </w:rPr>
        <w:t>Common stock to be sold by the Apollo Stockholder in the Private Placements</w:t>
      </w:r>
    </w:p>
    <w:p>
      <w:pPr>
        <w:spacing w:after="0" w:line="200" w:lineRule="exact"/>
        <w:rPr>
          <w:sz w:val="20"/>
          <w:szCs w:val="20"/>
          <w:color w:val="auto"/>
        </w:rPr>
      </w:pPr>
    </w:p>
    <w:p>
      <w:pPr>
        <w:spacing w:after="0" w:line="333" w:lineRule="exact"/>
        <w:rPr>
          <w:sz w:val="20"/>
          <w:szCs w:val="20"/>
          <w:color w:val="auto"/>
        </w:rPr>
      </w:pPr>
    </w:p>
    <w:p>
      <w:pPr>
        <w:ind w:left="560" w:hanging="176"/>
        <w:spacing w:after="0" w:line="266" w:lineRule="auto"/>
        <w:rPr>
          <w:sz w:val="20"/>
          <w:szCs w:val="20"/>
          <w:color w:val="auto"/>
        </w:rPr>
      </w:pPr>
      <w:r>
        <w:rPr>
          <w:rFonts w:ascii="Arial" w:cs="Arial" w:eastAsia="Arial" w:hAnsi="Arial"/>
          <w:sz w:val="18"/>
          <w:szCs w:val="18"/>
          <w:color w:val="auto"/>
        </w:rPr>
        <w:t>Common stock outstanding after giving effect to this offering</w:t>
      </w:r>
    </w:p>
    <w:p>
      <w:pPr>
        <w:spacing w:after="0" w:line="326" w:lineRule="exact"/>
        <w:rPr>
          <w:sz w:val="20"/>
          <w:szCs w:val="20"/>
          <w:color w:val="auto"/>
        </w:rPr>
      </w:pPr>
    </w:p>
    <w:p>
      <w:pPr>
        <w:ind w:left="560" w:right="20" w:hanging="176"/>
        <w:spacing w:after="0" w:line="329" w:lineRule="auto"/>
        <w:rPr>
          <w:sz w:val="20"/>
          <w:szCs w:val="20"/>
          <w:color w:val="auto"/>
        </w:rPr>
      </w:pPr>
      <w:r>
        <w:rPr>
          <w:rFonts w:ascii="Arial" w:cs="Arial" w:eastAsia="Arial" w:hAnsi="Arial"/>
          <w:sz w:val="16"/>
          <w:szCs w:val="16"/>
          <w:color w:val="auto"/>
        </w:rPr>
        <w:t>2019 Warrants to purchase common stock outstanding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Controlled company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11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9,090,909 shares (or 10,454,545 shares if the underwriters exercise their option to purchase additional shares in full as described below).</w:t>
      </w:r>
    </w:p>
    <w:p>
      <w:pPr>
        <w:spacing w:after="0" w:line="31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have granted the underwriters an option to purchase up to an additional 1,363,636 shares. The underwriters may exercise this option at any time within 30 days from the date of this prospectus.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200" w:lineRule="exact"/>
        <w:rPr>
          <w:sz w:val="20"/>
          <w:szCs w:val="20"/>
          <w:color w:val="auto"/>
        </w:rPr>
      </w:pPr>
    </w:p>
    <w:p>
      <w:pPr>
        <w:spacing w:after="0" w:line="387" w:lineRule="exact"/>
        <w:rPr>
          <w:sz w:val="20"/>
          <w:szCs w:val="20"/>
          <w:color w:val="auto"/>
        </w:rPr>
      </w:pPr>
    </w:p>
    <w:p>
      <w:pPr>
        <w:ind w:right="460"/>
        <w:spacing w:after="0" w:line="329" w:lineRule="auto"/>
        <w:rPr>
          <w:sz w:val="20"/>
          <w:szCs w:val="20"/>
          <w:color w:val="auto"/>
        </w:rPr>
      </w:pPr>
      <w:r>
        <w:rPr>
          <w:rFonts w:ascii="Arial" w:cs="Arial" w:eastAsia="Arial" w:hAnsi="Arial"/>
          <w:sz w:val="16"/>
          <w:szCs w:val="16"/>
          <w:color w:val="auto"/>
        </w:rPr>
        <w:t>4,835,584 shares (assuming an initial public offering price of $22.00 per share of common stock, the midpoint of the range set forth on the cover page of this prospectus).</w:t>
      </w:r>
    </w:p>
    <w:p>
      <w:pPr>
        <w:spacing w:after="0" w:line="2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55,789,831 shares (or 57,153,467 shares if the underwriters exercise their option to purchase additional shares in full).</w:t>
      </w:r>
    </w:p>
    <w:p>
      <w:pPr>
        <w:spacing w:after="0" w:line="200" w:lineRule="exact"/>
        <w:rPr>
          <w:sz w:val="20"/>
          <w:szCs w:val="20"/>
          <w:color w:val="auto"/>
        </w:rPr>
      </w:pPr>
    </w:p>
    <w:p>
      <w:pPr>
        <w:spacing w:after="0" w:line="3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Amazon will own warrants to purchase an aggregate of 9,482,606 shares of common stock at an exercise price of approximately $15.17 per share, approximately 10.7% of which have vested as of February 28, 2021. As is the case for investment in our company generally, the exercise of the 2019 Warrants is limited by restrictions imposed by federal law on foreign ownership and control of U.S. airlines. See “</w:t>
      </w:r>
      <w:r>
        <w:rPr>
          <w:rFonts w:ascii="Arial" w:cs="Arial" w:eastAsia="Arial" w:hAnsi="Arial"/>
          <w:sz w:val="16"/>
          <w:szCs w:val="16"/>
          <w:i w:val="1"/>
          <w:iCs w:val="1"/>
          <w:color w:val="auto"/>
        </w:rPr>
        <w:t>Description of Capital Stock—Warrants</w:t>
      </w:r>
      <w:r>
        <w:rPr>
          <w:rFonts w:ascii="Arial" w:cs="Arial" w:eastAsia="Arial" w:hAnsi="Arial"/>
          <w:sz w:val="16"/>
          <w:szCs w:val="16"/>
          <w:color w:val="auto"/>
        </w:rPr>
        <w:t>.”</w:t>
      </w:r>
    </w:p>
    <w:p>
      <w:pPr>
        <w:spacing w:after="0" w:line="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estimate that the net proceeds to us from this offering will be approximately $187.5 million (or approximately $215.6 million if the underwriters exercise their option to purchase additional shares in full), after deducting underwriting discounts and commissions, based on an assumed initial offering price of $22.00 per share (the midpoint of the range set forth on the cover page of this prospectus).</w:t>
      </w:r>
    </w:p>
    <w:p>
      <w:pPr>
        <w:spacing w:after="0" w:line="101"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We currently expect to use approximately $46.2 million of such proceeds from this offering to repay in full all amounts outstanding under the CARES Act Loan and approximately</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$5.8 million of such proceeds to pay fees and expenses in connection with this offering, which include legal and accounting fees, SEC and FINRA registration fees, printing expenses, and other similar fees and expenses. We intend to use any remaining proceeds for general corporate purposes. See “</w:t>
      </w:r>
      <w:r>
        <w:rPr>
          <w:rFonts w:ascii="Arial" w:cs="Arial" w:eastAsia="Arial" w:hAnsi="Arial"/>
          <w:sz w:val="16"/>
          <w:szCs w:val="16"/>
          <w:i w:val="1"/>
          <w:iCs w:val="1"/>
          <w:color w:val="auto"/>
        </w:rPr>
        <w:t>Use of Proceeds</w:t>
      </w:r>
      <w:r>
        <w:rPr>
          <w:rFonts w:ascii="Arial" w:cs="Arial" w:eastAsia="Arial" w:hAnsi="Arial"/>
          <w:sz w:val="16"/>
          <w:szCs w:val="16"/>
          <w:color w:val="auto"/>
        </w:rPr>
        <w:t>” for additional information.</w:t>
      </w:r>
    </w:p>
    <w:p>
      <w:pPr>
        <w:spacing w:after="0" w:line="70"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Upon completion of this offering and the Private Placements, the Apollo Stockholder will continue to beneficially own more than 50%</w:t>
      </w:r>
    </w:p>
    <w:p>
      <w:pPr>
        <w:spacing w:after="0" w:line="200" w:lineRule="exact"/>
        <w:rPr>
          <w:sz w:val="20"/>
          <w:szCs w:val="20"/>
          <w:color w:val="auto"/>
        </w:rPr>
      </w:pPr>
    </w:p>
    <w:p>
      <w:pPr>
        <w:sectPr>
          <w:pgSz w:w="11900" w:h="16838" w:orient="portrait"/>
          <w:cols w:equalWidth="0" w:num="2">
            <w:col w:w="3820" w:space="180"/>
            <w:col w:w="6860"/>
          </w:cols>
          <w:pgMar w:left="320" w:top="454" w:right="71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60"/>
          </w:cols>
          <w:pgMar w:left="320" w:top="454" w:right="71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10" w:type="dxa"/>
        <w:tblCellMar>
          <w:top w:w="0" w:type="dxa"/>
          <w:left w:w="0" w:type="dxa"/>
          <w:bottom w:w="0" w:type="dxa"/>
          <w:right w:w="0" w:type="dxa"/>
        </w:tblCellMar>
      </w:tblPr>
      <w:tr>
        <w:trPr>
          <w:trHeight w:val="390"/>
        </w:trPr>
        <w:tc>
          <w:tcPr>
            <w:tcW w:w="324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93"/>
              </w:rPr>
              <w:t>of the voting power of our outstanding common stock. As a result, we intend to avail ourselves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of the “controlled company” exemptions under the Nasdaq rules, including exemptions from</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certain of the corporate governance listing requirements. See “</w:t>
            </w:r>
            <w:r>
              <w:rPr>
                <w:rFonts w:ascii="Arial" w:cs="Arial" w:eastAsia="Arial" w:hAnsi="Arial"/>
                <w:sz w:val="18"/>
                <w:szCs w:val="18"/>
                <w:i w:val="1"/>
                <w:iCs w:val="1"/>
                <w:color w:val="auto"/>
                <w:w w:val="99"/>
              </w:rPr>
              <w:t>Management—Controlled</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We do not intend to pay cash dividends on our common stock in the foreseeable future.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However, we may, in the future, decide to pay dividends on our common stock. Any declaration</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and payment of cash dividends in the future, if any, will be at the discretion of our board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directors and will depend upon such factors as earnings levels, cash flows, capital requirements,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levels of indebtedness, restrictions imposed by applicable law, our overall financial condition,</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7"/>
              </w:rPr>
              <w:t>restrictions in our debt agreements and any other factors deemed relevant by our board of</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directors.</w:t>
            </w:r>
          </w:p>
        </w:tc>
      </w:tr>
      <w:tr>
        <w:trPr>
          <w:trHeight w:val="321"/>
        </w:trPr>
        <w:tc>
          <w:tcPr>
            <w:tcW w:w="32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As a holding company, our ability to pay dividends also depends on our receipt of cash</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dividends from our operating subsidiaries. Our ability to pay dividends will therefore be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restricted as a result of restrictions on their ability to pay dividends to us under the CARES Act</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and the Credit Agreement and may be restricted under future indebtedness that we or they may</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incur.</w:t>
            </w:r>
          </w:p>
        </w:tc>
      </w:tr>
      <w:tr>
        <w:trPr>
          <w:trHeight w:val="332"/>
        </w:trPr>
        <w:tc>
          <w:tcPr>
            <w:tcW w:w="32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tc>
      </w:tr>
      <w:tr>
        <w:trPr>
          <w:trHeight w:val="3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Income Tax Receivable Agreement</w:t>
            </w:r>
          </w:p>
        </w:tc>
        <w:tc>
          <w:tcPr>
            <w:tcW w:w="7620" w:type="dxa"/>
            <w:vAlign w:val="bottom"/>
            <w:tcBorders>
              <w:right w:val="single" w:sz="8" w:color="auto"/>
            </w:tcBorders>
          </w:tcPr>
          <w:p>
            <w:pPr>
              <w:spacing w:after="0"/>
              <w:rPr>
                <w:sz w:val="24"/>
                <w:szCs w:val="24"/>
                <w:color w:val="auto"/>
              </w:rPr>
            </w:pPr>
          </w:p>
        </w:tc>
      </w:tr>
      <w:tr>
        <w:trPr>
          <w:trHeight w:val="228"/>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In connection with this offering, we will enter into an income tax receivable agreement pursuant</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to which our pre-IPO stockholders will have the right to receive payment by us of 85% of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amount of cash savings, if any, in U.S. federal, state, local, and foreign income tax that we and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our subsidiaries actually realize (or are deemed to realize in the case of a change of control and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certain subsidiary dispositions) for periods starting at least 12 months after the closing date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this offering as a result of the utilization of our and our subsidiaries’ tax attributes existing at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time of this offering. See “</w:t>
            </w:r>
            <w:r>
              <w:rPr>
                <w:rFonts w:ascii="Arial" w:cs="Arial" w:eastAsia="Arial" w:hAnsi="Arial"/>
                <w:sz w:val="18"/>
                <w:szCs w:val="18"/>
                <w:i w:val="1"/>
                <w:iCs w:val="1"/>
                <w:color w:val="auto"/>
                <w:w w:val="94"/>
              </w:rPr>
              <w:t>Certain Relationships and Related Party Transactions—Income Tax</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Receivable Agreement</w:t>
            </w:r>
            <w:r>
              <w:rPr>
                <w:rFonts w:ascii="Arial" w:cs="Arial" w:eastAsia="Arial" w:hAnsi="Arial"/>
                <w:sz w:val="18"/>
                <w:szCs w:val="18"/>
                <w:color w:val="auto"/>
              </w:rPr>
              <w:t>.”</w:t>
            </w:r>
          </w:p>
        </w:tc>
      </w:tr>
      <w:tr>
        <w:trPr>
          <w:trHeight w:val="57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We have applied to list our common stock on Nasdaq under the symbol “SNCY.”</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You should read the section titled “</w:t>
            </w:r>
            <w:r>
              <w:rPr>
                <w:rFonts w:ascii="Arial" w:cs="Arial" w:eastAsia="Arial" w:hAnsi="Arial"/>
                <w:sz w:val="18"/>
                <w:szCs w:val="18"/>
                <w:i w:val="1"/>
                <w:iCs w:val="1"/>
                <w:color w:val="auto"/>
                <w:w w:val="98"/>
              </w:rPr>
              <w:t>Risk Factors</w:t>
            </w:r>
            <w:r>
              <w:rPr>
                <w:rFonts w:ascii="Arial" w:cs="Arial" w:eastAsia="Arial" w:hAnsi="Arial"/>
                <w:sz w:val="18"/>
                <w:szCs w:val="18"/>
                <w:color w:val="auto"/>
                <w:w w:val="98"/>
              </w:rPr>
              <w:t>” and the other information included in this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prospectus for a discussion of some of the risks and uncertainties you should carefully consider</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before deciding to invest in our common stock.</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Directed Share Program</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At our request, the underwriters have reserved up to 5% of the shares of common stock offered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by this prospectus, for sale at the initial public offering price, to directors, officers, employees,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business associates and related persons of the Company. See “</w:t>
            </w:r>
            <w:r>
              <w:rPr>
                <w:rFonts w:ascii="Arial" w:cs="Arial" w:eastAsia="Arial" w:hAnsi="Arial"/>
                <w:sz w:val="18"/>
                <w:szCs w:val="18"/>
                <w:i w:val="1"/>
                <w:iCs w:val="1"/>
                <w:color w:val="auto"/>
                <w:w w:val="99"/>
              </w:rPr>
              <w:t>Underwriting (Conflict of</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Interest)—Directed Share Program</w:t>
            </w:r>
            <w:r>
              <w:rPr>
                <w:rFonts w:ascii="Arial" w:cs="Arial" w:eastAsia="Arial" w:hAnsi="Arial"/>
                <w:sz w:val="18"/>
                <w:szCs w:val="18"/>
                <w:color w:val="auto"/>
              </w:rPr>
              <w:t>.”</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 of Interest</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Apollo Global Securities, LLC, an affiliate of Apollo, is an underwriter in this offering and will</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receive a portion of the underwriting discounts and commissions in connection with this</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offering. Affiliates of Apollo beneficially own in excess of 10% of our issued and outstanding</w:t>
            </w:r>
          </w:p>
        </w:tc>
      </w:tr>
      <w:tr>
        <w:trPr>
          <w:trHeight w:val="237"/>
        </w:trPr>
        <w:tc>
          <w:tcPr>
            <w:tcW w:w="3240" w:type="dxa"/>
            <w:vAlign w:val="bottom"/>
            <w:tcBorders>
              <w:left w:val="single" w:sz="8" w:color="auto"/>
              <w:bottom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spacing w:after="0"/>
              <w:rPr>
                <w:sz w:val="20"/>
                <w:szCs w:val="20"/>
                <w:color w:val="auto"/>
              </w:rPr>
            </w:pPr>
          </w:p>
        </w:tc>
      </w:tr>
      <w:tr>
        <w:trPr>
          <w:trHeight w:val="594"/>
        </w:trPr>
        <w:tc>
          <w:tcPr>
            <w:tcW w:w="3240" w:type="dxa"/>
            <w:vAlign w:val="bottom"/>
          </w:tcPr>
          <w:p>
            <w:pPr>
              <w:spacing w:after="0"/>
              <w:rPr>
                <w:sz w:val="24"/>
                <w:szCs w:val="24"/>
                <w:color w:val="auto"/>
              </w:rPr>
            </w:pPr>
          </w:p>
        </w:tc>
        <w:tc>
          <w:tcPr>
            <w:tcW w:w="7620" w:type="dxa"/>
            <w:vAlign w:val="bottom"/>
          </w:tcPr>
          <w:p>
            <w:pPr>
              <w:ind w:left="21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60"/>
          </w:cols>
          <w:pgMar w:left="320" w:top="454"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939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3560" cy="59397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0" w:right="80"/>
        <w:spacing w:after="0" w:line="265" w:lineRule="auto"/>
        <w:rPr>
          <w:sz w:val="20"/>
          <w:szCs w:val="20"/>
          <w:color w:val="auto"/>
        </w:rPr>
      </w:pPr>
      <w:r>
        <w:rPr>
          <w:rFonts w:ascii="Arial" w:cs="Arial" w:eastAsia="Arial" w:hAnsi="Arial"/>
          <w:sz w:val="17"/>
          <w:szCs w:val="17"/>
          <w:color w:val="auto"/>
        </w:rPr>
        <w:t>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 See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as otherwise indicated, all of the information in this prospectus:</w:t>
      </w:r>
    </w:p>
    <w:p>
      <w:pPr>
        <w:spacing w:after="0" w:line="125" w:lineRule="exact"/>
        <w:rPr>
          <w:sz w:val="20"/>
          <w:szCs w:val="20"/>
          <w:color w:val="auto"/>
        </w:rPr>
      </w:pPr>
    </w:p>
    <w:p>
      <w:pPr>
        <w:ind w:left="1300" w:hanging="50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based on 46,698,922 shares of common stock outstanding as of February 28, 2021 giving effect to the Stock Split;</w:t>
      </w:r>
    </w:p>
    <w:p>
      <w:pPr>
        <w:spacing w:after="0" w:line="125" w:lineRule="exact"/>
        <w:rPr>
          <w:rFonts w:ascii="Arial" w:cs="Arial" w:eastAsia="Arial" w:hAnsi="Arial"/>
          <w:sz w:val="18"/>
          <w:szCs w:val="18"/>
          <w:color w:val="auto"/>
        </w:rPr>
      </w:pPr>
    </w:p>
    <w:p>
      <w:pPr>
        <w:ind w:left="1300" w:right="280" w:hanging="509"/>
        <w:spacing w:after="0" w:line="30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the sale of 2,417,794 shares of common stock by the Apollo Stockholder to PAR Capital and 2,417,790 shares of common stock by the Apollo Stockholder to the Blackrock Entities in the Private Placements (assuming an initial public offering price of $22.00 per share of common stock, the midpoint of the range set forth on the cover page of this prospectus);</w:t>
      </w:r>
    </w:p>
    <w:p>
      <w:pPr>
        <w:spacing w:after="0" w:line="61" w:lineRule="exact"/>
        <w:rPr>
          <w:rFonts w:ascii="Arial" w:cs="Arial" w:eastAsia="Arial" w:hAnsi="Arial"/>
          <w:sz w:val="16"/>
          <w:szCs w:val="16"/>
          <w:color w:val="auto"/>
        </w:rPr>
      </w:pPr>
    </w:p>
    <w:p>
      <w:pPr>
        <w:ind w:left="1300" w:hanging="50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the Reorganization Transactions, including the Stock Split;</w:t>
      </w:r>
    </w:p>
    <w:p>
      <w:pPr>
        <w:spacing w:after="0" w:line="125" w:lineRule="exact"/>
        <w:rPr>
          <w:rFonts w:ascii="Arial" w:cs="Arial" w:eastAsia="Arial" w:hAnsi="Arial"/>
          <w:sz w:val="18"/>
          <w:szCs w:val="18"/>
          <w:color w:val="auto"/>
        </w:rPr>
      </w:pPr>
    </w:p>
    <w:p>
      <w:pPr>
        <w:ind w:left="1300" w:right="80" w:hanging="509"/>
        <w:spacing w:after="0" w:line="26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an initial public offering price of $22.00 per share of common stock, the midpoint of the range set forth on the cover page of this prospectus;</w:t>
      </w:r>
    </w:p>
    <w:p>
      <w:pPr>
        <w:spacing w:after="0" w:line="86" w:lineRule="exact"/>
        <w:rPr>
          <w:rFonts w:ascii="Arial" w:cs="Arial" w:eastAsia="Arial" w:hAnsi="Arial"/>
          <w:sz w:val="18"/>
          <w:szCs w:val="18"/>
          <w:color w:val="auto"/>
        </w:rPr>
      </w:pPr>
    </w:p>
    <w:p>
      <w:pPr>
        <w:ind w:left="1300" w:hanging="509"/>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up to 1,363,636 additional shares of common stock from us;</w:t>
      </w:r>
    </w:p>
    <w:p>
      <w:pPr>
        <w:spacing w:after="0" w:line="136" w:lineRule="exact"/>
        <w:rPr>
          <w:rFonts w:ascii="Arial" w:cs="Arial" w:eastAsia="Arial" w:hAnsi="Arial"/>
          <w:sz w:val="17"/>
          <w:szCs w:val="17"/>
          <w:color w:val="auto"/>
        </w:rPr>
      </w:pPr>
    </w:p>
    <w:p>
      <w:pPr>
        <w:ind w:left="1300" w:right="40" w:hanging="509"/>
        <w:spacing w:after="0" w:line="25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no exercise of the 2019 Warrants to purchase an aggregate of 9,482,606 shares of common stock, approximately 10.7% of which have vested as of February 28, 2021. As is the case 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—Limited Ownership and Voting by Foreign Owners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1300" w:right="260" w:hanging="509"/>
        <w:spacing w:after="0" w:line="329"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does not reflect an additional 3,600,000 shares of common stock reserved for future grant under our new equity incentive plan (the “Omnibus Incentive Plan”). See “</w:t>
      </w:r>
      <w:r>
        <w:rPr>
          <w:rFonts w:ascii="Arial" w:cs="Arial" w:eastAsia="Arial" w:hAnsi="Arial"/>
          <w:sz w:val="16"/>
          <w:szCs w:val="16"/>
          <w:i w:val="1"/>
          <w:iCs w:val="1"/>
          <w:color w:val="auto"/>
        </w:rPr>
        <w:t>Executive Compensation—Equity Compensation Plans—2021 Omnibus Incentive Plan</w:t>
      </w:r>
      <w:r>
        <w:rPr>
          <w:rFonts w:ascii="Arial" w:cs="Arial" w:eastAsia="Arial" w:hAnsi="Arial"/>
          <w:sz w:val="16"/>
          <w:szCs w:val="16"/>
          <w:color w:val="auto"/>
        </w:rPr>
        <w:t>”; and</w:t>
      </w:r>
    </w:p>
    <w:p>
      <w:pPr>
        <w:spacing w:after="0" w:line="40" w:lineRule="exact"/>
        <w:rPr>
          <w:rFonts w:ascii="Arial" w:cs="Arial" w:eastAsia="Arial" w:hAnsi="Arial"/>
          <w:sz w:val="16"/>
          <w:szCs w:val="16"/>
          <w:color w:val="auto"/>
        </w:rPr>
      </w:pPr>
    </w:p>
    <w:p>
      <w:pPr>
        <w:ind w:left="1300" w:hanging="509"/>
        <w:spacing w:after="0" w:line="25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reflect 5,893,704 shares of common stock that may be issued upon the exercise of stock options outstanding as of the consummation of this offering under the SCA Acquisition Holdings, LLC Equity Incentive Plan (the “SCA Acquisition Equity Plan”). The following table sets forth the outstanding stock options under the SCA Acquisition Equity Plan as of December 31, 2020 (giving effect to the Stock Split):</w:t>
      </w:r>
    </w:p>
    <w:p>
      <w:pPr>
        <w:spacing w:after="0" w:line="19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9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Vested stock options (time-based vesting)</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1,054,059</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Unvested stock options (time-based vesting)</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1,275,402</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3,577,252</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800" w:hanging="421"/>
        <w:spacing w:after="0"/>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320" w:top="454" w:right="7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049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3560" cy="60496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Operating Information</w:t>
      </w:r>
    </w:p>
    <w:p>
      <w:pPr>
        <w:spacing w:after="0" w:line="224" w:lineRule="exact"/>
        <w:rPr>
          <w:sz w:val="20"/>
          <w:szCs w:val="20"/>
          <w:color w:val="auto"/>
        </w:rPr>
      </w:pPr>
    </w:p>
    <w:p>
      <w:pPr>
        <w:ind w:left="380" w:right="240" w:firstLine="420"/>
        <w:spacing w:after="0" w:line="294" w:lineRule="auto"/>
        <w:rPr>
          <w:sz w:val="20"/>
          <w:szCs w:val="20"/>
          <w:color w:val="auto"/>
        </w:rPr>
      </w:pPr>
      <w:r>
        <w:rPr>
          <w:rFonts w:ascii="Arial" w:cs="Arial" w:eastAsia="Arial" w:hAnsi="Arial"/>
          <w:sz w:val="16"/>
          <w:szCs w:val="16"/>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and our summary historical consolidated balance sheet data as of December 31, 2020 from our audited consolidated financial statements included elsewhere in this prospectus.</w:t>
      </w:r>
    </w:p>
    <w:p>
      <w:pPr>
        <w:spacing w:after="0" w:line="162"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and our audited consolidated financial statements and the related notes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elsewhere in this prospectus.</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For the year</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For the year</w:t>
            </w:r>
          </w:p>
        </w:tc>
        <w:tc>
          <w:tcPr>
            <w:tcW w:w="88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3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For the period</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80" w:type="dxa"/>
            <w:vAlign w:val="bottom"/>
            <w:tcBorders>
              <w:right w:val="single" w:sz="8" w:color="auto"/>
            </w:tcBorders>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180" w:type="dxa"/>
            <w:vAlign w:val="bottom"/>
            <w:tcBorders>
              <w:right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1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26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359,232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688,833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335,824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Cargo</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36,809</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12,551</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vMerge w:val="restart"/>
          </w:tcPr>
          <w:p>
            <w:pPr>
              <w:ind w:left="720"/>
              <w:spacing w:after="0"/>
              <w:rPr>
                <w:sz w:val="20"/>
                <w:szCs w:val="20"/>
                <w:color w:val="auto"/>
              </w:rPr>
            </w:pPr>
            <w:r>
              <w:rPr>
                <w:rFonts w:ascii="Arial" w:cs="Arial" w:eastAsia="Arial" w:hAnsi="Arial"/>
                <w:sz w:val="18"/>
                <w:szCs w:val="18"/>
                <w:color w:val="auto"/>
              </w:rPr>
              <w:t>Total Operating Revenue</w:t>
            </w: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401,486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701,384</w:t>
            </w:r>
          </w:p>
        </w:tc>
        <w:tc>
          <w:tcPr>
            <w:tcW w:w="1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384,931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197,452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Aircraft Fuel</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83,392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165,666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119,553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45,790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140,739</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36,831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35,286</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35,388</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17,180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34,877</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Ground Handling</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41,719</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23,828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Landing Fees and Airport Rent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44,400</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Special Items, net</w:t>
            </w:r>
            <w:r>
              <w:rPr>
                <w:rFonts w:ascii="Arial" w:cs="Arial" w:eastAsia="Arial" w:hAnsi="Arial"/>
                <w:sz w:val="15"/>
                <w:szCs w:val="15"/>
                <w:color w:val="auto"/>
              </w:rPr>
              <w:t>(4)</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(64,563)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net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384,101</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623,262</w:t>
            </w:r>
          </w:p>
        </w:tc>
        <w:tc>
          <w:tcPr>
            <w:tcW w:w="1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377,699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8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78,122</w:t>
            </w:r>
          </w:p>
        </w:tc>
        <w:tc>
          <w:tcPr>
            <w:tcW w:w="1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w:t>
            </w:r>
          </w:p>
        </w:tc>
        <w:tc>
          <w:tcPr>
            <w:tcW w:w="2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60" w:type="dxa"/>
            <w:vAlign w:val="bottom"/>
          </w:tcPr>
          <w:p>
            <w:pPr>
              <w:jc w:val="right"/>
              <w:ind w:right="79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12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93560" cy="5812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For the year</w:t>
            </w:r>
          </w:p>
        </w:tc>
        <w:tc>
          <w:tcPr>
            <w:tcW w:w="8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tcBorders>
              <w:right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April 11, 2018</w:t>
            </w: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0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69"/>
        </w:trPr>
        <w:tc>
          <w:tcPr>
            <w:tcW w:w="612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6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10, 2018</w:t>
            </w:r>
          </w:p>
        </w:tc>
        <w:tc>
          <w:tcPr>
            <w:tcW w:w="0" w:type="dxa"/>
            <w:vAlign w:val="bottom"/>
          </w:tcPr>
          <w:p>
            <w:pPr>
              <w:spacing w:after="0"/>
              <w:rPr>
                <w:sz w:val="1"/>
                <w:szCs w:val="1"/>
                <w:color w:val="auto"/>
              </w:rPr>
            </w:pPr>
          </w:p>
        </w:tc>
      </w:tr>
      <w:tr>
        <w:trPr>
          <w:trHeight w:val="140"/>
        </w:trPr>
        <w:tc>
          <w:tcPr>
            <w:tcW w:w="61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(17,170)</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61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(17,962)</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19"/>
        </w:trPr>
        <w:tc>
          <w:tcPr>
            <w:tcW w:w="612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60,160</w:t>
            </w:r>
          </w:p>
        </w:tc>
        <w:tc>
          <w:tcPr>
            <w:tcW w:w="140" w:type="dxa"/>
            <w:vAlign w:val="bottom"/>
          </w:tcPr>
          <w:p>
            <w:pPr>
              <w:spacing w:after="0"/>
              <w:rPr>
                <w:sz w:val="24"/>
                <w:szCs w:val="24"/>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14,088</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(3,904)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46,773</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46,806</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47,909</w:t>
            </w:r>
          </w:p>
        </w:tc>
        <w:tc>
          <w:tcPr>
            <w:tcW w:w="1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46,701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00" w:right="240" w:hanging="421"/>
        <w:spacing w:after="0" w:line="222"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800" w:right="20" w:hanging="421"/>
        <w:spacing w:after="0" w:line="218"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ind w:left="800" w:right="60" w:hanging="421"/>
        <w:spacing w:after="0" w:line="218"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ind w:left="800" w:hanging="421"/>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8300" w:type="dxa"/>
            <w:vAlign w:val="bottom"/>
          </w:tcPr>
          <w:p>
            <w:pPr>
              <w:spacing w:after="0"/>
              <w:rPr>
                <w:sz w:val="14"/>
                <w:szCs w:val="14"/>
                <w:color w:val="auto"/>
              </w:rPr>
            </w:pPr>
          </w:p>
        </w:tc>
        <w:tc>
          <w:tcPr>
            <w:tcW w:w="21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0"/>
        </w:trPr>
        <w:tc>
          <w:tcPr>
            <w:tcW w:w="8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60" w:type="dxa"/>
            <w:vAlign w:val="bottom"/>
            <w:tcBorders>
              <w:top w:val="single" w:sz="8" w:color="auto"/>
            </w:tcBorders>
            <w:gridSpan w:val="2"/>
          </w:tcPr>
          <w:p>
            <w:pPr>
              <w:jc w:val="right"/>
              <w:ind w:right="580"/>
              <w:spacing w:after="0" w:line="140" w:lineRule="exact"/>
              <w:rPr>
                <w:sz w:val="20"/>
                <w:szCs w:val="20"/>
                <w:color w:val="auto"/>
              </w:rPr>
            </w:pPr>
            <w:r>
              <w:rPr>
                <w:rFonts w:ascii="Arial" w:cs="Arial" w:eastAsia="Arial" w:hAnsi="Arial"/>
                <w:sz w:val="14"/>
                <w:szCs w:val="14"/>
                <w:b w:val="1"/>
                <w:bCs w:val="1"/>
                <w:color w:val="auto"/>
              </w:rPr>
              <w:t>Actual</w:t>
            </w:r>
            <w:r>
              <w:rPr>
                <w:rFonts w:ascii="Arial" w:cs="Arial" w:eastAsia="Arial" w:hAnsi="Arial"/>
                <w:sz w:val="12"/>
                <w:szCs w:val="12"/>
                <w:b w:val="1"/>
                <w:bCs w:val="1"/>
                <w:color w:val="auto"/>
              </w:rPr>
              <w:t>(1)</w:t>
            </w:r>
          </w:p>
        </w:tc>
        <w:tc>
          <w:tcPr>
            <w:tcW w:w="8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300" w:type="dxa"/>
            <w:vAlign w:val="bottom"/>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Cash and equivalents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   62,028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197,112</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1,053,267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1,183,799</w:t>
            </w:r>
          </w:p>
        </w:tc>
        <w:tc>
          <w:tcPr>
            <w:tcW w:w="0" w:type="dxa"/>
            <w:vAlign w:val="bottom"/>
          </w:tcPr>
          <w:p>
            <w:pPr>
              <w:spacing w:after="0"/>
              <w:rPr>
                <w:sz w:val="1"/>
                <w:szCs w:val="1"/>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Long-term debt and finance leases, including current portion</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389,633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343,451</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283,817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349,475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00" w:right="240" w:hanging="421"/>
        <w:spacing w:after="0" w:line="230"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actual consolidated balance sheet data reflects the Reorganization Transactions. Following this offering, 2019 Warrants to purchase an aggregate of 9,482,606 shares of common stock, approximately 10.7% of which have vested as of February 28, 2021, will remain outstanding.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w:t>
      </w:r>
      <w:r>
        <w:rPr>
          <w:rFonts w:ascii="Arial" w:cs="Arial" w:eastAsia="Arial" w:hAnsi="Arial"/>
          <w:sz w:val="14"/>
          <w:szCs w:val="14"/>
          <w:color w:val="auto"/>
        </w:rPr>
        <w:t xml:space="preserve"> </w:t>
      </w:r>
      <w:r>
        <w:rPr>
          <w:rFonts w:ascii="Arial" w:cs="Arial" w:eastAsia="Arial" w:hAnsi="Arial"/>
          <w:sz w:val="14"/>
          <w:szCs w:val="14"/>
          <w:i w:val="1"/>
          <w:iCs w:val="1"/>
          <w:color w:val="auto"/>
        </w:rPr>
        <w:t>Ownership and Voting by Foreign Owners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320" w:top="454"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082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93560" cy="40824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right="200" w:hanging="421"/>
        <w:spacing w:after="0" w:line="246"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as adjusted consolidated balance sheet data gives effect to this offering and the application of the net proceeds to us of this offering as of December 31, 2020 as described under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ectPr>
          <w:pgSz w:w="11900" w:h="16838" w:orient="portrait"/>
          <w:cols w:equalWidth="0" w:num="1">
            <w:col w:w="10860"/>
          </w:cols>
          <w:pgMar w:left="320" w:top="454" w:right="719" w:bottom="1440" w:gutter="0" w:footer="0" w:header="0"/>
        </w:sectPr>
      </w:pP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3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2"/>
              </w:rPr>
              <w:t>For the year</w:t>
            </w:r>
          </w:p>
        </w:tc>
        <w:tc>
          <w:tcPr>
            <w:tcW w:w="13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1600" w:type="dxa"/>
            <w:vAlign w:val="bottom"/>
            <w:tcBorders>
              <w:right w:val="single" w:sz="8" w:color="auto"/>
            </w:tcBorders>
            <w:gridSpan w:val="3"/>
          </w:tcPr>
          <w:p>
            <w:pPr>
              <w:jc w:val="center"/>
              <w:ind w:right="720"/>
              <w:spacing w:after="0" w:line="117"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0" w:type="dxa"/>
            <w:vAlign w:val="bottom"/>
            <w:tcBorders>
              <w:right w:val="single" w:sz="8" w:color="auto"/>
            </w:tcBorders>
            <w:gridSpan w:val="3"/>
          </w:tcPr>
          <w:p>
            <w:pPr>
              <w:jc w:val="center"/>
              <w:ind w:right="72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4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center"/>
              <w:ind w:right="86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4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0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600" w:type="dxa"/>
            <w:vAlign w:val="bottom"/>
            <w:tcBorders>
              <w:right w:val="single" w:sz="8" w:color="auto"/>
            </w:tcBorders>
            <w:gridSpan w:val="3"/>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2018</w:t>
            </w: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900" w:type="dxa"/>
            <w:vAlign w:val="bottom"/>
          </w:tcPr>
          <w:p>
            <w:pPr>
              <w:spacing w:after="0" w:line="150" w:lineRule="exact"/>
              <w:rPr>
                <w:sz w:val="20"/>
                <w:szCs w:val="20"/>
                <w:color w:val="auto"/>
              </w:rPr>
            </w:pPr>
            <w:r>
              <w:rPr>
                <w:rFonts w:ascii="Arial" w:cs="Arial" w:eastAsia="Arial" w:hAnsi="Arial"/>
                <w:sz w:val="14"/>
                <w:szCs w:val="14"/>
                <w:b w:val="1"/>
                <w:bCs w:val="1"/>
                <w:color w:val="auto"/>
              </w:rPr>
              <w:t>Non-GAAP Financial Data:</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line="147"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2"/>
                <w:szCs w:val="12"/>
                <w:color w:val="auto"/>
              </w:rPr>
              <w:t>(1)</w:t>
            </w:r>
          </w:p>
        </w:tc>
        <w:tc>
          <w:tcPr>
            <w:tcW w:w="140" w:type="dxa"/>
            <w:vAlign w:val="bottom"/>
          </w:tcPr>
          <w:p>
            <w:pPr>
              <w:jc w:val="right"/>
              <w:ind w:right="16"/>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80"/>
              <w:spacing w:after="0" w:line="147" w:lineRule="exact"/>
              <w:rPr>
                <w:sz w:val="20"/>
                <w:szCs w:val="20"/>
                <w:color w:val="auto"/>
              </w:rPr>
            </w:pPr>
            <w:r>
              <w:rPr>
                <w:rFonts w:ascii="Arial" w:cs="Arial" w:eastAsia="Arial" w:hAnsi="Arial"/>
                <w:sz w:val="14"/>
                <w:szCs w:val="14"/>
                <w:color w:val="auto"/>
              </w:rPr>
              <w:t>(47,916)</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80"/>
              <w:spacing w:after="0" w:line="147" w:lineRule="exact"/>
              <w:rPr>
                <w:sz w:val="20"/>
                <w:szCs w:val="20"/>
                <w:color w:val="auto"/>
              </w:rPr>
            </w:pPr>
            <w:r>
              <w:rPr>
                <w:rFonts w:ascii="Arial" w:cs="Arial" w:eastAsia="Arial" w:hAnsi="Arial"/>
                <w:sz w:val="14"/>
                <w:szCs w:val="14"/>
                <w:color w:val="auto"/>
              </w:rPr>
              <w:t>53,734</w:t>
            </w: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color w:val="auto"/>
              </w:rPr>
              <w:t>(5,871)</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Arial" w:cs="Arial" w:eastAsia="Arial" w:hAnsi="Arial"/>
                <w:sz w:val="14"/>
                <w:szCs w:val="14"/>
                <w:color w:val="auto"/>
              </w:rPr>
              <w:t>Adjusted EBITDAR</w:t>
            </w: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38,930</w:t>
            </w: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rPr>
              <w:t>171,129</w:t>
            </w:r>
          </w:p>
        </w:tc>
        <w:tc>
          <w:tcPr>
            <w:tcW w:w="140" w:type="dxa"/>
            <w:vAlign w:val="bottom"/>
          </w:tcPr>
          <w:p>
            <w:pPr>
              <w:spacing w:after="0"/>
              <w:rPr>
                <w:sz w:val="14"/>
                <w:szCs w:val="14"/>
                <w:color w:val="auto"/>
              </w:rPr>
            </w:pPr>
          </w:p>
        </w:tc>
        <w:tc>
          <w:tcPr>
            <w:tcW w:w="146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4"/>
                <w:szCs w:val="14"/>
                <w:color w:val="auto"/>
              </w:rPr>
              <w:t>49,688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Predecessor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period</w:t>
      </w:r>
    </w:p>
    <w:p>
      <w:pPr>
        <w:jc w:val="center"/>
        <w:ind w:right="40"/>
        <w:spacing w:after="0" w:line="237" w:lineRule="auto"/>
        <w:rPr>
          <w:sz w:val="20"/>
          <w:szCs w:val="20"/>
          <w:color w:val="auto"/>
        </w:rPr>
      </w:pPr>
      <w:r>
        <w:rPr>
          <w:rFonts w:ascii="Arial" w:cs="Arial" w:eastAsia="Arial" w:hAnsi="Arial"/>
          <w:sz w:val="14"/>
          <w:szCs w:val="14"/>
          <w:b w:val="1"/>
          <w:bCs w:val="1"/>
          <w:color w:val="auto"/>
        </w:rPr>
        <w:t>January 1,</w:t>
      </w:r>
    </w:p>
    <w:p>
      <w:pPr>
        <w:ind w:left="20" w:right="4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244" w:lineRule="exact"/>
        <w:rPr>
          <w:sz w:val="20"/>
          <w:szCs w:val="20"/>
          <w:color w:val="auto"/>
        </w:rPr>
      </w:pPr>
    </w:p>
    <w:p>
      <w:pPr>
        <w:ind w:left="500" w:hanging="495"/>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26,181</w:t>
      </w:r>
    </w:p>
    <w:p>
      <w:pPr>
        <w:spacing w:after="0" w:line="20"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57,279</w:t>
      </w:r>
    </w:p>
    <w:p>
      <w:pPr>
        <w:spacing w:after="0" w:line="182" w:lineRule="exact"/>
        <w:rPr>
          <w:sz w:val="20"/>
          <w:szCs w:val="20"/>
          <w:color w:val="auto"/>
        </w:rPr>
      </w:pPr>
    </w:p>
    <w:p>
      <w:pPr>
        <w:sectPr>
          <w:pgSz w:w="11900" w:h="16838" w:orient="portrait"/>
          <w:cols w:equalWidth="0" w:num="2">
            <w:col w:w="9520" w:space="420"/>
            <w:col w:w="920"/>
          </w:cols>
          <w:pgMar w:left="320" w:top="454" w:right="719" w:bottom="1440" w:gutter="0" w:footer="0" w:header="0"/>
          <w:type w:val="continuous"/>
        </w:sectPr>
      </w:pPr>
    </w:p>
    <w:p>
      <w:pPr>
        <w:ind w:left="800" w:hanging="421"/>
        <w:spacing w:after="0" w:line="261" w:lineRule="auto"/>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Adjusted Net Income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0" w:lineRule="exact"/>
        <w:rPr>
          <w:rFonts w:ascii="Arial" w:cs="Arial" w:eastAsia="Arial" w:hAnsi="Arial"/>
          <w:sz w:val="12"/>
          <w:szCs w:val="12"/>
          <w:color w:val="auto"/>
        </w:rPr>
      </w:pPr>
    </w:p>
    <w:p>
      <w:pPr>
        <w:ind w:left="800" w:right="180"/>
        <w:spacing w:after="0" w:line="241" w:lineRule="auto"/>
        <w:rPr>
          <w:rFonts w:ascii="Arial" w:cs="Arial" w:eastAsia="Arial" w:hAnsi="Arial"/>
          <w:sz w:val="12"/>
          <w:szCs w:val="12"/>
          <w:color w:val="auto"/>
        </w:rPr>
      </w:pPr>
      <w:r>
        <w:rPr>
          <w:rFonts w:ascii="Arial" w:cs="Arial" w:eastAsia="Arial" w:hAnsi="Arial"/>
          <w:sz w:val="13"/>
          <w:szCs w:val="13"/>
          <w:color w:val="auto"/>
        </w:rPr>
        <w:t>Adjusted Net Income and Adjusted EBITDAR have limitations as analytical tools. Some of the limitations applicable to these measures include: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and Adjusted EBITDAR differently than we do, limiting each measure’s usefulness as a comparative measure. Because of these limitations Adjusted Net Income and Adjusted EBITDAR should not be considered in isolation or as a substitute for performance measures calculated in accordance with GAAP.</w:t>
      </w:r>
    </w:p>
    <w:p>
      <w:pPr>
        <w:spacing w:after="0" w:line="181" w:lineRule="exact"/>
        <w:rPr>
          <w:rFonts w:ascii="Arial" w:cs="Arial" w:eastAsia="Arial" w:hAnsi="Arial"/>
          <w:sz w:val="12"/>
          <w:szCs w:val="12"/>
          <w:color w:val="auto"/>
        </w:rPr>
      </w:pPr>
    </w:p>
    <w:p>
      <w:pPr>
        <w:jc w:val="both"/>
        <w:ind w:left="800" w:right="60"/>
        <w:spacing w:after="0" w:line="251" w:lineRule="auto"/>
        <w:rPr>
          <w:rFonts w:ascii="Arial" w:cs="Arial" w:eastAsia="Arial" w:hAnsi="Arial"/>
          <w:sz w:val="12"/>
          <w:szCs w:val="12"/>
          <w:color w:val="auto"/>
        </w:rPr>
      </w:pPr>
      <w:r>
        <w:rPr>
          <w:rFonts w:ascii="Arial" w:cs="Arial" w:eastAsia="Arial" w:hAnsi="Arial"/>
          <w:sz w:val="13"/>
          <w:szCs w:val="13"/>
          <w:color w:val="auto"/>
        </w:rPr>
        <w:t>As derivations of Adjusted Net Income and Adjusted EBITDAR are not determined in accordance with GAAP, such measures are susceptible to varying calculations and not all companies calculate the measures in the same manner. As a result, derivations of net income, including Adjusted Net Income and Adjusted EBITDAR, as presented may not be directly comparable to similarly titled measures presented by other companies. For the foregoing reasons, each of Adjusted Net Income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320" w:top="454" w:right="719" w:bottom="1440" w:gutter="0" w:footer="0" w:header="0"/>
          <w:type w:val="continuous"/>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220345</wp:posOffset>
            </wp:positionV>
            <wp:extent cx="6893560" cy="5297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93560" cy="5297805"/>
                    </a:xfrm>
                    <a:prstGeom prst="rect">
                      <a:avLst/>
                    </a:prstGeom>
                    <a:noFill/>
                  </pic:spPr>
                </pic:pic>
              </a:graphicData>
            </a:graphic>
          </wp:anchor>
        </w:drawing>
      </w:r>
    </w:p>
    <w:p>
      <w:pPr>
        <w:sectPr>
          <w:pgSz w:w="11900" w:h="16838" w:orient="portrait"/>
          <w:cols w:equalWidth="0" w:num="1">
            <w:col w:w="10820"/>
          </w:cols>
          <w:pgMar w:left="320" w:top="454" w:right="7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presents the reconciliation of Net Income (Loss) to Adjusted Net Income (Loss) for the periods presented below.</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34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 year</w:t>
            </w:r>
          </w:p>
        </w:tc>
        <w:tc>
          <w:tcPr>
            <w:tcW w:w="1440" w:type="dxa"/>
            <w:vAlign w:val="bottom"/>
            <w:gridSpan w:val="3"/>
          </w:tcPr>
          <w:p>
            <w:pPr>
              <w:jc w:val="center"/>
              <w:ind w:right="540"/>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4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16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30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340" w:type="dxa"/>
            <w:vAlign w:val="bottom"/>
            <w:gridSpan w:val="4"/>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44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980" w:type="dxa"/>
            <w:vAlign w:val="bottom"/>
          </w:tcPr>
          <w:p>
            <w:pPr>
              <w:spacing w:after="0" w:line="150" w:lineRule="exact"/>
              <w:rPr>
                <w:sz w:val="20"/>
                <w:szCs w:val="20"/>
                <w:color w:val="auto"/>
              </w:rPr>
            </w:pPr>
            <w:r>
              <w:rPr>
                <w:rFonts w:ascii="Arial" w:cs="Arial" w:eastAsia="Arial" w:hAnsi="Arial"/>
                <w:sz w:val="14"/>
                <w:szCs w:val="14"/>
                <w:b w:val="1"/>
                <w:bCs w:val="1"/>
                <w:color w:val="auto"/>
              </w:rPr>
              <w:t>Adjusted Net Income (Loss) reconciliation: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line="147" w:lineRule="exact"/>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460"/>
              <w:spacing w:after="0" w:line="147" w:lineRule="exact"/>
              <w:rPr>
                <w:sz w:val="20"/>
                <w:szCs w:val="20"/>
                <w:color w:val="auto"/>
              </w:rPr>
            </w:pPr>
            <w:r>
              <w:rPr>
                <w:rFonts w:ascii="Arial" w:cs="Arial" w:eastAsia="Arial" w:hAnsi="Arial"/>
                <w:sz w:val="14"/>
                <w:szCs w:val="14"/>
                <w:color w:val="auto"/>
              </w:rPr>
              <w:t>(3,904)</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46,072</w:t>
            </w: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60" w:type="dxa"/>
            <w:vAlign w:val="bottom"/>
          </w:tcPr>
          <w:p>
            <w:pPr>
              <w:spacing w:after="0"/>
              <w:rPr>
                <w:sz w:val="12"/>
                <w:szCs w:val="12"/>
                <w:color w:val="auto"/>
              </w:rPr>
            </w:pPr>
          </w:p>
        </w:tc>
        <w:tc>
          <w:tcPr>
            <w:tcW w:w="1180" w:type="dxa"/>
            <w:vAlign w:val="bottom"/>
            <w:gridSpan w:val="3"/>
          </w:tcPr>
          <w:p>
            <w:pPr>
              <w:jc w:val="right"/>
              <w:ind w:right="460"/>
              <w:spacing w:after="0" w:line="147" w:lineRule="exact"/>
              <w:rPr>
                <w:sz w:val="20"/>
                <w:szCs w:val="20"/>
                <w:color w:val="auto"/>
              </w:rPr>
            </w:pPr>
            <w:r>
              <w:rPr>
                <w:rFonts w:ascii="Arial" w:cs="Arial" w:eastAsia="Arial" w:hAnsi="Arial"/>
                <w:sz w:val="14"/>
                <w:szCs w:val="14"/>
                <w:color w:val="auto"/>
              </w:rPr>
              <w:t>(64,563)</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7,092</w:t>
            </w:r>
          </w:p>
        </w:tc>
        <w:tc>
          <w:tcPr>
            <w:tcW w:w="14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(6,706)</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Stock compensation expense</w:t>
            </w:r>
          </w:p>
        </w:tc>
        <w:tc>
          <w:tcPr>
            <w:tcW w:w="16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2,110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1,888</w:t>
            </w:r>
          </w:p>
        </w:tc>
        <w:tc>
          <w:tcPr>
            <w:tcW w:w="140" w:type="dxa"/>
            <w:vAlign w:val="bottom"/>
          </w:tcPr>
          <w:p>
            <w:pPr>
              <w:spacing w:after="0"/>
              <w:rPr>
                <w:sz w:val="12"/>
                <w:szCs w:val="12"/>
                <w:color w:val="auto"/>
              </w:rPr>
            </w:pPr>
          </w:p>
        </w:tc>
        <w:tc>
          <w:tcPr>
            <w:tcW w:w="1300" w:type="dxa"/>
            <w:vAlign w:val="bottom"/>
            <w:gridSpan w:val="2"/>
          </w:tcPr>
          <w:p>
            <w:pPr>
              <w:jc w:val="right"/>
              <w:ind w:right="560"/>
              <w:spacing w:after="0" w:line="147"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Loss (gain) on asset transactions, net</w:t>
            </w:r>
          </w:p>
        </w:tc>
        <w:tc>
          <w:tcPr>
            <w:tcW w:w="16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413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745</w:t>
            </w:r>
          </w:p>
        </w:tc>
        <w:tc>
          <w:tcPr>
            <w:tcW w:w="14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Other adjustments</w:t>
            </w:r>
            <w:r>
              <w:rPr>
                <w:rFonts w:ascii="Arial" w:cs="Arial" w:eastAsia="Arial" w:hAnsi="Arial"/>
                <w:sz w:val="12"/>
                <w:szCs w:val="12"/>
                <w:color w:val="auto"/>
              </w:rPr>
              <w:t>(b)</w:t>
            </w:r>
          </w:p>
        </w:tc>
        <w:tc>
          <w:tcPr>
            <w:tcW w:w="16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4,881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226</w:t>
            </w:r>
          </w:p>
        </w:tc>
        <w:tc>
          <w:tcPr>
            <w:tcW w:w="140" w:type="dxa"/>
            <w:vAlign w:val="bottom"/>
          </w:tcPr>
          <w:p>
            <w:pPr>
              <w:spacing w:after="0"/>
              <w:rPr>
                <w:sz w:val="12"/>
                <w:szCs w:val="12"/>
                <w:color w:val="auto"/>
              </w:rPr>
            </w:pPr>
          </w:p>
        </w:tc>
        <w:tc>
          <w:tcPr>
            <w:tcW w:w="13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980" w:type="dxa"/>
            <w:vAlign w:val="bottom"/>
          </w:tcPr>
          <w:p>
            <w:pPr>
              <w:ind w:left="280"/>
              <w:spacing w:after="0"/>
              <w:rPr>
                <w:sz w:val="20"/>
                <w:szCs w:val="20"/>
                <w:color w:val="auto"/>
              </w:rPr>
            </w:pPr>
            <w:r>
              <w:rPr>
                <w:rFonts w:ascii="Arial" w:cs="Arial" w:eastAsia="Arial" w:hAnsi="Arial"/>
                <w:sz w:val="14"/>
                <w:szCs w:val="14"/>
                <w:color w:val="auto"/>
              </w:rPr>
              <w:t>Income tax effect of adjusting items, net</w:t>
            </w:r>
            <w:r>
              <w:rPr>
                <w:rFonts w:ascii="Arial" w:cs="Arial" w:eastAsia="Arial" w:hAnsi="Arial"/>
                <w:sz w:val="12"/>
                <w:szCs w:val="12"/>
                <w:color w:val="auto"/>
              </w:rPr>
              <w:t>(c)</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13,147</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rPr>
              <w:t>(2,289)</w:t>
            </w:r>
          </w:p>
        </w:tc>
        <w:tc>
          <w:tcPr>
            <w:tcW w:w="14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53"/>
        </w:trPr>
        <w:tc>
          <w:tcPr>
            <w:tcW w:w="498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Net Income (Loss)</w:t>
            </w: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(47,916)</w:t>
            </w:r>
          </w:p>
        </w:tc>
        <w:tc>
          <w:tcPr>
            <w:tcW w:w="500" w:type="dxa"/>
            <w:vAlign w:val="bottom"/>
          </w:tcPr>
          <w:p>
            <w:pPr>
              <w:spacing w:after="0"/>
              <w:rPr>
                <w:sz w:val="13"/>
                <w:szCs w:val="13"/>
                <w:color w:val="auto"/>
              </w:rPr>
            </w:pP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53,734</w:t>
            </w:r>
          </w:p>
        </w:tc>
        <w:tc>
          <w:tcPr>
            <w:tcW w:w="500" w:type="dxa"/>
            <w:vAlign w:val="bottom"/>
          </w:tcPr>
          <w:p>
            <w:pPr>
              <w:spacing w:after="0"/>
              <w:rPr>
                <w:sz w:val="13"/>
                <w:szCs w:val="13"/>
                <w:color w:val="auto"/>
              </w:rPr>
            </w:pPr>
          </w:p>
        </w:tc>
        <w:tc>
          <w:tcPr>
            <w:tcW w:w="1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(5,871)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
        <w:spacing w:after="0"/>
        <w:rPr>
          <w:sz w:val="20"/>
          <w:szCs w:val="20"/>
          <w:color w:val="auto"/>
        </w:rPr>
      </w:pPr>
      <w:r>
        <w:rPr>
          <w:rFonts w:ascii="Arial" w:cs="Arial" w:eastAsia="Arial" w:hAnsi="Arial"/>
          <w:sz w:val="13"/>
          <w:szCs w:val="13"/>
          <w:b w:val="1"/>
          <w:bCs w:val="1"/>
          <w:color w:val="auto"/>
        </w:rPr>
        <w:t>Predecessor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 the period</w:t>
      </w:r>
    </w:p>
    <w:p>
      <w:pPr>
        <w:spacing w:after="0" w:line="10" w:lineRule="exact"/>
        <w:rPr>
          <w:sz w:val="20"/>
          <w:szCs w:val="20"/>
          <w:color w:val="auto"/>
        </w:rPr>
      </w:pPr>
    </w:p>
    <w:p>
      <w:pPr>
        <w:jc w:val="center"/>
        <w:ind w:right="12"/>
        <w:spacing w:after="0"/>
        <w:rPr>
          <w:sz w:val="20"/>
          <w:szCs w:val="20"/>
          <w:color w:val="auto"/>
        </w:rPr>
      </w:pPr>
      <w:r>
        <w:rPr>
          <w:rFonts w:ascii="Arial" w:cs="Arial" w:eastAsia="Arial" w:hAnsi="Arial"/>
          <w:sz w:val="14"/>
          <w:szCs w:val="14"/>
          <w:b w:val="1"/>
          <w:bCs w:val="1"/>
          <w:color w:val="auto"/>
        </w:rPr>
        <w:t>January 1,</w:t>
      </w:r>
    </w:p>
    <w:p>
      <w:pPr>
        <w:ind w:left="8" w:right="2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311" w:lineRule="exact"/>
        <w:rPr>
          <w:sz w:val="20"/>
          <w:szCs w:val="20"/>
          <w:color w:val="auto"/>
        </w:rPr>
      </w:pPr>
    </w:p>
    <w:p>
      <w:pPr>
        <w:ind w:left="488" w:hanging="488"/>
        <w:spacing w:after="0"/>
        <w:tabs>
          <w:tab w:leader="none" w:pos="488" w:val="left"/>
        </w:tabs>
        <w:numPr>
          <w:ilvl w:val="0"/>
          <w:numId w:val="19"/>
        </w:numPr>
        <w:rPr>
          <w:rFonts w:ascii="Arial" w:cs="Arial" w:eastAsia="Arial" w:hAnsi="Arial"/>
          <w:sz w:val="12"/>
          <w:szCs w:val="12"/>
          <w:color w:val="auto"/>
        </w:rPr>
      </w:pPr>
      <w:r>
        <w:rPr>
          <w:rFonts w:ascii="Arial" w:cs="Arial" w:eastAsia="Arial" w:hAnsi="Arial"/>
          <w:sz w:val="12"/>
          <w:szCs w:val="12"/>
          <w:color w:val="auto"/>
        </w:rPr>
        <w:t>25,910</w:t>
      </w:r>
    </w:p>
    <w:p>
      <w:pPr>
        <w:spacing w:after="0" w:line="20" w:lineRule="exact"/>
        <w:rPr>
          <w:rFonts w:ascii="Arial" w:cs="Arial" w:eastAsia="Arial" w:hAnsi="Arial"/>
          <w:sz w:val="12"/>
          <w:szCs w:val="12"/>
          <w:color w:val="auto"/>
        </w:rPr>
      </w:pPr>
    </w:p>
    <w:p>
      <w:pPr>
        <w:ind w:left="668"/>
        <w:spacing w:after="0"/>
        <w:rPr>
          <w:rFonts w:ascii="Arial" w:cs="Arial" w:eastAsia="Arial" w:hAnsi="Arial"/>
          <w:sz w:val="12"/>
          <w:szCs w:val="12"/>
          <w:color w:val="auto"/>
        </w:rPr>
      </w:pPr>
      <w:r>
        <w:rPr>
          <w:rFonts w:ascii="Arial" w:cs="Arial" w:eastAsia="Arial" w:hAnsi="Arial"/>
          <w:sz w:val="11"/>
          <w:szCs w:val="11"/>
          <w:color w:val="auto"/>
        </w:rPr>
        <w:t>271</w:t>
      </w:r>
    </w:p>
    <w:p>
      <w:pPr>
        <w:spacing w:after="0" w:line="19" w:lineRule="exact"/>
        <w:rPr>
          <w:rFonts w:ascii="Arial" w:cs="Arial" w:eastAsia="Arial" w:hAnsi="Arial"/>
          <w:sz w:val="12"/>
          <w:szCs w:val="12"/>
          <w:color w:val="auto"/>
        </w:rPr>
      </w:pPr>
    </w:p>
    <w:p>
      <w:pPr>
        <w:ind w:left="668"/>
        <w:spacing w:after="0" w:line="218" w:lineRule="auto"/>
        <w:rPr>
          <w:rFonts w:ascii="Arial" w:cs="Arial" w:eastAsia="Arial" w:hAnsi="Arial"/>
          <w:sz w:val="12"/>
          <w:szCs w:val="12"/>
          <w:color w:val="auto"/>
        </w:rPr>
      </w:pPr>
      <w:r>
        <w:rPr>
          <w:rFonts w:ascii="Arial" w:cs="Arial" w:eastAsia="Arial" w:hAnsi="Arial"/>
          <w:sz w:val="14"/>
          <w:szCs w:val="14"/>
          <w:color w:val="auto"/>
        </w:rPr>
        <w:t>—</w:t>
      </w:r>
    </w:p>
    <w:p>
      <w:pPr>
        <w:ind w:left="668"/>
        <w:spacing w:after="0" w:line="218" w:lineRule="auto"/>
        <w:rPr>
          <w:rFonts w:ascii="Arial" w:cs="Arial" w:eastAsia="Arial" w:hAnsi="Arial"/>
          <w:sz w:val="12"/>
          <w:szCs w:val="12"/>
          <w:color w:val="auto"/>
        </w:rPr>
      </w:pPr>
      <w:r>
        <w:rPr>
          <w:rFonts w:ascii="Arial" w:cs="Arial" w:eastAsia="Arial" w:hAnsi="Arial"/>
          <w:sz w:val="14"/>
          <w:szCs w:val="14"/>
          <w:color w:val="auto"/>
        </w:rPr>
        <w:t>—</w:t>
      </w:r>
    </w:p>
    <w:p>
      <w:pPr>
        <w:ind w:left="668"/>
        <w:spacing w:after="0" w:line="218" w:lineRule="auto"/>
        <w:rPr>
          <w:rFonts w:ascii="Arial" w:cs="Arial" w:eastAsia="Arial" w:hAnsi="Arial"/>
          <w:sz w:val="12"/>
          <w:szCs w:val="12"/>
          <w:color w:val="auto"/>
        </w:rPr>
      </w:pPr>
      <w:r>
        <w:rPr>
          <w:rFonts w:ascii="Arial" w:cs="Arial" w:eastAsia="Arial" w:hAnsi="Arial"/>
          <w:sz w:val="14"/>
          <w:szCs w:val="14"/>
          <w:color w:val="auto"/>
        </w:rPr>
        <w:t>—</w:t>
      </w:r>
    </w:p>
    <w:p>
      <w:pPr>
        <w:ind w:left="668"/>
        <w:spacing w:after="0"/>
        <w:rPr>
          <w:rFonts w:ascii="Arial" w:cs="Arial" w:eastAsia="Arial" w:hAnsi="Arial"/>
          <w:sz w:val="12"/>
          <w:szCs w:val="12"/>
          <w:color w:val="auto"/>
        </w:rPr>
      </w:pPr>
      <w:r>
        <w:rPr>
          <w:rFonts w:ascii="Arial" w:cs="Arial" w:eastAsia="Arial" w:hAnsi="Arial"/>
          <w:sz w:val="14"/>
          <w:szCs w:val="14"/>
          <w:color w:val="auto"/>
        </w:rPr>
        <w:t>—</w:t>
      </w:r>
    </w:p>
    <w:p>
      <w:pPr>
        <w:spacing w:after="0" w:line="7" w:lineRule="exact"/>
        <w:rPr>
          <w:sz w:val="20"/>
          <w:szCs w:val="20"/>
          <w:color w:val="auto"/>
        </w:rPr>
      </w:pPr>
    </w:p>
    <w:p>
      <w:pPr>
        <w:ind w:left="488" w:hanging="488"/>
        <w:spacing w:after="0"/>
        <w:tabs>
          <w:tab w:leader="none" w:pos="4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26,181</w:t>
      </w:r>
    </w:p>
    <w:p>
      <w:pPr>
        <w:spacing w:after="0" w:line="240" w:lineRule="exact"/>
        <w:rPr>
          <w:sz w:val="20"/>
          <w:szCs w:val="20"/>
          <w:color w:val="auto"/>
        </w:rPr>
      </w:pPr>
    </w:p>
    <w:p>
      <w:pPr>
        <w:sectPr>
          <w:pgSz w:w="11900" w:h="16838" w:orient="portrait"/>
          <w:cols w:equalWidth="0" w:num="2">
            <w:col w:w="9460" w:space="472"/>
            <w:col w:w="888"/>
          </w:cols>
          <w:pgMar w:left="320" w:top="454" w:right="759" w:bottom="1440" w:gutter="0" w:footer="0" w:header="0"/>
          <w:type w:val="continuous"/>
        </w:sectPr>
      </w:pPr>
    </w:p>
    <w:p>
      <w:pPr>
        <w:ind w:left="800" w:hanging="421"/>
        <w:spacing w:after="0"/>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8" w:lineRule="exact"/>
        <w:rPr>
          <w:rFonts w:ascii="Arial" w:cs="Arial" w:eastAsia="Arial" w:hAnsi="Arial"/>
          <w:sz w:val="13"/>
          <w:szCs w:val="13"/>
          <w:color w:val="auto"/>
        </w:rPr>
      </w:pPr>
    </w:p>
    <w:p>
      <w:pPr>
        <w:ind w:left="800" w:right="20" w:hanging="421"/>
        <w:spacing w:after="0" w:line="218"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ind w:left="800" w:hanging="421"/>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ectPr>
          <w:pgSz w:w="11900" w:h="16838" w:orient="portrait"/>
          <w:cols w:equalWidth="0" w:num="1">
            <w:col w:w="10820"/>
          </w:cols>
          <w:pgMar w:left="320" w:top="454" w:right="759" w:bottom="1440" w:gutter="0" w:footer="0" w:header="0"/>
          <w:type w:val="continuous"/>
        </w:sectPr>
      </w:pPr>
    </w:p>
    <w:p>
      <w:pPr>
        <w:spacing w:after="0" w:line="18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presents the reconciliation of Net Income (Loss) to Adjusted EBITDAR for the periods presented below.</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 year</w:t>
            </w:r>
          </w:p>
        </w:tc>
        <w:tc>
          <w:tcPr>
            <w:tcW w:w="134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For the year</w:t>
            </w:r>
          </w:p>
        </w:tc>
        <w:tc>
          <w:tcPr>
            <w:tcW w:w="1420" w:type="dxa"/>
            <w:vAlign w:val="bottom"/>
            <w:gridSpan w:val="3"/>
          </w:tcPr>
          <w:p>
            <w:pPr>
              <w:jc w:val="center"/>
              <w:ind w:right="540"/>
              <w:spacing w:after="0" w:line="117"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4"/>
              </w:rPr>
              <w:t>April 11,</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8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ended</w:t>
            </w:r>
          </w:p>
        </w:tc>
        <w:tc>
          <w:tcPr>
            <w:tcW w:w="142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32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3"/>
          </w:tcPr>
          <w:p>
            <w:pPr>
              <w:jc w:val="center"/>
              <w:ind w:right="5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9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940" w:type="dxa"/>
            <w:vAlign w:val="bottom"/>
          </w:tcPr>
          <w:p>
            <w:pPr>
              <w:spacing w:after="0" w:line="150" w:lineRule="exact"/>
              <w:rPr>
                <w:sz w:val="20"/>
                <w:szCs w:val="20"/>
                <w:color w:val="auto"/>
              </w:rPr>
            </w:pPr>
            <w:r>
              <w:rPr>
                <w:rFonts w:ascii="Arial" w:cs="Arial" w:eastAsia="Arial" w:hAnsi="Arial"/>
                <w:sz w:val="14"/>
                <w:szCs w:val="14"/>
                <w:b w:val="1"/>
                <w:bCs w:val="1"/>
                <w:color w:val="auto"/>
              </w:rPr>
              <w:t>Adjusted EBITDAR reconciliation: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line="147" w:lineRule="exact"/>
              <w:rPr>
                <w:sz w:val="20"/>
                <w:szCs w:val="20"/>
                <w:color w:val="auto"/>
              </w:rPr>
            </w:pPr>
            <w:r>
              <w:rPr>
                <w:rFonts w:ascii="Arial" w:cs="Arial" w:eastAsia="Arial" w:hAnsi="Arial"/>
                <w:sz w:val="14"/>
                <w:szCs w:val="14"/>
                <w:color w:val="auto"/>
              </w:rPr>
              <w:t>Net income (loss)</w:t>
            </w:r>
          </w:p>
        </w:tc>
        <w:tc>
          <w:tcPr>
            <w:tcW w:w="140" w:type="dxa"/>
            <w:vAlign w:val="bottom"/>
          </w:tcPr>
          <w:p>
            <w:pPr>
              <w:jc w:val="right"/>
              <w:ind w:right="1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(3,904)</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46,072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(64,563)</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7,092</w:t>
            </w: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(6,706)</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22,073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17,170</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Stock compensation expense</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2,110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1,888</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Loss (gain) on asset transactions, net</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413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745</w:t>
            </w: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Other adjustments</w:t>
            </w:r>
            <w:r>
              <w:rPr>
                <w:rFonts w:ascii="Arial" w:cs="Arial" w:eastAsia="Arial" w:hAnsi="Arial"/>
                <w:sz w:val="12"/>
                <w:szCs w:val="12"/>
                <w:color w:val="auto"/>
              </w:rPr>
              <w:t>(b)</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4,881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226</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(377)</w:t>
            </w:r>
          </w:p>
        </w:tc>
        <w:tc>
          <w:tcPr>
            <w:tcW w:w="16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(937)</w:t>
            </w: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(778)</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14,088</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48,086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34,877</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14,405</w:t>
            </w:r>
          </w:p>
        </w:tc>
        <w:tc>
          <w:tcPr>
            <w:tcW w:w="0" w:type="dxa"/>
            <w:vAlign w:val="bottom"/>
          </w:tcPr>
          <w:p>
            <w:pPr>
              <w:spacing w:after="0"/>
              <w:rPr>
                <w:sz w:val="1"/>
                <w:szCs w:val="1"/>
                <w:color w:val="auto"/>
              </w:rPr>
            </w:pPr>
          </w:p>
        </w:tc>
      </w:tr>
      <w:tr>
        <w:trPr>
          <w:trHeight w:val="165"/>
        </w:trPr>
        <w:tc>
          <w:tcPr>
            <w:tcW w:w="4940" w:type="dxa"/>
            <w:vAlign w:val="bottom"/>
          </w:tcPr>
          <w:p>
            <w:pPr>
              <w:ind w:left="280"/>
              <w:spacing w:after="0"/>
              <w:rPr>
                <w:sz w:val="20"/>
                <w:szCs w:val="20"/>
                <w:color w:val="auto"/>
              </w:rPr>
            </w:pPr>
            <w:r>
              <w:rPr>
                <w:rFonts w:ascii="Arial" w:cs="Arial" w:eastAsia="Arial" w:hAnsi="Arial"/>
                <w:sz w:val="14"/>
                <w:szCs w:val="14"/>
                <w:color w:val="auto"/>
              </w:rPr>
              <w:t>Aircraft rent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30,989</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49,908</w:t>
            </w:r>
          </w:p>
        </w:tc>
        <w:tc>
          <w:tcPr>
            <w:tcW w:w="1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36,831</w:t>
            </w:r>
          </w:p>
        </w:tc>
        <w:tc>
          <w:tcPr>
            <w:tcW w:w="0" w:type="dxa"/>
            <w:vAlign w:val="bottom"/>
          </w:tcPr>
          <w:p>
            <w:pPr>
              <w:spacing w:after="0"/>
              <w:rPr>
                <w:sz w:val="1"/>
                <w:szCs w:val="1"/>
                <w:color w:val="auto"/>
              </w:rPr>
            </w:pPr>
          </w:p>
        </w:tc>
      </w:tr>
      <w:tr>
        <w:trPr>
          <w:trHeight w:val="153"/>
        </w:trPr>
        <w:tc>
          <w:tcPr>
            <w:tcW w:w="494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EBITDAR</w:t>
            </w: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38,930</w:t>
            </w:r>
          </w:p>
        </w:tc>
        <w:tc>
          <w:tcPr>
            <w:tcW w:w="5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171,129</w:t>
            </w: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49,688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left="88"/>
        <w:spacing w:after="0"/>
        <w:rPr>
          <w:sz w:val="20"/>
          <w:szCs w:val="20"/>
          <w:color w:val="auto"/>
        </w:rPr>
      </w:pPr>
      <w:r>
        <w:rPr>
          <w:rFonts w:ascii="Arial" w:cs="Arial" w:eastAsia="Arial" w:hAnsi="Arial"/>
          <w:sz w:val="13"/>
          <w:szCs w:val="13"/>
          <w:b w:val="1"/>
          <w:bCs w:val="1"/>
          <w:color w:val="auto"/>
        </w:rPr>
        <w:t>Predecessor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For the period</w:t>
      </w:r>
    </w:p>
    <w:p>
      <w:pPr>
        <w:jc w:val="center"/>
        <w:ind w:right="52"/>
        <w:spacing w:after="0" w:line="237" w:lineRule="auto"/>
        <w:rPr>
          <w:sz w:val="20"/>
          <w:szCs w:val="20"/>
          <w:color w:val="auto"/>
        </w:rPr>
      </w:pPr>
      <w:r>
        <w:rPr>
          <w:rFonts w:ascii="Arial" w:cs="Arial" w:eastAsia="Arial" w:hAnsi="Arial"/>
          <w:sz w:val="14"/>
          <w:szCs w:val="14"/>
          <w:b w:val="1"/>
          <w:bCs w:val="1"/>
          <w:color w:val="auto"/>
        </w:rPr>
        <w:t>January 1,</w:t>
      </w:r>
    </w:p>
    <w:p>
      <w:pPr>
        <w:ind w:left="8" w:right="6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241" w:lineRule="exact"/>
        <w:rPr>
          <w:sz w:val="20"/>
          <w:szCs w:val="20"/>
          <w:color w:val="auto"/>
        </w:rPr>
      </w:pPr>
    </w:p>
    <w:p>
      <w:pPr>
        <w:ind w:left="488" w:hanging="488"/>
        <w:spacing w:after="0"/>
        <w:tabs>
          <w:tab w:leader="none" w:pos="488" w:val="left"/>
        </w:tabs>
        <w:numPr>
          <w:ilvl w:val="0"/>
          <w:numId w:val="22"/>
        </w:numPr>
        <w:rPr>
          <w:rFonts w:ascii="Arial" w:cs="Arial" w:eastAsia="Arial" w:hAnsi="Arial"/>
          <w:sz w:val="14"/>
          <w:szCs w:val="14"/>
          <w:color w:val="auto"/>
        </w:rPr>
      </w:pPr>
      <w:r>
        <w:rPr>
          <w:rFonts w:ascii="Arial" w:cs="Arial" w:eastAsia="Arial" w:hAnsi="Arial"/>
          <w:sz w:val="14"/>
          <w:szCs w:val="14"/>
          <w:color w:val="auto"/>
        </w:rPr>
        <w:t>25,910</w:t>
      </w:r>
    </w:p>
    <w:p>
      <w:pPr>
        <w:ind w:left="668"/>
        <w:spacing w:after="0" w:line="218" w:lineRule="auto"/>
        <w:rPr>
          <w:rFonts w:ascii="Arial" w:cs="Arial" w:eastAsia="Arial" w:hAnsi="Arial"/>
          <w:sz w:val="14"/>
          <w:szCs w:val="14"/>
          <w:color w:val="auto"/>
        </w:rPr>
      </w:pPr>
      <w:r>
        <w:rPr>
          <w:rFonts w:ascii="Arial" w:cs="Arial" w:eastAsia="Arial" w:hAnsi="Arial"/>
          <w:sz w:val="14"/>
          <w:szCs w:val="14"/>
          <w:color w:val="auto"/>
        </w:rPr>
        <w:t>271</w:t>
      </w:r>
    </w:p>
    <w:p>
      <w:pPr>
        <w:ind w:left="668"/>
        <w:spacing w:after="0" w:line="218" w:lineRule="auto"/>
        <w:rPr>
          <w:rFonts w:ascii="Arial" w:cs="Arial" w:eastAsia="Arial" w:hAnsi="Arial"/>
          <w:sz w:val="14"/>
          <w:szCs w:val="14"/>
          <w:color w:val="auto"/>
        </w:rPr>
      </w:pPr>
      <w:r>
        <w:rPr>
          <w:rFonts w:ascii="Arial" w:cs="Arial" w:eastAsia="Arial" w:hAnsi="Arial"/>
          <w:sz w:val="14"/>
          <w:szCs w:val="14"/>
          <w:color w:val="auto"/>
        </w:rPr>
        <w:t>339</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688"/>
        <w:spacing w:after="0" w:line="234" w:lineRule="auto"/>
        <w:rPr>
          <w:rFonts w:ascii="Arial" w:cs="Arial" w:eastAsia="Arial" w:hAnsi="Arial"/>
          <w:sz w:val="14"/>
          <w:szCs w:val="14"/>
          <w:color w:val="auto"/>
        </w:rPr>
      </w:pPr>
      <w:r>
        <w:rPr>
          <w:rFonts w:ascii="Arial" w:cs="Arial" w:eastAsia="Arial" w:hAnsi="Arial"/>
          <w:sz w:val="13"/>
          <w:szCs w:val="13"/>
          <w:color w:val="auto"/>
        </w:rPr>
        <w:t>(96)</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568"/>
        <w:spacing w:after="0" w:line="218" w:lineRule="auto"/>
        <w:rPr>
          <w:sz w:val="20"/>
          <w:szCs w:val="20"/>
          <w:color w:val="auto"/>
        </w:rPr>
      </w:pPr>
      <w:r>
        <w:rPr>
          <w:rFonts w:ascii="Arial" w:cs="Arial" w:eastAsia="Arial" w:hAnsi="Arial"/>
          <w:sz w:val="14"/>
          <w:szCs w:val="14"/>
          <w:color w:val="auto"/>
        </w:rPr>
        <w:t>2,526</w:t>
      </w:r>
    </w:p>
    <w:p>
      <w:pPr>
        <w:ind w:left="488"/>
        <w:spacing w:after="0"/>
        <w:rPr>
          <w:sz w:val="20"/>
          <w:szCs w:val="20"/>
          <w:color w:val="auto"/>
        </w:rPr>
      </w:pPr>
      <w:r>
        <w:rPr>
          <w:rFonts w:ascii="Arial" w:cs="Arial" w:eastAsia="Arial" w:hAnsi="Arial"/>
          <w:sz w:val="14"/>
          <w:szCs w:val="14"/>
          <w:color w:val="auto"/>
        </w:rPr>
        <w:t>28,329</w:t>
      </w:r>
    </w:p>
    <w:p>
      <w:pPr>
        <w:spacing w:after="0" w:line="7" w:lineRule="exact"/>
        <w:rPr>
          <w:sz w:val="20"/>
          <w:szCs w:val="20"/>
          <w:color w:val="auto"/>
        </w:rPr>
      </w:pPr>
    </w:p>
    <w:p>
      <w:pPr>
        <w:ind w:left="488" w:hanging="488"/>
        <w:spacing w:after="0"/>
        <w:tabs>
          <w:tab w:leader="none" w:pos="488" w:val="left"/>
        </w:tabs>
        <w:numPr>
          <w:ilvl w:val="0"/>
          <w:numId w:val="23"/>
        </w:numPr>
        <w:rPr>
          <w:rFonts w:ascii="Arial" w:cs="Arial" w:eastAsia="Arial" w:hAnsi="Arial"/>
          <w:sz w:val="14"/>
          <w:szCs w:val="14"/>
          <w:color w:val="auto"/>
        </w:rPr>
      </w:pPr>
      <w:r>
        <w:rPr>
          <w:rFonts w:ascii="Arial" w:cs="Arial" w:eastAsia="Arial" w:hAnsi="Arial"/>
          <w:sz w:val="14"/>
          <w:szCs w:val="14"/>
          <w:color w:val="auto"/>
        </w:rPr>
        <w:t>57,279</w:t>
      </w:r>
    </w:p>
    <w:p>
      <w:pPr>
        <w:spacing w:after="0" w:line="204" w:lineRule="exact"/>
        <w:rPr>
          <w:sz w:val="20"/>
          <w:szCs w:val="20"/>
          <w:color w:val="auto"/>
        </w:rPr>
      </w:pPr>
    </w:p>
    <w:p>
      <w:pPr>
        <w:sectPr>
          <w:pgSz w:w="11900" w:h="16838" w:orient="portrait"/>
          <w:cols w:equalWidth="0" w:num="2">
            <w:col w:w="9400" w:space="492"/>
            <w:col w:w="928"/>
          </w:cols>
          <w:pgMar w:left="320" w:top="454" w:right="759" w:bottom="1440" w:gutter="0" w:footer="0" w:header="0"/>
          <w:type w:val="continuous"/>
        </w:sectPr>
      </w:pPr>
    </w:p>
    <w:p>
      <w:pPr>
        <w:ind w:left="800" w:hanging="421"/>
        <w:spacing w:after="0"/>
        <w:tabs>
          <w:tab w:leader="none" w:pos="8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8" w:lineRule="exact"/>
        <w:rPr>
          <w:rFonts w:ascii="Arial" w:cs="Arial" w:eastAsia="Arial" w:hAnsi="Arial"/>
          <w:sz w:val="13"/>
          <w:szCs w:val="13"/>
          <w:color w:val="auto"/>
        </w:rPr>
      </w:pPr>
    </w:p>
    <w:p>
      <w:pPr>
        <w:ind w:left="800" w:right="20" w:hanging="421"/>
        <w:spacing w:after="0" w:line="228"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320" w:top="454" w:right="7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108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93560" cy="6108700"/>
                    </a:xfrm>
                    <a:prstGeom prst="rect">
                      <a:avLst/>
                    </a:prstGeom>
                    <a:noFill/>
                  </pic:spPr>
                </pic:pic>
              </a:graphicData>
            </a:graphic>
          </wp:anchor>
        </w:drawing>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14"/>
          </w:tcPr>
          <w:p>
            <w:pPr>
              <w:jc w:val="right"/>
              <w:ind w:right="520"/>
              <w:spacing w:after="0"/>
              <w:rPr>
                <w:sz w:val="20"/>
                <w:szCs w:val="20"/>
                <w:color w:val="auto"/>
              </w:rPr>
            </w:pPr>
            <w:r>
              <w:rPr>
                <w:rFonts w:ascii="Arial" w:cs="Arial" w:eastAsia="Arial" w:hAnsi="Arial"/>
                <w:sz w:val="18"/>
                <w:szCs w:val="18"/>
                <w:b w:val="1"/>
                <w:bCs w:val="1"/>
                <w:color w:val="auto"/>
                <w:w w:val="90"/>
              </w:rPr>
              <w:t>Key Operating Statistics and Metrics</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Fiscal Year 2020</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91"/>
              </w:rPr>
              <w:t>Fiscal Year 2019</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Fiscal Year 2018</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Fiscal Year 2017</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Charter</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Cargo</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3"/>
          </w:tcPr>
          <w:p>
            <w:pPr>
              <w:jc w:val="right"/>
              <w:ind w:right="220"/>
              <w:spacing w:after="0" w:line="117" w:lineRule="exact"/>
              <w:rPr>
                <w:sz w:val="20"/>
                <w:szCs w:val="20"/>
                <w:color w:val="auto"/>
              </w:rPr>
            </w:pPr>
            <w:r>
              <w:rPr>
                <w:rFonts w:ascii="Arial" w:cs="Arial" w:eastAsia="Arial" w:hAnsi="Arial"/>
                <w:sz w:val="13"/>
                <w:szCs w:val="13"/>
                <w:b w:val="1"/>
                <w:bCs w:val="1"/>
                <w:color w:val="auto"/>
                <w:w w:val="97"/>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Charter</w:t>
            </w: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Charter</w:t>
            </w:r>
          </w:p>
        </w:tc>
        <w:tc>
          <w:tcPr>
            <w:tcW w:w="6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6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w w:val="97"/>
              </w:rPr>
              <w:t>Scheduled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Charter</w:t>
            </w:r>
          </w:p>
        </w:tc>
        <w:tc>
          <w:tcPr>
            <w:tcW w:w="6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Service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Departures</w:t>
            </w: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14,117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5,581</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4,642</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24,518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24,311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9,035</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33,586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19,772</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8,254</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28,194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20,357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7,981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rPr>
              <w:t>Block hours</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45,988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12,113</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13,847</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72,424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80,719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19,852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101,137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68,143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17,335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85,883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68,060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16,941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jc w:val="right"/>
              <w:spacing w:after="0" w:line="146" w:lineRule="exact"/>
              <w:rPr>
                <w:sz w:val="20"/>
                <w:szCs w:val="20"/>
                <w:color w:val="auto"/>
              </w:rPr>
            </w:pPr>
            <w:r>
              <w:rPr>
                <w:rFonts w:ascii="Arial" w:cs="Arial" w:eastAsia="Arial" w:hAnsi="Arial"/>
                <w:sz w:val="13"/>
                <w:szCs w:val="13"/>
                <w:color w:val="auto"/>
                <w:w w:val="73"/>
              </w:rPr>
              <w:t>85,29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Aircraft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miles</w:t>
            </w:r>
            <w:r>
              <w:rPr>
                <w:rFonts w:ascii="Arial" w:cs="Arial" w:eastAsia="Arial" w:hAnsi="Arial"/>
                <w:sz w:val="12"/>
                <w:szCs w:val="12"/>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18,685,265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4,539,429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5,666,642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29,030,711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32,217,934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7,356,628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39,738,483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27,584,857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6,369,866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34,095,663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27,723,331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6,358,418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9"/>
              </w:rPr>
              <w:t>34,181,88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ASMs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w w:val="90"/>
              </w:rPr>
              <w:t>thousands)</w:t>
            </w:r>
            <w:r>
              <w:rPr>
                <w:rFonts w:ascii="Arial" w:cs="Arial" w:eastAsia="Arial" w:hAnsi="Arial"/>
                <w:sz w:val="12"/>
                <w:szCs w:val="12"/>
                <w:color w:val="auto"/>
                <w:w w:val="90"/>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3,466,240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819,855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4,311,142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5,747,391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1,288,725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7,064,563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4,433,110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1,007,391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5,463,229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4,255,233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979,756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5,250,47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TRASM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aircraft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available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service</w:t>
            </w: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Aircraft at end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period</w:t>
            </w:r>
            <w:r>
              <w:rPr>
                <w:rFonts w:ascii="Arial" w:cs="Arial" w:eastAsia="Arial" w:hAnsi="Arial"/>
                <w:sz w:val="12"/>
                <w:szCs w:val="12"/>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Average daily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aircraft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utilization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w w:val="97"/>
              </w:rPr>
              <w:t>(in hours)</w:t>
            </w:r>
            <w:r>
              <w:rPr>
                <w:rFonts w:ascii="Arial" w:cs="Arial" w:eastAsia="Arial" w:hAnsi="Arial"/>
                <w:sz w:val="12"/>
                <w:szCs w:val="12"/>
                <w:color w:val="auto"/>
                <w:w w:val="97"/>
              </w:rPr>
              <w:t>(2)</w:t>
            </w:r>
            <w:r>
              <w:rPr>
                <w:rFonts w:ascii="Arial" w:cs="Arial" w:eastAsia="Arial" w:hAnsi="Arial"/>
                <w:sz w:val="14"/>
                <w:szCs w:val="14"/>
                <w:color w:val="auto"/>
                <w:w w:val="97"/>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w w:val="99"/>
              </w:rPr>
              <w:t>Average stage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length</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rPr>
              <w:t>Passengers</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1,679,242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3,565,939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2,614,929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2,502,082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RPMs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thousands)</w:t>
            </w:r>
            <w:r>
              <w:rPr>
                <w:rFonts w:ascii="Arial" w:cs="Arial" w:eastAsia="Arial" w:hAnsi="Arial"/>
                <w:sz w:val="12"/>
                <w:szCs w:val="12"/>
                <w:color w:val="auto"/>
                <w:w w:val="90"/>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2,250,974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4,473,347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3,653,007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3,419,527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PRASM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Load factor</w:t>
            </w:r>
            <w:r>
              <w:rPr>
                <w:rFonts w:ascii="Arial" w:cs="Arial" w:eastAsia="Arial" w:hAnsi="Arial"/>
                <w:sz w:val="12"/>
                <w:szCs w:val="12"/>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w w:val="94"/>
              </w:rPr>
              <w:t>Average fare</w:t>
            </w:r>
            <w:r>
              <w:rPr>
                <w:rFonts w:ascii="Arial" w:cs="Arial" w:eastAsia="Arial" w:hAnsi="Arial"/>
                <w:sz w:val="12"/>
                <w:szCs w:val="12"/>
                <w:color w:val="auto"/>
                <w:w w:val="94"/>
              </w:rPr>
              <w:t>(3)</w:t>
            </w:r>
          </w:p>
        </w:tc>
        <w:tc>
          <w:tcPr>
            <w:tcW w:w="1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114.96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111.08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136.42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148.60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Ancillary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revenue per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passenger</w:t>
            </w:r>
            <w:r>
              <w:rPr>
                <w:rFonts w:ascii="Arial" w:cs="Arial" w:eastAsia="Arial" w:hAnsi="Arial"/>
                <w:sz w:val="12"/>
                <w:szCs w:val="12"/>
                <w:color w:val="auto"/>
                <w:w w:val="94"/>
              </w:rPr>
              <w:t>(3)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Charter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revenue per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block hour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8,101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8,793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Fuel gallons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consumed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(in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thousands)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78,042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Fuel cost per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gallon, excl.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derivatives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Employees at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end of period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CASM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spacing w:after="0" w:line="124" w:lineRule="exact"/>
              <w:rPr>
                <w:sz w:val="20"/>
                <w:szCs w:val="20"/>
                <w:color w:val="auto"/>
              </w:rPr>
            </w:pPr>
            <w:r>
              <w:rPr>
                <w:rFonts w:ascii="Arial" w:cs="Arial" w:eastAsia="Arial" w:hAnsi="Arial"/>
                <w:sz w:val="14"/>
                <w:szCs w:val="14"/>
                <w:b w:val="1"/>
                <w:bCs w:val="1"/>
                <w:color w:val="auto"/>
              </w:rPr>
              <w:t>Non-GAAP</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Metric:</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Adjusted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CASM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20" w:type="dxa"/>
            <w:vAlign w:val="bottom"/>
          </w:tcPr>
          <w:p>
            <w:pPr>
              <w:ind w:left="140"/>
              <w:spacing w:after="0" w:line="154" w:lineRule="exact"/>
              <w:rPr>
                <w:sz w:val="20"/>
                <w:szCs w:val="20"/>
                <w:color w:val="auto"/>
              </w:rPr>
            </w:pPr>
            <w:r>
              <w:rPr>
                <w:rFonts w:ascii="Arial" w:cs="Arial" w:eastAsia="Arial" w:hAnsi="Arial"/>
                <w:sz w:val="14"/>
                <w:szCs w:val="14"/>
                <w:color w:val="auto"/>
              </w:rPr>
              <w:t>(in cents)</w:t>
            </w:r>
            <w:r>
              <w:rPr>
                <w:rFonts w:ascii="Arial" w:cs="Arial" w:eastAsia="Arial" w:hAnsi="Arial"/>
                <w:sz w:val="12"/>
                <w:szCs w:val="12"/>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7.57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7.05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7.80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160"/>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See “Glossary of Terms” for definitions of terms used in this table.</w:t>
      </w:r>
    </w:p>
    <w:p>
      <w:pPr>
        <w:ind w:left="640" w:hanging="423"/>
        <w:spacing w:after="0" w:line="218"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ind w:left="640" w:right="760" w:hanging="423"/>
        <w:spacing w:after="0" w:line="21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and ASMs include amounts related to flights operated for maintenance; therefore the Total System amounts are higher than the sum of Scheduled Service and Charter Service amounts.</w:t>
      </w:r>
    </w:p>
    <w:p>
      <w:pPr>
        <w:ind w:left="640" w:hanging="423"/>
        <w:spacing w:after="0" w:line="21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ind w:left="640" w:hanging="423"/>
        <w:spacing w:after="0" w:line="21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ind w:left="640" w:hanging="42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320" w:top="454"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3567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93560" cy="356743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right="60" w:hanging="421"/>
        <w:spacing w:after="0" w:line="258" w:lineRule="auto"/>
        <w:tabs>
          <w:tab w:leader="none" w:pos="8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3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3"/>
              </w:rPr>
              <w:t>For the year ended December 31,</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3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100"/>
              <w:spacing w:after="0" w:line="140"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500"/>
              <w:spacing w:after="0" w:line="140"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509"/>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60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ind w:left="20"/>
              <w:spacing w:after="0" w:line="117" w:lineRule="exact"/>
              <w:rPr>
                <w:sz w:val="20"/>
                <w:szCs w:val="20"/>
                <w:color w:val="auto"/>
              </w:rPr>
            </w:pPr>
            <w:r>
              <w:rPr>
                <w:rFonts w:ascii="Arial" w:cs="Arial" w:eastAsia="Arial" w:hAnsi="Arial"/>
                <w:sz w:val="13"/>
                <w:szCs w:val="13"/>
                <w:b w:val="1"/>
                <w:bCs w:val="1"/>
                <w:color w:val="auto"/>
                <w:w w:val="97"/>
              </w:rPr>
              <w:t>Per ASM</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12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40" w:type="dxa"/>
            <w:vAlign w:val="bottom"/>
          </w:tcPr>
          <w:p>
            <w:pPr>
              <w:spacing w:after="0"/>
              <w:rPr>
                <w:sz w:val="10"/>
                <w:szCs w:val="10"/>
                <w:color w:val="auto"/>
              </w:rPr>
            </w:pPr>
          </w:p>
        </w:tc>
      </w:tr>
      <w:tr>
        <w:trPr>
          <w:trHeight w:val="169"/>
        </w:trPr>
        <w:tc>
          <w:tcPr>
            <w:tcW w:w="30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(in cents)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(in cents)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(in cents)</w:t>
            </w:r>
          </w:p>
        </w:tc>
      </w:tr>
      <w:tr>
        <w:trPr>
          <w:trHeight w:val="140"/>
        </w:trPr>
        <w:tc>
          <w:tcPr>
            <w:tcW w:w="30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CASM</w:t>
            </w: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384,101</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8.91</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623,262</w:t>
            </w: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8.82</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549,035</w:t>
            </w: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10.05</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80"/>
              <w:spacing w:after="0" w:line="140" w:lineRule="exact"/>
              <w:rPr>
                <w:sz w:val="20"/>
                <w:szCs w:val="20"/>
                <w:color w:val="auto"/>
              </w:rPr>
            </w:pPr>
            <w:r>
              <w:rPr>
                <w:rFonts w:ascii="Arial" w:cs="Arial" w:eastAsia="Arial" w:hAnsi="Arial"/>
                <w:sz w:val="14"/>
                <w:szCs w:val="14"/>
                <w:color w:val="auto"/>
                <w:w w:val="82"/>
              </w:rPr>
              <w:t>530,008</w:t>
            </w: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10.09</w:t>
            </w:r>
          </w:p>
        </w:tc>
        <w:tc>
          <w:tcPr>
            <w:tcW w:w="40" w:type="dxa"/>
            <w:vAlign w:val="bottom"/>
            <w:tcBorders>
              <w:top w:val="single" w:sz="8" w:color="CCEEFF"/>
            </w:tcBorders>
            <w:shd w:val="clear" w:color="auto" w:fill="CCEEFF"/>
          </w:tcPr>
          <w:p>
            <w:pPr>
              <w:spacing w:after="0"/>
              <w:rPr>
                <w:sz w:val="12"/>
                <w:szCs w:val="12"/>
                <w:color w:val="auto"/>
              </w:rPr>
            </w:pP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Aircraft fuel</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83,392</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165,666</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2.35</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w w:val="98"/>
              </w:rPr>
              <w:t>165,343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86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118,382</w:t>
            </w:r>
          </w:p>
        </w:tc>
        <w:tc>
          <w:tcPr>
            <w:tcW w:w="6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2.25</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Cargo expenses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31,429</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0.73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9"/>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Sun Country Vacations</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589</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2,448</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4,543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1"/>
              </w:rPr>
              <w:t>2,083</w:t>
            </w:r>
          </w:p>
        </w:tc>
        <w:tc>
          <w:tcPr>
            <w:tcW w:w="6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0.04</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Special items, net</w:t>
            </w: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(64,563)</w:t>
            </w:r>
          </w:p>
        </w:tc>
        <w:tc>
          <w:tcPr>
            <w:tcW w:w="92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9"/>
              <w:spacing w:after="0" w:line="147" w:lineRule="exact"/>
              <w:rPr>
                <w:sz w:val="20"/>
                <w:szCs w:val="20"/>
                <w:color w:val="auto"/>
              </w:rPr>
            </w:pPr>
            <w:r>
              <w:rPr>
                <w:rFonts w:ascii="Arial" w:cs="Arial" w:eastAsia="Arial" w:hAnsi="Arial"/>
                <w:sz w:val="14"/>
                <w:szCs w:val="14"/>
                <w:color w:val="auto"/>
              </w:rPr>
              <w:t>7,092</w:t>
            </w:r>
          </w:p>
        </w:tc>
        <w:tc>
          <w:tcPr>
            <w:tcW w:w="90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0.10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(6,435)</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Stock compensation expense</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2,110</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0.05</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1,888</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373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86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adjustments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4,881</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9"/>
              <w:spacing w:after="0" w:line="147" w:lineRule="exact"/>
              <w:rPr>
                <w:sz w:val="20"/>
                <w:szCs w:val="20"/>
                <w:color w:val="auto"/>
              </w:rPr>
            </w:pPr>
            <w:r>
              <w:rPr>
                <w:rFonts w:ascii="Arial" w:cs="Arial" w:eastAsia="Arial" w:hAnsi="Arial"/>
                <w:sz w:val="14"/>
                <w:szCs w:val="14"/>
                <w:color w:val="auto"/>
              </w:rPr>
              <w:t>226</w:t>
            </w:r>
          </w:p>
        </w:tc>
        <w:tc>
          <w:tcPr>
            <w:tcW w:w="9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CASM</w:t>
            </w: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326,263</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7.57</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445,942</w:t>
            </w: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6.31</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385,211</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7.05</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w w:val="82"/>
              </w:rPr>
              <w:t>409,543</w:t>
            </w: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7.80</w:t>
            </w:r>
          </w:p>
        </w:tc>
        <w:tc>
          <w:tcPr>
            <w:tcW w:w="40" w:type="dxa"/>
            <w:vAlign w:val="bottom"/>
          </w:tcPr>
          <w:p>
            <w:pPr>
              <w:spacing w:after="0"/>
              <w:rPr>
                <w:sz w:val="13"/>
                <w:szCs w:val="13"/>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320" w:top="454" w:right="7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Industry</w:t>
      </w:r>
    </w:p>
    <w:p>
      <w:pPr>
        <w:spacing w:after="0" w:line="118"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p>
    <w:p>
      <w:pPr>
        <w:spacing w:after="0" w:line="19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COVID-19, which was first reported in December 2019, was declared a “Public Health Emergency of International Concern” by the World Health Organization (the “WHO”).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COVID-19 pandemic, including restrictions on travel from certain international locations, and many foreign governments and jurisdictions instituted similar measures and declared states of emergency.</w:t>
      </w:r>
    </w:p>
    <w:p>
      <w:pPr>
        <w:spacing w:after="0" w:line="179" w:lineRule="exact"/>
        <w:rPr>
          <w:sz w:val="20"/>
          <w:szCs w:val="20"/>
          <w:color w:val="auto"/>
        </w:rPr>
      </w:pPr>
    </w:p>
    <w:p>
      <w:pPr>
        <w:ind w:left="200" w:right="160" w:firstLine="434"/>
        <w:spacing w:after="0" w:line="286" w:lineRule="auto"/>
        <w:rPr>
          <w:sz w:val="20"/>
          <w:szCs w:val="20"/>
          <w:color w:val="auto"/>
        </w:rPr>
      </w:pPr>
      <w:r>
        <w:rPr>
          <w:rFonts w:ascii="Arial" w:cs="Arial" w:eastAsia="Arial" w:hAnsi="Arial"/>
          <w:sz w:val="16"/>
          <w:szCs w:val="16"/>
          <w:color w:val="auto"/>
        </w:rPr>
        <w:t>Additional governmental and other restrictions and regulations that may be implemented in the future in response to COVID-19 could include additional travel restrictions (including expanded restrictions on domestic air travel within the United States), quarantines of additional populations (including our personnel), testing requirements and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167" w:lineRule="exact"/>
        <w:rPr>
          <w:sz w:val="20"/>
          <w:szCs w:val="20"/>
          <w:color w:val="auto"/>
        </w:rPr>
      </w:pPr>
    </w:p>
    <w:p>
      <w:pPr>
        <w:ind w:left="200" w:right="180" w:firstLine="434"/>
        <w:spacing w:after="0" w:line="278" w:lineRule="auto"/>
        <w:rPr>
          <w:sz w:val="20"/>
          <w:szCs w:val="20"/>
          <w:color w:val="auto"/>
        </w:rPr>
      </w:pPr>
      <w:r>
        <w:rPr>
          <w:rFonts w:ascii="Arial" w:cs="Arial" w:eastAsia="Arial" w:hAnsi="Arial"/>
          <w:sz w:val="17"/>
          <w:szCs w:val="17"/>
          <w:color w:val="auto"/>
        </w:rPr>
        <w:t>In the United States and other locations around the world, public events, such as conferences, sporting events and concerts, have been canceled, attractions, including theme parks and museums, have been closed, cruise lines have suspended operations, airlines have dramatically reduced their schedules and schools and businesses are operating with partial or full remote attendance, among other actions.</w:t>
      </w:r>
    </w:p>
    <w:p>
      <w:pPr>
        <w:spacing w:after="0" w:line="172"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We began experiencing a significant decline in demand related to COVID-19 during the first quarter of 2020, and this reduction in demand has continued through the date of this prospectus and is expected to continue for the foreseeable future. The decline in demand caused a material deterioration in our revenues. Our results of operations for fiscal year 2020 have been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320" w:top="454"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the schedule reductions discussed above, we have reduced our planned capital expenditures and reduced operating expenditures for</w:t>
      </w:r>
    </w:p>
    <w:p>
      <w:pPr>
        <w:spacing w:after="0" w:line="40"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8"/>
          <w:szCs w:val="18"/>
          <w:color w:val="auto"/>
        </w:rPr>
        <w:t>2020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193" w:lineRule="exact"/>
        <w:rPr>
          <w:sz w:val="20"/>
          <w:szCs w:val="20"/>
          <w:color w:val="auto"/>
        </w:rPr>
      </w:pPr>
    </w:p>
    <w:p>
      <w:pPr>
        <w:ind w:left="200" w:right="20" w:firstLine="434"/>
        <w:spacing w:after="0" w:line="281" w:lineRule="auto"/>
        <w:rPr>
          <w:sz w:val="20"/>
          <w:szCs w:val="20"/>
          <w:color w:val="auto"/>
        </w:rPr>
      </w:pPr>
      <w:r>
        <w:rPr>
          <w:rFonts w:ascii="Arial" w:cs="Arial" w:eastAsia="Arial" w:hAnsi="Arial"/>
          <w:sz w:val="16"/>
          <w:szCs w:val="16"/>
          <w:color w:val="auto"/>
        </w:rPr>
        <w:t xml:space="preserve">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$16.1 million in grants on February 2, 2021, and we expect to receive an additional $16.1 million by the end of March 2021 (collectively, the “Payroll Support Payments”).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is due to be repaid on the earlier of (i) October 24, 2025 or (ii) six months prior to the expiration date of any material loyalty program securing the loan. We intend to use a portion of the proceeds from this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6"/>
          <w:szCs w:val="16"/>
          <w:i w:val="1"/>
          <w:iCs w:val="1"/>
          <w:color w:val="auto"/>
        </w:rPr>
        <w:t>“—Risks Related to Our Business—We are subject to certain restrictions on our business as a result of our participation in governmental programs</w:t>
      </w:r>
      <w:r>
        <w:rPr>
          <w:rFonts w:ascii="Arial" w:cs="Arial" w:eastAsia="Arial" w:hAnsi="Arial"/>
          <w:sz w:val="16"/>
          <w:szCs w:val="16"/>
          <w:color w:val="auto"/>
        </w:rPr>
        <w:t xml:space="preserve"> </w:t>
      </w:r>
      <w:r>
        <w:rPr>
          <w:rFonts w:ascii="Arial" w:cs="Arial" w:eastAsia="Arial" w:hAnsi="Arial"/>
          <w:sz w:val="16"/>
          <w:szCs w:val="16"/>
          <w:i w:val="1"/>
          <w:iCs w:val="1"/>
          <w:color w:val="auto"/>
        </w:rPr>
        <w:t>under the CARES Act and we may be subject to similar or other restrictions pursuant to future governmental programs</w:t>
      </w:r>
      <w:r>
        <w:rPr>
          <w:rFonts w:ascii="Arial" w:cs="Arial" w:eastAsia="Arial" w:hAnsi="Arial"/>
          <w:sz w:val="16"/>
          <w:szCs w:val="16"/>
          <w:color w:val="auto"/>
        </w:rPr>
        <w:t>.”</w:t>
      </w:r>
    </w:p>
    <w:p>
      <w:pPr>
        <w:spacing w:after="0" w:line="173"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4"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The industry may also be subject to enhanced health and hygiene requirements in attempts to counteract future outbreaks, which requirements may be costly and take a significant amount of time to implement.</w:t>
      </w:r>
    </w:p>
    <w:p>
      <w:pPr>
        <w:spacing w:after="0" w:line="17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167"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196" w:lineRule="exact"/>
        <w:rPr>
          <w:sz w:val="20"/>
          <w:szCs w:val="20"/>
          <w:color w:val="auto"/>
        </w:rPr>
      </w:pPr>
    </w:p>
    <w:p>
      <w:pPr>
        <w:jc w:val="both"/>
        <w:ind w:left="200" w:right="320" w:firstLine="434"/>
        <w:spacing w:after="0" w:line="294" w:lineRule="auto"/>
        <w:rPr>
          <w:sz w:val="20"/>
          <w:szCs w:val="20"/>
          <w:color w:val="auto"/>
        </w:rPr>
      </w:pPr>
      <w:r>
        <w:rPr>
          <w:rFonts w:ascii="Arial" w:cs="Arial" w:eastAsia="Arial" w:hAnsi="Arial"/>
          <w:sz w:val="16"/>
          <w:szCs w:val="16"/>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162" w:lineRule="exact"/>
        <w:rPr>
          <w:sz w:val="20"/>
          <w:szCs w:val="20"/>
          <w:color w:val="auto"/>
        </w:rPr>
      </w:pPr>
    </w:p>
    <w:p>
      <w:pPr>
        <w:ind w:left="200" w:right="160" w:firstLine="434"/>
        <w:spacing w:after="0" w:line="269" w:lineRule="auto"/>
        <w:rPr>
          <w:sz w:val="20"/>
          <w:szCs w:val="20"/>
          <w:color w:val="auto"/>
        </w:rPr>
      </w:pPr>
      <w:r>
        <w:rPr>
          <w:rFonts w:ascii="Arial" w:cs="Arial" w:eastAsia="Arial" w:hAnsi="Arial"/>
          <w:sz w:val="17"/>
          <w:szCs w:val="17"/>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prospectus.</w:t>
      </w:r>
    </w:p>
    <w:p>
      <w:pPr>
        <w:spacing w:after="0" w:line="18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178"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The potential efficacy and availability of a COVID-19 vaccine and the extent to which a vaccine is widely accepted is highly uncertain, and we cannot predict if or when we will be able to resume normal operations. The failure of a vaccine, including to the extent it is not effective against any COVID-19 variants, significant unplanned adverse reactions to the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4"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20"/>
        <w:spacing w:after="0" w:line="266" w:lineRule="auto"/>
        <w:rPr>
          <w:sz w:val="20"/>
          <w:szCs w:val="20"/>
          <w:color w:val="auto"/>
        </w:rPr>
      </w:pPr>
      <w:r>
        <w:rPr>
          <w:rFonts w:ascii="Arial" w:cs="Arial" w:eastAsia="Arial" w:hAnsi="Arial"/>
          <w:sz w:val="18"/>
          <w:szCs w:val="18"/>
          <w:color w:val="auto"/>
        </w:rPr>
        <w:t>vaccine, politicization of the vaccine or general public distrust of the vaccine could have an adverse effect on our business, results of operations, financial condition and prospects.</w:t>
      </w:r>
    </w:p>
    <w:p>
      <w:pPr>
        <w:spacing w:after="0" w:line="179"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18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73" w:lineRule="exact"/>
        <w:rPr>
          <w:sz w:val="20"/>
          <w:szCs w:val="20"/>
          <w:color w:val="auto"/>
        </w:rPr>
      </w:pPr>
    </w:p>
    <w:p>
      <w:pPr>
        <w:ind w:left="200" w:right="180"/>
        <w:spacing w:after="0" w:line="256"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89"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7"/>
          <w:szCs w:val="17"/>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81"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4"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65" w:lineRule="exact"/>
        <w:rPr>
          <w:sz w:val="20"/>
          <w:szCs w:val="20"/>
          <w:color w:val="auto"/>
        </w:rPr>
      </w:pPr>
    </w:p>
    <w:p>
      <w:pPr>
        <w:jc w:val="both"/>
        <w:ind w:left="200" w:right="60" w:firstLine="434"/>
        <w:spacing w:after="0" w:line="282" w:lineRule="auto"/>
        <w:rPr>
          <w:sz w:val="20"/>
          <w:szCs w:val="20"/>
          <w:color w:val="auto"/>
        </w:rPr>
      </w:pPr>
      <w:r>
        <w:rPr>
          <w:rFonts w:ascii="Arial" w:cs="Arial" w:eastAsia="Arial" w:hAnsi="Arial"/>
          <w:sz w:val="16"/>
          <w:szCs w:val="16"/>
          <w:color w:val="auto"/>
        </w:rPr>
        <w:t>From time to time, we may enter into fuel derivative contracts in order to mitigate the risk to our business from future volatility in fuel prices but such contracts may not fully protect us from all related risks. As of December 31, 2020, we had hedges in place for approximately 37% of our projected fuel requirements for scheduled service operations in 2021, with all of our then existing options expected to be exercised or expire by the end of 2021.</w:t>
      </w:r>
    </w:p>
    <w:p>
      <w:pPr>
        <w:spacing w:after="0" w:line="1" w:lineRule="exact"/>
        <w:rPr>
          <w:sz w:val="20"/>
          <w:szCs w:val="20"/>
          <w:color w:val="auto"/>
        </w:rPr>
      </w:pPr>
    </w:p>
    <w:p>
      <w:pPr>
        <w:ind w:left="200" w:right="60"/>
        <w:spacing w:after="0" w:line="250" w:lineRule="auto"/>
        <w:rPr>
          <w:sz w:val="20"/>
          <w:szCs w:val="20"/>
          <w:color w:val="auto"/>
        </w:rPr>
      </w:pPr>
      <w:r>
        <w:rPr>
          <w:rFonts w:ascii="Arial" w:cs="Arial" w:eastAsia="Arial" w:hAnsi="Arial"/>
          <w:sz w:val="18"/>
          <w:szCs w:val="18"/>
          <w:color w:val="auto"/>
        </w:rPr>
        <w:t>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93"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8" w:lineRule="exact"/>
        <w:rPr>
          <w:sz w:val="20"/>
          <w:szCs w:val="20"/>
          <w:color w:val="auto"/>
        </w:rPr>
      </w:pPr>
    </w:p>
    <w:p>
      <w:pPr>
        <w:ind w:left="200" w:right="640"/>
        <w:spacing w:after="0" w:line="266"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9"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68" w:lineRule="exact"/>
        <w:rPr>
          <w:sz w:val="20"/>
          <w:szCs w:val="20"/>
          <w:color w:val="auto"/>
        </w:rPr>
      </w:pPr>
    </w:p>
    <w:p>
      <w:pPr>
        <w:ind w:left="200" w:right="120"/>
        <w:spacing w:after="0" w:line="296" w:lineRule="auto"/>
        <w:rPr>
          <w:sz w:val="20"/>
          <w:szCs w:val="20"/>
          <w:color w:val="auto"/>
        </w:rPr>
      </w:pPr>
      <w:r>
        <w:rPr>
          <w:rFonts w:ascii="Arial" w:cs="Arial" w:eastAsia="Arial" w:hAnsi="Arial"/>
          <w:sz w:val="17"/>
          <w:szCs w:val="17"/>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56"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4"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73" w:lineRule="exact"/>
        <w:rPr>
          <w:sz w:val="20"/>
          <w:szCs w:val="20"/>
          <w:color w:val="auto"/>
        </w:rPr>
      </w:pPr>
    </w:p>
    <w:p>
      <w:pPr>
        <w:jc w:val="both"/>
        <w:ind w:left="200" w:right="420" w:firstLine="434"/>
        <w:spacing w:after="0" w:line="256"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89"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173"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91" w:lineRule="exact"/>
        <w:rPr>
          <w:sz w:val="20"/>
          <w:szCs w:val="20"/>
          <w:color w:val="auto"/>
        </w:rPr>
      </w:pPr>
    </w:p>
    <w:p>
      <w:pPr>
        <w:ind w:left="200" w:right="200" w:firstLine="434"/>
        <w:spacing w:after="0" w:line="364" w:lineRule="auto"/>
        <w:rPr>
          <w:sz w:val="20"/>
          <w:szCs w:val="20"/>
          <w:color w:val="auto"/>
        </w:rPr>
      </w:pPr>
      <w:r>
        <w:rPr>
          <w:rFonts w:ascii="Arial" w:cs="Arial" w:eastAsia="Arial" w:hAnsi="Arial"/>
          <w:sz w:val="14"/>
          <w:szCs w:val="14"/>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18" w:lineRule="exact"/>
        <w:rPr>
          <w:sz w:val="20"/>
          <w:szCs w:val="20"/>
          <w:color w:val="auto"/>
        </w:rPr>
      </w:pPr>
    </w:p>
    <w:p>
      <w:pPr>
        <w:jc w:val="both"/>
        <w:ind w:left="200" w:right="300" w:firstLine="434"/>
        <w:spacing w:after="0" w:line="303" w:lineRule="auto"/>
        <w:rPr>
          <w:sz w:val="20"/>
          <w:szCs w:val="20"/>
          <w:color w:val="auto"/>
        </w:rPr>
      </w:pPr>
      <w:r>
        <w:rPr>
          <w:rFonts w:ascii="Arial" w:cs="Arial" w:eastAsia="Arial" w:hAnsi="Arial"/>
          <w:sz w:val="16"/>
          <w:szCs w:val="16"/>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154"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There has been significant consolidation within the airline industry, including, for example, the combinations of American Airlines and US Airways, Delta Air Lines and Northwest Airlines, United Airlines and Continental</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4"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89" w:lineRule="exact"/>
        <w:rPr>
          <w:sz w:val="20"/>
          <w:szCs w:val="20"/>
          <w:color w:val="auto"/>
        </w:rPr>
      </w:pPr>
    </w:p>
    <w:p>
      <w:pPr>
        <w:ind w:left="200" w:right="40" w:firstLine="434"/>
        <w:spacing w:after="0" w:line="272" w:lineRule="auto"/>
        <w:rPr>
          <w:sz w:val="20"/>
          <w:szCs w:val="20"/>
          <w:color w:val="auto"/>
        </w:rPr>
      </w:pPr>
      <w:r>
        <w:rPr>
          <w:rFonts w:ascii="Arial" w:cs="Arial" w:eastAsia="Arial" w:hAnsi="Arial"/>
          <w:sz w:val="17"/>
          <w:szCs w:val="17"/>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91"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171" w:lineRule="exact"/>
        <w:rPr>
          <w:sz w:val="20"/>
          <w:szCs w:val="20"/>
          <w:color w:val="auto"/>
        </w:rPr>
      </w:pPr>
    </w:p>
    <w:p>
      <w:pPr>
        <w:ind w:left="200" w:right="60" w:firstLine="434"/>
        <w:spacing w:after="0" w:line="263" w:lineRule="auto"/>
        <w:rPr>
          <w:sz w:val="20"/>
          <w:szCs w:val="20"/>
          <w:color w:val="auto"/>
        </w:rPr>
      </w:pPr>
      <w:r>
        <w:rPr>
          <w:rFonts w:ascii="Arial" w:cs="Arial" w:eastAsia="Arial" w:hAnsi="Arial"/>
          <w:sz w:val="17"/>
          <w:szCs w:val="17"/>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4"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189" w:lineRule="exact"/>
        <w:rPr>
          <w:sz w:val="20"/>
          <w:szCs w:val="20"/>
          <w:color w:val="auto"/>
        </w:rPr>
      </w:pPr>
    </w:p>
    <w:p>
      <w:pPr>
        <w:ind w:left="200" w:right="480"/>
        <w:spacing w:after="0" w:line="266"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79"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165"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81" w:lineRule="exact"/>
        <w:rPr>
          <w:sz w:val="20"/>
          <w:szCs w:val="20"/>
          <w:color w:val="auto"/>
        </w:rPr>
      </w:pPr>
    </w:p>
    <w:p>
      <w:pPr>
        <w:ind w:left="200" w:right="400"/>
        <w:spacing w:after="0" w:line="266"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9" w:lineRule="exact"/>
        <w:rPr>
          <w:sz w:val="20"/>
          <w:szCs w:val="20"/>
          <w:color w:val="auto"/>
        </w:rPr>
      </w:pPr>
    </w:p>
    <w:p>
      <w:pPr>
        <w:ind w:left="200" w:right="260" w:firstLine="434"/>
        <w:spacing w:after="0" w:line="294" w:lineRule="auto"/>
        <w:rPr>
          <w:sz w:val="20"/>
          <w:szCs w:val="20"/>
          <w:color w:val="auto"/>
        </w:rPr>
      </w:pPr>
      <w:r>
        <w:rPr>
          <w:rFonts w:ascii="Arial" w:cs="Arial" w:eastAsia="Arial" w:hAnsi="Arial"/>
          <w:sz w:val="16"/>
          <w:szCs w:val="16"/>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62" w:lineRule="exact"/>
        <w:rPr>
          <w:sz w:val="20"/>
          <w:szCs w:val="20"/>
          <w:color w:val="auto"/>
        </w:rPr>
      </w:pPr>
    </w:p>
    <w:p>
      <w:pPr>
        <w:ind w:left="200" w:right="80" w:firstLine="434"/>
        <w:spacing w:after="0" w:line="250"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320" w:top="454"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color w:val="auto"/>
        </w:rPr>
        <w:t>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99" w:lineRule="exact"/>
        <w:rPr>
          <w:sz w:val="20"/>
          <w:szCs w:val="20"/>
          <w:color w:val="auto"/>
        </w:rPr>
      </w:pPr>
    </w:p>
    <w:p>
      <w:pPr>
        <w:ind w:left="200" w:right="40" w:firstLine="434"/>
        <w:spacing w:after="0" w:line="364" w:lineRule="auto"/>
        <w:rPr>
          <w:sz w:val="20"/>
          <w:szCs w:val="20"/>
          <w:color w:val="auto"/>
        </w:rPr>
      </w:pPr>
      <w:r>
        <w:rPr>
          <w:rFonts w:ascii="Arial" w:cs="Arial" w:eastAsia="Arial" w:hAnsi="Arial"/>
          <w:sz w:val="14"/>
          <w:szCs w:val="14"/>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18" w:lineRule="exact"/>
        <w:rPr>
          <w:sz w:val="20"/>
          <w:szCs w:val="20"/>
          <w:color w:val="auto"/>
        </w:rPr>
      </w:pPr>
    </w:p>
    <w:p>
      <w:pPr>
        <w:ind w:left="200" w:right="260"/>
        <w:spacing w:after="0" w:line="296" w:lineRule="auto"/>
        <w:rPr>
          <w:sz w:val="20"/>
          <w:szCs w:val="20"/>
          <w:color w:val="auto"/>
        </w:rPr>
      </w:pPr>
      <w:r>
        <w:rPr>
          <w:rFonts w:ascii="Arial" w:cs="Arial" w:eastAsia="Arial" w:hAnsi="Arial"/>
          <w:sz w:val="17"/>
          <w:szCs w:val="17"/>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56"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For the years ended December 31, 2020, 2019 and 2018, we generated ancillary revenues of approximately $68.1 million,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7"/>
          <w:szCs w:val="17"/>
          <w:i w:val="1"/>
          <w:iCs w:val="1"/>
          <w:color w:val="auto"/>
        </w:rPr>
        <w:t>—Risks Related to Our Business—We are subject to extensive regulation by the FAA, the DOT, the TSA, CBP and other U.S. and foreign</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governmental agencies, compliance with which could cause us to incur increased costs and adversely affect our business, results of operations and financial condition</w:t>
      </w:r>
      <w:r>
        <w:rPr>
          <w:rFonts w:ascii="Arial" w:cs="Arial" w:eastAsia="Arial" w:hAnsi="Arial"/>
          <w:sz w:val="17"/>
          <w:szCs w:val="17"/>
          <w:color w:val="auto"/>
        </w:rPr>
        <w: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230"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Environmental Protection Agency, or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4"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In August 2020, the EPA issued a proposed rule regulating GHG emissions from aircraft that largely conforms to the March 2017 ICAO standards. However, on January 20, 2021, the new presidential administration, which is expected to promote more aggressive policies with respect to climate change and carbon emissions, including in the aviation sector, announced a freeze with respect to all pending rulemaking. Accordingly, the outcome of this rulemaking may result in stricter GHG emissions standards than those contained in the proposed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168"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181"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18"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increasing the seats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4"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1" w:lineRule="auto"/>
        <w:rPr>
          <w:sz w:val="20"/>
          <w:szCs w:val="20"/>
          <w:color w:val="auto"/>
        </w:rPr>
      </w:pPr>
      <w:r>
        <w:rPr>
          <w:rFonts w:ascii="Arial" w:cs="Arial" w:eastAsia="Arial" w:hAnsi="Arial"/>
          <w:sz w:val="18"/>
          <w:szCs w:val="18"/>
          <w:color w:val="auto"/>
        </w:rPr>
        <w:t>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101" w:lineRule="exact"/>
        <w:rPr>
          <w:sz w:val="20"/>
          <w:szCs w:val="20"/>
          <w:color w:val="auto"/>
        </w:rPr>
      </w:pPr>
    </w:p>
    <w:p>
      <w:pPr>
        <w:ind w:left="1160" w:right="300" w:hanging="429"/>
        <w:spacing w:after="0" w:line="266"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to execute our scheduled, cargo and charter operations;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18"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9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82" w:lineRule="exact"/>
        <w:rPr>
          <w:sz w:val="20"/>
          <w:szCs w:val="20"/>
          <w:color w:val="auto"/>
        </w:rPr>
      </w:pPr>
    </w:p>
    <w:p>
      <w:pPr>
        <w:ind w:left="200" w:right="260"/>
        <w:spacing w:after="0" w:line="410"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8" w:lineRule="exact"/>
        <w:rPr>
          <w:sz w:val="20"/>
          <w:szCs w:val="20"/>
          <w:color w:val="auto"/>
        </w:rPr>
      </w:pPr>
    </w:p>
    <w:p>
      <w:pPr>
        <w:ind w:left="200" w:right="20" w:firstLine="434"/>
        <w:spacing w:after="0" w:line="265" w:lineRule="auto"/>
        <w:rPr>
          <w:sz w:val="20"/>
          <w:szCs w:val="20"/>
          <w:color w:val="auto"/>
        </w:rPr>
      </w:pPr>
      <w:r>
        <w:rPr>
          <w:rFonts w:ascii="Arial" w:cs="Arial" w:eastAsia="Arial" w:hAnsi="Arial"/>
          <w:sz w:val="17"/>
          <w:szCs w:val="17"/>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has been,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4"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anticipated strategic and financial benefits of the ATSA may not be realized.</w:t>
      </w:r>
    </w:p>
    <w:p>
      <w:pPr>
        <w:spacing w:after="0" w:line="218"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 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78" w:lineRule="exact"/>
        <w:rPr>
          <w:sz w:val="20"/>
          <w:szCs w:val="20"/>
          <w:color w:val="auto"/>
        </w:rPr>
      </w:pPr>
    </w:p>
    <w:p>
      <w:pPr>
        <w:ind w:left="200" w:right="440"/>
        <w:spacing w:after="0" w:line="266"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179"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172" w:lineRule="exact"/>
        <w:rPr>
          <w:sz w:val="20"/>
          <w:szCs w:val="20"/>
          <w:color w:val="auto"/>
        </w:rPr>
      </w:pPr>
    </w:p>
    <w:p>
      <w:pPr>
        <w:ind w:left="200" w:right="240" w:firstLine="434"/>
        <w:spacing w:after="0" w:line="287" w:lineRule="auto"/>
        <w:rPr>
          <w:sz w:val="20"/>
          <w:szCs w:val="20"/>
          <w:color w:val="auto"/>
        </w:rPr>
      </w:pPr>
      <w:r>
        <w:rPr>
          <w:rFonts w:ascii="Arial" w:cs="Arial" w:eastAsia="Arial" w:hAnsi="Arial"/>
          <w:sz w:val="16"/>
          <w:szCs w:val="16"/>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169"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320" w:top="454"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low-cost structure is one of our primary competitive advantages, and many factors could affect our ability to control our costs.</w:t>
      </w:r>
    </w:p>
    <w:p>
      <w:pPr>
        <w:spacing w:after="0" w:line="230"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6"/>
          <w:szCs w:val="16"/>
          <w:i w:val="1"/>
          <w:iCs w:val="1"/>
          <w:color w:val="auto"/>
        </w:rPr>
        <w:t>—Increased labor costs, union disputes,</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strikes and other labor-related disruption may adversely affect our business, results of operations and financial condition</w:t>
      </w:r>
      <w:r>
        <w:rPr>
          <w:rFonts w:ascii="Arial" w:cs="Arial" w:eastAsia="Arial" w:hAnsi="Arial"/>
          <w:sz w:val="16"/>
          <w:szCs w:val="16"/>
          <w:color w:val="auto"/>
        </w:rPr>
        <w:t>.” We cannot</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7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7"/>
          <w:szCs w:val="17"/>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181" w:lineRule="exact"/>
        <w:rPr>
          <w:sz w:val="20"/>
          <w:szCs w:val="20"/>
          <w:color w:val="auto"/>
        </w:rPr>
      </w:pPr>
    </w:p>
    <w:p>
      <w:pPr>
        <w:jc w:val="both"/>
        <w:ind w:left="200" w:right="300" w:firstLine="434"/>
        <w:spacing w:after="0" w:line="364" w:lineRule="auto"/>
        <w:rPr>
          <w:sz w:val="20"/>
          <w:szCs w:val="20"/>
          <w:color w:val="auto"/>
        </w:rPr>
      </w:pPr>
      <w:r>
        <w:rPr>
          <w:rFonts w:ascii="Arial" w:cs="Arial" w:eastAsia="Arial" w:hAnsi="Arial"/>
          <w:sz w:val="14"/>
          <w:szCs w:val="14"/>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Our reputation and business could be adversely affected in the event of an accident or similar public incident involving our aircraft or personnel.</w:t>
      </w:r>
    </w:p>
    <w:p>
      <w:pPr>
        <w:spacing w:after="0" w:line="264"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4"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00"/>
        <w:spacing w:after="0" w:line="303" w:lineRule="auto"/>
        <w:rPr>
          <w:sz w:val="20"/>
          <w:szCs w:val="20"/>
          <w:color w:val="auto"/>
        </w:rPr>
      </w:pPr>
      <w:r>
        <w:rPr>
          <w:rFonts w:ascii="Arial" w:cs="Arial" w:eastAsia="Arial" w:hAnsi="Arial"/>
          <w:sz w:val="16"/>
          <w:szCs w:val="16"/>
          <w:color w:val="auto"/>
        </w:rPr>
        <w:t>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54"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85"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189"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4"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80"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providers and other commercial partners to perform functions integral to our operations.</w:t>
      </w:r>
    </w:p>
    <w:p>
      <w:pPr>
        <w:spacing w:after="0" w:line="218"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191"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18"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4"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56" w:lineRule="auto"/>
        <w:rPr>
          <w:sz w:val="20"/>
          <w:szCs w:val="20"/>
          <w:color w:val="auto"/>
        </w:rPr>
      </w:pPr>
      <w:r>
        <w:rPr>
          <w:rFonts w:ascii="Arial" w:cs="Arial" w:eastAsia="Arial" w:hAnsi="Arial"/>
          <w:sz w:val="18"/>
          <w:szCs w:val="18"/>
          <w:color w:val="auto"/>
        </w:rPr>
        <w:t>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89" w:lineRule="exact"/>
        <w:rPr>
          <w:sz w:val="20"/>
          <w:szCs w:val="20"/>
          <w:color w:val="auto"/>
        </w:rPr>
      </w:pPr>
    </w:p>
    <w:p>
      <w:pPr>
        <w:ind w:left="200" w:right="40"/>
        <w:spacing w:after="0" w:line="296" w:lineRule="auto"/>
        <w:rPr>
          <w:sz w:val="20"/>
          <w:szCs w:val="20"/>
          <w:color w:val="auto"/>
        </w:rPr>
      </w:pPr>
      <w:r>
        <w:rPr>
          <w:rFonts w:ascii="Arial" w:cs="Arial" w:eastAsia="Arial" w:hAnsi="Arial"/>
          <w:sz w:val="17"/>
          <w:szCs w:val="17"/>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56" w:lineRule="exact"/>
        <w:rPr>
          <w:sz w:val="20"/>
          <w:szCs w:val="20"/>
          <w:color w:val="auto"/>
        </w:rPr>
      </w:pPr>
    </w:p>
    <w:p>
      <w:pPr>
        <w:ind w:left="200" w:right="60" w:firstLine="434"/>
        <w:spacing w:after="0" w:line="282" w:lineRule="auto"/>
        <w:rPr>
          <w:sz w:val="20"/>
          <w:szCs w:val="20"/>
          <w:color w:val="auto"/>
        </w:rPr>
      </w:pPr>
      <w:r>
        <w:rPr>
          <w:rFonts w:ascii="Arial" w:cs="Arial" w:eastAsia="Arial" w:hAnsi="Arial"/>
          <w:sz w:val="16"/>
          <w:szCs w:val="16"/>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6"/>
          <w:szCs w:val="16"/>
          <w:i w:val="1"/>
          <w:iCs w:val="1"/>
          <w:color w:val="auto"/>
        </w:rPr>
        <w:t>Navitaire</w:t>
      </w:r>
      <w:r>
        <w:rPr>
          <w:rFonts w:ascii="Arial" w:cs="Arial" w:eastAsia="Arial" w:hAnsi="Arial"/>
          <w:sz w:val="16"/>
          <w:szCs w:val="16"/>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75"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88"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18"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320" w:top="454"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7" w:lineRule="auto"/>
        <w:rPr>
          <w:sz w:val="20"/>
          <w:szCs w:val="20"/>
          <w:color w:val="auto"/>
        </w:rPr>
      </w:pPr>
      <w:r>
        <w:rPr>
          <w:rFonts w:ascii="Arial" w:cs="Arial" w:eastAsia="Arial" w:hAnsi="Arial"/>
          <w:sz w:val="17"/>
          <w:szCs w:val="17"/>
          <w:color w:val="auto"/>
        </w:rPr>
        <w:t>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80"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recently been grounded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1"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9" w:lineRule="exact"/>
        <w:rPr>
          <w:sz w:val="20"/>
          <w:szCs w:val="20"/>
          <w:color w:val="auto"/>
        </w:rPr>
      </w:pPr>
    </w:p>
    <w:p>
      <w:pPr>
        <w:ind w:left="200" w:right="140" w:firstLine="434"/>
        <w:spacing w:after="0" w:line="265" w:lineRule="auto"/>
        <w:rPr>
          <w:sz w:val="20"/>
          <w:szCs w:val="20"/>
          <w:color w:val="auto"/>
        </w:rPr>
      </w:pPr>
      <w:r>
        <w:rPr>
          <w:rFonts w:ascii="Arial" w:cs="Arial" w:eastAsia="Arial" w:hAnsi="Arial"/>
          <w:sz w:val="17"/>
          <w:szCs w:val="17"/>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185" w:lineRule="exact"/>
        <w:rPr>
          <w:sz w:val="20"/>
          <w:szCs w:val="20"/>
          <w:color w:val="auto"/>
        </w:rPr>
      </w:pPr>
    </w:p>
    <w:p>
      <w:pPr>
        <w:ind w:left="200" w:right="340" w:firstLine="434"/>
        <w:spacing w:after="0" w:line="253" w:lineRule="auto"/>
        <w:rPr>
          <w:sz w:val="20"/>
          <w:szCs w:val="20"/>
          <w:color w:val="auto"/>
        </w:rPr>
      </w:pPr>
      <w:r>
        <w:rPr>
          <w:rFonts w:ascii="Arial" w:cs="Arial" w:eastAsia="Arial" w:hAnsi="Arial"/>
          <w:sz w:val="18"/>
          <w:szCs w:val="18"/>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4"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189"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See also “</w:t>
      </w:r>
      <w:r>
        <w:rPr>
          <w:rFonts w:ascii="Arial" w:cs="Arial" w:eastAsia="Arial" w:hAnsi="Arial"/>
          <w:sz w:val="17"/>
          <w:szCs w:val="17"/>
          <w:i w:val="1"/>
          <w:iCs w:val="1"/>
          <w:color w:val="auto"/>
        </w:rPr>
        <w:t>Business—Employees</w:t>
      </w:r>
      <w:r>
        <w:rPr>
          <w:rFonts w:ascii="Arial" w:cs="Arial" w:eastAsia="Arial" w:hAnsi="Arial"/>
          <w:sz w:val="17"/>
          <w:szCs w:val="17"/>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Changes in law, regulation and government policy have affected, and may in the future have a material adverse effect on our business.</w:t>
      </w:r>
    </w:p>
    <w:p>
      <w:pPr>
        <w:spacing w:after="0" w:line="241" w:lineRule="exact"/>
        <w:rPr>
          <w:sz w:val="20"/>
          <w:szCs w:val="20"/>
          <w:color w:val="auto"/>
        </w:rPr>
      </w:pPr>
    </w:p>
    <w:p>
      <w:pPr>
        <w:ind w:left="200" w:right="40" w:firstLine="434"/>
        <w:spacing w:after="0" w:line="283" w:lineRule="auto"/>
        <w:rPr>
          <w:sz w:val="20"/>
          <w:szCs w:val="20"/>
          <w:color w:val="auto"/>
        </w:rPr>
      </w:pPr>
      <w:r>
        <w:rPr>
          <w:rFonts w:ascii="Arial" w:cs="Arial" w:eastAsia="Arial" w:hAnsi="Arial"/>
          <w:sz w:val="16"/>
          <w:szCs w:val="16"/>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71"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79" w:lineRule="exact"/>
        <w:rPr>
          <w:sz w:val="20"/>
          <w:szCs w:val="20"/>
          <w:color w:val="auto"/>
        </w:rPr>
      </w:pPr>
    </w:p>
    <w:p>
      <w:pPr>
        <w:ind w:left="200" w:right="200"/>
        <w:spacing w:after="0" w:line="266"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79"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aim to optimize our daily aircraft utilization rate by tailoring service to customer demand patterns, which are seasonal and vary by day of the week. Our average daily aircraft utilization was 5.1 hours, 9.6 hours and 9.7 hours for the years ended December 31, 2020, 2019 and 2018, respectively. Aircraft utilization is block</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4"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78"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79" w:lineRule="exact"/>
        <w:rPr>
          <w:sz w:val="20"/>
          <w:szCs w:val="20"/>
          <w:color w:val="auto"/>
        </w:rPr>
      </w:pPr>
    </w:p>
    <w:p>
      <w:pPr>
        <w:ind w:left="200" w:right="320" w:firstLine="434"/>
        <w:spacing w:after="0" w:line="251"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If we are unable to attract and retain qualified personnel at reasonable costs or fail to maintain our company culture, our business could be harmed.</w:t>
      </w:r>
    </w:p>
    <w:p>
      <w:pPr>
        <w:spacing w:after="0" w:line="264"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173"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4"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80"/>
        <w:spacing w:after="0" w:line="266"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86" w:lineRule="exact"/>
        <w:rPr>
          <w:sz w:val="20"/>
          <w:szCs w:val="20"/>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125" w:lineRule="exact"/>
        <w:rPr>
          <w:rFonts w:ascii="Arial" w:cs="Arial" w:eastAsia="Arial" w:hAnsi="Arial"/>
          <w:sz w:val="18"/>
          <w:szCs w:val="18"/>
          <w:color w:val="auto"/>
        </w:rPr>
      </w:pPr>
    </w:p>
    <w:p>
      <w:pPr>
        <w:ind w:left="1160" w:right="360" w:hanging="429"/>
        <w:spacing w:after="0" w:line="266"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125" w:lineRule="exact"/>
        <w:rPr>
          <w:rFonts w:ascii="Arial" w:cs="Arial" w:eastAsia="Arial" w:hAnsi="Arial"/>
          <w:sz w:val="18"/>
          <w:szCs w:val="18"/>
          <w:color w:val="auto"/>
        </w:rPr>
      </w:pPr>
    </w:p>
    <w:p>
      <w:pPr>
        <w:ind w:left="1160" w:right="180" w:hanging="429"/>
        <w:spacing w:after="0" w:line="266"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18" w:lineRule="exact"/>
        <w:rPr>
          <w:sz w:val="20"/>
          <w:szCs w:val="20"/>
          <w:color w:val="auto"/>
        </w:rPr>
      </w:pPr>
    </w:p>
    <w:p>
      <w:pPr>
        <w:ind w:left="200" w:right="760" w:firstLine="434"/>
        <w:spacing w:after="0" w:line="296" w:lineRule="auto"/>
        <w:rPr>
          <w:sz w:val="20"/>
          <w:szCs w:val="20"/>
          <w:color w:val="auto"/>
        </w:rPr>
      </w:pPr>
      <w:r>
        <w:rPr>
          <w:rFonts w:ascii="Arial" w:cs="Arial" w:eastAsia="Arial" w:hAnsi="Arial"/>
          <w:sz w:val="17"/>
          <w:szCs w:val="17"/>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has only been a limited period since our current business and operating strategy has been implemented.</w:t>
      </w:r>
    </w:p>
    <w:p>
      <w:pPr>
        <w:spacing w:after="0" w:line="218"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Following the implementation of our current business and operating strategy in late 2017 and our acquisition by the Apollo Funds in 2018, we recorded a net loss of approximately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81" w:lineRule="exact"/>
        <w:rPr>
          <w:sz w:val="20"/>
          <w:szCs w:val="20"/>
          <w:color w:val="auto"/>
        </w:rPr>
      </w:pPr>
    </w:p>
    <w:p>
      <w:pPr>
        <w:ind w:left="200" w:right="440"/>
        <w:spacing w:after="0" w:line="266"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9" w:lineRule="exact"/>
        <w:rPr>
          <w:sz w:val="20"/>
          <w:szCs w:val="20"/>
          <w:color w:val="auto"/>
        </w:rPr>
      </w:pPr>
    </w:p>
    <w:p>
      <w:pPr>
        <w:ind w:left="200" w:right="20" w:firstLine="434"/>
        <w:spacing w:after="0" w:line="286" w:lineRule="auto"/>
        <w:rPr>
          <w:sz w:val="20"/>
          <w:szCs w:val="20"/>
          <w:color w:val="auto"/>
        </w:rPr>
      </w:pPr>
      <w:r>
        <w:rPr>
          <w:rFonts w:ascii="Arial" w:cs="Arial" w:eastAsia="Arial" w:hAnsi="Arial"/>
          <w:sz w:val="16"/>
          <w:szCs w:val="16"/>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4"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20" w:firstLine="434"/>
        <w:spacing w:after="0" w:line="282" w:lineRule="auto"/>
        <w:rPr>
          <w:sz w:val="20"/>
          <w:szCs w:val="20"/>
          <w:color w:val="auto"/>
        </w:rPr>
      </w:pPr>
      <w:r>
        <w:rPr>
          <w:rFonts w:ascii="Arial" w:cs="Arial" w:eastAsia="Arial" w:hAnsi="Arial"/>
          <w:sz w:val="16"/>
          <w:szCs w:val="16"/>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w:t>
      </w:r>
    </w:p>
    <w:p>
      <w:pPr>
        <w:spacing w:after="0" w:line="1" w:lineRule="exact"/>
        <w:rPr>
          <w:sz w:val="20"/>
          <w:szCs w:val="20"/>
          <w:color w:val="auto"/>
        </w:rPr>
      </w:pPr>
    </w:p>
    <w:p>
      <w:pPr>
        <w:ind w:left="200" w:right="300"/>
        <w:spacing w:after="0" w:line="315" w:lineRule="auto"/>
        <w:rPr>
          <w:sz w:val="20"/>
          <w:szCs w:val="20"/>
          <w:color w:val="auto"/>
        </w:rPr>
      </w:pPr>
      <w:r>
        <w:rPr>
          <w:rFonts w:ascii="Arial" w:cs="Arial" w:eastAsia="Arial" w:hAnsi="Arial"/>
          <w:sz w:val="16"/>
          <w:szCs w:val="16"/>
          <w:color w:val="auto"/>
        </w:rPr>
        <w:t>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44" w:lineRule="exact"/>
        <w:rPr>
          <w:sz w:val="20"/>
          <w:szCs w:val="20"/>
          <w:color w:val="auto"/>
        </w:rPr>
      </w:pPr>
    </w:p>
    <w:p>
      <w:pPr>
        <w:ind w:left="200" w:right="140" w:firstLine="434"/>
        <w:spacing w:after="0" w:line="268" w:lineRule="auto"/>
        <w:rPr>
          <w:sz w:val="20"/>
          <w:szCs w:val="20"/>
          <w:color w:val="auto"/>
        </w:rPr>
      </w:pPr>
      <w:r>
        <w:rPr>
          <w:rFonts w:ascii="Arial" w:cs="Arial" w:eastAsia="Arial" w:hAnsi="Arial"/>
          <w:sz w:val="17"/>
          <w:szCs w:val="17"/>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9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9" w:lineRule="exact"/>
        <w:rPr>
          <w:sz w:val="20"/>
          <w:szCs w:val="20"/>
          <w:color w:val="auto"/>
        </w:rPr>
      </w:pPr>
    </w:p>
    <w:p>
      <w:pPr>
        <w:ind w:left="200" w:right="240" w:firstLine="434"/>
        <w:spacing w:after="0" w:line="286" w:lineRule="auto"/>
        <w:rPr>
          <w:sz w:val="20"/>
          <w:szCs w:val="20"/>
          <w:color w:val="auto"/>
        </w:rPr>
      </w:pPr>
      <w:r>
        <w:rPr>
          <w:rFonts w:ascii="Arial" w:cs="Arial" w:eastAsia="Arial" w:hAnsi="Arial"/>
          <w:sz w:val="16"/>
          <w:szCs w:val="16"/>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67" w:lineRule="exact"/>
        <w:rPr>
          <w:sz w:val="20"/>
          <w:szCs w:val="20"/>
          <w:color w:val="auto"/>
        </w:rPr>
      </w:pPr>
    </w:p>
    <w:p>
      <w:pPr>
        <w:ind w:left="200" w:right="700"/>
        <w:spacing w:after="0" w:line="266"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9"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320" w:top="454" w:right="5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20"/>
        <w:spacing w:after="0" w:line="256" w:lineRule="auto"/>
        <w:rPr>
          <w:sz w:val="20"/>
          <w:szCs w:val="20"/>
          <w:color w:val="auto"/>
        </w:rPr>
      </w:pPr>
      <w:r>
        <w:rPr>
          <w:rFonts w:ascii="Arial" w:cs="Arial" w:eastAsia="Arial" w:hAnsi="Arial"/>
          <w:sz w:val="18"/>
          <w:szCs w:val="18"/>
          <w:color w:val="auto"/>
        </w:rPr>
        <w:t>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reputation and brand could be harmed if we were to experience significant negative publicity, including through social media.</w:t>
      </w:r>
    </w:p>
    <w:p>
      <w:pPr>
        <w:spacing w:after="0" w:line="230" w:lineRule="exact"/>
        <w:rPr>
          <w:sz w:val="20"/>
          <w:szCs w:val="20"/>
          <w:color w:val="auto"/>
        </w:rPr>
      </w:pPr>
    </w:p>
    <w:p>
      <w:pPr>
        <w:ind w:left="200" w:right="220" w:firstLine="434"/>
        <w:spacing w:after="0" w:line="278" w:lineRule="auto"/>
        <w:rPr>
          <w:sz w:val="20"/>
          <w:szCs w:val="20"/>
          <w:color w:val="auto"/>
        </w:rPr>
      </w:pPr>
      <w:r>
        <w:rPr>
          <w:rFonts w:ascii="Arial" w:cs="Arial" w:eastAsia="Arial" w:hAnsi="Arial"/>
          <w:sz w:val="17"/>
          <w:szCs w:val="17"/>
          <w:color w:val="auto"/>
        </w:rPr>
        <w:t>We operate in a public-facing industry with significant exposure to social media. Negative publicity, whether or not justified, can spread rapidly through social media. To the extent that we are unable to respond timely and appropriately to negative publicity, our reputation and brand can be harmed. Damage to our overall reputation and brand could have a negative impact on our financial results.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highly dependent upon our cash balances, operating cash flows and availability under our Credit Facilities.</w:t>
      </w:r>
    </w:p>
    <w:p>
      <w:pPr>
        <w:spacing w:after="0" w:line="218" w:lineRule="exact"/>
        <w:rPr>
          <w:sz w:val="20"/>
          <w:szCs w:val="20"/>
          <w:color w:val="auto"/>
        </w:rPr>
      </w:pPr>
    </w:p>
    <w:p>
      <w:pPr>
        <w:ind w:left="200" w:right="140" w:firstLine="434"/>
        <w:spacing w:after="0" w:line="284" w:lineRule="auto"/>
        <w:rPr>
          <w:sz w:val="20"/>
          <w:szCs w:val="20"/>
          <w:color w:val="auto"/>
        </w:rPr>
      </w:pPr>
      <w:r>
        <w:rPr>
          <w:rFonts w:ascii="Arial" w:cs="Arial" w:eastAsia="Arial" w:hAnsi="Arial"/>
          <w:sz w:val="16"/>
          <w:szCs w:val="16"/>
          <w:color w:val="auto"/>
        </w:rPr>
        <w:t>As of December 31, 2020, our principal sources of liquidity were cash and equivalents of approximately $62.0 million and availability under our asset-based revolving credit facility (the “ABL Facility”) of approximately $25.0 million. In addition, we had restricted cash of approximately</w:t>
      </w:r>
    </w:p>
    <w:p>
      <w:pPr>
        <w:spacing w:after="0" w:line="1" w:lineRule="exact"/>
        <w:rPr>
          <w:sz w:val="20"/>
          <w:szCs w:val="20"/>
          <w:color w:val="auto"/>
        </w:rPr>
      </w:pPr>
    </w:p>
    <w:p>
      <w:pPr>
        <w:ind w:left="200" w:right="20"/>
        <w:spacing w:after="0" w:line="280" w:lineRule="auto"/>
        <w:rPr>
          <w:sz w:val="20"/>
          <w:szCs w:val="20"/>
          <w:color w:val="auto"/>
        </w:rPr>
      </w:pPr>
      <w:r>
        <w:rPr>
          <w:rFonts w:ascii="Arial" w:cs="Arial" w:eastAsia="Arial" w:hAnsi="Arial"/>
          <w:sz w:val="16"/>
          <w:szCs w:val="16"/>
          <w:color w:val="auto"/>
        </w:rPr>
        <w:t>$8.3 million as of December 31, 2020. Restricted cash includes cash received as prepayment for chartered flights that is maintained in separate escrow accounts, from which the restrictions are released once transportation is provided. On February 10, 2021, we entered into the Credit Agreement, which provides for a $25.0 million Revolving Credit Facility and a $90.0 million Delayed Draw Term Loan Facility, and repaid in full all borrowings outstanding under the ABL Facility. Our Delayed Draw Term Loan Facility is available only to finance the acquisition of aircraft and engines and is not available for working capital or other general corporate purposes. In March 2021, we borrowed $68.0 million under the Delayed Draw Term Loan Facility for the purpose of financing the acquisition of five additional aircraft that we presently lease, three of which have been acquired, with the remainder under purchase agreements.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79" w:lineRule="exact"/>
        <w:rPr>
          <w:sz w:val="20"/>
          <w:szCs w:val="20"/>
          <w:color w:val="auto"/>
        </w:rPr>
      </w:pPr>
    </w:p>
    <w:p>
      <w:pPr>
        <w:ind w:left="200" w:right="300"/>
        <w:spacing w:after="0" w:line="266"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79"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18" w:lineRule="exact"/>
        <w:rPr>
          <w:sz w:val="20"/>
          <w:szCs w:val="20"/>
          <w:color w:val="auto"/>
        </w:rPr>
      </w:pPr>
    </w:p>
    <w:p>
      <w:pPr>
        <w:ind w:left="200" w:right="200" w:firstLine="434"/>
        <w:spacing w:after="0" w:line="256" w:lineRule="auto"/>
        <w:rPr>
          <w:sz w:val="20"/>
          <w:szCs w:val="20"/>
          <w:color w:val="auto"/>
        </w:rPr>
      </w:pPr>
      <w:r>
        <w:rPr>
          <w:rFonts w:ascii="Arial" w:cs="Arial" w:eastAsia="Arial" w:hAnsi="Arial"/>
          <w:sz w:val="18"/>
          <w:szCs w:val="18"/>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4"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79" w:lineRule="exact"/>
        <w:rPr>
          <w:sz w:val="20"/>
          <w:szCs w:val="20"/>
          <w:color w:val="auto"/>
        </w:rPr>
      </w:pPr>
    </w:p>
    <w:p>
      <w:pPr>
        <w:ind w:left="200" w:right="260"/>
        <w:spacing w:after="0" w:line="256" w:lineRule="auto"/>
        <w:rPr>
          <w:sz w:val="20"/>
          <w:szCs w:val="20"/>
          <w:color w:val="auto"/>
        </w:rPr>
      </w:pPr>
      <w:r>
        <w:rPr>
          <w:rFonts w:ascii="Arial" w:cs="Arial" w:eastAsia="Arial" w:hAnsi="Arial"/>
          <w:sz w:val="18"/>
          <w:szCs w:val="18"/>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89"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81"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91"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Operations—Critical Accounting Policies and Estimates—Aircraft Maintenance.</w:t>
      </w:r>
      <w:r>
        <w:rPr>
          <w:rFonts w:ascii="Arial" w:cs="Arial" w:eastAsia="Arial" w:hAnsi="Arial"/>
          <w:sz w:val="17"/>
          <w:szCs w:val="17"/>
          <w:color w:val="auto"/>
        </w:rPr>
        <w:t>”</w:t>
      </w:r>
    </w:p>
    <w:p>
      <w:pPr>
        <w:spacing w:after="0" w:line="179"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airline business is capital intensive. As of December 31, 2020, our 31 passenger aircraft fleet consisted of 12 aircraft financed under operating leases, 5 aircraft financed under finance leases and 14 aircraft financed under secured debt arrangements. As of December 31, 2020, we had future aircraft operating lease obligations of approximately $163.4 million, future debt principal obligations of $285.8 million and future finance lease obligations of approximately $139.1 million. In 2021, based on our current aircraft leases and debt structure, we expect to incur obligations of $42.0 million related to operating leases, $26.9 million related to debt principal obligations and $17.6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320" w:top="454" w:right="5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96" w:lineRule="auto"/>
        <w:rPr>
          <w:sz w:val="20"/>
          <w:szCs w:val="20"/>
          <w:color w:val="auto"/>
        </w:rPr>
      </w:pPr>
      <w:r>
        <w:rPr>
          <w:rFonts w:ascii="Arial" w:cs="Arial" w:eastAsia="Arial" w:hAnsi="Arial"/>
          <w:sz w:val="17"/>
          <w:szCs w:val="17"/>
          <w:color w:val="auto"/>
        </w:rPr>
        <w:t>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63" w:lineRule="exact"/>
        <w:rPr>
          <w:sz w:val="20"/>
          <w:szCs w:val="20"/>
          <w:color w:val="auto"/>
        </w:rPr>
      </w:pPr>
    </w:p>
    <w:p>
      <w:pPr>
        <w:jc w:val="both"/>
        <w:ind w:left="1160" w:right="480" w:hanging="429"/>
        <w:spacing w:after="0" w:line="25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95"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86" w:lineRule="exact"/>
        <w:rPr>
          <w:rFonts w:ascii="Arial" w:cs="Arial" w:eastAsia="Arial" w:hAnsi="Arial"/>
          <w:sz w:val="18"/>
          <w:szCs w:val="18"/>
          <w:color w:val="auto"/>
        </w:rPr>
      </w:pPr>
    </w:p>
    <w:p>
      <w:pPr>
        <w:ind w:left="1160" w:right="600" w:hanging="429"/>
        <w:spacing w:after="0" w:line="25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95" w:lineRule="exact"/>
        <w:rPr>
          <w:rFonts w:ascii="Arial" w:cs="Arial" w:eastAsia="Arial" w:hAnsi="Arial"/>
          <w:sz w:val="18"/>
          <w:szCs w:val="18"/>
          <w:color w:val="auto"/>
        </w:rPr>
      </w:pPr>
    </w:p>
    <w:p>
      <w:pPr>
        <w:ind w:left="1160" w:right="540" w:hanging="429"/>
        <w:spacing w:after="0" w:line="26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86" w:lineRule="exact"/>
        <w:rPr>
          <w:rFonts w:ascii="Arial" w:cs="Arial" w:eastAsia="Arial" w:hAnsi="Arial"/>
          <w:sz w:val="18"/>
          <w:szCs w:val="18"/>
          <w:color w:val="auto"/>
        </w:rPr>
      </w:pPr>
    </w:p>
    <w:p>
      <w:pPr>
        <w:jc w:val="both"/>
        <w:ind w:left="1160" w:hanging="429"/>
        <w:spacing w:after="0" w:line="25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89"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79"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9"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67"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189"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4"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80"/>
        <w:spacing w:after="0" w:line="250" w:lineRule="auto"/>
        <w:rPr>
          <w:sz w:val="20"/>
          <w:szCs w:val="20"/>
          <w:color w:val="auto"/>
        </w:rPr>
      </w:pPr>
      <w:r>
        <w:rPr>
          <w:rFonts w:ascii="Arial" w:cs="Arial" w:eastAsia="Arial" w:hAnsi="Arial"/>
          <w:sz w:val="18"/>
          <w:szCs w:val="18"/>
          <w:color w:val="auto"/>
        </w:rPr>
        <w:t>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96" w:lineRule="exact"/>
        <w:rPr>
          <w:sz w:val="20"/>
          <w:szCs w:val="20"/>
          <w:color w:val="auto"/>
        </w:rPr>
      </w:pPr>
    </w:p>
    <w:p>
      <w:pPr>
        <w:ind w:left="200" w:right="360"/>
        <w:spacing w:after="0" w:line="410"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88"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197" w:lineRule="exact"/>
        <w:rPr>
          <w:sz w:val="20"/>
          <w:szCs w:val="20"/>
          <w:color w:val="auto"/>
        </w:rPr>
      </w:pPr>
    </w:p>
    <w:p>
      <w:pPr>
        <w:ind w:left="200" w:firstLine="434"/>
        <w:spacing w:after="0" w:line="279" w:lineRule="auto"/>
        <w:rPr>
          <w:sz w:val="20"/>
          <w:szCs w:val="20"/>
          <w:color w:val="auto"/>
        </w:rPr>
      </w:pPr>
      <w:r>
        <w:rPr>
          <w:rFonts w:ascii="Arial" w:cs="Arial" w:eastAsia="Arial" w:hAnsi="Arial"/>
          <w:sz w:val="16"/>
          <w:szCs w:val="16"/>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 (vi) 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320" w:top="454"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60" w:hanging="1"/>
        <w:spacing w:after="0" w:line="284" w:lineRule="auto"/>
        <w:tabs>
          <w:tab w:leader="none" w:pos="5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w:t>
      </w:r>
    </w:p>
    <w:p>
      <w:pPr>
        <w:spacing w:after="0" w:line="1" w:lineRule="exact"/>
        <w:rPr>
          <w:rFonts w:ascii="Arial" w:cs="Arial" w:eastAsia="Arial" w:hAnsi="Arial"/>
          <w:sz w:val="16"/>
          <w:szCs w:val="16"/>
          <w:color w:val="auto"/>
        </w:rPr>
      </w:pPr>
    </w:p>
    <w:p>
      <w:pPr>
        <w:ind w:left="200" w:hanging="1"/>
        <w:spacing w:after="0" w:line="26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92"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79" w:lineRule="exact"/>
        <w:rPr>
          <w:sz w:val="20"/>
          <w:szCs w:val="20"/>
          <w:color w:val="auto"/>
        </w:rPr>
      </w:pPr>
    </w:p>
    <w:p>
      <w:pPr>
        <w:jc w:val="both"/>
        <w:ind w:left="200" w:right="40" w:firstLine="434"/>
        <w:spacing w:after="0" w:line="278" w:lineRule="auto"/>
        <w:rPr>
          <w:sz w:val="20"/>
          <w:szCs w:val="20"/>
          <w:color w:val="auto"/>
        </w:rPr>
      </w:pPr>
      <w:r>
        <w:rPr>
          <w:rFonts w:ascii="Arial" w:cs="Arial" w:eastAsia="Arial" w:hAnsi="Arial"/>
          <w:sz w:val="17"/>
          <w:szCs w:val="17"/>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17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91" w:lineRule="exact"/>
        <w:rPr>
          <w:sz w:val="20"/>
          <w:szCs w:val="20"/>
          <w:color w:val="auto"/>
        </w:rPr>
      </w:pPr>
    </w:p>
    <w:p>
      <w:pPr>
        <w:ind w:left="200" w:right="120" w:firstLine="434"/>
        <w:spacing w:after="0" w:line="284" w:lineRule="auto"/>
        <w:rPr>
          <w:sz w:val="20"/>
          <w:szCs w:val="20"/>
          <w:color w:val="auto"/>
        </w:rPr>
      </w:pPr>
      <w:r>
        <w:rPr>
          <w:rFonts w:ascii="Arial" w:cs="Arial" w:eastAsia="Arial" w:hAnsi="Arial"/>
          <w:sz w:val="16"/>
          <w:szCs w:val="16"/>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6"/>
          <w:szCs w:val="16"/>
          <w:i w:val="1"/>
          <w:iCs w:val="1"/>
          <w:color w:val="auto"/>
        </w:rPr>
        <w:t>Business—Foreign</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w:t>
      </w:r>
      <w:r>
        <w:rPr>
          <w:rFonts w:ascii="Arial" w:cs="Arial" w:eastAsia="Arial" w:hAnsi="Arial"/>
          <w:sz w:val="16"/>
          <w:szCs w:val="16"/>
          <w:color w:val="auto"/>
        </w:rPr>
        <w:t>.” While the DOT has seldom revoked a carrier’s certification for lack of fitness, such an occurrence would render it impossible for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operating as an airline. The DOT may also institute investigations or administrative proceedings against airlines for violations of regulations.</w:t>
      </w:r>
    </w:p>
    <w:p>
      <w:pPr>
        <w:spacing w:after="0" w:line="168"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4"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auto"/>
        </w:rPr>
        <w:t>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6"/>
          <w:szCs w:val="16"/>
          <w:i w:val="1"/>
          <w:iCs w:val="1"/>
          <w:color w:val="auto"/>
        </w:rPr>
        <w:t>Business—Government Regulation</w:t>
      </w:r>
      <w:r>
        <w:rPr>
          <w:rFonts w:ascii="Arial" w:cs="Arial" w:eastAsia="Arial" w:hAnsi="Arial"/>
          <w:sz w:val="16"/>
          <w:szCs w:val="16"/>
          <w:color w:val="auto"/>
        </w:rPr>
        <w: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96" w:lineRule="exact"/>
        <w:rPr>
          <w:sz w:val="20"/>
          <w:szCs w:val="20"/>
          <w:color w:val="auto"/>
        </w:rPr>
      </w:pPr>
    </w:p>
    <w:p>
      <w:pPr>
        <w:ind w:left="200" w:right="320"/>
        <w:spacing w:after="0" w:line="26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179"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18" w:lineRule="exact"/>
        <w:rPr>
          <w:sz w:val="20"/>
          <w:szCs w:val="20"/>
          <w:color w:val="auto"/>
        </w:rPr>
      </w:pPr>
    </w:p>
    <w:p>
      <w:pPr>
        <w:ind w:left="200" w:right="100" w:firstLine="434"/>
        <w:spacing w:after="0" w:line="267" w:lineRule="auto"/>
        <w:rPr>
          <w:sz w:val="20"/>
          <w:szCs w:val="20"/>
          <w:color w:val="auto"/>
        </w:rPr>
      </w:pPr>
      <w:r>
        <w:rPr>
          <w:rFonts w:ascii="Arial" w:cs="Arial" w:eastAsia="Arial" w:hAnsi="Arial"/>
          <w:sz w:val="17"/>
          <w:szCs w:val="17"/>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320" w:top="454" w:right="5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would have a negative effect on our results of operations.</w:t>
      </w:r>
    </w:p>
    <w:p>
      <w:pPr>
        <w:spacing w:after="0" w:line="218"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18" w:lineRule="exact"/>
        <w:rPr>
          <w:sz w:val="20"/>
          <w:szCs w:val="20"/>
          <w:color w:val="auto"/>
        </w:rPr>
      </w:pPr>
    </w:p>
    <w:p>
      <w:pPr>
        <w:jc w:val="both"/>
        <w:ind w:left="200" w:right="240" w:firstLine="434"/>
        <w:spacing w:after="0" w:line="281" w:lineRule="auto"/>
        <w:rPr>
          <w:sz w:val="20"/>
          <w:szCs w:val="20"/>
          <w:color w:val="auto"/>
        </w:rPr>
      </w:pPr>
      <w:r>
        <w:rPr>
          <w:rFonts w:ascii="Arial" w:cs="Arial" w:eastAsia="Arial" w:hAnsi="Arial"/>
          <w:sz w:val="16"/>
          <w:szCs w:val="16"/>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w:t>
      </w:r>
    </w:p>
    <w:p>
      <w:pPr>
        <w:ind w:left="200"/>
        <w:spacing w:after="0" w:line="290" w:lineRule="auto"/>
        <w:rPr>
          <w:sz w:val="20"/>
          <w:szCs w:val="20"/>
          <w:color w:val="auto"/>
        </w:rPr>
      </w:pPr>
      <w:r>
        <w:rPr>
          <w:rFonts w:ascii="Arial" w:cs="Arial" w:eastAsia="Arial" w:hAnsi="Arial"/>
          <w:sz w:val="16"/>
          <w:szCs w:val="16"/>
          <w:color w:val="auto"/>
        </w:rPr>
        <w:t>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Credit Agreement contains restrictions that limit our flexibility.</w:t>
      </w:r>
    </w:p>
    <w:p>
      <w:pPr>
        <w:spacing w:after="0" w:line="218"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86" w:lineRule="exact"/>
        <w:rPr>
          <w:sz w:val="20"/>
          <w:szCs w:val="20"/>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pay dividends on or make distributions in respect of, or repurchase or redeem, our capital stock, or make other restricted payments;</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320" w:top="454"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18" w:lineRule="exact"/>
        <w:rPr>
          <w:sz w:val="20"/>
          <w:szCs w:val="20"/>
          <w:color w:val="auto"/>
        </w:rPr>
      </w:pPr>
    </w:p>
    <w:p>
      <w:pPr>
        <w:jc w:val="both"/>
        <w:ind w:left="200" w:right="80" w:firstLine="434"/>
        <w:spacing w:after="0" w:line="253"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91"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89"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7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Under the Payroll Support Program, Treasury provided us an aggregate of $62.3 million in Payroll Support Payments from April 21, 2020 to October 1, 2020 and an additional $16.1 million Payroll Support Payment on February 2, 2021, and we expect to receive an additional $16.1 million by the end of March 2021.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is due to be repaid on the earlier of (i) October 24, 2025 or (ii) six months prior to the expiration date of any material loyalty program securing the loan. See Notes 3 and 8 to our audited consolidated financial statements included herein for more information.</w:t>
      </w:r>
    </w:p>
    <w:p>
      <w:pPr>
        <w:spacing w:after="0" w:line="19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intend to use a portion of the proceeds from this offering to repay in full all amounts outstanding under the CARES Act Loan.</w:t>
      </w:r>
    </w:p>
    <w:p>
      <w:pPr>
        <w:spacing w:after="0" w:line="197"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162"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320" w:top="454" w:right="5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may fluctuate significantly and purchasers of our common stock could incur substantial losses.</w:t>
      </w:r>
    </w:p>
    <w:p>
      <w:pPr>
        <w:spacing w:after="0" w:line="218"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96" w:lineRule="exact"/>
        <w:rPr>
          <w:sz w:val="20"/>
          <w:szCs w:val="20"/>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25" w:lineRule="exact"/>
        <w:rPr>
          <w:rFonts w:ascii="Arial" w:cs="Arial" w:eastAsia="Arial" w:hAnsi="Arial"/>
          <w:sz w:val="18"/>
          <w:szCs w:val="18"/>
          <w:color w:val="auto"/>
        </w:rPr>
      </w:pPr>
    </w:p>
    <w:p>
      <w:pPr>
        <w:ind w:left="1160" w:right="660" w:hanging="429"/>
        <w:spacing w:after="0" w:line="266"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EBITDAR and Adjusted CASM;</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revenue or earnings estimates, or changes in recommendations or withdrawal of research coverage, by equity research analysts;</w:t>
      </w:r>
    </w:p>
    <w:p>
      <w:pPr>
        <w:spacing w:after="0" w:line="171" w:lineRule="exact"/>
        <w:rPr>
          <w:rFonts w:ascii="Arial" w:cs="Arial" w:eastAsia="Arial" w:hAnsi="Arial"/>
          <w:sz w:val="14"/>
          <w:szCs w:val="14"/>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COVID-19 pandemic and its effects;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or other risks that may materialize in the future.</w:t>
      </w:r>
    </w:p>
    <w:p>
      <w:pPr>
        <w:spacing w:after="0" w:line="2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94" w:lineRule="exact"/>
        <w:rPr>
          <w:sz w:val="20"/>
          <w:szCs w:val="20"/>
          <w:color w:val="auto"/>
        </w:rPr>
      </w:pPr>
    </w:p>
    <w:p>
      <w:pPr>
        <w:ind w:left="200" w:right="580"/>
        <w:spacing w:after="0" w:line="266" w:lineRule="auto"/>
        <w:rPr>
          <w:sz w:val="20"/>
          <w:szCs w:val="20"/>
          <w:color w:val="auto"/>
        </w:rPr>
      </w:pPr>
      <w:r>
        <w:rPr>
          <w:rFonts w:ascii="Arial" w:cs="Arial" w:eastAsia="Arial" w:hAnsi="Arial"/>
          <w:sz w:val="18"/>
          <w:szCs w:val="18"/>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spacing w:after="0" w:line="179"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intend to take advantage of certain exemptions from various reporting</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4" w:right="5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w:t>
      </w:r>
    </w:p>
    <w:p>
      <w:pPr>
        <w:ind w:left="200" w:right="120" w:hanging="1"/>
        <w:spacing w:after="0" w:line="283" w:lineRule="auto"/>
        <w:tabs>
          <w:tab w:leader="none" w:pos="4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last day of the first fiscal year in which our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(iii) the last day of our fiscal year following the fifth anniversary of the date of this offering, and (iv) 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72"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9"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As a public company, we will continue to incur significant legal, accounting and other expenses. For example, we will be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191"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5"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4"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8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and materiality of such costs.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18" w:lineRule="exact"/>
        <w:rPr>
          <w:sz w:val="20"/>
          <w:szCs w:val="20"/>
          <w:color w:val="auto"/>
        </w:rPr>
      </w:pPr>
    </w:p>
    <w:p>
      <w:pPr>
        <w:ind w:left="200" w:right="80" w:firstLine="434"/>
        <w:spacing w:after="0" w:line="272" w:lineRule="auto"/>
        <w:rPr>
          <w:sz w:val="20"/>
          <w:szCs w:val="20"/>
          <w:color w:val="auto"/>
        </w:rPr>
      </w:pPr>
      <w:r>
        <w:rPr>
          <w:rFonts w:ascii="Arial" w:cs="Arial" w:eastAsia="Arial" w:hAnsi="Arial"/>
          <w:sz w:val="17"/>
          <w:szCs w:val="17"/>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this offering. At such time, our internal control over financial reporting may be insufficiently documented, designed or operating, which may cause our independent registered public accounting firm to issue a report that is adverse.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18"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To comply with restrictions imposed by federal law on foreign ownership and control of U.S. airlines, our certificate of incorporation and bylaws will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will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will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92"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We continue to be controlled by the Apollo Stockholder, and Apollo’s interests may conflict with our interests and the interests of other stockholders.</w:t>
      </w:r>
    </w:p>
    <w:p>
      <w:pPr>
        <w:spacing w:after="0" w:line="264" w:lineRule="exact"/>
        <w:rPr>
          <w:sz w:val="20"/>
          <w:szCs w:val="20"/>
          <w:color w:val="auto"/>
        </w:rPr>
      </w:pPr>
    </w:p>
    <w:p>
      <w:pPr>
        <w:ind w:left="200" w:right="20" w:firstLine="434"/>
        <w:spacing w:after="0" w:line="278" w:lineRule="auto"/>
        <w:rPr>
          <w:sz w:val="20"/>
          <w:szCs w:val="20"/>
          <w:color w:val="auto"/>
        </w:rPr>
      </w:pPr>
      <w:r>
        <w:rPr>
          <w:rFonts w:ascii="Arial" w:cs="Arial" w:eastAsia="Arial" w:hAnsi="Arial"/>
          <w:sz w:val="17"/>
          <w:szCs w:val="17"/>
          <w:color w:val="auto"/>
        </w:rPr>
        <w:t>Following this offering and the Private Placements, the Apollo Stockholder will beneficially own approximately 72.6% of the voting power of our outstanding common equity (or approximately 70.9% if the underwriters exercise their option to purchase additional shares in full). If the Private Placements do not close, following this offering the Apollo Stockholder will beneficially own approximately 81.3% of the voting power 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320" w:top="454" w:right="5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0" w:lineRule="auto"/>
        <w:rPr>
          <w:sz w:val="20"/>
          <w:szCs w:val="20"/>
          <w:color w:val="auto"/>
        </w:rPr>
      </w:pPr>
      <w:r>
        <w:rPr>
          <w:rFonts w:ascii="Arial" w:cs="Arial" w:eastAsia="Arial" w:hAnsi="Arial"/>
          <w:sz w:val="16"/>
          <w:szCs w:val="16"/>
          <w:color w:val="auto"/>
        </w:rPr>
        <w:t>our outstanding common equity (or approximately 79.3% if the underwriters exercise their option to purchase additional shares in full). As a result, the Apollo Stockholder will have the power to elect a majority of our directors. Therefore, individuals affiliated with Apollo will have effective control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82"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b w:val="1"/>
          <w:bCs w:val="1"/>
          <w:i w:val="1"/>
          <w:iCs w:val="1"/>
          <w:color w:val="auto"/>
        </w:rPr>
        <w:t>We are a “controlled company” within the meaning of Nasdaq’s rules and, as a result, qualify for and intend to rely on exemptions from certain corporate governance requirements.</w:t>
      </w:r>
    </w:p>
    <w:p>
      <w:pPr>
        <w:spacing w:after="0" w:line="179" w:lineRule="exact"/>
        <w:rPr>
          <w:sz w:val="20"/>
          <w:szCs w:val="20"/>
          <w:color w:val="auto"/>
        </w:rPr>
      </w:pPr>
    </w:p>
    <w:p>
      <w:pPr>
        <w:ind w:left="200" w:right="420" w:firstLine="434"/>
        <w:spacing w:after="0" w:line="294" w:lineRule="auto"/>
        <w:rPr>
          <w:sz w:val="20"/>
          <w:szCs w:val="20"/>
          <w:color w:val="auto"/>
        </w:rPr>
      </w:pPr>
      <w:r>
        <w:rPr>
          <w:rFonts w:ascii="Arial" w:cs="Arial" w:eastAsia="Arial" w:hAnsi="Arial"/>
          <w:sz w:val="16"/>
          <w:szCs w:val="16"/>
          <w:color w:val="auto"/>
        </w:rPr>
        <w:t>Following this offering and the Private Placements, the Apollo Stockholder will continue to control a majority of the voting power of our outstanding voting stock and, as a result, we will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69" w:lineRule="exact"/>
        <w:rPr>
          <w:sz w:val="20"/>
          <w:szCs w:val="20"/>
          <w:color w:val="auto"/>
        </w:rPr>
      </w:pPr>
    </w:p>
    <w:p>
      <w:pPr>
        <w:ind w:left="1160" w:hanging="42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179"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179" w:lineRule="exact"/>
        <w:rPr>
          <w:sz w:val="20"/>
          <w:szCs w:val="20"/>
          <w:color w:val="auto"/>
        </w:rPr>
      </w:pPr>
    </w:p>
    <w:p>
      <w:pPr>
        <w:ind w:left="200" w:right="380" w:firstLine="434"/>
        <w:spacing w:after="0" w:line="266" w:lineRule="auto"/>
        <w:rPr>
          <w:sz w:val="20"/>
          <w:szCs w:val="20"/>
          <w:color w:val="auto"/>
        </w:rPr>
      </w:pPr>
      <w:r>
        <w:rPr>
          <w:rFonts w:ascii="Arial" w:cs="Arial" w:eastAsia="Arial" w:hAnsi="Arial"/>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86" w:lineRule="exact"/>
        <w:rPr>
          <w:sz w:val="20"/>
          <w:szCs w:val="20"/>
          <w:color w:val="auto"/>
        </w:rPr>
      </w:pPr>
    </w:p>
    <w:p>
      <w:pPr>
        <w:ind w:left="1160" w:hanging="429"/>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providing that our board of directors will be divided into three classes, with each class of directors serving staggered three-year terms;</w:t>
      </w:r>
    </w:p>
    <w:p>
      <w:pPr>
        <w:spacing w:after="0" w:line="148" w:lineRule="exact"/>
        <w:rPr>
          <w:rFonts w:ascii="Arial" w:cs="Arial" w:eastAsia="Arial" w:hAnsi="Arial"/>
          <w:sz w:val="16"/>
          <w:szCs w:val="16"/>
          <w:color w:val="auto"/>
        </w:rPr>
      </w:pPr>
    </w:p>
    <w:p>
      <w:pPr>
        <w:ind w:left="1160" w:hanging="42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4" w:right="5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100" w:hanging="429"/>
        <w:spacing w:after="0" w:line="303"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61" w:lineRule="exact"/>
        <w:rPr>
          <w:rFonts w:ascii="Arial" w:cs="Arial" w:eastAsia="Arial" w:hAnsi="Arial"/>
          <w:sz w:val="16"/>
          <w:szCs w:val="16"/>
          <w:color w:val="auto"/>
        </w:rPr>
      </w:pPr>
    </w:p>
    <w:p>
      <w:pPr>
        <w:jc w:val="both"/>
        <w:ind w:left="1160" w:right="340" w:hanging="429"/>
        <w:spacing w:after="0" w:line="25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9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without any need for action by stockholders;</w:t>
      </w:r>
    </w:p>
    <w:p>
      <w:pPr>
        <w:spacing w:after="0" w:line="125" w:lineRule="exact"/>
        <w:rPr>
          <w:rFonts w:ascii="Arial" w:cs="Arial" w:eastAsia="Arial" w:hAnsi="Arial"/>
          <w:sz w:val="18"/>
          <w:szCs w:val="18"/>
          <w:color w:val="auto"/>
        </w:rPr>
      </w:pPr>
    </w:p>
    <w:p>
      <w:pPr>
        <w:ind w:left="1160" w:right="600" w:hanging="429"/>
        <w:spacing w:after="0" w:line="26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50.1% of the voting power of our outstanding common stock is beneficially owned by Apollo and its affiliates, including the Apollo Stockholder;</w:t>
      </w:r>
    </w:p>
    <w:p>
      <w:pPr>
        <w:spacing w:after="0" w:line="86" w:lineRule="exact"/>
        <w:rPr>
          <w:rFonts w:ascii="Arial" w:cs="Arial" w:eastAsia="Arial" w:hAnsi="Arial"/>
          <w:sz w:val="18"/>
          <w:szCs w:val="18"/>
          <w:color w:val="auto"/>
        </w:rPr>
      </w:pPr>
    </w:p>
    <w:p>
      <w:pPr>
        <w:ind w:left="1160" w:right="380" w:hanging="429"/>
        <w:spacing w:after="0" w:line="329"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40" w:lineRule="exact"/>
        <w:rPr>
          <w:rFonts w:ascii="Arial" w:cs="Arial" w:eastAsia="Arial" w:hAnsi="Arial"/>
          <w:sz w:val="16"/>
          <w:szCs w:val="16"/>
          <w:color w:val="auto"/>
        </w:rPr>
      </w:pPr>
    </w:p>
    <w:p>
      <w:pPr>
        <w:ind w:left="1160" w:right="180" w:hanging="429"/>
        <w:spacing w:after="0" w:line="26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9" w:lineRule="exact"/>
        <w:rPr>
          <w:sz w:val="20"/>
          <w:szCs w:val="20"/>
          <w:color w:val="auto"/>
        </w:rPr>
      </w:pPr>
    </w:p>
    <w:p>
      <w:pPr>
        <w:ind w:left="200" w:right="180" w:firstLine="434"/>
        <w:spacing w:after="0" w:line="287" w:lineRule="auto"/>
        <w:rPr>
          <w:sz w:val="20"/>
          <w:szCs w:val="20"/>
          <w:color w:val="auto"/>
        </w:rPr>
      </w:pPr>
      <w:r>
        <w:rPr>
          <w:rFonts w:ascii="Arial" w:cs="Arial" w:eastAsia="Arial" w:hAnsi="Arial"/>
          <w:sz w:val="16"/>
          <w:szCs w:val="16"/>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will include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6"/>
          <w:szCs w:val="16"/>
          <w:i w:val="1"/>
          <w:iCs w:val="1"/>
          <w:color w:val="auto"/>
        </w:rPr>
        <w:t>Description of Capital Stock—Certain Corporate Anti-takeover Provisions—Delaware Takeover Statute</w:t>
      </w:r>
      <w:r>
        <w:rPr>
          <w:rFonts w:ascii="Arial" w:cs="Arial" w:eastAsia="Arial" w:hAnsi="Arial"/>
          <w:sz w:val="16"/>
          <w:szCs w:val="16"/>
          <w:color w:val="auto"/>
        </w:rPr>
        <w:t>”.</w:t>
      </w:r>
    </w:p>
    <w:p>
      <w:pPr>
        <w:spacing w:after="0" w:line="169" w:lineRule="exact"/>
        <w:rPr>
          <w:sz w:val="20"/>
          <w:szCs w:val="20"/>
          <w:color w:val="auto"/>
        </w:rPr>
      </w:pPr>
    </w:p>
    <w:p>
      <w:pPr>
        <w:ind w:left="200" w:right="180" w:firstLine="434"/>
        <w:spacing w:after="0" w:line="268" w:lineRule="auto"/>
        <w:rPr>
          <w:sz w:val="20"/>
          <w:szCs w:val="20"/>
          <w:color w:val="auto"/>
        </w:rPr>
      </w:pPr>
      <w:r>
        <w:rPr>
          <w:rFonts w:ascii="Arial" w:cs="Arial" w:eastAsia="Arial" w:hAnsi="Arial"/>
          <w:sz w:val="17"/>
          <w:szCs w:val="17"/>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7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In addition, as long as the Apollo Stockholder beneficially owns a majority of the voting power of our outstanding common stock, the Apollo Stockholder will be able to control all matters requiring stockholder approval, including the election of directors, amendment of our certificate of incorporation and certain corporate transactions. Our Stockholders Agreement will also require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Arial" w:cs="Arial" w:eastAsia="Arial" w:hAnsi="Arial"/>
          <w:sz w:val="16"/>
          <w:szCs w:val="16"/>
          <w:i w:val="1"/>
          <w:iCs w:val="1"/>
          <w:color w:val="auto"/>
        </w:rPr>
        <w:t>Description of Capital Stock—</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Corporate Anti-takeover Provisions—Certain Matters that Require Consent of Our Stockholders</w:t>
      </w:r>
      <w:r>
        <w:rPr>
          <w:rFonts w:ascii="Arial" w:cs="Arial" w:eastAsia="Arial" w:hAnsi="Arial"/>
          <w:sz w:val="16"/>
          <w:szCs w:val="16"/>
          <w:color w:val="auto"/>
        </w:rPr>
        <w:t>”.</w:t>
      </w:r>
    </w:p>
    <w:p>
      <w:pPr>
        <w:spacing w:after="0" w:line="167"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4"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51" w:lineRule="auto"/>
        <w:rPr>
          <w:sz w:val="20"/>
          <w:szCs w:val="20"/>
          <w:color w:val="auto"/>
        </w:rPr>
      </w:pPr>
      <w:r>
        <w:rPr>
          <w:rFonts w:ascii="Arial" w:cs="Arial" w:eastAsia="Arial" w:hAnsi="Arial"/>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8"/>
          <w:szCs w:val="18"/>
          <w:i w:val="1"/>
          <w:iCs w:val="1"/>
          <w:color w:val="auto"/>
        </w:rPr>
        <w:t>Description of Capital Stock—Certain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Anti-takeover Provisions.</w:t>
      </w:r>
      <w:r>
        <w:rPr>
          <w:rFonts w:ascii="Arial" w:cs="Arial" w:eastAsia="Arial" w:hAnsi="Arial"/>
          <w:sz w:val="18"/>
          <w:szCs w:val="18"/>
          <w:color w:val="auto"/>
        </w:rPr>
        <w:t>”</w:t>
      </w:r>
    </w:p>
    <w:p>
      <w:pPr>
        <w:spacing w:after="0" w:line="194" w:lineRule="exact"/>
        <w:rPr>
          <w:sz w:val="20"/>
          <w:szCs w:val="20"/>
          <w:color w:val="auto"/>
        </w:rPr>
      </w:pPr>
    </w:p>
    <w:p>
      <w:pPr>
        <w:ind w:left="200" w:right="54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will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9" w:lineRule="exact"/>
        <w:rPr>
          <w:sz w:val="20"/>
          <w:szCs w:val="20"/>
          <w:color w:val="auto"/>
        </w:rPr>
      </w:pPr>
    </w:p>
    <w:p>
      <w:pPr>
        <w:ind w:left="200" w:right="80" w:firstLine="434"/>
        <w:spacing w:after="0" w:line="280" w:lineRule="auto"/>
        <w:rPr>
          <w:sz w:val="20"/>
          <w:szCs w:val="20"/>
          <w:color w:val="auto"/>
        </w:rPr>
      </w:pPr>
      <w:r>
        <w:rPr>
          <w:rFonts w:ascii="Arial" w:cs="Arial" w:eastAsia="Arial" w:hAnsi="Arial"/>
          <w:sz w:val="16"/>
          <w:szCs w:val="16"/>
          <w:color w:val="auto"/>
        </w:rPr>
        <w:t>Our certificate of incorporation will provide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2"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certificate of incorporation will contain a provision renouncing our interest and expectancy in certain corporate opportunities.</w:t>
      </w:r>
    </w:p>
    <w:p>
      <w:pPr>
        <w:spacing w:after="0" w:line="230"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Under our certificate of incorporation, none of Apollo, its affiliated funds, the portfolio companies owned by such funds, the Apollo Stockholder, any other affiliates of Apollo, Amazon or any of their respective officers,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454"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0" w:lineRule="auto"/>
        <w:rPr>
          <w:sz w:val="20"/>
          <w:szCs w:val="20"/>
          <w:color w:val="auto"/>
        </w:rPr>
      </w:pPr>
      <w:r>
        <w:rPr>
          <w:rFonts w:ascii="Arial" w:cs="Arial" w:eastAsia="Arial" w:hAnsi="Arial"/>
          <w:sz w:val="16"/>
          <w:szCs w:val="16"/>
          <w:color w:val="auto"/>
        </w:rPr>
        <w:t>directors, principals, partners, members, managers, employees, agents or other representatives, will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Upon consummation of this offering, our board of directors will consist of seven members, two of whom will be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6"/>
          <w:szCs w:val="16"/>
          <w:i w:val="1"/>
          <w:iCs w:val="1"/>
          <w:color w:val="auto"/>
        </w:rPr>
        <w:t>Description of Capital Stock—Corporate Opportunity</w:t>
      </w:r>
      <w:r>
        <w:rPr>
          <w:rFonts w:ascii="Arial" w:cs="Arial" w:eastAsia="Arial" w:hAnsi="Arial"/>
          <w:sz w:val="16"/>
          <w:szCs w:val="16"/>
          <w:color w:val="auto"/>
        </w:rPr>
        <w:t>.”</w:t>
      </w:r>
    </w:p>
    <w:p>
      <w:pPr>
        <w:spacing w:after="0" w:line="17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Each of our subsidiaries is a distinct legal entity, and under certain circumstances legal and contractual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218"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Based on our as adjusted net tangible book value per share as of December 31, 2020 and an initial public offering price of $22.00 per share, we expect that purchasers of our common stock in this offering will experience an immediate and substantial dilution of $19.07 per share, or $18.65 per share if the underwriters exercise their option to purchase additional shares in full, representing the difference between our as adjusted net tangible book value per share and the initial public offering price. This dilution is due in large part to earlier investors having paid substantially less than the initial public offering price when they purchased their shares. See “</w:t>
      </w:r>
      <w:r>
        <w:rPr>
          <w:rFonts w:ascii="Arial" w:cs="Arial" w:eastAsia="Arial" w:hAnsi="Arial"/>
          <w:sz w:val="17"/>
          <w:szCs w:val="17"/>
          <w:i w:val="1"/>
          <w:iCs w:val="1"/>
          <w:color w:val="auto"/>
        </w:rPr>
        <w:t>Dilution</w:t>
      </w:r>
      <w:r>
        <w:rPr>
          <w:rFonts w:ascii="Arial" w:cs="Arial" w:eastAsia="Arial" w:hAnsi="Arial"/>
          <w:sz w:val="17"/>
          <w:szCs w:val="17"/>
          <w:color w:val="auto"/>
        </w:rPr>
        <w: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4"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40"/>
        <w:spacing w:after="0" w:line="278" w:lineRule="auto"/>
        <w:rPr>
          <w:sz w:val="20"/>
          <w:szCs w:val="20"/>
          <w:color w:val="auto"/>
        </w:rPr>
      </w:pPr>
      <w:r>
        <w:rPr>
          <w:rFonts w:ascii="Arial" w:cs="Arial" w:eastAsia="Arial" w:hAnsi="Arial"/>
          <w:sz w:val="17"/>
          <w:szCs w:val="17"/>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7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10.7% of which had vested as of February 28,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this offering or any follow-on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85"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179"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 xml:space="preserve">After the completion of this offering, we will have 939,210,169 shares of common stock authorized but unissued (assuming no exercise of the underwriters’ option to purchase additional shares). Our certificate of incorporation will authorize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At the closing of this offering, we will have approximately 5,893,704 options outstanding, which are exercisable into approximately 5,893,704 shares of common stock, and the 2019 Warrants outstanding, which are exercisable for 9,482,606 shares of common stock, subject to vesting requirements. Of the 2019 Warrants, approximately 10.7% have vested as of February 28, 2021 and the remainder will vest incrementally based on aggregate global payments by Amazon to the Company or its affiliates pursuant to the ATSA. We have reserved approximately 3,600,000 shares for future grant under our Omnibus Incentive Plan.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Compensation Plans—2021 Omnibus Incentive Plan.” </w:t>
      </w:r>
      <w:r>
        <w:rPr>
          <w:rFonts w:ascii="Arial" w:cs="Arial" w:eastAsia="Arial" w:hAnsi="Arial"/>
          <w:sz w:val="16"/>
          <w:szCs w:val="16"/>
          <w:color w:val="auto"/>
        </w:rPr>
        <w:t>Any common stock that we issue, including under our Omnibus Incentive Plan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plans that we may adopt in the future, as well as under outstanding options or warrants would dilute the percentage ownership held by the investors who purchase common stock in this offering.</w:t>
      </w:r>
    </w:p>
    <w:p>
      <w:pPr>
        <w:spacing w:after="0" w:line="175"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91"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9"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After the completion of this offering and the use of proceeds therefrom (assuming no exercise of the underwriters’ option to purchase additional shares), we will have 55,789,831 shares of common stock outstanding,</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454"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80" w:lineRule="auto"/>
        <w:rPr>
          <w:sz w:val="20"/>
          <w:szCs w:val="20"/>
          <w:color w:val="auto"/>
        </w:rPr>
      </w:pPr>
      <w:r>
        <w:rPr>
          <w:rFonts w:ascii="Arial" w:cs="Arial" w:eastAsia="Arial" w:hAnsi="Arial"/>
          <w:sz w:val="16"/>
          <w:szCs w:val="16"/>
          <w:color w:val="auto"/>
        </w:rPr>
        <w:t xml:space="preserve">warrants to purchase 9,482,606 shares of common stock outstanding and options to purchase 5,893,704 shares of common stock outstanding. The number of outstanding shares of common stock includes 46,698,922 outstanding shares that are “restricted securities,” as defined under Rule 144 under the Securities Act, and eligible for sale in the public market subject to the requirements of Rule 144. We, the Apollo Stockholder and all of our executive officers and directors, who collectively hold substantially all of our issued and outstanding common stock, and Amazon have agreed that, for a period of 180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In addition, PAR Capital and the Blackrock Entities will enter into a similar agreement in connection with the Private Placements. 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 xml:space="preserve"> Following the expiration of the applicable lock-up period, all of the issued and outstanding shares of our common stock will be eligible for future sale, subject to the applicable volume, manner of sale, holding periods, and other limitations of Rule 144. Barclays Capital Inc. and Morgan Stanley &amp; Co. LLC on behalf of the underwriters may, in their sole discretion, release all or any portion of the shares subject to lock-up agreements at any time and for any reason. In addition, the Apollo Stockholder, certain of our existing stockholders and Amazon have certain rights to require us to register the sale of common stock held by them including in connection with underwritten offerings.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 See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 for a discussion of the shares of common stock that may be sold into the public market in the future.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7"/>
          <w:szCs w:val="17"/>
          <w:color w:val="auto"/>
        </w:rPr>
        <w:t>We will have broad discretion in the application of the net proceeds to us from this offering, including for the purposes described in the section entitled “</w:t>
      </w:r>
      <w:r>
        <w:rPr>
          <w:rFonts w:ascii="Arial" w:cs="Arial" w:eastAsia="Arial" w:hAnsi="Arial"/>
          <w:sz w:val="17"/>
          <w:szCs w:val="17"/>
          <w:i w:val="1"/>
          <w:iCs w:val="1"/>
          <w:color w:val="auto"/>
        </w:rPr>
        <w:t>Use of Proceeds</w:t>
      </w:r>
      <w:r>
        <w:rPr>
          <w:rFonts w:ascii="Arial" w:cs="Arial" w:eastAsia="Arial" w:hAnsi="Arial"/>
          <w:sz w:val="17"/>
          <w:szCs w:val="17"/>
          <w:color w:val="auto"/>
        </w:rPr>
        <w:t>,” and you will not have the opportunity as part of your investment decision to assess whether the net proceeds are being used appropriately. Our management may not apply the net proceeds in ways that increase the value of your investment in our common stock.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market price of our common stock could decline.</w:t>
      </w:r>
    </w:p>
    <w:p>
      <w:pPr>
        <w:spacing w:after="0" w:line="181"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there can be no assurances that a viable public market for our common stock will develop or be sustained.</w:t>
      </w:r>
    </w:p>
    <w:p>
      <w:pPr>
        <w:spacing w:after="0" w:line="179" w:lineRule="exact"/>
        <w:rPr>
          <w:sz w:val="20"/>
          <w:szCs w:val="20"/>
          <w:color w:val="auto"/>
        </w:rPr>
      </w:pPr>
    </w:p>
    <w:p>
      <w:pPr>
        <w:ind w:left="200" w:right="160" w:firstLine="434"/>
        <w:spacing w:after="0" w:line="286" w:lineRule="auto"/>
        <w:rPr>
          <w:sz w:val="20"/>
          <w:szCs w:val="20"/>
          <w:color w:val="auto"/>
        </w:rPr>
      </w:pPr>
      <w:r>
        <w:rPr>
          <w:rFonts w:ascii="Arial" w:cs="Arial" w:eastAsia="Arial" w:hAnsi="Arial"/>
          <w:sz w:val="16"/>
          <w:szCs w:val="16"/>
          <w:color w:val="auto"/>
        </w:rPr>
        <w:t>Prior to this offering, our common stock was not traded on any market. An active, liquid and orderly trading market for our common stock may not develop or be maintained after this offering. Active, liquid and orderly trading markets usually result in less price volatility and more efficiency in carrying out investors’ purchase and sale orders. We cannot predict the extent to which investor interest in our common stock will lead to the development of an active trading market on Nasdaq or otherwise or how liquid that market might become. The initial public offering price for the common stock will be determined by negotiations between us and the representatives of the underwriters and may not be indicative of prices that will prevail in the open market following this offering. 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 If an active public market for our common stock does not develop, or is not sustained, it may be difficult for you to sell your shares at a price that is attractive to you or at all.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54"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initial public offering price of our common stock may not be indicative of the market price of our common stock after this offering.</w:t>
      </w:r>
    </w:p>
    <w:p>
      <w:pPr>
        <w:spacing w:after="0" w:line="241" w:lineRule="exact"/>
        <w:rPr>
          <w:sz w:val="20"/>
          <w:szCs w:val="20"/>
          <w:color w:val="auto"/>
        </w:rPr>
      </w:pPr>
    </w:p>
    <w:p>
      <w:pPr>
        <w:ind w:left="200" w:right="100" w:firstLine="434"/>
        <w:spacing w:after="0" w:line="278" w:lineRule="auto"/>
        <w:rPr>
          <w:sz w:val="20"/>
          <w:szCs w:val="20"/>
          <w:color w:val="auto"/>
        </w:rPr>
      </w:pPr>
      <w:r>
        <w:rPr>
          <w:rFonts w:ascii="Arial" w:cs="Arial" w:eastAsia="Arial" w:hAnsi="Arial"/>
          <w:sz w:val="17"/>
          <w:szCs w:val="17"/>
          <w:color w:val="auto"/>
        </w:rPr>
        <w:t>The initial public offering price was determined by negotiations between us and representatives of the underwriters, based on numerous factors which we discuss in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and may not be indicative of the market price of our common stock after this offering. If you purchase our common stock, you may not be able to resell those shares at or above the initial public offering price.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18"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8"/>
          <w:szCs w:val="18"/>
          <w:i w:val="1"/>
          <w:iCs w:val="1"/>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publish negative reports, our stock price could decline.</w:t>
      </w:r>
    </w:p>
    <w:p>
      <w:pPr>
        <w:spacing w:after="0" w:line="264"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issue preferred securities, the terms of which could adversely affect the voting power or value of our common stock.</w:t>
      </w:r>
    </w:p>
    <w:p>
      <w:pPr>
        <w:spacing w:after="0" w:line="218"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Our certificate of incorporation will authorize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be required to pay our pre-IPO stockholders for certain tax benefits, and the amounts of such payments could be material.</w:t>
      </w:r>
    </w:p>
    <w:p>
      <w:pPr>
        <w:spacing w:after="0" w:line="23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We will enter into an income tax receivable agreement with our pre-IPO stockholders that will provide for the payment by us to our pre-IPO stockholders of 85% of the amount of cash savings, if any, in U.S. federal, foreign, state and local income tax that we and our subsidiaries actually realize for periods starting at least 12 months after the closing date of this offering as a result of the utilization of tax attributes existing at the time of this offering. These tax attributes include net operating loss carryforwards, deductions, tax basis and certain other tax attributes, in each case that relate to periods (or portions thereof) ending on or prior to the closing date of this offering.</w:t>
      </w:r>
    </w:p>
    <w:p>
      <w:pPr>
        <w:spacing w:after="0" w:line="194"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4"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realize the full tax benefits subject to the income tax receivable agreement, we expect that future payments under the income tax receivable agreement will aggregate to between $108.0 million and $119.0 million. Payments in accordance with the terms of the income tax receivable agreement could have an adverse effect on our liquidity and financial condition.</w:t>
      </w:r>
    </w:p>
    <w:p>
      <w:pPr>
        <w:spacing w:after="0" w:line="189"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79"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To the extent that we are unable to make payments under the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89"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For additional information related to the income tax receivable agreement, see “</w:t>
      </w:r>
      <w:r>
        <w:rPr>
          <w:rFonts w:ascii="Arial" w:cs="Arial" w:eastAsia="Arial" w:hAnsi="Arial"/>
          <w:sz w:val="18"/>
          <w:szCs w:val="18"/>
          <w:i w:val="1"/>
          <w:iCs w:val="1"/>
          <w:color w:val="auto"/>
        </w:rPr>
        <w:t>Certain Relationships and Related Party Transactions—Income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Receivable Agreement</w:t>
      </w:r>
      <w:r>
        <w:rPr>
          <w:rFonts w:ascii="Arial" w:cs="Arial" w:eastAsia="Arial" w:hAnsi="Arial"/>
          <w:sz w:val="18"/>
          <w:szCs w:val="18"/>
          <w:color w:val="auto"/>
        </w:rPr>
        <w:t>.”</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40"/>
          </w:cols>
          <w:pgMar w:left="320" w:top="454"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7"/>
          <w:szCs w:val="17"/>
          <w:color w:val="auto"/>
        </w:rPr>
        <w:t xml:space="preserve">This prospectus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“Risk Factors,” “Use of Proceeds,”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“Business” </w:t>
      </w:r>
      <w:r>
        <w:rPr>
          <w:rFonts w:ascii="Arial" w:cs="Arial" w:eastAsia="Arial" w:hAnsi="Arial"/>
          <w:sz w:val="17"/>
          <w:szCs w:val="17"/>
          <w:color w:val="auto"/>
        </w:rPr>
        <w:t>and include, among other things, statements relating to:</w:t>
      </w:r>
    </w:p>
    <w:p>
      <w:pPr>
        <w:spacing w:after="0" w:line="88" w:lineRule="exact"/>
        <w:rPr>
          <w:sz w:val="20"/>
          <w:szCs w:val="20"/>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18" w:lineRule="exact"/>
        <w:rPr>
          <w:sz w:val="20"/>
          <w:szCs w:val="20"/>
          <w:color w:val="auto"/>
        </w:rPr>
      </w:pPr>
    </w:p>
    <w:p>
      <w:pPr>
        <w:jc w:val="both"/>
        <w:ind w:left="200" w:right="120" w:firstLine="434"/>
        <w:spacing w:after="0" w:line="278"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79" w:lineRule="exact"/>
        <w:rPr>
          <w:sz w:val="20"/>
          <w:szCs w:val="20"/>
          <w:color w:val="auto"/>
        </w:rPr>
      </w:pPr>
    </w:p>
    <w:p>
      <w:pPr>
        <w:ind w:left="1160" w:right="420" w:hanging="429"/>
        <w:spacing w:after="0" w:line="266"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COVID-19 pandemic and its effects including related travel restrictions, social distancing measures and decreased demand for air travel;</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worldwide economic conditions;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fuel cost;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threatened or actual terrorist attacks, global instability and potential U.S. military actions or activities;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factors beyond our control, including air traffic congestion, weather, security measures, travel-related taxes and outbreak of disease;</w:t>
      </w:r>
    </w:p>
    <w:p>
      <w:pPr>
        <w:spacing w:after="0" w:line="148" w:lineRule="exact"/>
        <w:rPr>
          <w:rFonts w:ascii="Arial" w:cs="Arial" w:eastAsia="Arial" w:hAnsi="Arial"/>
          <w:sz w:val="16"/>
          <w:szCs w:val="16"/>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presence in international markets;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insurance costs;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restrictions on, or increased taxes applicable to charges for, ancillary products and services;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air travel substitutes;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implement our business strategy successfully;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keep costs low;</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reliance on the Minneapolis/St. Paul market;</w:t>
      </w:r>
    </w:p>
    <w:p>
      <w:pPr>
        <w:spacing w:after="0" w:line="125" w:lineRule="exact"/>
        <w:rPr>
          <w:rFonts w:ascii="Arial" w:cs="Arial" w:eastAsia="Arial" w:hAnsi="Arial"/>
          <w:sz w:val="18"/>
          <w:szCs w:val="18"/>
          <w:color w:val="auto"/>
        </w:rPr>
      </w:pPr>
    </w:p>
    <w:p>
      <w:pPr>
        <w:ind w:left="1160" w:hanging="429"/>
        <w:spacing w:after="0" w:line="266"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and business being adversely affected in the event of an emergency, accident or similar public incident involving our aircraft or personnel;</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reliance on third-party providers and other commercial partners to perform functions integral to our operations;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operational disruptions;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grow or maintain our unit revenues or maintain our ancillary revenues;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labor costs, union disputes, employee strikes and other labor-related disruptions;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4"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maintain an optimal daily aircraft utilization rate;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expand or operate reliably and efficiently out of airports where we maintain a large presence;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environmental and noise laws and regulations;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regarding our customer service;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liquidity and dependence on cash balances and operating cash flows;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maintain our liquidity in the event one or more of our credit card processors were to impose holdback restrictions;</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financing or access capital markets;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aircraft-related fixed obligations that could impair our liquidity;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maintenance obligations;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sole-source supplier for our aircraft and engines;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key personnel;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risk factors included under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w:t>
      </w:r>
    </w:p>
    <w:p>
      <w:pPr>
        <w:spacing w:after="0" w:line="218" w:lineRule="exact"/>
        <w:rPr>
          <w:sz w:val="20"/>
          <w:szCs w:val="20"/>
          <w:color w:val="auto"/>
        </w:rPr>
      </w:pPr>
    </w:p>
    <w:p>
      <w:pPr>
        <w:ind w:left="200" w:firstLine="434"/>
        <w:spacing w:after="0" w:line="330"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320" w:top="454" w:right="5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118" w:lineRule="exact"/>
        <w:rPr>
          <w:sz w:val="20"/>
          <w:szCs w:val="20"/>
          <w:color w:val="auto"/>
        </w:rPr>
      </w:pPr>
    </w:p>
    <w:p>
      <w:pPr>
        <w:ind w:left="200" w:right="60" w:firstLine="434"/>
        <w:spacing w:after="0" w:line="284" w:lineRule="auto"/>
        <w:rPr>
          <w:sz w:val="20"/>
          <w:szCs w:val="20"/>
          <w:color w:val="auto"/>
        </w:rPr>
      </w:pPr>
      <w:r>
        <w:rPr>
          <w:rFonts w:ascii="Arial" w:cs="Arial" w:eastAsia="Arial" w:hAnsi="Arial"/>
          <w:sz w:val="16"/>
          <w:szCs w:val="16"/>
          <w:color w:val="auto"/>
        </w:rPr>
        <w:t>We expect to receive approximately $187.5 million of net proceeds (based upon the assumed initial public offering price of $22.00 per share, the midpoint of the range set forth on the cover page of this prospectus, and assuming no exercise of the underwriters’ option to purchase additional shares) from the sale of the common stock offered by us, after deducting underwriting discounts and commissions. Assuming no exercise of the underwriters’ option to purchase additional shares, each $1.00 increase (decrease) in the public offering would increase (decrease) our net proceeds by approximately $8.5 million. We estimate that the net proceeds to us, if the underwriters exercise their option to purchase the maximum number of additional shares of common stock from us, will be approximately $215.6 million, after deducting underwriting discounts and commissions (based upon the assumed initial public offering price of $22.00 per share, the midpoint of the range set forth on the cover page of this prospectus). In such case, each $1.00 increase (decrease) in the public offering would increase (decrease) our net proceeds by approximately $9.8 million.</w:t>
      </w:r>
    </w:p>
    <w:p>
      <w:pPr>
        <w:spacing w:after="0" w:line="173"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We currently expect to use approximately $46.2 million of the net proceeds to us from this offering to repay in full all amounts outstanding under the CARES Act Loan and approximately $5.8 million of such proceeds to pay fees and expenses in connection with this offering, which include legal and accounting fees, SEC and FINRA registration fees, printing expenses, and other similar fees and expenses. We intend to use any remaining proceeds for general corporate purposes, which may include working capital purposes and implementing our growth strategies, including to grow our passenger fleet and convert our fleet to an owned model. Our management team will retain broad discretion to allocate the net proceeds of this offering. The precise amounts and timing of our use of any remaining net proceeds will depend upon market conditions, among other factors. Pending use, we may invest the net proceeds from this offering in short-term, investment-grade, interest-bearing securities.</w:t>
      </w:r>
    </w:p>
    <w:p>
      <w:pPr>
        <w:spacing w:after="0" w:line="167" w:lineRule="exact"/>
        <w:rPr>
          <w:sz w:val="20"/>
          <w:szCs w:val="20"/>
          <w:color w:val="auto"/>
        </w:rPr>
      </w:pPr>
    </w:p>
    <w:p>
      <w:pPr>
        <w:ind w:left="200" w:right="200" w:firstLine="434"/>
        <w:spacing w:after="0" w:line="272" w:lineRule="auto"/>
        <w:rPr>
          <w:sz w:val="20"/>
          <w:szCs w:val="20"/>
          <w:color w:val="auto"/>
        </w:rPr>
      </w:pPr>
      <w:r>
        <w:rPr>
          <w:rFonts w:ascii="Arial" w:cs="Arial" w:eastAsia="Arial" w:hAnsi="Arial"/>
          <w:sz w:val="17"/>
          <w:szCs w:val="17"/>
          <w:color w:val="auto"/>
        </w:rPr>
        <w:t>As of December 31, 2020, approximately $45.4 million was outstanding under the CARES Act Loan. The CARES Act Loan bears interest at a rate per annum equal to the LIBO rate as adjusted under the CARES Act Loan Agreement plus 3.50% in cash and 3.00% paid-in-kind and matures on the earlier of (i) October 24, 2025 and (ii) six months prior to the expiration of any material loyalty program securing the loan. The proceeds of the CARES Act Loan were used to provide liquidity to continue our operations during the COVID-19 pandemic.</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320" w:top="454" w:right="5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jc w:val="both"/>
        <w:ind w:left="200" w:right="160" w:firstLine="434"/>
        <w:spacing w:after="0" w:line="294" w:lineRule="auto"/>
        <w:rPr>
          <w:sz w:val="20"/>
          <w:szCs w:val="20"/>
          <w:color w:val="auto"/>
        </w:rPr>
      </w:pPr>
      <w:r>
        <w:rPr>
          <w:rFonts w:ascii="Arial" w:cs="Arial" w:eastAsia="Arial" w:hAnsi="Arial"/>
          <w:sz w:val="16"/>
          <w:szCs w:val="16"/>
          <w:color w:val="auto"/>
        </w:rPr>
        <w:t>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62"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8"/>
          <w:szCs w:val="18"/>
          <w:i w:val="1"/>
          <w:iCs w:val="1"/>
          <w:color w:val="auto"/>
        </w:rPr>
        <w:t>Risk Factors—Risks Related to this Offering and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320" w:top="454" w:right="5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equivalents and our capitalization as of December 31, 2020 on:</w:t>
      </w:r>
    </w:p>
    <w:p>
      <w:pPr>
        <w:spacing w:after="0" w:line="125" w:lineRule="exact"/>
        <w:rPr>
          <w:sz w:val="20"/>
          <w:szCs w:val="20"/>
          <w:color w:val="auto"/>
        </w:rPr>
      </w:pPr>
    </w:p>
    <w:p>
      <w:pPr>
        <w:ind w:left="1160" w:hanging="42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actual basis, giving effect to the Stock Split; and</w:t>
      </w:r>
    </w:p>
    <w:p>
      <w:pPr>
        <w:spacing w:after="0" w:line="125" w:lineRule="exact"/>
        <w:rPr>
          <w:rFonts w:ascii="Arial" w:cs="Arial" w:eastAsia="Arial" w:hAnsi="Arial"/>
          <w:sz w:val="18"/>
          <w:szCs w:val="18"/>
          <w:color w:val="auto"/>
        </w:rPr>
      </w:pPr>
    </w:p>
    <w:p>
      <w:pPr>
        <w:ind w:left="1160" w:right="620" w:hanging="429"/>
        <w:spacing w:after="0" w:line="266"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as adjusted basis to give effect to this offering and the application of the net proceeds of this offering as described under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79" w:lineRule="exact"/>
        <w:rPr>
          <w:sz w:val="20"/>
          <w:szCs w:val="20"/>
          <w:color w:val="auto"/>
        </w:rPr>
      </w:pPr>
    </w:p>
    <w:p>
      <w:pPr>
        <w:ind w:left="200" w:right="160" w:firstLine="434"/>
        <w:spacing w:after="0" w:line="303" w:lineRule="auto"/>
        <w:rPr>
          <w:sz w:val="20"/>
          <w:szCs w:val="20"/>
          <w:color w:val="auto"/>
        </w:rPr>
      </w:pPr>
      <w:r>
        <w:rPr>
          <w:rFonts w:ascii="Arial" w:cs="Arial" w:eastAsia="Arial" w:hAnsi="Arial"/>
          <w:sz w:val="16"/>
          <w:szCs w:val="16"/>
          <w:color w:val="auto"/>
        </w:rPr>
        <w:t xml:space="preserve">You should read this table together with the information included elsewhere in this prospectus, including </w:t>
      </w:r>
      <w:r>
        <w:rPr>
          <w:rFonts w:ascii="Arial" w:cs="Arial" w:eastAsia="Arial" w:hAnsi="Arial"/>
          <w:sz w:val="16"/>
          <w:szCs w:val="16"/>
          <w:i w:val="1"/>
          <w:iCs w:val="1"/>
          <w:color w:val="auto"/>
        </w:rPr>
        <w:t>“Prospectus Summary—Summary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Financial and Operating Information,” “Selected Historical Consolidated Financial Data,” “Management’s Discussion and Analysis of Financial Condition and Results of Operations,” </w:t>
      </w:r>
      <w:r>
        <w:rPr>
          <w:rFonts w:ascii="Arial" w:cs="Arial" w:eastAsia="Arial" w:hAnsi="Arial"/>
          <w:sz w:val="16"/>
          <w:szCs w:val="16"/>
          <w:color w:val="auto"/>
        </w:rPr>
        <w:t>and our audited consolidated financial statements and the related notes thereto.</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55"/>
              <w:spacing w:after="0" w:line="117"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adjusted</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135"/>
              <w:spacing w:after="0" w:line="140" w:lineRule="exact"/>
              <w:rPr>
                <w:sz w:val="20"/>
                <w:szCs w:val="20"/>
                <w:color w:val="auto"/>
              </w:rPr>
            </w:pPr>
            <w:r>
              <w:rPr>
                <w:rFonts w:ascii="Arial" w:cs="Arial" w:eastAsia="Arial" w:hAnsi="Arial"/>
                <w:sz w:val="14"/>
                <w:szCs w:val="14"/>
                <w:color w:val="auto"/>
                <w:w w:val="92"/>
              </w:rPr>
              <w:t>(in thousands,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(2)</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gridSpan w:val="3"/>
            <w:vMerge w:val="continue"/>
          </w:tcPr>
          <w:p>
            <w:pPr>
              <w:spacing w:after="0"/>
              <w:rPr>
                <w:sz w:val="17"/>
                <w:szCs w:val="17"/>
                <w:color w:val="auto"/>
              </w:rPr>
            </w:pPr>
          </w:p>
        </w:tc>
        <w:tc>
          <w:tcPr>
            <w:tcW w:w="16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282,463</w:t>
            </w:r>
          </w:p>
        </w:tc>
        <w:tc>
          <w:tcPr>
            <w:tcW w:w="340" w:type="dxa"/>
            <w:vAlign w:val="bottom"/>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5" w:lineRule="exact"/>
              <w:rPr>
                <w:sz w:val="20"/>
                <w:szCs w:val="20"/>
                <w:color w:val="auto"/>
              </w:rPr>
            </w:pPr>
            <w:r>
              <w:rPr>
                <w:rFonts w:ascii="Arial" w:cs="Arial" w:eastAsia="Arial" w:hAnsi="Arial"/>
                <w:sz w:val="18"/>
                <w:szCs w:val="18"/>
                <w:color w:val="auto"/>
              </w:rPr>
              <w:t>236,281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0" w:type="dxa"/>
            <w:vAlign w:val="bottom"/>
            <w:gridSpan w:val="2"/>
          </w:tcPr>
          <w:p>
            <w:pPr>
              <w:ind w:left="340"/>
              <w:spacing w:after="0" w:line="200" w:lineRule="exact"/>
              <w:rPr>
                <w:sz w:val="20"/>
                <w:szCs w:val="20"/>
                <w:color w:val="auto"/>
              </w:rPr>
            </w:pPr>
            <w:r>
              <w:rPr>
                <w:rFonts w:ascii="Arial" w:cs="Arial" w:eastAsia="Arial" w:hAnsi="Arial"/>
                <w:sz w:val="18"/>
                <w:szCs w:val="18"/>
                <w:color w:val="auto"/>
                <w:w w:val="93"/>
              </w:rPr>
              <w:t>Common stock—$0.01 par value; 94,443,000 shares authorized, 46,839,659 shares issued and outstanding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00" w:type="dxa"/>
            <w:vAlign w:val="bottom"/>
            <w:gridSpan w:val="2"/>
          </w:tcPr>
          <w:p>
            <w:pPr>
              <w:ind w:left="520"/>
              <w:spacing w:after="0"/>
              <w:rPr>
                <w:sz w:val="20"/>
                <w:szCs w:val="20"/>
                <w:color w:val="auto"/>
              </w:rPr>
            </w:pPr>
            <w:r>
              <w:rPr>
                <w:rFonts w:ascii="Arial" w:cs="Arial" w:eastAsia="Arial" w:hAnsi="Arial"/>
                <w:sz w:val="18"/>
                <w:szCs w:val="18"/>
                <w:color w:val="auto"/>
                <w:w w:val="98"/>
              </w:rPr>
              <w:t>(actual); 995,000,000 shares authorized, 55,930,568 shares issued and outstanding (as adjusted)</w:t>
            </w:r>
            <w:r>
              <w:rPr>
                <w:rFonts w:ascii="Arial" w:cs="Arial" w:eastAsia="Arial" w:hAnsi="Arial"/>
                <w:sz w:val="15"/>
                <w:szCs w:val="15"/>
                <w:color w:val="auto"/>
                <w:w w:val="98"/>
              </w:rPr>
              <w:t>(3)</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239,162</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stock—$0.01 par value; no shares authorized, no shares issued and outstanding (actual);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5,000,000 shares authorized, no shares issued and outstanding (as adjusted)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Loan to Stockholders</w:t>
            </w:r>
            <w:r>
              <w:rPr>
                <w:rFonts w:ascii="Arial" w:cs="Arial" w:eastAsia="Arial" w:hAnsi="Arial"/>
                <w:sz w:val="15"/>
                <w:szCs w:val="15"/>
                <w:color w:val="auto"/>
              </w:rPr>
              <w:t>(4)</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38,324</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capitalization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420" w:type="dxa"/>
            <w:vAlign w:val="bottom"/>
            <w:gridSpan w:val="3"/>
            <w:vMerge w:val="continue"/>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566,280</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20" w:right="60" w:hanging="421"/>
        <w:spacing w:after="0" w:line="220" w:lineRule="auto"/>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adjusted column gives effect to: (a) the receipt of $187.5 million of proceeds from this offering (based upon the assumed initial public offering price of $22.00, the midpoint of the range set forth on the cover page of the prospectus), after deducting underwriting discounts and commissions; (b) the total estimated offering expenses of $8.3 million, including $2.1 million which was paid prior to December 31, 2020; (c) the repayment in full of all amounts outstanding under the CARES Act Loan, including $45.4 million of outstanding principal and interest as of December 31, 2020 and $0.8 million of interest incurred after December 31, 2020 but before the consummation of this offering; and (d) the income tax receivable agreement that will be entered into with our pre-IPO stockholders in connection with this offering, which results in an increase in long-term liabilities and a reduction to retained earnings of $113.5 million, which is the midpoint of the range of estimated values for the income tax receivable agreement. As adjusted column does not give effect to the $0.4 million of offering expenses that were paid after December 31, 2020 but before the consummation of this offering, resulting in $5.8 million of offering expenses unpaid at the time of this offering.</w:t>
      </w:r>
    </w:p>
    <w:p>
      <w:pPr>
        <w:spacing w:after="0" w:line="1" w:lineRule="exact"/>
        <w:rPr>
          <w:rFonts w:ascii="Arial" w:cs="Arial" w:eastAsia="Arial" w:hAnsi="Arial"/>
          <w:sz w:val="14"/>
          <w:szCs w:val="14"/>
          <w:color w:val="auto"/>
        </w:rPr>
      </w:pPr>
    </w:p>
    <w:p>
      <w:pPr>
        <w:ind w:left="620" w:right="200" w:hanging="421"/>
        <w:spacing w:after="0" w:line="218" w:lineRule="auto"/>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Actual and as adjusted columns do not give effect to the borrowing of $68.0 million under the Delayed Draw Term Loan Facility in March 2021 for the purpose of financing the acquisition of five additional aircraft that we presently lease, three of which have been acquired, with the remainder under purchase agreements. See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w:t>
      </w:r>
      <w:r>
        <w:rPr>
          <w:rFonts w:ascii="Arial" w:cs="Arial" w:eastAsia="Arial" w:hAnsi="Arial"/>
          <w:sz w:val="14"/>
          <w:szCs w:val="14"/>
          <w:color w:val="auto"/>
        </w:rPr>
        <w:t>.”</w:t>
      </w:r>
    </w:p>
    <w:p>
      <w:pPr>
        <w:ind w:left="620" w:right="180" w:hanging="421"/>
        <w:spacing w:after="0" w:line="218" w:lineRule="auto"/>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Following this offering, 2019 Warrants to purchase an aggregate of 9,482,606 shares of common stock, approximately 10.7% of which have vested as of February 28, 2021, will remain outstanding.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w:t>
      </w:r>
    </w:p>
    <w:p>
      <w:pPr>
        <w:ind w:left="620" w:hanging="421"/>
        <w:spacing w:after="0"/>
        <w:tabs>
          <w:tab w:leader="none" w:pos="6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Loans to stockholders were outstanding as of December 31, 2020 but repaid in full in February 2021 prior to filing of the registration statement of which this prospectus forms a part.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4"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24" w:lineRule="exact"/>
        <w:rPr>
          <w:sz w:val="20"/>
          <w:szCs w:val="20"/>
          <w:color w:val="auto"/>
        </w:rPr>
      </w:pPr>
    </w:p>
    <w:p>
      <w:pPr>
        <w:ind w:left="200" w:right="20" w:firstLine="434"/>
        <w:spacing w:after="0" w:line="329" w:lineRule="auto"/>
        <w:rPr>
          <w:sz w:val="20"/>
          <w:szCs w:val="20"/>
          <w:color w:val="auto"/>
        </w:rPr>
      </w:pPr>
      <w:r>
        <w:rPr>
          <w:rFonts w:ascii="Arial" w:cs="Arial" w:eastAsia="Arial" w:hAnsi="Arial"/>
          <w:sz w:val="16"/>
          <w:szCs w:val="16"/>
          <w:color w:val="auto"/>
        </w:rPr>
        <w:t>Purchasers of the common stock in this offering will experience immediate and substantial dilution to the extent of the difference between the initial public offering price per share of our common stock and the as adjusted net tangible book value per share of our common stock after this offering.</w:t>
      </w:r>
    </w:p>
    <w:p>
      <w:pPr>
        <w:spacing w:after="0" w:line="134" w:lineRule="exact"/>
        <w:rPr>
          <w:sz w:val="20"/>
          <w:szCs w:val="20"/>
          <w:color w:val="auto"/>
        </w:rPr>
      </w:pPr>
    </w:p>
    <w:p>
      <w:pPr>
        <w:ind w:left="200" w:firstLine="434"/>
        <w:spacing w:after="0" w:line="278" w:lineRule="auto"/>
        <w:rPr>
          <w:sz w:val="20"/>
          <w:szCs w:val="20"/>
          <w:color w:val="auto"/>
        </w:rPr>
      </w:pPr>
      <w:r>
        <w:rPr>
          <w:rFonts w:ascii="Arial" w:cs="Arial" w:eastAsia="Arial" w:hAnsi="Arial"/>
          <w:sz w:val="17"/>
          <w:szCs w:val="17"/>
          <w:color w:val="auto"/>
        </w:rPr>
        <w:t>Our historical net tangible book value as of December 31, 2020 was $93.8 million, or $2.00 per share of our common stock. Historical net tangible book value per share represents the amount of our total tangible assets (total assets less goodwill, certain intangible assets and deferred offering costs) less total liabilities divided by the number of shares of common stock issued and outstanding as of December 31, 2020.</w:t>
      </w:r>
    </w:p>
    <w:p>
      <w:pPr>
        <w:spacing w:after="0" w:line="17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Our as adjusted net tangible book value as of December 31, 2020 was $164.0 million, or $2.93 per share of our common stock. As adjusted net tangible book value per share represents our historical net tangible book value after giving effect to the sale of shares of common stock by us in this offering at the assumed initial public offering price of $22.00 per share (the midpoint of the range set forth on the cover page of this prospectus) and the application of the net proceeds from this offering.</w:t>
      </w:r>
    </w:p>
    <w:p>
      <w:pPr>
        <w:spacing w:after="0" w:line="191" w:lineRule="exact"/>
        <w:rPr>
          <w:sz w:val="20"/>
          <w:szCs w:val="20"/>
          <w:color w:val="auto"/>
        </w:rPr>
      </w:pPr>
    </w:p>
    <w:p>
      <w:pPr>
        <w:ind w:left="200" w:right="380" w:firstLine="434"/>
        <w:spacing w:after="0" w:line="266" w:lineRule="auto"/>
        <w:rPr>
          <w:sz w:val="20"/>
          <w:szCs w:val="20"/>
          <w:color w:val="auto"/>
        </w:rPr>
      </w:pPr>
      <w:r>
        <w:rPr>
          <w:rFonts w:ascii="Arial" w:cs="Arial" w:eastAsia="Arial" w:hAnsi="Arial"/>
          <w:sz w:val="18"/>
          <w:szCs w:val="18"/>
          <w:color w:val="auto"/>
        </w:rPr>
        <w:t>The following table illustrates the dilution per share of our common stock, assuming the underwriters do not exercise their option to purchase additional shares of our common stock:</w:t>
      </w:r>
    </w:p>
    <w:p>
      <w:pPr>
        <w:spacing w:after="0" w:line="218" w:lineRule="exact"/>
        <w:rPr>
          <w:sz w:val="20"/>
          <w:szCs w:val="20"/>
          <w:color w:val="auto"/>
        </w:rPr>
      </w:pPr>
    </w:p>
    <w:tbl>
      <w:tblPr>
        <w:tblLayout w:type="fixed"/>
        <w:tblInd w:w="15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historical net tangible book value per share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attributable to new investors purchasing shares in this offering</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$ 0.93</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w:t>
            </w:r>
          </w:p>
        </w:tc>
        <w:tc>
          <w:tcPr>
            <w:tcW w:w="9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this offering</w:t>
            </w:r>
          </w:p>
        </w:tc>
        <w:tc>
          <w:tcPr>
            <w:tcW w:w="1880" w:type="dxa"/>
            <w:vAlign w:val="bottom"/>
            <w:gridSpan w:val="3"/>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8"/>
          <w:szCs w:val="18"/>
          <w:color w:val="auto"/>
        </w:rPr>
        <w:t>Dilution per share to new investors purchasing shares in this offering is determined by subtracting as adjusted net tangible book value per share after this offering from the initial public offering price per share of common stock.</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dilution information discussed above is illustrative only and may change based on the actual initial public offering price and other terms of this offering. A $1.00 increase (decrease) in the assumed initial public offering price of $22.00 per share of common stock, the midpoint of the range set forth on the cover page of this prospectus, would increase (decrease) our as adjusted net tangible book value per share after this offering by $0.15 per share and increase (decrease) the dilution to new investors by $0.85 per share, in each case assuming the number of shares of common stock offered by us, as set forth on the cover page of this prospectus, remains the same, and after deducting estimated underwriting discounts and commissions. Similarly, each increase or decrease of 1,000,000 shares in the number of shares of common stock offered by us would increase (decrease) our as adjusted net tangible book value by approximately $0.93 per share and decrease (increase) the dilution to new investors by approximately $0.20 per share, in each case assuming the assumed initial public offering price of $22.00 per share of common stock remains the same, and after deducting estimated underwriting discounts and commissions.</w:t>
      </w:r>
    </w:p>
    <w:p>
      <w:pPr>
        <w:spacing w:after="0" w:line="185"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To the extent the underwriters’ option to purchase additional shares is exercised, there will be further dilution to new investors. If the underwriters exercise their option to purchase additional shares of common stock in full, the as adjusted net tangible book value per share would be $3.35 per share, and the dilution per share to new investors purchasing shares in this offering would be $18.65 per share.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40"/>
          </w:cols>
          <w:pgMar w:left="320" w:top="454"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20" w:firstLine="434"/>
        <w:spacing w:after="0" w:line="272" w:lineRule="auto"/>
        <w:rPr>
          <w:sz w:val="20"/>
          <w:szCs w:val="20"/>
          <w:color w:val="auto"/>
        </w:rPr>
      </w:pPr>
      <w:r>
        <w:rPr>
          <w:rFonts w:ascii="Arial" w:cs="Arial" w:eastAsia="Arial" w:hAnsi="Arial"/>
          <w:sz w:val="17"/>
          <w:szCs w:val="17"/>
          <w:color w:val="auto"/>
        </w:rPr>
        <w:t>The following table summarizes, as of December 31, 2020, on an as adjusted basis as described above, the total number of shares of common stock owned by existing stockholders and to be owned by new investors, the total consideration paid, and the average price per share paid by our existing stockholders and to be paid by new investors in this offering at the assumed initial public offering price of $22.00 per share, calculated before deduction of estimated underwriting discounts and commissions and estimated offering expenses payable by 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center"/>
              <w:ind w:left="385"/>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80"/>
        </w:trPr>
        <w:tc>
          <w:tcPr>
            <w:tcW w:w="5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restart"/>
          </w:tcPr>
          <w:p>
            <w:pPr>
              <w:jc w:val="center"/>
              <w:ind w:right="78"/>
              <w:spacing w:after="0" w:line="147"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6"/>
        </w:trPr>
        <w:tc>
          <w:tcPr>
            <w:tcW w:w="5800" w:type="dxa"/>
            <w:vAlign w:val="bottom"/>
          </w:tcPr>
          <w:p>
            <w:pPr>
              <w:spacing w:after="0"/>
              <w:rPr>
                <w:sz w:val="5"/>
                <w:szCs w:val="5"/>
                <w:color w:val="auto"/>
              </w:rPr>
            </w:pPr>
          </w:p>
        </w:tc>
        <w:tc>
          <w:tcPr>
            <w:tcW w:w="1680" w:type="dxa"/>
            <w:vAlign w:val="bottom"/>
            <w:gridSpan w:val="3"/>
            <w:vMerge w:val="restart"/>
          </w:tcPr>
          <w:p>
            <w:pPr>
              <w:jc w:val="right"/>
              <w:ind w:right="211"/>
              <w:spacing w:after="0"/>
              <w:rPr>
                <w:sz w:val="20"/>
                <w:szCs w:val="20"/>
                <w:color w:val="auto"/>
              </w:rPr>
            </w:pPr>
            <w:r>
              <w:rPr>
                <w:rFonts w:ascii="Arial" w:cs="Arial" w:eastAsia="Arial" w:hAnsi="Arial"/>
                <w:sz w:val="14"/>
                <w:szCs w:val="14"/>
                <w:b w:val="1"/>
                <w:bCs w:val="1"/>
                <w:color w:val="auto"/>
              </w:rPr>
              <w:t>Shares Purchased</w:t>
            </w:r>
          </w:p>
        </w:tc>
        <w:tc>
          <w:tcPr>
            <w:tcW w:w="3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restart"/>
          </w:tcPr>
          <w:p>
            <w:pPr>
              <w:jc w:val="center"/>
              <w:ind w:left="405"/>
              <w:spacing w:after="0"/>
              <w:rPr>
                <w:sz w:val="20"/>
                <w:szCs w:val="20"/>
                <w:color w:val="auto"/>
              </w:rPr>
            </w:pPr>
            <w:r>
              <w:rPr>
                <w:rFonts w:ascii="Arial" w:cs="Arial" w:eastAsia="Arial" w:hAnsi="Arial"/>
                <w:sz w:val="14"/>
                <w:szCs w:val="14"/>
                <w:b w:val="1"/>
                <w:bCs w:val="1"/>
                <w:color w:val="auto"/>
                <w:w w:val="91"/>
              </w:rPr>
              <w:t>Consideration</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1680" w:type="dxa"/>
            <w:vAlign w:val="bottom"/>
            <w:tcBorders>
              <w:bottom w:val="single" w:sz="8" w:color="auto"/>
            </w:tcBorders>
            <w:gridSpan w:val="3"/>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center"/>
              <w:ind w:right="118"/>
              <w:spacing w:after="0" w:line="147"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86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2"/>
                <w:szCs w:val="2"/>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46,839,659</w:t>
            </w:r>
          </w:p>
        </w:tc>
        <w:tc>
          <w:tcPr>
            <w:tcW w:w="36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w:t>
            </w:r>
          </w:p>
        </w:tc>
        <w:tc>
          <w:tcPr>
            <w:tcW w:w="18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$235,661,000</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54.1%</w:t>
            </w: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Investors in the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9,090,909</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199,999,998</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22.00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0"/>
              </w:rPr>
              <w:t>55,930,568</w:t>
            </w:r>
          </w:p>
        </w:tc>
        <w:tc>
          <w:tcPr>
            <w:tcW w:w="1140" w:type="dxa"/>
            <w:vAlign w:val="bottom"/>
            <w:gridSpan w:val="3"/>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$435,660,998</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160" w:firstLine="434"/>
        <w:spacing w:after="0" w:line="329" w:lineRule="auto"/>
        <w:rPr>
          <w:sz w:val="20"/>
          <w:szCs w:val="20"/>
          <w:color w:val="auto"/>
        </w:rPr>
      </w:pPr>
      <w:r>
        <w:rPr>
          <w:rFonts w:ascii="Arial" w:cs="Arial" w:eastAsia="Arial" w:hAnsi="Arial"/>
          <w:sz w:val="16"/>
          <w:szCs w:val="16"/>
          <w:color w:val="auto"/>
        </w:rPr>
        <w:t>A $1.00 increase (decrease) in the assumed initial public offering price would increase (decrease) total consideration paid by new investors, total consideration paid by all stockholders and average price per share paid by new investors by $9,090,909, $9,090,909 and $0.16 per share, respectively.</w:t>
      </w:r>
    </w:p>
    <w:p>
      <w:pPr>
        <w:spacing w:after="0" w:line="134" w:lineRule="exact"/>
        <w:rPr>
          <w:sz w:val="20"/>
          <w:szCs w:val="20"/>
          <w:color w:val="auto"/>
        </w:rPr>
      </w:pPr>
    </w:p>
    <w:p>
      <w:pPr>
        <w:ind w:left="200" w:right="60" w:firstLine="434"/>
        <w:spacing w:after="0" w:line="296" w:lineRule="auto"/>
        <w:rPr>
          <w:sz w:val="20"/>
          <w:szCs w:val="20"/>
          <w:color w:val="auto"/>
        </w:rPr>
      </w:pPr>
      <w:r>
        <w:rPr>
          <w:rFonts w:ascii="Arial" w:cs="Arial" w:eastAsia="Arial" w:hAnsi="Arial"/>
          <w:sz w:val="17"/>
          <w:szCs w:val="17"/>
          <w:color w:val="auto"/>
        </w:rPr>
        <w:t>If the underwriters were to fully exercise their option to purchase additional shares of our common stock, the percentage of common stock held by existing investors would be 81.8%, and the percentage of shares of common stock held by new investors would be 18.2%.</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tables and calculations, except as otherwise indicated:</w:t>
      </w:r>
    </w:p>
    <w:p>
      <w:pPr>
        <w:spacing w:after="0" w:line="125" w:lineRule="exact"/>
        <w:rPr>
          <w:sz w:val="20"/>
          <w:szCs w:val="20"/>
          <w:color w:val="auto"/>
        </w:rPr>
      </w:pPr>
    </w:p>
    <w:p>
      <w:pPr>
        <w:ind w:left="1160" w:hanging="42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 the Reorganization Transactions, including the Stock Split;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 the entry into the income tax receivable agreement in connection with this offering;</w:t>
      </w:r>
    </w:p>
    <w:p>
      <w:pPr>
        <w:spacing w:after="0" w:line="125" w:lineRule="exact"/>
        <w:rPr>
          <w:rFonts w:ascii="Arial" w:cs="Arial" w:eastAsia="Arial" w:hAnsi="Arial"/>
          <w:sz w:val="18"/>
          <w:szCs w:val="18"/>
          <w:color w:val="auto"/>
        </w:rPr>
      </w:pPr>
    </w:p>
    <w:p>
      <w:pPr>
        <w:ind w:left="1160" w:right="600" w:hanging="429"/>
        <w:spacing w:after="0" w:line="266"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 an initial public offering price of $22.00 per share of common stock, the midpoint of the range set forth on the cover of this prospectus;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 no exercise of the underwriters’ option to purchase 1,363,636 additional shares of common stock from us;</w:t>
      </w:r>
    </w:p>
    <w:p>
      <w:pPr>
        <w:spacing w:after="0" w:line="125" w:lineRule="exact"/>
        <w:rPr>
          <w:rFonts w:ascii="Arial" w:cs="Arial" w:eastAsia="Arial" w:hAnsi="Arial"/>
          <w:sz w:val="18"/>
          <w:szCs w:val="18"/>
          <w:color w:val="auto"/>
        </w:rPr>
      </w:pPr>
    </w:p>
    <w:p>
      <w:pPr>
        <w:ind w:left="1160" w:right="200" w:hanging="429"/>
        <w:spacing w:after="0" w:line="253"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 no exercise of the 2019 Warrants to purchase an aggregate of 9,482,606 shares of common stock, approximately 10.7% of which have vested as of February 28, 2021. As is the case 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Stock—Limited</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and Voting by Foreign Owners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1160" w:right="560" w:hanging="429"/>
        <w:spacing w:after="0" w:line="266"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reflect an additional shares of our common stock reserved for future grant under the Omnibus Incentive Plan.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Compensation—Equity Compensation Plans—2021 Omnibus Incentive Plan</w:t>
      </w:r>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1160" w:right="20" w:hanging="429"/>
        <w:spacing w:after="0" w:line="256"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reflect 5,893,704 shares of common stock that may be issued upon the exercise of stock options outstanding as of the consummation of this offering under the SCA Acquisition Equity Plan. The following table sets forth the outstanding stock options under the SCA Acquisition Equity Plan as of December 31, 2020 (after giving effect to the Stock Split):</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198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Vested stock options (time-based vesting)</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1,054,059</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Unvested stock options (time-based vesting)</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1,275,402</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3,577,252</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2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00" w:type="dxa"/>
            <w:vAlign w:val="bottom"/>
          </w:tcPr>
          <w:p>
            <w:pPr>
              <w:jc w:val="right"/>
              <w:ind w:right="69"/>
              <w:spacing w:after="0"/>
              <w:rPr>
                <w:sz w:val="20"/>
                <w:szCs w:val="20"/>
                <w:color w:val="auto"/>
              </w:rPr>
            </w:pPr>
            <w:r>
              <w:rPr>
                <w:rFonts w:ascii="Arial" w:cs="Arial" w:eastAsia="Arial" w:hAnsi="Arial"/>
                <w:sz w:val="14"/>
                <w:szCs w:val="14"/>
                <w:color w:val="auto"/>
                <w:w w:val="81"/>
              </w:rPr>
              <w:t>(1)</w:t>
            </w:r>
          </w:p>
        </w:tc>
        <w:tc>
          <w:tcPr>
            <w:tcW w:w="6500" w:type="dxa"/>
            <w:vAlign w:val="bottom"/>
            <w:gridSpan w:val="3"/>
          </w:tcPr>
          <w:p>
            <w:pPr>
              <w:jc w:val="right"/>
              <w:ind w:right="891"/>
              <w:spacing w:after="0"/>
              <w:rPr>
                <w:sz w:val="20"/>
                <w:szCs w:val="20"/>
                <w:color w:val="auto"/>
              </w:rPr>
            </w:pPr>
            <w:r>
              <w:rPr>
                <w:rFonts w:ascii="Arial" w:cs="Arial" w:eastAsia="Arial" w:hAnsi="Arial"/>
                <w:sz w:val="14"/>
                <w:szCs w:val="14"/>
                <w:color w:val="auto"/>
                <w:w w:val="93"/>
              </w:rPr>
              <w:t>Upon a holder’s exercise of one option, we will issue to the holder one share of common stock.</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6500" w:type="dxa"/>
            <w:vAlign w:val="bottom"/>
            <w:gridSpan w:val="3"/>
          </w:tcPr>
          <w:p>
            <w:pPr>
              <w:jc w:val="right"/>
              <w:ind w:right="1191"/>
              <w:spacing w:after="0"/>
              <w:rPr>
                <w:sz w:val="20"/>
                <w:szCs w:val="20"/>
                <w:color w:val="auto"/>
              </w:rPr>
            </w:pPr>
            <w:r>
              <w:rPr>
                <w:rFonts w:ascii="Arial" w:cs="Arial" w:eastAsia="Arial" w:hAnsi="Arial"/>
                <w:sz w:val="18"/>
                <w:szCs w:val="18"/>
                <w:color w:val="auto"/>
              </w:rPr>
              <w:t>68</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To the extent that any outstanding options or warrants to purchase our common stock are exercised, or new awards are granted under our equity compensation plans, there will be further dilution to investors participating in this offering.</w:t>
      </w:r>
    </w:p>
    <w:p>
      <w:pPr>
        <w:spacing w:after="0" w:line="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320" w:top="454" w:right="6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4" w:lineRule="exact"/>
        <w:rPr>
          <w:sz w:val="20"/>
          <w:szCs w:val="20"/>
          <w:color w:val="auto"/>
        </w:rPr>
      </w:pPr>
    </w:p>
    <w:p>
      <w:pPr>
        <w:ind w:left="200" w:right="80" w:firstLine="434"/>
        <w:spacing w:after="0" w:line="332" w:lineRule="auto"/>
        <w:rPr>
          <w:sz w:val="20"/>
          <w:szCs w:val="20"/>
          <w:color w:val="auto"/>
        </w:rPr>
      </w:pPr>
      <w:r>
        <w:rPr>
          <w:rFonts w:ascii="Arial" w:cs="Arial" w:eastAsia="Arial" w:hAnsi="Arial"/>
          <w:sz w:val="14"/>
          <w:szCs w:val="14"/>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 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w:t>
      </w:r>
    </w:p>
    <w:p>
      <w:pPr>
        <w:spacing w:after="0" w:line="143" w:lineRule="exact"/>
        <w:rPr>
          <w:sz w:val="20"/>
          <w:szCs w:val="20"/>
          <w:color w:val="auto"/>
        </w:rPr>
      </w:pPr>
    </w:p>
    <w:p>
      <w:pPr>
        <w:jc w:val="both"/>
        <w:ind w:left="200" w:right="140" w:firstLine="434"/>
        <w:spacing w:after="0" w:line="282" w:lineRule="auto"/>
        <w:rPr>
          <w:sz w:val="20"/>
          <w:szCs w:val="20"/>
          <w:color w:val="auto"/>
        </w:rPr>
      </w:pPr>
      <w:r>
        <w:rPr>
          <w:rFonts w:ascii="Arial" w:cs="Arial" w:eastAsia="Arial" w:hAnsi="Arial"/>
          <w:sz w:val="16"/>
          <w:szCs w:val="16"/>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1" w:lineRule="exact"/>
        <w:rPr>
          <w:sz w:val="20"/>
          <w:szCs w:val="20"/>
          <w:color w:val="auto"/>
        </w:rPr>
      </w:pPr>
    </w:p>
    <w:p>
      <w:pPr>
        <w:ind w:left="200" w:right="120" w:hanging="1"/>
        <w:spacing w:after="0" w:line="264" w:lineRule="auto"/>
        <w:tabs>
          <w:tab w:leader="none" w:pos="4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audited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consolidated financial statements and the related notes included elsewhere in this prospectus.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12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For the year</w:t>
            </w:r>
          </w:p>
        </w:tc>
        <w:tc>
          <w:tcPr>
            <w:tcW w:w="1380" w:type="dxa"/>
            <w:vAlign w:val="bottom"/>
            <w:tcBorders>
              <w:right w:val="single" w:sz="8" w:color="auto"/>
            </w:tcBorders>
            <w:gridSpan w:val="4"/>
          </w:tcPr>
          <w:p>
            <w:pPr>
              <w:jc w:val="center"/>
              <w:ind w:right="300"/>
              <w:spacing w:after="0" w:line="117" w:lineRule="exact"/>
              <w:rPr>
                <w:sz w:val="20"/>
                <w:szCs w:val="20"/>
                <w:color w:val="auto"/>
              </w:rPr>
            </w:pPr>
            <w:r>
              <w:rPr>
                <w:rFonts w:ascii="Arial" w:cs="Arial" w:eastAsia="Arial" w:hAnsi="Arial"/>
                <w:sz w:val="13"/>
                <w:szCs w:val="13"/>
                <w:b w:val="1"/>
                <w:bCs w:val="1"/>
                <w:color w:val="auto"/>
              </w:rPr>
              <w:t>For the period</w:t>
            </w: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1"/>
              </w:rPr>
              <w:t>For the period</w:t>
            </w:r>
          </w:p>
        </w:tc>
        <w:tc>
          <w:tcPr>
            <w:tcW w:w="240" w:type="dxa"/>
            <w:vAlign w:val="bottom"/>
          </w:tcPr>
          <w:p>
            <w:pPr>
              <w:spacing w:after="0"/>
              <w:rPr>
                <w:sz w:val="10"/>
                <w:szCs w:val="1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1"/>
              <w:spacing w:after="0" w:line="147"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gridSpan w:val="4"/>
          </w:tcPr>
          <w:p>
            <w:pPr>
              <w:jc w:val="center"/>
              <w:ind w:left="863"/>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4"/>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280" w:type="dxa"/>
            <w:vAlign w:val="bottom"/>
            <w:tcBorders>
              <w:right w:val="single" w:sz="8" w:color="auto"/>
            </w:tcBorders>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1100" w:type="dxa"/>
            <w:vAlign w:val="bottom"/>
            <w:gridSpan w:val="4"/>
          </w:tcPr>
          <w:p>
            <w:pPr>
              <w:jc w:val="center"/>
              <w:ind w:left="83"/>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April 10, 2018</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Passenger</w:t>
            </w:r>
          </w:p>
        </w:tc>
        <w:tc>
          <w:tcPr>
            <w:tcW w:w="1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359,232</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688,833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335,824</w:t>
            </w:r>
          </w:p>
        </w:tc>
        <w:tc>
          <w:tcPr>
            <w:tcW w:w="40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172,897</w:t>
            </w:r>
          </w:p>
        </w:tc>
        <w:tc>
          <w:tcPr>
            <w:tcW w:w="4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Cargo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24,555</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620"/>
              <w:spacing w:after="0"/>
              <w:rPr>
                <w:sz w:val="20"/>
                <w:szCs w:val="20"/>
                <w:color w:val="auto"/>
              </w:rPr>
            </w:pPr>
            <w:r>
              <w:rPr>
                <w:rFonts w:ascii="Arial" w:cs="Arial" w:eastAsia="Arial" w:hAnsi="Arial"/>
                <w:sz w:val="16"/>
                <w:szCs w:val="16"/>
                <w:color w:val="auto"/>
              </w:rPr>
              <w:t>Total Operating Revenue</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384,931</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197,452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Aircraft Fuel</w:t>
            </w:r>
          </w:p>
        </w:tc>
        <w:tc>
          <w:tcPr>
            <w:tcW w:w="1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83,392</w:t>
            </w:r>
          </w:p>
        </w:tc>
        <w:tc>
          <w:tcPr>
            <w:tcW w:w="180" w:type="dxa"/>
            <w:vAlign w:val="bottom"/>
          </w:tcPr>
          <w:p>
            <w:pPr>
              <w:spacing w:after="0"/>
              <w:rPr>
                <w:sz w:val="17"/>
                <w:szCs w:val="17"/>
                <w:color w:val="auto"/>
              </w:rPr>
            </w:pP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165,666</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119,553</w:t>
            </w:r>
          </w:p>
        </w:tc>
        <w:tc>
          <w:tcPr>
            <w:tcW w:w="400" w:type="dxa"/>
            <w:vAlign w:val="bottom"/>
            <w:tcBorders>
              <w:right w:val="single" w:sz="8" w:color="auto"/>
            </w:tcBorders>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45,790</w:t>
            </w:r>
          </w:p>
        </w:tc>
        <w:tc>
          <w:tcPr>
            <w:tcW w:w="4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Salaries, Wages, and Benefits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90,263</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line="199"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36,831</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199" w:lineRule="exact"/>
              <w:rPr>
                <w:sz w:val="20"/>
                <w:szCs w:val="20"/>
                <w:color w:val="auto"/>
              </w:rPr>
            </w:pPr>
            <w:r>
              <w:rPr>
                <w:rFonts w:ascii="Arial" w:cs="Arial" w:eastAsia="Arial" w:hAnsi="Arial"/>
                <w:sz w:val="14"/>
                <w:szCs w:val="14"/>
                <w:color w:val="auto"/>
              </w:rPr>
              <w:t>Maintenance</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15,491</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17,180</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19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14,405</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Ground Handling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41,719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23,828</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Landing Fees and Airport Rent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line="199" w:lineRule="exact"/>
              <w:rPr>
                <w:sz w:val="20"/>
                <w:szCs w:val="20"/>
                <w:color w:val="auto"/>
              </w:rPr>
            </w:pPr>
            <w:r>
              <w:rPr>
                <w:rFonts w:ascii="Arial" w:cs="Arial" w:eastAsia="Arial" w:hAnsi="Arial"/>
                <w:sz w:val="14"/>
                <w:szCs w:val="14"/>
                <w:color w:val="auto"/>
              </w:rPr>
              <w:t>Special Items, net</w:t>
            </w:r>
            <w:r>
              <w:rPr>
                <w:rFonts w:ascii="Arial" w:cs="Arial" w:eastAsia="Arial" w:hAnsi="Arial"/>
                <w:sz w:val="23"/>
                <w:szCs w:val="23"/>
                <w:color w:val="auto"/>
                <w:vertAlign w:val="superscript"/>
              </w:rPr>
              <w:t>(4)</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(64,563)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(6,706)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Operating, net</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17,994</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377,699</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4"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 the year</w:t>
            </w:r>
          </w:p>
        </w:tc>
        <w:tc>
          <w:tcPr>
            <w:tcW w:w="1480" w:type="dxa"/>
            <w:vAlign w:val="bottom"/>
            <w:tcBorders>
              <w:right w:val="single" w:sz="8" w:color="auto"/>
            </w:tcBorders>
            <w:gridSpan w:val="4"/>
          </w:tcPr>
          <w:p>
            <w:pPr>
              <w:ind w:left="140"/>
              <w:spacing w:after="0" w:line="117" w:lineRule="exact"/>
              <w:rPr>
                <w:sz w:val="20"/>
                <w:szCs w:val="20"/>
                <w:color w:val="auto"/>
              </w:rPr>
            </w:pPr>
            <w:r>
              <w:rPr>
                <w:rFonts w:ascii="Arial" w:cs="Arial" w:eastAsia="Arial" w:hAnsi="Arial"/>
                <w:sz w:val="13"/>
                <w:szCs w:val="13"/>
                <w:b w:val="1"/>
                <w:bCs w:val="1"/>
                <w:color w:val="auto"/>
              </w:rPr>
              <w:t>For the period</w:t>
            </w:r>
          </w:p>
        </w:tc>
        <w:tc>
          <w:tcPr>
            <w:tcW w:w="13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April 11, 2018</w:t>
            </w:r>
          </w:p>
        </w:tc>
        <w:tc>
          <w:tcPr>
            <w:tcW w:w="13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640" w:type="dxa"/>
            <w:vAlign w:val="bottom"/>
            <w:gridSpan w:val="4"/>
          </w:tcPr>
          <w:p>
            <w:pPr>
              <w:ind w:left="600"/>
              <w:spacing w:after="0" w:line="147"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140"/>
              <w:spacing w:after="0" w:line="147"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c>
          <w:tcPr>
            <w:tcW w:w="1080" w:type="dxa"/>
            <w:vAlign w:val="bottom"/>
            <w:gridSpan w:val="3"/>
          </w:tcPr>
          <w:p>
            <w:pPr>
              <w:jc w:val="right"/>
              <w:ind w:right="2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108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14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April 10,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Non-operating Income (Expense):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7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17"/>
                <w:szCs w:val="17"/>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937</w:t>
            </w:r>
          </w:p>
        </w:tc>
        <w:tc>
          <w:tcPr>
            <w:tcW w:w="2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460" w:type="dxa"/>
            <w:vAlign w:val="bottom"/>
            <w:tcBorders>
              <w:right w:val="single" w:sz="8" w:color="auto"/>
            </w:tcBorders>
          </w:tcPr>
          <w:p>
            <w:pPr>
              <w:spacing w:after="0"/>
              <w:rPr>
                <w:sz w:val="17"/>
                <w:szCs w:val="17"/>
                <w:color w:val="auto"/>
              </w:rPr>
            </w:pP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7"/>
                <w:szCs w:val="17"/>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(17,170)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(6,060)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199"/>
        </w:trPr>
        <w:tc>
          <w:tcPr>
            <w:tcW w:w="414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(1,636)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Non-operating Expense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(7,438)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Income (Loss) before Income Tax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(4,682)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60,160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vMerge w:val="continue"/>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(3,904)</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46,072</w:t>
            </w:r>
          </w:p>
        </w:tc>
        <w:tc>
          <w:tcPr>
            <w:tcW w:w="2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(367)</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25,910</w:t>
            </w:r>
          </w:p>
        </w:tc>
        <w:tc>
          <w:tcPr>
            <w:tcW w:w="200" w:type="dxa"/>
            <w:vAlign w:val="bottom"/>
          </w:tcPr>
          <w:p>
            <w:pPr>
              <w:spacing w:after="0"/>
              <w:rPr>
                <w:sz w:val="17"/>
                <w:szCs w:val="17"/>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 (Loss) per share to common stockholders: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40" w:type="dxa"/>
            <w:vAlign w:val="bottom"/>
          </w:tcPr>
          <w:p>
            <w:pPr>
              <w:ind w:left="320"/>
              <w:spacing w:after="0"/>
              <w:rPr>
                <w:sz w:val="20"/>
                <w:szCs w:val="20"/>
                <w:color w:val="auto"/>
              </w:rPr>
            </w:pPr>
            <w:r>
              <w:rPr>
                <w:rFonts w:ascii="Arial" w:cs="Arial" w:eastAsia="Arial" w:hAnsi="Arial"/>
                <w:sz w:val="16"/>
                <w:szCs w:val="16"/>
                <w:color w:val="auto"/>
              </w:rPr>
              <w:t>Basic</w:t>
            </w:r>
          </w:p>
        </w:tc>
        <w:tc>
          <w:tcPr>
            <w:tcW w:w="7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(0.08)</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0.99</w:t>
            </w:r>
          </w:p>
        </w:tc>
        <w:tc>
          <w:tcPr>
            <w:tcW w:w="220" w:type="dxa"/>
            <w:vAlign w:val="bottom"/>
          </w:tcPr>
          <w:p>
            <w:pPr>
              <w:spacing w:after="0"/>
              <w:rPr>
                <w:sz w:val="22"/>
                <w:szCs w:val="22"/>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(0.01)</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(0.01)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Shares used for computation:</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46,701</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46,806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47,909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46,701</w:t>
            </w:r>
          </w:p>
        </w:tc>
        <w:tc>
          <w:tcPr>
            <w:tcW w:w="4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40" w:hanging="421"/>
        <w:spacing w:after="0" w:line="222"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620" w:right="20" w:hanging="421"/>
        <w:spacing w:after="0" w:line="218"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ind w:left="620" w:right="20" w:hanging="421"/>
        <w:spacing w:after="0" w:line="218"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ind w:left="620" w:hanging="421"/>
        <w:spacing w:after="0"/>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jc w:val="right"/>
              <w:ind w:right="175"/>
              <w:spacing w:after="0" w:line="140"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197"/>
              <w:spacing w:after="0" w:line="140"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940" w:type="dxa"/>
            <w:vAlign w:val="bottom"/>
            <w:tcBorders>
              <w:bottom w:val="single" w:sz="8" w:color="auto"/>
            </w:tcBorders>
          </w:tcPr>
          <w:p>
            <w:pPr>
              <w:jc w:val="right"/>
              <w:ind w:right="355"/>
              <w:spacing w:after="0" w:line="140"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Cash and equivalents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   62,028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   51,006</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w w:val="94"/>
              </w:rPr>
              <w:t>$ 29,600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  4,276</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1,053,267</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1,007,876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675,832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216,828</w:t>
            </w:r>
          </w:p>
        </w:tc>
        <w:tc>
          <w:tcPr>
            <w:tcW w:w="0" w:type="dxa"/>
            <w:vAlign w:val="bottom"/>
          </w:tcPr>
          <w:p>
            <w:pPr>
              <w:spacing w:after="0"/>
              <w:rPr>
                <w:sz w:val="1"/>
                <w:szCs w:val="1"/>
                <w:color w:val="auto"/>
              </w:rPr>
            </w:pPr>
          </w:p>
        </w:tc>
      </w:tr>
      <w:tr>
        <w:trPr>
          <w:trHeight w:val="199"/>
        </w:trPr>
        <w:tc>
          <w:tcPr>
            <w:tcW w:w="4520" w:type="dxa"/>
            <w:vAlign w:val="bottom"/>
          </w:tcPr>
          <w:p>
            <w:pPr>
              <w:spacing w:after="0" w:line="200" w:lineRule="exact"/>
              <w:rPr>
                <w:sz w:val="20"/>
                <w:szCs w:val="20"/>
                <w:color w:val="auto"/>
              </w:rPr>
            </w:pPr>
            <w:r>
              <w:rPr>
                <w:rFonts w:ascii="Arial" w:cs="Arial" w:eastAsia="Arial" w:hAnsi="Arial"/>
                <w:sz w:val="18"/>
                <w:szCs w:val="18"/>
                <w:color w:val="auto"/>
              </w:rPr>
              <w:t>Long-term debt and finance lease obligations, including</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160"/>
              <w:spacing w:after="0"/>
              <w:rPr>
                <w:sz w:val="20"/>
                <w:szCs w:val="20"/>
                <w:color w:val="auto"/>
              </w:rPr>
            </w:pPr>
            <w:r>
              <w:rPr>
                <w:rFonts w:ascii="Arial" w:cs="Arial" w:eastAsia="Arial" w:hAnsi="Arial"/>
                <w:sz w:val="18"/>
                <w:szCs w:val="18"/>
                <w:color w:val="auto"/>
              </w:rPr>
              <w:t>current portion</w:t>
            </w:r>
            <w:r>
              <w:rPr>
                <w:rFonts w:ascii="Arial" w:cs="Arial" w:eastAsia="Arial" w:hAnsi="Arial"/>
                <w:sz w:val="15"/>
                <w:szCs w:val="15"/>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389,633</w:t>
            </w:r>
          </w:p>
        </w:tc>
        <w:tc>
          <w:tcPr>
            <w:tcW w:w="52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284,272</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150,246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283,724</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235,647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280" w:hanging="421"/>
        <w:spacing w:after="0" w:line="246" w:lineRule="auto"/>
        <w:tabs>
          <w:tab w:leader="none" w:pos="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Finance lease obligations were formerly referred to as capital lease obligations prior to our adoption of Accounting Standards Codification 842: Lease Accounting (“ASC 842”) on January 1, 2019. See Note 2 to our audited consolidated financial statements included elsewhere in this prospectus for additional information.</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4"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ind w:left="200" w:right="180" w:firstLine="434"/>
        <w:spacing w:after="0" w:line="286"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200" w:right="40" w:firstLine="434"/>
        <w:spacing w:after="0" w:line="283"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7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2"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7"/>
          <w:szCs w:val="17"/>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320" w:top="454" w:right="5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64" w:lineRule="auto"/>
        <w:rPr>
          <w:sz w:val="20"/>
          <w:szCs w:val="20"/>
          <w:color w:val="auto"/>
        </w:rPr>
      </w:pPr>
      <w:r>
        <w:rPr>
          <w:rFonts w:ascii="Arial" w:cs="Arial" w:eastAsia="Arial" w:hAnsi="Arial"/>
          <w:sz w:val="17"/>
          <w:szCs w:val="17"/>
          <w:color w:val="auto"/>
        </w:rPr>
        <w:t>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88"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During October, November and December 2020, our cargo business generated $5.8 million, $6.4 million and $7.1 million in revenue, respectively. In October 2020, we had 10 aircraft in operation for the majority of the month and received our eleventh aircraft on October 29, 2020. In November 2020, we had 11 aircraft in operation for the majority of the month and received our twelfth aircraft on November 17, 2020. The ATSA has annual rate escalations, and the first rate increase occurred on December 13, 2020.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196"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454"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color w:val="auto"/>
        </w:rPr>
        <w:t>depreciation and amortization on a straight-line basis over their respective useful lives. See Note 2 to our audited consolidated financial statements included elsewhere in this prospectus for additional information.</w:t>
      </w:r>
    </w:p>
    <w:p>
      <w:pPr>
        <w:spacing w:after="0" w:line="179" w:lineRule="exact"/>
        <w:rPr>
          <w:sz w:val="20"/>
          <w:szCs w:val="20"/>
          <w:color w:val="auto"/>
        </w:rPr>
      </w:pPr>
    </w:p>
    <w:p>
      <w:pPr>
        <w:ind w:left="200" w:right="520" w:firstLine="434"/>
        <w:spacing w:after="0" w:line="256" w:lineRule="auto"/>
        <w:rPr>
          <w:sz w:val="20"/>
          <w:szCs w:val="20"/>
          <w:color w:val="auto"/>
        </w:rPr>
      </w:pPr>
      <w:r>
        <w:rPr>
          <w:rFonts w:ascii="Arial" w:cs="Arial" w:eastAsia="Arial" w:hAnsi="Arial"/>
          <w:sz w:val="18"/>
          <w:szCs w:val="18"/>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189"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in Review</w:t>
      </w:r>
    </w:p>
    <w:p>
      <w:pPr>
        <w:spacing w:after="0" w:line="118" w:lineRule="exact"/>
        <w:rPr>
          <w:sz w:val="20"/>
          <w:szCs w:val="20"/>
          <w:color w:val="auto"/>
        </w:rPr>
      </w:pPr>
    </w:p>
    <w:p>
      <w:pPr>
        <w:ind w:left="200" w:right="380" w:firstLine="434"/>
        <w:spacing w:after="0" w:line="303" w:lineRule="auto"/>
        <w:rPr>
          <w:sz w:val="20"/>
          <w:szCs w:val="20"/>
          <w:color w:val="auto"/>
        </w:rPr>
      </w:pPr>
      <w:r>
        <w:rPr>
          <w:rFonts w:ascii="Arial" w:cs="Arial" w:eastAsia="Arial" w:hAnsi="Arial"/>
          <w:sz w:val="16"/>
          <w:szCs w:val="16"/>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54"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85"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181" w:lineRule="exact"/>
        <w:rPr>
          <w:sz w:val="20"/>
          <w:szCs w:val="20"/>
          <w:color w:val="auto"/>
        </w:rPr>
      </w:pPr>
    </w:p>
    <w:p>
      <w:pPr>
        <w:ind w:left="200" w:right="80" w:firstLine="434"/>
        <w:spacing w:after="0" w:line="272" w:lineRule="auto"/>
        <w:rPr>
          <w:sz w:val="20"/>
          <w:szCs w:val="20"/>
          <w:color w:val="auto"/>
        </w:rPr>
      </w:pPr>
      <w:r>
        <w:rPr>
          <w:rFonts w:ascii="Arial" w:cs="Arial" w:eastAsia="Arial" w:hAnsi="Arial"/>
          <w:sz w:val="17"/>
          <w:szCs w:val="17"/>
          <w:color w:val="auto"/>
        </w:rPr>
        <w:t>Our transformation reduced operating costs during this same time period, resulting in a decrease in CASM from 10.09 cents in 2017 to 8.82 cents in 2019 and Adjusted CASM from 7.80 cents in 2017 to 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320" w:top="454" w:right="5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191" w:lineRule="exact"/>
        <w:rPr>
          <w:sz w:val="20"/>
          <w:szCs w:val="20"/>
          <w:color w:val="auto"/>
        </w:rPr>
      </w:pPr>
    </w:p>
    <w:p>
      <w:pPr>
        <w:jc w:val="both"/>
        <w:ind w:left="200" w:right="200" w:firstLine="434"/>
        <w:spacing w:after="0" w:line="303" w:lineRule="auto"/>
        <w:rPr>
          <w:sz w:val="20"/>
          <w:szCs w:val="20"/>
          <w:color w:val="auto"/>
        </w:rPr>
      </w:pPr>
      <w:r>
        <w:rPr>
          <w:rFonts w:ascii="Arial" w:cs="Arial" w:eastAsia="Arial" w:hAnsi="Arial"/>
          <w:sz w:val="16"/>
          <w:szCs w:val="16"/>
          <w:color w:val="auto"/>
        </w:rPr>
        <w:t>In May 2020, we began providing air cargo transportation services under the ATSA. In June 2020, we entered into an amendment to the ATSA that added two additional aircraft to the agreement, which were delivered in the fourth quarter of 2020, bringing the total number of aircraft we fly for Amazon to 12. In August 2020, we entered into a contract with Major League Soccer to provide charter flights for professional soccer teams.</w:t>
      </w:r>
    </w:p>
    <w:p>
      <w:pPr>
        <w:spacing w:after="0" w:line="154"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The COVID-19 pandemic resulted in a dramatic decline in passenger demand across the U.S. airline industry. We have experienced a significant decline in demand related to the COVID-19 pandemic, which has caused a material decline in our 2020 revenues and negatively impacted our financial condition and operating results during the COVID-19 pandemic, which is likely to continue for the duration of the COVID-19 pandemic, and our business operations were adjusted in response to the pandemic. Actions we took during 2020 to mitigate the impact of the COVID-19 induced downturn include: capacity reductions; a company-wide hiring freeze; voluntary leave programs; reduced capital expenditures; and deferred vendor payments. In February 2021, we entered into the Credit Agreement. In connection with the COVID-19 pandemic, we received CARES Act grants of $62.3 million during 2020 and a loan of $45.0 million in October 2020. On January 22, 2021, we were informed by Treasury that we would receive a grant of $32.2 million under the Payroll Support Program Extension under the Consolidated Appropriations Act of 2021. We received $16.1 million on February 2, 2021 and expect to receive the remaining $16.1 million prior to the end of March 2021.</w:t>
      </w:r>
    </w:p>
    <w:p>
      <w:pPr>
        <w:spacing w:after="0" w:line="168"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Fleet Plan</w:t>
      </w:r>
    </w:p>
    <w:p>
      <w:pPr>
        <w:spacing w:after="0" w:line="1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During 2019, we completed the transition of our fleet to substantially all mid-life Boeing 737-800s, a Boeing 737-NG variant, and as of the date of this prospectus, we operate a fleet of 43 aircraft, including 31 passenger and 12 cargo aircraft. The use of a single aircraft variant allows for additional cost efficiencies as a result of simplified scheduling, maintenance, flight operations and training. The transition to 737-800s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have plans to grow our operating capacity as we take delivery of additional aircraft and make changes to our network:</w:t>
      </w:r>
    </w:p>
    <w:p>
      <w:pPr>
        <w:spacing w:after="0" w:line="137" w:lineRule="exact"/>
        <w:rPr>
          <w:sz w:val="20"/>
          <w:szCs w:val="20"/>
          <w:color w:val="auto"/>
        </w:rPr>
      </w:pPr>
    </w:p>
    <w:p>
      <w:pPr>
        <w:ind w:left="1160" w:right="120" w:hanging="429"/>
        <w:spacing w:after="0" w:line="266"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took delivery of an additional two Boeing 737-800 aircraft provided by Amazon, and all 12 aircraft are in service as of the date of this prospectus.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identified commercial opportunities to add between three and five additional aircraft to our fleet in 2021.</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then plan to grow the passenger fleet to an estimated 50 aircraft by the end of 2023.</w:t>
      </w:r>
    </w:p>
    <w:p>
      <w:pPr>
        <w:spacing w:after="0" w:line="218"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4"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2020, 13 of our aircraft were structured under the 2019-1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189" w:lineRule="exact"/>
        <w:rPr>
          <w:sz w:val="20"/>
          <w:szCs w:val="20"/>
          <w:color w:val="auto"/>
        </w:rPr>
      </w:pPr>
    </w:p>
    <w:p>
      <w:pPr>
        <w:ind w:left="200" w:right="180" w:firstLine="434"/>
        <w:spacing w:after="0" w:line="253" w:lineRule="auto"/>
        <w:rPr>
          <w:sz w:val="20"/>
          <w:szCs w:val="20"/>
          <w:color w:val="auto"/>
        </w:rPr>
      </w:pPr>
      <w:r>
        <w:rPr>
          <w:rFonts w:ascii="Arial" w:cs="Arial" w:eastAsia="Arial" w:hAnsi="Arial"/>
          <w:sz w:val="18"/>
          <w:szCs w:val="18"/>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98" w:lineRule="exact"/>
        <w:rPr>
          <w:sz w:val="20"/>
          <w:szCs w:val="20"/>
          <w:color w:val="auto"/>
        </w:rPr>
      </w:pPr>
    </w:p>
    <w:p>
      <w:pPr>
        <w:ind w:left="1160" w:hanging="42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level of control to optimize and utilize maintenance value;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Competitive financing costs at investment grade rates;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Flexibility to sell or retire aircraft at any time.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Trends and Uncertainties Affecting Our Business</w:t>
      </w:r>
    </w:p>
    <w:p>
      <w:pPr>
        <w:spacing w:after="0" w:line="118" w:lineRule="exact"/>
        <w:rPr>
          <w:sz w:val="20"/>
          <w:szCs w:val="20"/>
          <w:color w:val="auto"/>
        </w:rPr>
      </w:pPr>
    </w:p>
    <w:p>
      <w:pPr>
        <w:ind w:left="200" w:right="20" w:firstLine="434"/>
        <w:spacing w:after="0" w:line="280" w:lineRule="auto"/>
        <w:rPr>
          <w:sz w:val="20"/>
          <w:szCs w:val="20"/>
          <w:color w:val="auto"/>
        </w:rPr>
      </w:pPr>
      <w:r>
        <w:rPr>
          <w:rFonts w:ascii="Arial" w:cs="Arial" w:eastAsia="Arial" w:hAnsi="Arial"/>
          <w:sz w:val="16"/>
          <w:szCs w:val="16"/>
          <w:i w:val="1"/>
          <w:iCs w:val="1"/>
          <w:color w:val="auto"/>
        </w:rPr>
        <w:t>COVID-19 Pandemic</w:t>
      </w:r>
      <w:r>
        <w:rPr>
          <w:rFonts w:ascii="Arial" w:cs="Arial" w:eastAsia="Arial" w:hAnsi="Arial"/>
          <w:sz w:val="16"/>
          <w:szCs w:val="16"/>
          <w:color w:val="auto"/>
        </w:rPr>
        <w:t>: The COVID-19 pandemic and shelter-in-place directives have greatly impacted our operating results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6"/>
          <w:szCs w:val="16"/>
          <w:i w:val="1"/>
          <w:iCs w:val="1"/>
          <w:color w:val="auto"/>
        </w:rPr>
        <w:t>Risk Factors</w:t>
      </w:r>
      <w:r>
        <w:rPr>
          <w:rFonts w:ascii="Arial" w:cs="Arial" w:eastAsia="Arial" w:hAnsi="Arial"/>
          <w:sz w:val="16"/>
          <w:szCs w:val="16"/>
          <w:color w:val="auto"/>
        </w:rPr>
        <w:t>,” including “</w:t>
      </w:r>
      <w:r>
        <w:rPr>
          <w:rFonts w:ascii="Arial" w:cs="Arial" w:eastAsia="Arial" w:hAnsi="Arial"/>
          <w:sz w:val="16"/>
          <w:szCs w:val="16"/>
          <w:i w:val="1"/>
          <w:iCs w:val="1"/>
          <w:color w:val="auto"/>
        </w:rPr>
        <w:t>Risk Factors—Risks Related to Our Industry—The global</w:t>
      </w:r>
      <w:r>
        <w:rPr>
          <w:rFonts w:ascii="Arial" w:cs="Arial" w:eastAsia="Arial" w:hAnsi="Arial"/>
          <w:sz w:val="16"/>
          <w:szCs w:val="16"/>
          <w:color w:val="auto"/>
        </w:rPr>
        <w:t xml:space="preserve"> </w:t>
      </w:r>
      <w:r>
        <w:rPr>
          <w:rFonts w:ascii="Arial" w:cs="Arial" w:eastAsia="Arial" w:hAnsi="Arial"/>
          <w:sz w:val="16"/>
          <w:szCs w:val="16"/>
          <w:i w:val="1"/>
          <w:iCs w:val="1"/>
          <w:color w:val="auto"/>
        </w:rPr>
        <w:t>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6"/>
          <w:szCs w:val="16"/>
          <w:color w:val="auto"/>
        </w:rPr>
        <w:t>” and “</w:t>
      </w:r>
      <w:r>
        <w:rPr>
          <w:rFonts w:ascii="Arial" w:cs="Arial" w:eastAsia="Arial" w:hAnsi="Arial"/>
          <w:sz w:val="16"/>
          <w:szCs w:val="16"/>
          <w:i w:val="1"/>
          <w:iCs w:val="1"/>
          <w:color w:val="auto"/>
        </w:rPr>
        <w:t>Risk Factors— 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6"/>
          <w:szCs w:val="16"/>
          <w:color w:val="auto"/>
        </w:rPr>
        <w:t>.”</w:t>
      </w:r>
    </w:p>
    <w:p>
      <w:pPr>
        <w:spacing w:after="0" w:line="175"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i w:val="1"/>
          <w:iCs w:val="1"/>
          <w:color w:val="auto"/>
        </w:rPr>
        <w:t>Additional factors impacting our business</w:t>
      </w:r>
      <w:r>
        <w:rPr>
          <w:rFonts w:ascii="Arial" w:cs="Arial" w:eastAsia="Arial" w:hAnsi="Arial"/>
          <w:sz w:val="18"/>
          <w:szCs w:val="18"/>
          <w:color w:val="auto"/>
        </w:rPr>
        <w:t>: We believe our operating performance is driven by additional factors that typically affect airlines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markets, including trends which affect the broader travel industry, as well as trends which affect the specific markets and customer base that we target. The following key factors may affect our future performance:</w:t>
      </w:r>
    </w:p>
    <w:p>
      <w:pPr>
        <w:spacing w:after="0" w:line="189" w:lineRule="exact"/>
        <w:rPr>
          <w:sz w:val="20"/>
          <w:szCs w:val="20"/>
          <w:color w:val="auto"/>
        </w:rPr>
      </w:pPr>
    </w:p>
    <w:p>
      <w:pPr>
        <w:ind w:left="200" w:right="240" w:firstLine="434"/>
        <w:spacing w:after="0" w:line="253"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The airline industry is highly competitive. The principal competitive factors in the airline industry are the fare, flight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4"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0"/>
        <w:spacing w:after="0" w:line="256" w:lineRule="auto"/>
        <w:rPr>
          <w:sz w:val="20"/>
          <w:szCs w:val="20"/>
          <w:color w:val="auto"/>
        </w:rPr>
      </w:pPr>
      <w:r>
        <w:rPr>
          <w:rFonts w:ascii="Arial" w:cs="Arial" w:eastAsia="Arial" w:hAnsi="Arial"/>
          <w:sz w:val="18"/>
          <w:szCs w:val="18"/>
          <w:color w:val="auto"/>
        </w:rPr>
        <w:t>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189"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 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7"/>
          <w:szCs w:val="17"/>
          <w:i w:val="1"/>
          <w:iCs w:val="1"/>
          <w:color w:val="auto"/>
        </w:rPr>
        <w:t>Risk Factors</w:t>
      </w:r>
      <w:r>
        <w:rPr>
          <w:rFonts w:ascii="Arial" w:cs="Arial" w:eastAsia="Arial" w:hAnsi="Arial"/>
          <w:sz w:val="17"/>
          <w:szCs w:val="17"/>
          <w:color w:val="auto"/>
        </w:rPr>
        <w:t>” included elsewhere in this prospectus for additional information.</w:t>
      </w:r>
    </w:p>
    <w:p>
      <w:pPr>
        <w:spacing w:after="0" w:line="180"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Additionally, as a result of COVID-19, we have experienced increased competition for domestic charters as competitors are now offering charter services with otherwise grounded aircraft due to a decline in their passenger service.</w:t>
      </w:r>
    </w:p>
    <w:p>
      <w:pPr>
        <w:spacing w:after="0" w:line="179"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Fuel expense generally represents our single largest operating expense. Jet fuel prices and availability are subject to market</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80"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18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91"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89"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i w:val="1"/>
          <w:iCs w:val="1"/>
          <w:color w:val="auto"/>
        </w:rPr>
        <w:t>Seasonality and Volatility</w:t>
      </w:r>
      <w:r>
        <w:rPr>
          <w:rFonts w:ascii="Arial" w:cs="Arial" w:eastAsia="Arial" w:hAnsi="Arial"/>
          <w:sz w:val="16"/>
          <w:szCs w:val="16"/>
          <w:color w:val="auto"/>
        </w:rPr>
        <w:t>. The airline industry is affected by economic cycles and trends, where unfavorable economic conditions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4"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color w:val="auto"/>
        </w:rPr>
        <w:t>base fares, travelers have often elected to replace air travel at such times with car travel or other forms of ground transportation or have opted not to travel at all.</w:t>
      </w:r>
    </w:p>
    <w:p>
      <w:pPr>
        <w:spacing w:after="0" w:line="179" w:lineRule="exact"/>
        <w:rPr>
          <w:sz w:val="20"/>
          <w:szCs w:val="20"/>
          <w:color w:val="auto"/>
        </w:rPr>
      </w:pPr>
    </w:p>
    <w:p>
      <w:pPr>
        <w:ind w:left="200" w:right="40" w:firstLine="434"/>
        <w:spacing w:after="0" w:line="282" w:lineRule="auto"/>
        <w:rPr>
          <w:sz w:val="20"/>
          <w:szCs w:val="20"/>
          <w:color w:val="auto"/>
        </w:rPr>
      </w:pPr>
      <w:r>
        <w:rPr>
          <w:rFonts w:ascii="Arial" w:cs="Arial" w:eastAsia="Arial" w:hAnsi="Arial"/>
          <w:sz w:val="16"/>
          <w:szCs w:val="16"/>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171"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i w:val="1"/>
          <w:iCs w:val="1"/>
          <w:color w:val="auto"/>
        </w:rPr>
        <w:t>Labor</w:t>
      </w:r>
      <w:r>
        <w:rPr>
          <w:rFonts w:ascii="Arial" w:cs="Arial" w:eastAsia="Arial" w:hAnsi="Arial"/>
          <w:sz w:val="18"/>
          <w:szCs w:val="18"/>
          <w:color w:val="auto"/>
        </w:rPr>
        <w:t>. The airline industry is heavily unionized and our business is labor intensive. The wages, benefits and work rules of unionized airline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199"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181" w:lineRule="exact"/>
        <w:rPr>
          <w:sz w:val="20"/>
          <w:szCs w:val="20"/>
          <w:color w:val="auto"/>
        </w:rPr>
      </w:pPr>
    </w:p>
    <w:p>
      <w:pPr>
        <w:ind w:left="200" w:right="200" w:firstLine="434"/>
        <w:spacing w:after="0" w:line="278" w:lineRule="auto"/>
        <w:rPr>
          <w:sz w:val="20"/>
          <w:szCs w:val="20"/>
          <w:color w:val="auto"/>
        </w:rPr>
      </w:pPr>
      <w:r>
        <w:rPr>
          <w:rFonts w:ascii="Arial" w:cs="Arial" w:eastAsia="Arial" w:hAnsi="Arial"/>
          <w:sz w:val="17"/>
          <w:szCs w:val="17"/>
          <w:i w:val="1"/>
          <w:iCs w:val="1"/>
          <w:color w:val="auto"/>
        </w:rPr>
        <w:t>Aircraft Maintenance</w:t>
      </w:r>
      <w:r>
        <w:rPr>
          <w:rFonts w:ascii="Arial" w:cs="Arial" w:eastAsia="Arial" w:hAnsi="Arial"/>
          <w:sz w:val="17"/>
          <w:szCs w:val="17"/>
          <w:color w:val="auto"/>
        </w:rPr>
        <w:t>. The amount of total maintenance costs and related depreciation of significant maintenance expense is subject to variables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172"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Maintenance expense has increased mainly as a result of a growing fleet, a trend that we expect to continue for the next several years as we take delivery of additional aircraft.</w:t>
      </w:r>
    </w:p>
    <w:p>
      <w:pPr>
        <w:spacing w:after="0" w:line="179"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40"/>
          </w:cols>
          <w:pgMar w:left="320" w:top="454"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7"/>
          <w:szCs w:val="17"/>
          <w:i w:val="1"/>
          <w:iCs w:val="1"/>
          <w:color w:val="auto"/>
        </w:rPr>
        <w:t>Critical Accounting Policies and Estimates—Aircraft Maintenance</w:t>
      </w:r>
      <w:r>
        <w:rPr>
          <w:rFonts w:ascii="Arial" w:cs="Arial" w:eastAsia="Arial" w:hAnsi="Arial"/>
          <w:sz w:val="17"/>
          <w:szCs w:val="17"/>
          <w:color w:val="auto"/>
        </w:rPr>
        <w:t>.”</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Scheduled service</w:t>
      </w:r>
      <w:r>
        <w:rPr>
          <w:rFonts w:ascii="Arial" w:cs="Arial" w:eastAsia="Arial" w:hAnsi="Arial"/>
          <w:sz w:val="17"/>
          <w:szCs w:val="17"/>
          <w:color w:val="auto"/>
        </w:rPr>
        <w:t>. Scheduled service revenue consists of base fares, unused and expired passenger credits and expired travel credits.</w:t>
      </w:r>
    </w:p>
    <w:p>
      <w:pPr>
        <w:spacing w:after="0" w:line="230"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operations, primarily generated through our service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Department of Defense, collegiate and professional sports teams and casinos.</w:t>
      </w:r>
    </w:p>
    <w:p>
      <w:pPr>
        <w:spacing w:after="0" w:line="179"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 fees, seat selection and upgrade fees,</w:t>
      </w:r>
      <w:r>
        <w:rPr>
          <w:rFonts w:ascii="Arial" w:cs="Arial" w:eastAsia="Arial" w:hAnsi="Arial"/>
          <w:sz w:val="18"/>
          <w:szCs w:val="18"/>
          <w:i w:val="1"/>
          <w:iCs w:val="1"/>
          <w:color w:val="auto"/>
        </w:rPr>
        <w:t xml:space="preserve"> </w:t>
      </w:r>
      <w:r>
        <w:rPr>
          <w:rFonts w:ascii="Arial" w:cs="Arial" w:eastAsia="Arial" w:hAnsi="Arial"/>
          <w:sz w:val="18"/>
          <w:szCs w:val="18"/>
          <w:color w:val="auto"/>
        </w:rPr>
        <w:t>itinerary service fees, on-board sales and sales of trip insurance.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Cargo</w:t>
      </w:r>
      <w:r>
        <w:rPr>
          <w:rFonts w:ascii="Arial" w:cs="Arial" w:eastAsia="Arial" w:hAnsi="Arial"/>
          <w:sz w:val="17"/>
          <w:szCs w:val="17"/>
          <w:color w:val="auto"/>
        </w:rPr>
        <w:t>. Cargo revenue consists of air cargo transportation services under the ATSA primarily related to e-commerce delivery services.</w:t>
      </w:r>
    </w:p>
    <w:p>
      <w:pPr>
        <w:spacing w:after="0" w:line="230" w:lineRule="exact"/>
        <w:rPr>
          <w:sz w:val="20"/>
          <w:szCs w:val="20"/>
          <w:color w:val="auto"/>
        </w:rPr>
      </w:pPr>
    </w:p>
    <w:p>
      <w:pPr>
        <w:jc w:val="both"/>
        <w:ind w:left="200" w:right="240" w:firstLine="434"/>
        <w:spacing w:after="0" w:line="253"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 products, including organizing</w:t>
      </w:r>
      <w:r>
        <w:rPr>
          <w:rFonts w:ascii="Arial" w:cs="Arial" w:eastAsia="Arial" w:hAnsi="Arial"/>
          <w:sz w:val="18"/>
          <w:szCs w:val="18"/>
          <w:i w:val="1"/>
          <w:iCs w:val="1"/>
          <w:color w:val="auto"/>
        </w:rPr>
        <w:t xml:space="preserve"> </w:t>
      </w:r>
      <w:r>
        <w:rPr>
          <w:rFonts w:ascii="Arial" w:cs="Arial" w:eastAsia="Arial" w:hAnsi="Arial"/>
          <w:sz w:val="18"/>
          <w:szCs w:val="18"/>
          <w:color w:val="auto"/>
        </w:rPr>
        <w:t>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includes jet fuel, federal and state taxes, other fees and the mark-to-market gains and losses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54" w:lineRule="exact"/>
        <w:rPr>
          <w:sz w:val="20"/>
          <w:szCs w:val="20"/>
          <w:color w:val="auto"/>
        </w:rPr>
      </w:pPr>
    </w:p>
    <w:p>
      <w:pPr>
        <w:ind w:left="200" w:right="320" w:firstLine="434"/>
        <w:spacing w:after="0" w:line="256"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 sharing paid to employees for their services, as well as related expenses associated with medical benefits, employee benefit plans, employer payroll taxes and other employee related costs.</w:t>
      </w:r>
    </w:p>
    <w:p>
      <w:pPr>
        <w:spacing w:after="0" w:line="189"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consists of monthly lease charges for aircraft and spare engines under the terms of the related operating leases</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320" w:top="454" w:right="5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8"/>
          <w:szCs w:val="18"/>
          <w:i w:val="1"/>
          <w:iCs w:val="1"/>
          <w:color w:val="auto"/>
        </w:rPr>
        <w:t>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Estimates—Aircraft Maintenance</w:t>
      </w:r>
      <w:r>
        <w:rPr>
          <w:rFonts w:ascii="Arial" w:cs="Arial" w:eastAsia="Arial" w:hAnsi="Arial"/>
          <w:sz w:val="18"/>
          <w:szCs w:val="18"/>
          <w:color w:val="auto"/>
        </w:rPr>
        <w:t>.”</w:t>
      </w:r>
    </w:p>
    <w:p>
      <w:pPr>
        <w:spacing w:after="0" w:line="199" w:lineRule="exact"/>
        <w:rPr>
          <w:sz w:val="20"/>
          <w:szCs w:val="20"/>
          <w:color w:val="auto"/>
        </w:rPr>
      </w:pPr>
    </w:p>
    <w:p>
      <w:pPr>
        <w:ind w:left="200" w:firstLine="434"/>
        <w:spacing w:after="0" w:line="278"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includes credit card processing fees, travel agent commissions and related global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172"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and leasehold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finance leased assets, as well as the amortization of finite-lived intangible assets. It also includes the depreciation of significant maintenance expenses we deferred under the built-in overhaul method for owned aircraft.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Ground Handling. </w:t>
      </w:r>
      <w:r>
        <w:rPr>
          <w:rFonts w:ascii="Arial" w:cs="Arial" w:eastAsia="Arial" w:hAnsi="Arial"/>
          <w:sz w:val="17"/>
          <w:szCs w:val="17"/>
          <w:color w:val="auto"/>
        </w:rPr>
        <w:t>Ground handling includes ground activities including baggage handling, ticket counter and other ground services.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Landing Fees and Airport Rent. </w:t>
      </w:r>
      <w:r>
        <w:rPr>
          <w:rFonts w:ascii="Arial" w:cs="Arial" w:eastAsia="Arial" w:hAnsi="Arial"/>
          <w:sz w:val="17"/>
          <w:szCs w:val="17"/>
          <w:color w:val="auto"/>
        </w:rPr>
        <w:t>Landing fees and airport rent includes aircraft landing fees and charges for the use of airport facilities.</w:t>
      </w:r>
    </w:p>
    <w:p>
      <w:pPr>
        <w:spacing w:after="0" w:line="230"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i w:val="1"/>
          <w:iCs w:val="1"/>
          <w:color w:val="auto"/>
        </w:rPr>
        <w:t xml:space="preserve">Special Items, net. </w:t>
      </w:r>
      <w:r>
        <w:rPr>
          <w:rFonts w:ascii="Arial" w:cs="Arial" w:eastAsia="Arial" w:hAnsi="Arial"/>
          <w:sz w:val="18"/>
          <w:szCs w:val="18"/>
          <w:color w:val="auto"/>
        </w:rPr>
        <w:t>Special items, net reflects expenses, or credits to expense, that are not representative of our ongoing costs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and may vary from period to period in nature, frequency and amount.</w:t>
      </w:r>
    </w:p>
    <w:p>
      <w:pPr>
        <w:spacing w:after="0" w:line="179" w:lineRule="exact"/>
        <w:rPr>
          <w:sz w:val="20"/>
          <w:szCs w:val="20"/>
          <w:color w:val="auto"/>
        </w:rPr>
      </w:pPr>
    </w:p>
    <w:p>
      <w:pPr>
        <w:jc w:val="both"/>
        <w:ind w:left="200" w:right="140" w:firstLine="434"/>
        <w:spacing w:after="0" w:line="256"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taxes and insurance, including hull-liability insurance, supplies, legal and other professional fees, facilities and all other administrative and operational overhead expenses.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12" w:lineRule="exact"/>
        <w:rPr>
          <w:sz w:val="20"/>
          <w:szCs w:val="20"/>
          <w:color w:val="auto"/>
        </w:rPr>
      </w:pPr>
    </w:p>
    <w:p>
      <w:pPr>
        <w:jc w:val="both"/>
        <w:ind w:left="200" w:right="140" w:firstLine="434"/>
        <w:spacing w:after="0" w:line="296"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includes interest on our cash and equivalent and investment balances. Interest income is generally immaterial to</w:t>
      </w:r>
      <w:r>
        <w:rPr>
          <w:rFonts w:ascii="Arial" w:cs="Arial" w:eastAsia="Arial" w:hAnsi="Arial"/>
          <w:sz w:val="17"/>
          <w:szCs w:val="17"/>
          <w:i w:val="1"/>
          <w:iCs w:val="1"/>
          <w:color w:val="auto"/>
        </w:rPr>
        <w:t xml:space="preserve"> </w:t>
      </w:r>
      <w:r>
        <w:rPr>
          <w:rFonts w:ascii="Arial" w:cs="Arial" w:eastAsia="Arial" w:hAnsi="Arial"/>
          <w:sz w:val="17"/>
          <w:szCs w:val="17"/>
          <w:color w:val="auto"/>
        </w:rPr>
        <w:t>our results of operations, reflecting the current low interest rate environment and our unrestricted cash balances.</w:t>
      </w:r>
    </w:p>
    <w:p>
      <w:pPr>
        <w:spacing w:after="0" w:line="156"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related to our outstanding debt and our finance/capital leases, as well as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financing costs.</w:t>
      </w:r>
    </w:p>
    <w:p>
      <w:pPr>
        <w:spacing w:after="0" w:line="179"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retirement of assets and certain consulting expenses.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left="200" w:right="160" w:firstLine="434"/>
        <w:spacing w:after="0" w:line="364" w:lineRule="auto"/>
        <w:rPr>
          <w:sz w:val="20"/>
          <w:szCs w:val="20"/>
          <w:color w:val="auto"/>
        </w:rPr>
      </w:pPr>
      <w:r>
        <w:rPr>
          <w:rFonts w:ascii="Arial" w:cs="Arial" w:eastAsia="Arial" w:hAnsi="Arial"/>
          <w:sz w:val="14"/>
          <w:szCs w:val="14"/>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320" w:top="454"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firstLine="434"/>
        <w:spacing w:after="0" w:line="287" w:lineRule="auto"/>
        <w:rPr>
          <w:sz w:val="20"/>
          <w:szCs w:val="20"/>
          <w:color w:val="auto"/>
        </w:rPr>
      </w:pPr>
      <w:r>
        <w:rPr>
          <w:rFonts w:ascii="Arial" w:cs="Arial" w:eastAsia="Arial" w:hAnsi="Arial"/>
          <w:sz w:val="16"/>
          <w:szCs w:val="16"/>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0"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revenues:</w:t>
            </w:r>
          </w:p>
        </w:tc>
        <w:tc>
          <w:tcPr>
            <w:tcW w:w="1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359,232</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688,833</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(329,601)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revenue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401,486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701,384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(299,898)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165,666</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(82,274)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141,641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140,739</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35,286</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(18,818)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34,877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 handling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(21,123)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Landing fees and airport rent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44,400</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(13,144)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(64,563)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(71,655)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384,101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623,262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80"/>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17,385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(60,737)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(17,170)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non-operating expense,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(17,962)</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9"/>
        </w:trPr>
        <w:tc>
          <w:tcPr>
            <w:tcW w:w="498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60,160</w:t>
            </w:r>
          </w:p>
        </w:tc>
        <w:tc>
          <w:tcPr>
            <w:tcW w:w="28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(64,842)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(14,866)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8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46,072</w:t>
            </w:r>
          </w:p>
        </w:tc>
        <w:tc>
          <w:tcPr>
            <w:tcW w:w="28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 (49,976)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Financial Data: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(47,916)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53,734</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(101,650)</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171,129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(132,199)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8" w:lineRule="exact"/>
        <w:rPr>
          <w:sz w:val="20"/>
          <w:szCs w:val="20"/>
          <w:color w:val="auto"/>
        </w:rPr>
      </w:pPr>
    </w:p>
    <w:p>
      <w:pPr>
        <w:ind w:left="620" w:hanging="421"/>
        <w:spacing w:after="0"/>
        <w:tabs>
          <w:tab w:leader="none" w:pos="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See “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for definitions of these measures and reconciliations to the most comparable GAAP metric.</w:t>
      </w:r>
    </w:p>
    <w:p>
      <w:pPr>
        <w:ind w:left="620" w:hanging="421"/>
        <w:spacing w:after="0"/>
        <w:tabs>
          <w:tab w:leader="none" w:pos="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4"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Revenues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8"/>
              </w:rPr>
              <w:t>For the 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460" w:type="dxa"/>
            <w:vAlign w:val="bottom"/>
          </w:tcPr>
          <w:p>
            <w:pPr>
              <w:spacing w:after="0"/>
              <w:rPr>
                <w:sz w:val="12"/>
                <w:szCs w:val="12"/>
                <w:color w:val="auto"/>
              </w:rPr>
            </w:pPr>
          </w:p>
        </w:tc>
        <w:tc>
          <w:tcPr>
            <w:tcW w:w="680" w:type="dxa"/>
            <w:vAlign w:val="bottom"/>
          </w:tcPr>
          <w:p>
            <w:pPr>
              <w:jc w:val="right"/>
              <w:ind w:right="116"/>
              <w:spacing w:after="0" w:line="140" w:lineRule="exact"/>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17"/>
              <w:spacing w:after="0" w:line="14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line="140" w:lineRule="exact"/>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60" w:type="dxa"/>
            <w:vAlign w:val="bottom"/>
            <w:tcBorders>
              <w:bottom w:val="single" w:sz="8" w:color="CCEEFF"/>
            </w:tcBorders>
            <w:gridSpan w:val="3"/>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0"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0"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860" w:type="dxa"/>
            <w:vAlign w:val="bottom"/>
            <w:gridSpan w:val="3"/>
            <w:shd w:val="clear" w:color="auto" w:fill="CCEEFF"/>
          </w:tcPr>
          <w:p>
            <w:pPr>
              <w:spacing w:after="0" w:line="204" w:lineRule="exact"/>
              <w:rPr>
                <w:sz w:val="20"/>
                <w:szCs w:val="20"/>
                <w:color w:val="auto"/>
              </w:rPr>
            </w:pPr>
            <w:r>
              <w:rPr>
                <w:rFonts w:ascii="Arial" w:cs="Arial" w:eastAsia="Arial" w:hAnsi="Arial"/>
                <w:sz w:val="18"/>
                <w:szCs w:val="18"/>
                <w:color w:val="auto"/>
              </w:rPr>
              <w:t>Scheduled service</w:t>
            </w:r>
          </w:p>
        </w:tc>
        <w:tc>
          <w:tcPr>
            <w:tcW w:w="3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$193,047</w:t>
            </w:r>
          </w:p>
        </w:tc>
        <w:tc>
          <w:tcPr>
            <w:tcW w:w="9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$396,113</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$(203,066)</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2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gridSpan w:val="3"/>
          </w:tcPr>
          <w:p>
            <w:pPr>
              <w:spacing w:after="0"/>
              <w:rPr>
                <w:sz w:val="20"/>
                <w:szCs w:val="20"/>
                <w:color w:val="auto"/>
              </w:rPr>
            </w:pPr>
            <w:r>
              <w:rPr>
                <w:rFonts w:ascii="Arial" w:cs="Arial" w:eastAsia="Arial" w:hAnsi="Arial"/>
                <w:sz w:val="18"/>
                <w:szCs w:val="18"/>
                <w:color w:val="auto"/>
              </w:rPr>
              <w:t>Charter service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98,130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(76,432)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3"/>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Ancillary</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0" w:type="dxa"/>
            <w:vAlign w:val="bottom"/>
            <w:gridSpan w:val="2"/>
            <w:vMerge w:val="restart"/>
          </w:tcPr>
          <w:p>
            <w:pPr>
              <w:ind w:left="100"/>
              <w:spacing w:after="0"/>
              <w:rPr>
                <w:sz w:val="20"/>
                <w:szCs w:val="20"/>
                <w:color w:val="auto"/>
              </w:rPr>
            </w:pPr>
            <w:r>
              <w:rPr>
                <w:rFonts w:ascii="Arial" w:cs="Arial" w:eastAsia="Arial" w:hAnsi="Arial"/>
                <w:sz w:val="18"/>
                <w:szCs w:val="18"/>
                <w:color w:val="auto"/>
              </w:rPr>
              <w:t>Passenger</w:t>
            </w:r>
          </w:p>
        </w:tc>
        <w:tc>
          <w:tcPr>
            <w:tcW w:w="2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359,232</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688,833</w:t>
            </w: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(329,601)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Cargo</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revenue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401,486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(299,898)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0"/>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rPr>
              <w:t>“NM” stands for not meaningful.</w:t>
            </w:r>
          </w:p>
        </w:tc>
        <w:tc>
          <w:tcPr>
            <w:tcW w:w="2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Total operating revenues decreased by $299.9 million, or 43%, to $401.5 million for the year ended December 31, 2020 from $701.4 million for the year ended December 31, 2019.</w:t>
      </w:r>
    </w:p>
    <w:p>
      <w:pPr>
        <w:spacing w:after="0" w:line="179"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i w:val="1"/>
          <w:iCs w:val="1"/>
          <w:color w:val="auto"/>
        </w:rPr>
        <w:t xml:space="preserve">Scheduled Service. </w:t>
      </w:r>
      <w:r>
        <w:rPr>
          <w:rFonts w:ascii="Arial" w:cs="Arial" w:eastAsia="Arial" w:hAnsi="Arial"/>
          <w:sz w:val="16"/>
          <w:szCs w:val="16"/>
          <w:color w:val="auto"/>
        </w:rPr>
        <w:t>Scheduled service revenue decreased by $203.1 million, or 51%, to $193.0 million for the year ended December 31, 2020 from</w:t>
      </w:r>
      <w:r>
        <w:rPr>
          <w:rFonts w:ascii="Arial" w:cs="Arial" w:eastAsia="Arial" w:hAnsi="Arial"/>
          <w:sz w:val="16"/>
          <w:szCs w:val="16"/>
          <w:i w:val="1"/>
          <w:iCs w:val="1"/>
          <w:color w:val="auto"/>
        </w:rPr>
        <w:t xml:space="preserve"> </w:t>
      </w:r>
      <w:r>
        <w:rPr>
          <w:rFonts w:ascii="Arial" w:cs="Arial" w:eastAsia="Arial" w:hAnsi="Arial"/>
          <w:sz w:val="16"/>
          <w:szCs w:val="16"/>
          <w:color w:val="auto"/>
        </w:rPr>
        <w:t>$396.1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 18 percentage point decrease in load factor. The decrease in load factor resulted in a decrease in PRASM of 19% to $5.57 from $6.89. Further, our scheduled service capacity, as measured by ASMs, decreased by 40%.</w:t>
      </w:r>
    </w:p>
    <w:p>
      <w:pPr>
        <w:spacing w:after="0" w:line="169"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decreased by $76.4 million, or 44%, to $98.1 million for the year ended December 31,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199"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i w:val="1"/>
          <w:iCs w:val="1"/>
          <w:color w:val="auto"/>
        </w:rPr>
        <w:t xml:space="preserve">Ancillary. </w:t>
      </w:r>
      <w:r>
        <w:rPr>
          <w:rFonts w:ascii="Arial" w:cs="Arial" w:eastAsia="Arial" w:hAnsi="Arial"/>
          <w:sz w:val="16"/>
          <w:szCs w:val="16"/>
          <w:color w:val="auto"/>
        </w:rPr>
        <w:t>Ancillary revenue decreased by $50.1 million, or 42%, to $68.1 million for the year ended December 31, 2020 from $118.2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2019. The decline in passenger demand due to the COVID-19 pandemic resulted in lower demand for air travel-related services such as baggage fees, seat selection and upgrade fees, and on-board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165" w:lineRule="exact"/>
        <w:rPr>
          <w:sz w:val="20"/>
          <w:szCs w:val="20"/>
          <w:color w:val="auto"/>
        </w:rPr>
      </w:pPr>
    </w:p>
    <w:p>
      <w:pPr>
        <w:ind w:left="200" w:right="280" w:firstLine="434"/>
        <w:spacing w:after="0" w:line="294" w:lineRule="auto"/>
        <w:rPr>
          <w:sz w:val="20"/>
          <w:szCs w:val="20"/>
          <w:color w:val="auto"/>
        </w:rPr>
      </w:pPr>
      <w:r>
        <w:rPr>
          <w:rFonts w:ascii="Arial" w:cs="Arial" w:eastAsia="Arial" w:hAnsi="Arial"/>
          <w:sz w:val="16"/>
          <w:szCs w:val="16"/>
          <w:i w:val="1"/>
          <w:iCs w:val="1"/>
          <w:color w:val="auto"/>
        </w:rPr>
        <w:t xml:space="preserve">Cargo. </w:t>
      </w:r>
      <w:r>
        <w:rPr>
          <w:rFonts w:ascii="Arial" w:cs="Arial" w:eastAsia="Arial" w:hAnsi="Arial"/>
          <w:sz w:val="16"/>
          <w:szCs w:val="16"/>
          <w:color w:val="auto"/>
        </w:rPr>
        <w:t>Revenue from cargo services was $36.8 million for the year ended December 31, 2020, with no comparative revenue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All of our 2020 cargo service revenue related to the commencement of air cargo transportation services under the ATSA with Amazon in May 2020. In June 2020, we entered into an amendment to the ATSA with Amazon that added two additional aircraft to the agreement, which were delivered in the fourth quarter of 2020, bringing the total number of aircraft we fly for Amazon to 12.</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4"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decreased by $7.1 million, or 57%, to $5.4 million for the year ended December 31, 2020 from $12.6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The decrease in our other revenue was driven by lower bookings for our Sun Country Vacations products due to a decline in demand for leisure travel related to the COVID-19 pandemic.</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20" w:type="dxa"/>
            <w:vAlign w:val="bottom"/>
            <w:gridSpan w:val="2"/>
          </w:tcPr>
          <w:p>
            <w:pPr>
              <w:jc w:val="right"/>
              <w:ind w:right="123"/>
              <w:spacing w:after="0" w:line="14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0" w:lineRule="exact"/>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40" w:type="dxa"/>
            <w:vAlign w:val="bottom"/>
            <w:gridSpan w:val="3"/>
            <w:vMerge w:val="continue"/>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63"/>
              <w:spacing w:after="0" w:line="140"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3"/>
              <w:spacing w:after="0" w:line="140"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Aircraft fuel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83,392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$165,666</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 (82,274)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Salaries, wages and benefits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141,641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Aircraft rent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30,989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49,908</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(18,919)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Maintenance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(7,870)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16,570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35,388</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(18,818)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Ground handling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20,596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41,719</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(21,123)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Landing fees and airport rent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Special items,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(64,563)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(71,655)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net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40" w:type="dxa"/>
            <w:vAlign w:val="bottom"/>
            <w:gridSpan w:val="3"/>
            <w:vMerge w:val="continue"/>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384,101</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623,262</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(239,161)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40"/>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580" w:type="dxa"/>
            <w:vAlign w:val="bottom"/>
            <w:gridSpan w:val="2"/>
          </w:tcPr>
          <w:p>
            <w:pPr>
              <w:ind w:left="160"/>
              <w:spacing w:after="0"/>
              <w:rPr>
                <w:sz w:val="20"/>
                <w:szCs w:val="20"/>
                <w:color w:val="auto"/>
              </w:rPr>
            </w:pPr>
            <w:r>
              <w:rPr>
                <w:rFonts w:ascii="Arial" w:cs="Arial" w:eastAsia="Arial" w:hAnsi="Arial"/>
                <w:sz w:val="14"/>
                <w:szCs w:val="14"/>
                <w:color w:val="auto"/>
              </w:rPr>
              <w:t>“NM” stands for not meaningful</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decreased by $82.3 million, or 50%, to $83.4 million for the year ended December 31,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169" w:lineRule="exact"/>
        <w:rPr>
          <w:sz w:val="20"/>
          <w:szCs w:val="20"/>
          <w:color w:val="auto"/>
        </w:rPr>
      </w:pPr>
    </w:p>
    <w:p>
      <w:pPr>
        <w:ind w:left="200" w:right="200" w:firstLine="434"/>
        <w:spacing w:after="0" w:line="279" w:lineRule="auto"/>
        <w:rPr>
          <w:sz w:val="20"/>
          <w:szCs w:val="20"/>
          <w:color w:val="auto"/>
        </w:rPr>
      </w:pPr>
      <w:r>
        <w:rPr>
          <w:rFonts w:ascii="Arial" w:cs="Arial" w:eastAsia="Arial" w:hAnsi="Arial"/>
          <w:sz w:val="16"/>
          <w:szCs w:val="16"/>
          <w:i w:val="1"/>
          <w:iCs w:val="1"/>
          <w:color w:val="auto"/>
        </w:rPr>
        <w:t>Salaries</w:t>
      </w:r>
      <w:r>
        <w:rPr>
          <w:rFonts w:ascii="Arial" w:cs="Arial" w:eastAsia="Arial" w:hAnsi="Arial"/>
          <w:sz w:val="16"/>
          <w:szCs w:val="16"/>
          <w:color w:val="auto"/>
        </w:rPr>
        <w:t>,</w:t>
      </w:r>
      <w:r>
        <w:rPr>
          <w:rFonts w:ascii="Arial" w:cs="Arial" w:eastAsia="Arial" w:hAnsi="Arial"/>
          <w:sz w:val="16"/>
          <w:szCs w:val="16"/>
          <w:i w:val="1"/>
          <w:iCs w:val="1"/>
          <w:color w:val="auto"/>
        </w:rPr>
        <w:t xml:space="preserve"> Wages and Benefits</w:t>
      </w:r>
      <w:r>
        <w:rPr>
          <w:rFonts w:ascii="Arial" w:cs="Arial" w:eastAsia="Arial" w:hAnsi="Arial"/>
          <w:sz w:val="16"/>
          <w:szCs w:val="16"/>
          <w:color w:val="auto"/>
        </w:rPr>
        <w:t>. Salaries, wages and benefits expense increased by $0.9 million, or 1%, to $141.6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w:t>
      </w:r>
    </w:p>
    <w:p>
      <w:pPr>
        <w:spacing w:after="0" w:line="4"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$20.5 million of the consolidated salaries, wages, and benefits expense for the year ended December 31, 2020 and was driven by headcount to support the operations and aircraft under the ATSA.</w:t>
      </w:r>
    </w:p>
    <w:p>
      <w:pPr>
        <w:spacing w:after="0" w:line="191"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decreased by $18.9 million, or 38%, to $31.0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4"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191"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decreased by $7.9 million, or 22%, to $27.4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$35.3 million for the year ended December 31, 2019. The decrease was driven primarily by the COVID-19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8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decreased by $18.8 million, or 53%, to $16.6 million for the year ended December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$35.4 million for the year ended December 31, 2019. The decrease was primarily due to a $7.1 million reduction in credit card processing fees related to lower sales on our scheduled service. Additionally, there was a $2.0 million decrease in advertising costs, a $6.1 million decrease in global distribution systems fees associated with the decrease in scheduled service and a $1.3 million decrease in travel agent commissions, all due to the COVID-19 pandemic.</w:t>
      </w:r>
    </w:p>
    <w:p>
      <w:pPr>
        <w:spacing w:after="0" w:line="194"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by $13.2 million, or 38%, to $48.1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167"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decreased by $21.1 million, or 51%, to $20.6 million for the year ended December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191" w:lineRule="exact"/>
        <w:rPr>
          <w:sz w:val="20"/>
          <w:szCs w:val="20"/>
          <w:color w:val="auto"/>
        </w:rPr>
      </w:pPr>
    </w:p>
    <w:p>
      <w:pPr>
        <w:ind w:left="200" w:right="160" w:firstLine="434"/>
        <w:spacing w:after="0" w:line="253"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decreased by $13.1 million, or 30%, to $31.3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as compared to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191"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i w:val="1"/>
          <w:iCs w:val="1"/>
          <w:color w:val="auto"/>
        </w:rPr>
        <w:t>Special Items, net</w:t>
      </w:r>
      <w:r>
        <w:rPr>
          <w:rFonts w:ascii="Arial" w:cs="Arial" w:eastAsia="Arial" w:hAnsi="Arial"/>
          <w:sz w:val="16"/>
          <w:szCs w:val="16"/>
          <w:color w:val="auto"/>
        </w:rPr>
        <w:t>. Special items, net was an income of $64.6 million for the year ended December 31, 2020 and an expense of $7.1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2019. For the year ended December 31, 2020, Special items, net included a $62.3 million credit related to funds received under the CARES Act Payroll Support Program, to be used exclusively for the continuation of payments for salaries, wages, and benefits, and</w:t>
      </w:r>
    </w:p>
    <w:p>
      <w:pPr>
        <w:spacing w:after="0" w:line="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color w:val="auto"/>
        </w:rPr>
        <w:t>$2.3 million in refundable tax credits related to employee retention under the CARES Act. For the year ended December 31, 2019, Special items, net included a charge of $7.6 million related to contractual obligations for</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4" w:right="5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16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 Other operating, net expense decreased by $19.5 million, or 29%, to $48.7 million for the year ended December 31,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$68.2 million for the year ended December 31, 2019. 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Income (Expense)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822"/>
              <w:spacing w:after="0"/>
              <w:rPr>
                <w:sz w:val="20"/>
                <w:szCs w:val="20"/>
                <w:color w:val="auto"/>
              </w:rPr>
            </w:pPr>
            <w:r>
              <w:rPr>
                <w:rFonts w:ascii="Arial" w:cs="Arial" w:eastAsia="Arial" w:hAnsi="Arial"/>
                <w:sz w:val="14"/>
                <w:szCs w:val="14"/>
                <w:b w:val="1"/>
                <w:bCs w:val="1"/>
                <w:color w:val="auto"/>
              </w:rPr>
              <w:t>For the year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98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7"/>
              <w:spacing w:after="0" w:line="140"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2"/>
              <w:spacing w:after="0" w:line="140" w:lineRule="exact"/>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23"/>
              <w:spacing w:after="0" w:line="140"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80" w:type="dxa"/>
            <w:vAlign w:val="bottom"/>
          </w:tcPr>
          <w:p>
            <w:pPr>
              <w:ind w:left="120"/>
              <w:spacing w:after="0" w:line="140"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8"/>
                <w:szCs w:val="18"/>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8"/>
                <w:szCs w:val="18"/>
                <w:color w:val="auto"/>
              </w:rPr>
              <w:t>(560)</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89"/>
              </w:rPr>
              <w:t>(22,073)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(17,170)</w:t>
            </w: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(4,903)</w:t>
            </w:r>
          </w:p>
        </w:tc>
        <w:tc>
          <w:tcPr>
            <w:tcW w:w="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line="20" w:lineRule="exact"/>
              <w:rPr>
                <w:sz w:val="1"/>
                <w:szCs w:val="1"/>
                <w:color w:val="auto"/>
              </w:rPr>
            </w:pPr>
          </w:p>
        </w:tc>
        <w:tc>
          <w:tcPr>
            <w:tcW w:w="68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19"/>
        </w:trPr>
        <w:tc>
          <w:tcPr>
            <w:tcW w:w="6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non-operating expense,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89"/>
              </w:rPr>
              <w:t>(22,067)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(17,962)</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(4,105)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(4,682)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60,160</w:t>
            </w:r>
          </w:p>
        </w:tc>
        <w:tc>
          <w:tcPr>
            <w:tcW w:w="220" w:type="dxa"/>
            <w:vAlign w:val="bottom"/>
          </w:tcPr>
          <w:p>
            <w:pPr>
              <w:spacing w:after="0"/>
              <w:rPr>
                <w:sz w:val="19"/>
                <w:szCs w:val="19"/>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8"/>
                <w:szCs w:val="18"/>
                <w:color w:val="auto"/>
              </w:rPr>
              <w:t>(64,842)</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(14,866)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w:t>
            </w:r>
          </w:p>
        </w:tc>
        <w:tc>
          <w:tcPr>
            <w:tcW w:w="220" w:type="dxa"/>
            <w:vAlign w:val="bottom"/>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(49,976</w:t>
            </w:r>
          </w:p>
        </w:tc>
        <w:tc>
          <w:tcPr>
            <w:tcW w:w="420" w:type="dxa"/>
            <w:vAlign w:val="bottom"/>
          </w:tcPr>
          <w:p>
            <w:pPr>
              <w:jc w:val="right"/>
              <w:ind w:right="282"/>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NM</w:t>
            </w:r>
          </w:p>
        </w:tc>
        <w:tc>
          <w:tcPr>
            <w:tcW w:w="300" w:type="dxa"/>
            <w:vAlign w:val="bottom"/>
          </w:tcPr>
          <w:p>
            <w:pPr>
              <w:jc w:val="right"/>
              <w:ind w:right="45"/>
              <w:spacing w:after="0"/>
              <w:rPr>
                <w:sz w:val="20"/>
                <w:szCs w:val="20"/>
                <w:color w:val="auto"/>
              </w:rPr>
            </w:pPr>
            <w:r>
              <w:rPr>
                <w:rFonts w:ascii="Arial" w:cs="Arial" w:eastAsia="Arial" w:hAnsi="Arial"/>
                <w:sz w:val="15"/>
                <w:szCs w:val="15"/>
                <w:b w:val="1"/>
                <w:bCs w:val="1"/>
                <w:color w:val="auto"/>
                <w:w w:val="87"/>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“NM” stands for not meaningful</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the year ended December 31, 2020 related to lower average cash balances.</w:t>
      </w:r>
    </w:p>
    <w:p>
      <w:pPr>
        <w:spacing w:after="0" w:line="218"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$4.9 million, or 29%, to $22.1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$17.2 million for the year ended December 31, 2019. The increase was primarily due to debt issued for the acquisition of new aircraft and spare engines, including new debt incurred in connection with the 2019-1 EETC.</w:t>
      </w:r>
    </w:p>
    <w:p>
      <w:pPr>
        <w:spacing w:after="0" w:line="189"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i w:val="1"/>
          <w:iCs w:val="1"/>
          <w:color w:val="auto"/>
        </w:rPr>
        <w:t>Other, net</w:t>
      </w:r>
      <w:r>
        <w:rPr>
          <w:rFonts w:ascii="Arial" w:cs="Arial" w:eastAsia="Arial" w:hAnsi="Arial"/>
          <w:sz w:val="16"/>
          <w:szCs w:val="16"/>
          <w:color w:val="auto"/>
        </w:rPr>
        <w:t>. Other, net expense decreased $1.4 million, or 79%, to $0.4 million for the year ended December 31, 2020, as compared to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4"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firstLine="434"/>
        <w:spacing w:after="0" w:line="32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tax rate was 16.6% for the year ended December 31, 2020, as compared to 23.5%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Our tax rate can vary depending on the amount of income we earn in each state and the state tax rate applicable to such income.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Segment Information</w:t>
      </w:r>
    </w:p>
    <w:p>
      <w:pPr>
        <w:spacing w:after="0" w:line="10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9"/>
              </w:rPr>
              <w:t>For the year ended December 31, 2020</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7"/>
              </w:rPr>
              <w:t>Passenger</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Cargo</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8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364,677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36,809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401,486</w:t>
            </w:r>
          </w:p>
        </w:tc>
        <w:tc>
          <w:tcPr>
            <w:tcW w:w="0" w:type="dxa"/>
            <w:vAlign w:val="bottom"/>
          </w:tcPr>
          <w:p>
            <w:pPr>
              <w:spacing w:after="0"/>
              <w:rPr>
                <w:sz w:val="1"/>
                <w:szCs w:val="1"/>
                <w:color w:val="auto"/>
              </w:rPr>
            </w:pPr>
          </w:p>
        </w:tc>
      </w:tr>
      <w:tr>
        <w:trPr>
          <w:trHeight w:val="318"/>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121,189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20,452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Maintenance</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22,457</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4,959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48,086</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Ground handling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Landing fees and airport rent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30,975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(53,842)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(10,721)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(64,563)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operating, net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41,880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48,718</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21,809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384,101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4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2,385</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15,000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620" w:hanging="421"/>
        <w:spacing w:after="0"/>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air cargo operations commenced in May 2020, there is no comparable prior year information.</w:t>
      </w:r>
    </w:p>
    <w:p>
      <w:pPr>
        <w:spacing w:after="0" w:line="204" w:lineRule="exact"/>
        <w:rPr>
          <w:sz w:val="20"/>
          <w:szCs w:val="20"/>
          <w:color w:val="auto"/>
        </w:rPr>
      </w:pPr>
    </w:p>
    <w:p>
      <w:pPr>
        <w:jc w:val="both"/>
        <w:ind w:left="200" w:right="100" w:firstLine="434"/>
        <w:spacing w:after="0" w:line="256"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by $75.7 million, or 97%, to $2.4 million for the year-ended December 31,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$78.1 million for the year ended December 31, 2019. For more information on the changes in the components of operating income for the passenger segment, refer to the consolidated results of operations discussion above.</w:t>
      </w:r>
    </w:p>
    <w:p>
      <w:pPr>
        <w:spacing w:after="0" w:line="18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$15.0 million as of the year-ended December 31, 2020. As air cargo operations commenced in May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320" w:top="454" w:right="5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 ended December 31, 2019 and the Successor and Predecessor 2018 periods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vMerge w:val="restart"/>
          </w:tcPr>
          <w:p>
            <w:pPr>
              <w:jc w:val="right"/>
              <w:ind w:right="15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2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9"/>
              </w:rPr>
              <w:t>For the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For the year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For the</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4"/>
              </w:rPr>
              <w:t>period April 11,</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169"/>
        </w:trPr>
        <w:tc>
          <w:tcPr>
            <w:tcW w:w="65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216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5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Passenger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688,833</w:t>
            </w:r>
          </w:p>
        </w:tc>
        <w:tc>
          <w:tcPr>
            <w:tcW w:w="8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335,824</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operating revenue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701,384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384,931</w:t>
            </w:r>
          </w:p>
        </w:tc>
        <w:tc>
          <w:tcPr>
            <w:tcW w:w="6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119,553</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36,831</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(6,706)</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623,262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171,336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7,232</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Non-operating income/(expense):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(17,170)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(6,060)</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non-operating expense, net</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(17,962)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(7,438)</w:t>
            </w: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46,072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w w:val="76"/>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(367)</w:t>
            </w:r>
          </w:p>
        </w:tc>
        <w:tc>
          <w:tcPr>
            <w:tcW w:w="20" w:type="dxa"/>
            <w:vAlign w:val="bottom"/>
            <w:shd w:val="clear" w:color="auto" w:fill="000000"/>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Financial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(5,871)</w:t>
            </w:r>
          </w:p>
        </w:tc>
        <w:tc>
          <w:tcPr>
            <w:tcW w:w="20" w:type="dxa"/>
            <w:vAlign w:val="bottom"/>
            <w:shd w:val="clear" w:color="auto" w:fill="000000"/>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w w:val="98"/>
              </w:rPr>
              <w:t>171,129</w:t>
            </w:r>
          </w:p>
        </w:tc>
        <w:tc>
          <w:tcPr>
            <w:tcW w:w="80" w:type="dxa"/>
            <w:vAlign w:val="bottom"/>
          </w:tcPr>
          <w:p>
            <w:pPr>
              <w:spacing w:after="0"/>
              <w:rPr>
                <w:sz w:val="17"/>
                <w:szCs w:val="17"/>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49,688</w:t>
            </w: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57,279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20" w:right="160" w:hanging="421"/>
        <w:spacing w:after="0" w:line="261" w:lineRule="auto"/>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 w:lineRule="exact"/>
        <w:rPr>
          <w:rFonts w:ascii="Arial" w:cs="Arial" w:eastAsia="Arial" w:hAnsi="Arial"/>
          <w:sz w:val="16"/>
          <w:szCs w:val="16"/>
          <w:color w:val="auto"/>
        </w:rPr>
      </w:pPr>
    </w:p>
    <w:p>
      <w:pPr>
        <w:ind w:left="620" w:right="40" w:hanging="421"/>
        <w:spacing w:after="0" w:line="290" w:lineRule="auto"/>
        <w:tabs>
          <w:tab w:leader="none" w:pos="6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4"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right="200" w:hanging="421"/>
        <w:spacing w:after="0" w:line="300" w:lineRule="auto"/>
        <w:tabs>
          <w:tab w:leader="none" w:pos="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620" w:hanging="421"/>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for definitions of these measures and reconciliations to the most comparable GAAP metric.</w:t>
      </w:r>
    </w:p>
    <w:p>
      <w:pPr>
        <w:sectPr>
          <w:pgSz w:w="11900" w:h="16838" w:orient="portrait"/>
          <w:cols w:equalWidth="0" w:num="1">
            <w:col w:w="11040"/>
          </w:cols>
          <w:pgMar w:left="320" w:top="454" w:right="539" w:bottom="1440" w:gutter="0" w:footer="0" w:header="0"/>
        </w:sect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Revenues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11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81"/>
              </w:rPr>
              <w:t>Successor</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For the year 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9"/>
        </w:trPr>
        <w:tc>
          <w:tcPr>
            <w:tcW w:w="4960" w:type="dxa"/>
            <w:vAlign w:val="bottom"/>
            <w:gridSpan w:val="2"/>
            <w:vMerge w:val="restart"/>
          </w:tcPr>
          <w:p>
            <w:pPr>
              <w:ind w:left="880"/>
              <w:spacing w:after="0"/>
              <w:rPr>
                <w:sz w:val="20"/>
                <w:szCs w:val="20"/>
                <w:color w:val="auto"/>
              </w:rPr>
            </w:pPr>
            <w:r>
              <w:rPr>
                <w:rFonts w:ascii="Arial" w:cs="Arial" w:eastAsia="Arial" w:hAnsi="Arial"/>
                <w:sz w:val="14"/>
                <w:szCs w:val="14"/>
                <w:color w:val="auto"/>
              </w:rPr>
              <w:t>(in thousands)</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8"/>
              </w:rPr>
              <w:t>December 31, 2019</w:t>
            </w:r>
          </w:p>
        </w:tc>
        <w:tc>
          <w:tcPr>
            <w:tcW w:w="64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21"/>
        </w:trPr>
        <w:tc>
          <w:tcPr>
            <w:tcW w:w="4960" w:type="dxa"/>
            <w:vAlign w:val="bottom"/>
            <w:gridSpan w:val="2"/>
            <w:vMerge w:val="continue"/>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4960" w:type="dxa"/>
            <w:vAlign w:val="bottom"/>
            <w:gridSpan w:val="2"/>
          </w:tcPr>
          <w:p>
            <w:pPr>
              <w:ind w:left="88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Scheduled service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396,113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224,507</w:t>
            </w:r>
          </w:p>
        </w:tc>
        <w:tc>
          <w:tcPr>
            <w:tcW w:w="0" w:type="dxa"/>
            <w:vAlign w:val="bottom"/>
          </w:tcPr>
          <w:p>
            <w:pPr>
              <w:spacing w:after="0"/>
              <w:rPr>
                <w:sz w:val="1"/>
                <w:szCs w:val="1"/>
                <w:color w:val="auto"/>
              </w:rPr>
            </w:pPr>
          </w:p>
        </w:tc>
      </w:tr>
      <w:tr>
        <w:trPr>
          <w:trHeight w:val="212"/>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Charter service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174,562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225"/>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Passenger</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688,833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335,824</w:t>
            </w:r>
          </w:p>
        </w:tc>
        <w:tc>
          <w:tcPr>
            <w:tcW w:w="0" w:type="dxa"/>
            <w:vAlign w:val="bottom"/>
          </w:tcPr>
          <w:p>
            <w:pPr>
              <w:spacing w:after="0"/>
              <w:rPr>
                <w:sz w:val="1"/>
                <w:szCs w:val="1"/>
                <w:color w:val="auto"/>
              </w:rPr>
            </w:pPr>
          </w:p>
        </w:tc>
      </w:tr>
      <w:tr>
        <w:trPr>
          <w:trHeight w:val="214"/>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24"/>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701,384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384,931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-1814830</wp:posOffset>
            </wp:positionV>
            <wp:extent cx="5783580" cy="1722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83580" cy="1722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Predecessor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the period</w:t>
      </w:r>
    </w:p>
    <w:p>
      <w:pPr>
        <w:jc w:val="center"/>
        <w:ind w:right="920"/>
        <w:spacing w:after="0" w:line="230" w:lineRule="auto"/>
        <w:rPr>
          <w:sz w:val="20"/>
          <w:szCs w:val="20"/>
          <w:color w:val="auto"/>
        </w:rPr>
      </w:pPr>
      <w:r>
        <w:rPr>
          <w:rFonts w:ascii="Arial" w:cs="Arial" w:eastAsia="Arial" w:hAnsi="Arial"/>
          <w:sz w:val="14"/>
          <w:szCs w:val="14"/>
          <w:b w:val="1"/>
          <w:bCs w:val="1"/>
          <w:color w:val="auto"/>
        </w:rPr>
        <w:t>January 1,</w:t>
      </w:r>
    </w:p>
    <w:p>
      <w:pPr>
        <w:ind w:left="40"/>
        <w:spacing w:after="0" w:line="235" w:lineRule="auto"/>
        <w:rPr>
          <w:sz w:val="20"/>
          <w:szCs w:val="20"/>
          <w:color w:val="auto"/>
        </w:rPr>
      </w:pPr>
      <w:r>
        <w:rPr>
          <w:rFonts w:ascii="Arial" w:cs="Arial" w:eastAsia="Arial" w:hAnsi="Arial"/>
          <w:sz w:val="13"/>
          <w:szCs w:val="13"/>
          <w:b w:val="1"/>
          <w:bCs w:val="1"/>
          <w:color w:val="auto"/>
        </w:rPr>
        <w:t>2018 through</w:t>
      </w:r>
    </w:p>
    <w:p>
      <w:pPr>
        <w:ind w:left="20"/>
        <w:spacing w:after="0"/>
        <w:rPr>
          <w:sz w:val="20"/>
          <w:szCs w:val="20"/>
          <w:color w:val="auto"/>
        </w:rPr>
      </w:pPr>
      <w:r>
        <w:rPr>
          <w:rFonts w:ascii="Arial" w:cs="Arial" w:eastAsia="Arial" w:hAnsi="Arial"/>
          <w:sz w:val="13"/>
          <w:szCs w:val="13"/>
          <w:b w:val="1"/>
          <w:bCs w:val="1"/>
          <w:u w:val="single" w:color="auto"/>
          <w:color w:val="auto"/>
        </w:rPr>
        <w:t>April 10, 2018</w:t>
      </w:r>
    </w:p>
    <w:p>
      <w:pPr>
        <w:spacing w:after="0" w:line="363" w:lineRule="exact"/>
        <w:rPr>
          <w:sz w:val="20"/>
          <w:szCs w:val="20"/>
          <w:color w:val="auto"/>
        </w:rPr>
      </w:pPr>
    </w:p>
    <w:p>
      <w:pPr>
        <w:ind w:left="300" w:hanging="293"/>
        <w:spacing w:after="0"/>
        <w:tabs>
          <w:tab w:leader="none" w:pos="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132,234</w:t>
      </w:r>
    </w:p>
    <w:p>
      <w:pPr>
        <w:spacing w:after="0" w:line="3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4"/>
          <w:szCs w:val="14"/>
          <w:color w:val="auto"/>
        </w:rPr>
        <w:t>40,663</w:t>
      </w:r>
    </w:p>
    <w:p>
      <w:pPr>
        <w:spacing w:after="0" w:line="51"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172,897</w:t>
      </w:r>
    </w:p>
    <w:p>
      <w:pPr>
        <w:spacing w:after="0" w:line="17"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15,670</w:t>
      </w:r>
    </w:p>
    <w:p>
      <w:pPr>
        <w:spacing w:after="0" w:line="6"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8,885</w:t>
      </w:r>
    </w:p>
    <w:p>
      <w:pPr>
        <w:spacing w:after="0" w:line="21" w:lineRule="exact"/>
        <w:rPr>
          <w:sz w:val="20"/>
          <w:szCs w:val="20"/>
          <w:color w:val="auto"/>
        </w:rPr>
      </w:pPr>
    </w:p>
    <w:p>
      <w:pPr>
        <w:ind w:left="300" w:hanging="293"/>
        <w:spacing w:after="0"/>
        <w:tabs>
          <w:tab w:leader="none" w:pos="300" w:val="left"/>
        </w:tabs>
        <w:numPr>
          <w:ilvl w:val="0"/>
          <w:numId w:val="5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197,452</w:t>
      </w:r>
    </w:p>
    <w:p>
      <w:pPr>
        <w:spacing w:after="0" w:line="270" w:lineRule="exact"/>
        <w:rPr>
          <w:sz w:val="20"/>
          <w:szCs w:val="20"/>
          <w:color w:val="auto"/>
        </w:rPr>
      </w:pPr>
    </w:p>
    <w:p>
      <w:pPr>
        <w:sectPr>
          <w:pgSz w:w="11900" w:h="16838" w:orient="portrait"/>
          <w:cols w:equalWidth="0" w:num="2">
            <w:col w:w="8520" w:space="720"/>
            <w:col w:w="1800"/>
          </w:cols>
          <w:pgMar w:left="320" w:top="454" w:right="539" w:bottom="1440" w:gutter="0" w:footer="0" w:header="0"/>
          <w:type w:val="continuous"/>
        </w:sectPr>
      </w:pPr>
    </w:p>
    <w:p>
      <w:pPr>
        <w:ind w:left="620" w:right="140" w:hanging="421"/>
        <w:spacing w:after="0" w:line="273" w:lineRule="auto"/>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w:t>
      </w:r>
    </w:p>
    <w:p>
      <w:pPr>
        <w:spacing w:after="0" w:line="181" w:lineRule="exact"/>
        <w:rPr>
          <w:sz w:val="20"/>
          <w:szCs w:val="20"/>
          <w:color w:val="auto"/>
        </w:rPr>
      </w:pPr>
    </w:p>
    <w:p>
      <w:pPr>
        <w:ind w:left="200" w:right="820" w:firstLine="434"/>
        <w:spacing w:after="0" w:line="266" w:lineRule="auto"/>
        <w:rPr>
          <w:sz w:val="20"/>
          <w:szCs w:val="20"/>
          <w:color w:val="auto"/>
        </w:rPr>
      </w:pPr>
      <w:r>
        <w:rPr>
          <w:rFonts w:ascii="Arial" w:cs="Arial" w:eastAsia="Arial" w:hAnsi="Arial"/>
          <w:sz w:val="18"/>
          <w:szCs w:val="18"/>
          <w:color w:val="auto"/>
        </w:rPr>
        <w:t>Total operating revenues were $701.4 million for the year ended December 31, 2019, $384.9 million for the Successor 2018 period and $197.5 million for the Predecessor 2018 period.</w:t>
      </w:r>
    </w:p>
    <w:p>
      <w:pPr>
        <w:spacing w:after="0" w:line="179" w:lineRule="exact"/>
        <w:rPr>
          <w:sz w:val="20"/>
          <w:szCs w:val="20"/>
          <w:color w:val="auto"/>
        </w:rPr>
      </w:pPr>
    </w:p>
    <w:p>
      <w:pPr>
        <w:ind w:left="200" w:right="100" w:firstLine="434"/>
        <w:spacing w:after="0" w:line="332"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was $396.1 million for the year ended December 31, 2019, $224.5 million for the Successor 2018</w:t>
      </w:r>
      <w:r>
        <w:rPr>
          <w:rFonts w:ascii="Arial" w:cs="Arial" w:eastAsia="Arial" w:hAnsi="Arial"/>
          <w:sz w:val="14"/>
          <w:szCs w:val="14"/>
          <w:i w:val="1"/>
          <w:iCs w:val="1"/>
          <w:color w:val="auto"/>
        </w:rPr>
        <w:t xml:space="preserve"> </w:t>
      </w:r>
      <w:r>
        <w:rPr>
          <w:rFonts w:ascii="Arial" w:cs="Arial" w:eastAsia="Arial" w:hAnsi="Arial"/>
          <w:sz w:val="14"/>
          <w:szCs w:val="14"/>
          <w:color w:val="auto"/>
        </w:rPr>
        <w:t>period and $132.2 million for the Predecessor 2018 period. The increase in scheduled service revenue was primarily related to increases in our capacity and departures along with a slight increase in load factor. Our scheduled service capacity, as measured by ASMs, increased by 30%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143"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was $174.6 million for the year ended December 31, 2019, $111.3 million for the Successor 2018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$40.7 million for the Predecessor 2018 period. The increase in our charter service revenue was primarily due to an increase in the number of charter flights for our casino and sports customers and the U.S. Department of Defense.</w:t>
      </w:r>
    </w:p>
    <w:p>
      <w:pPr>
        <w:spacing w:after="0" w:line="189"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was $118.2 million for the year ended December 31, 2019, $41.1 million for the Successor 2018 period and</w:t>
      </w:r>
      <w:r>
        <w:rPr>
          <w:rFonts w:ascii="Arial" w:cs="Arial" w:eastAsia="Arial" w:hAnsi="Arial"/>
          <w:sz w:val="18"/>
          <w:szCs w:val="18"/>
          <w:i w:val="1"/>
          <w:iCs w:val="1"/>
          <w:color w:val="auto"/>
        </w:rPr>
        <w:t xml:space="preserve"> </w:t>
      </w:r>
      <w:r>
        <w:rPr>
          <w:rFonts w:ascii="Arial" w:cs="Arial" w:eastAsia="Arial" w:hAnsi="Arial"/>
          <w:sz w:val="18"/>
          <w:szCs w:val="18"/>
          <w:color w:val="auto"/>
        </w:rPr>
        <w:t>$15.7 million for the Predecessor 2018 period. The increase in ancillary revenue was driven by the unbundling of our services to improve our product segmentation in January 2018, which previously were offered as a component of the base fares. Our focus on ancillary services has driven an increase in ancillary revenue on a per passenger basis of $11.44, or 53%.</w:t>
      </w:r>
    </w:p>
    <w:p>
      <w:pPr>
        <w:spacing w:after="0" w:line="191"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was $12.6 million for the year ended December 31, 2019, $8.0 million for the Successor 2018 period and $8.9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2018 period. The decrease in our other revenue was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320" w:top="454" w:right="5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primarily due to a temporary delay in implementing our Sun Country Vacations products in our new booking system in June 2019.</w:t>
      </w:r>
    </w:p>
    <w:p>
      <w:pPr>
        <w:sectPr>
          <w:pgSz w:w="11900" w:h="16838" w:orient="portrait"/>
          <w:cols w:equalWidth="0" w:num="1">
            <w:col w:w="11020"/>
          </w:cols>
          <w:pgMar w:left="320" w:top="454" w:right="559" w:bottom="1440" w:gutter="0" w:footer="0" w:header="0"/>
        </w:sect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b w:val="1"/>
                <w:bCs w:val="1"/>
                <w:color w:val="auto"/>
                <w:w w:val="81"/>
              </w:rPr>
              <w:t>Successor</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54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w w:val="87"/>
              </w:rPr>
              <w:t>ended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4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540" w:type="dxa"/>
            <w:vAlign w:val="bottom"/>
          </w:tcPr>
          <w:p>
            <w:pPr>
              <w:spacing w:after="0"/>
              <w:rPr>
                <w:sz w:val="12"/>
                <w:szCs w:val="12"/>
                <w:color w:val="auto"/>
              </w:rPr>
            </w:pPr>
          </w:p>
        </w:tc>
        <w:tc>
          <w:tcPr>
            <w:tcW w:w="9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1" w:lineRule="exact"/>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119,553</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140,739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90,263</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49,908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36,831</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35,286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15,491</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35,388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34,877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25,977</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24"/>
        </w:trPr>
        <w:tc>
          <w:tcPr>
            <w:tcW w:w="4820" w:type="dxa"/>
            <w:vAlign w:val="bottom"/>
          </w:tcPr>
          <w:p>
            <w:pPr>
              <w:spacing w:after="0"/>
              <w:rPr>
                <w:sz w:val="20"/>
                <w:szCs w:val="20"/>
                <w:color w:val="auto"/>
              </w:rPr>
            </w:pPr>
            <w:r>
              <w:rPr>
                <w:rFonts w:ascii="Arial" w:cs="Arial" w:eastAsia="Arial" w:hAnsi="Arial"/>
                <w:sz w:val="18"/>
                <w:szCs w:val="18"/>
                <w:color w:val="auto"/>
              </w:rPr>
              <w:t>Other operating</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68,187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21"/>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623,262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-2228215</wp:posOffset>
            </wp:positionV>
            <wp:extent cx="5783580" cy="22371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83580" cy="2237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94"/>
        <w:spacing w:after="0"/>
        <w:rPr>
          <w:sz w:val="20"/>
          <w:szCs w:val="20"/>
          <w:color w:val="auto"/>
        </w:rPr>
      </w:pPr>
      <w:r>
        <w:rPr>
          <w:rFonts w:ascii="Arial" w:cs="Arial" w:eastAsia="Arial" w:hAnsi="Arial"/>
          <w:sz w:val="14"/>
          <w:szCs w:val="14"/>
          <w:b w:val="1"/>
          <w:bCs w:val="1"/>
          <w:color w:val="auto"/>
        </w:rPr>
        <w:t>Predecessor</w:t>
      </w:r>
    </w:p>
    <w:p>
      <w:pPr>
        <w:jc w:val="center"/>
        <w:ind w:right="894"/>
        <w:spacing w:after="0"/>
        <w:rPr>
          <w:sz w:val="20"/>
          <w:szCs w:val="20"/>
          <w:color w:val="auto"/>
        </w:rPr>
      </w:pPr>
      <w:r>
        <w:rPr>
          <w:rFonts w:ascii="Arial" w:cs="Arial" w:eastAsia="Arial" w:hAnsi="Arial"/>
          <w:sz w:val="14"/>
          <w:szCs w:val="14"/>
          <w:b w:val="1"/>
          <w:bCs w:val="1"/>
          <w:color w:val="auto"/>
        </w:rPr>
        <w:t>For the period</w:t>
      </w:r>
    </w:p>
    <w:p>
      <w:pPr>
        <w:jc w:val="center"/>
        <w:ind w:right="894"/>
        <w:spacing w:after="0"/>
        <w:rPr>
          <w:sz w:val="20"/>
          <w:szCs w:val="20"/>
          <w:color w:val="auto"/>
        </w:rPr>
      </w:pPr>
      <w:r>
        <w:rPr>
          <w:rFonts w:ascii="Arial" w:cs="Arial" w:eastAsia="Arial" w:hAnsi="Arial"/>
          <w:sz w:val="12"/>
          <w:szCs w:val="12"/>
          <w:b w:val="1"/>
          <w:bCs w:val="1"/>
          <w:color w:val="auto"/>
        </w:rPr>
        <w:t>January 1, 2018</w:t>
      </w:r>
    </w:p>
    <w:p>
      <w:pPr>
        <w:jc w:val="center"/>
        <w:ind w:right="894"/>
        <w:spacing w:after="0" w:line="230" w:lineRule="auto"/>
        <w:rPr>
          <w:sz w:val="20"/>
          <w:szCs w:val="20"/>
          <w:color w:val="auto"/>
        </w:rPr>
      </w:pPr>
      <w:r>
        <w:rPr>
          <w:rFonts w:ascii="Arial" w:cs="Arial" w:eastAsia="Arial" w:hAnsi="Arial"/>
          <w:sz w:val="14"/>
          <w:szCs w:val="14"/>
          <w:b w:val="1"/>
          <w:bCs w:val="1"/>
          <w:color w:val="auto"/>
        </w:rPr>
        <w:t>through</w:t>
      </w:r>
    </w:p>
    <w:p>
      <w:pPr>
        <w:jc w:val="center"/>
        <w:ind w:right="894"/>
        <w:spacing w:after="0" w:line="218" w:lineRule="auto"/>
        <w:rPr>
          <w:sz w:val="20"/>
          <w:szCs w:val="20"/>
          <w:color w:val="auto"/>
        </w:rPr>
      </w:pPr>
      <w:r>
        <w:rPr>
          <w:rFonts w:ascii="Arial" w:cs="Arial" w:eastAsia="Arial" w:hAnsi="Arial"/>
          <w:sz w:val="14"/>
          <w:szCs w:val="14"/>
          <w:b w:val="1"/>
          <w:bCs w:val="1"/>
          <w:color w:val="auto"/>
        </w:rPr>
        <w:t>April 10,</w:t>
      </w:r>
    </w:p>
    <w:p>
      <w:pPr>
        <w:jc w:val="center"/>
        <w:ind w:right="894"/>
        <w:spacing w:after="0"/>
        <w:rPr>
          <w:sz w:val="20"/>
          <w:szCs w:val="20"/>
          <w:color w:val="auto"/>
        </w:rPr>
      </w:pPr>
      <w:r>
        <w:rPr>
          <w:rFonts w:ascii="Arial" w:cs="Arial" w:eastAsia="Arial" w:hAnsi="Arial"/>
          <w:sz w:val="14"/>
          <w:szCs w:val="14"/>
          <w:b w:val="1"/>
          <w:bCs w:val="1"/>
          <w:color w:val="auto"/>
        </w:rPr>
        <w:t>2018</w:t>
      </w:r>
    </w:p>
    <w:p>
      <w:pPr>
        <w:spacing w:after="0" w:line="192" w:lineRule="exact"/>
        <w:rPr>
          <w:sz w:val="20"/>
          <w:szCs w:val="20"/>
          <w:color w:val="auto"/>
        </w:rPr>
      </w:pPr>
    </w:p>
    <w:p>
      <w:pPr>
        <w:ind w:left="486" w:hanging="486"/>
        <w:spacing w:after="0"/>
        <w:tabs>
          <w:tab w:leader="none" w:pos="486" w:val="left"/>
        </w:tabs>
        <w:numPr>
          <w:ilvl w:val="0"/>
          <w:numId w:val="58"/>
        </w:numPr>
        <w:rPr>
          <w:rFonts w:ascii="Arial" w:cs="Arial" w:eastAsia="Arial" w:hAnsi="Arial"/>
          <w:sz w:val="14"/>
          <w:szCs w:val="14"/>
          <w:color w:val="auto"/>
        </w:rPr>
      </w:pPr>
      <w:r>
        <w:rPr>
          <w:rFonts w:ascii="Arial" w:cs="Arial" w:eastAsia="Arial" w:hAnsi="Arial"/>
          <w:sz w:val="14"/>
          <w:szCs w:val="14"/>
          <w:color w:val="auto"/>
        </w:rPr>
        <w:t>45,790</w:t>
      </w:r>
    </w:p>
    <w:p>
      <w:pPr>
        <w:spacing w:after="0" w:line="62"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36,964</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28,329</w:t>
      </w:r>
    </w:p>
    <w:p>
      <w:pPr>
        <w:spacing w:after="0" w:line="51" w:lineRule="exact"/>
        <w:rPr>
          <w:rFonts w:ascii="Arial" w:cs="Arial" w:eastAsia="Arial" w:hAnsi="Arial"/>
          <w:sz w:val="14"/>
          <w:szCs w:val="14"/>
          <w:color w:val="auto"/>
        </w:rPr>
      </w:pPr>
    </w:p>
    <w:p>
      <w:pPr>
        <w:ind w:left="566"/>
        <w:spacing w:after="0"/>
        <w:rPr>
          <w:rFonts w:ascii="Arial" w:cs="Arial" w:eastAsia="Arial" w:hAnsi="Arial"/>
          <w:sz w:val="14"/>
          <w:szCs w:val="14"/>
          <w:color w:val="auto"/>
        </w:rPr>
      </w:pPr>
      <w:r>
        <w:rPr>
          <w:rFonts w:ascii="Arial" w:cs="Arial" w:eastAsia="Arial" w:hAnsi="Arial"/>
          <w:sz w:val="14"/>
          <w:szCs w:val="14"/>
          <w:color w:val="auto"/>
        </w:rPr>
        <w:t>9,508</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10,854</w:t>
      </w:r>
    </w:p>
    <w:p>
      <w:pPr>
        <w:spacing w:after="0" w:line="51" w:lineRule="exact"/>
        <w:rPr>
          <w:rFonts w:ascii="Arial" w:cs="Arial" w:eastAsia="Arial" w:hAnsi="Arial"/>
          <w:sz w:val="14"/>
          <w:szCs w:val="14"/>
          <w:color w:val="auto"/>
        </w:rPr>
      </w:pPr>
    </w:p>
    <w:p>
      <w:pPr>
        <w:ind w:left="566"/>
        <w:spacing w:after="0"/>
        <w:rPr>
          <w:rFonts w:ascii="Arial" w:cs="Arial" w:eastAsia="Arial" w:hAnsi="Arial"/>
          <w:sz w:val="14"/>
          <w:szCs w:val="14"/>
          <w:color w:val="auto"/>
        </w:rPr>
      </w:pPr>
      <w:r>
        <w:rPr>
          <w:rFonts w:ascii="Arial" w:cs="Arial" w:eastAsia="Arial" w:hAnsi="Arial"/>
          <w:sz w:val="14"/>
          <w:szCs w:val="14"/>
          <w:color w:val="auto"/>
        </w:rPr>
        <w:t>2,526</w:t>
      </w:r>
    </w:p>
    <w:p>
      <w:pPr>
        <w:spacing w:after="0" w:line="51" w:lineRule="exact"/>
        <w:rPr>
          <w:rFonts w:ascii="Arial" w:cs="Arial" w:eastAsia="Arial" w:hAnsi="Arial"/>
          <w:sz w:val="14"/>
          <w:szCs w:val="14"/>
          <w:color w:val="auto"/>
        </w:rPr>
      </w:pPr>
    </w:p>
    <w:p>
      <w:pPr>
        <w:ind w:left="566"/>
        <w:spacing w:after="0"/>
        <w:rPr>
          <w:rFonts w:ascii="Arial" w:cs="Arial" w:eastAsia="Arial" w:hAnsi="Arial"/>
          <w:sz w:val="14"/>
          <w:szCs w:val="14"/>
          <w:color w:val="auto"/>
        </w:rPr>
      </w:pPr>
      <w:r>
        <w:rPr>
          <w:rFonts w:ascii="Arial" w:cs="Arial" w:eastAsia="Arial" w:hAnsi="Arial"/>
          <w:sz w:val="14"/>
          <w:szCs w:val="14"/>
          <w:color w:val="auto"/>
        </w:rPr>
        <w:t>8,619</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10,481</w:t>
      </w:r>
    </w:p>
    <w:p>
      <w:pPr>
        <w:spacing w:after="0" w:line="51" w:lineRule="exact"/>
        <w:rPr>
          <w:rFonts w:ascii="Arial" w:cs="Arial" w:eastAsia="Arial" w:hAnsi="Arial"/>
          <w:sz w:val="14"/>
          <w:szCs w:val="14"/>
          <w:color w:val="auto"/>
        </w:rPr>
      </w:pPr>
    </w:p>
    <w:p>
      <w:pPr>
        <w:ind w:left="706"/>
        <w:spacing w:after="0"/>
        <w:rPr>
          <w:rFonts w:ascii="Arial" w:cs="Arial" w:eastAsia="Arial" w:hAnsi="Arial"/>
          <w:sz w:val="14"/>
          <w:szCs w:val="14"/>
          <w:color w:val="auto"/>
        </w:rPr>
      </w:pPr>
      <w:r>
        <w:rPr>
          <w:rFonts w:ascii="Arial" w:cs="Arial" w:eastAsia="Arial" w:hAnsi="Arial"/>
          <w:sz w:val="14"/>
          <w:szCs w:val="14"/>
          <w:color w:val="auto"/>
        </w:rPr>
        <w:t>271</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17,994</w:t>
      </w:r>
    </w:p>
    <w:p>
      <w:pPr>
        <w:spacing w:after="0" w:line="61" w:lineRule="exact"/>
        <w:rPr>
          <w:sz w:val="20"/>
          <w:szCs w:val="20"/>
          <w:color w:val="auto"/>
        </w:rPr>
      </w:pPr>
    </w:p>
    <w:p>
      <w:pPr>
        <w:ind w:left="386" w:hanging="386"/>
        <w:spacing w:after="0"/>
        <w:tabs>
          <w:tab w:leader="none" w:pos="386" w:val="left"/>
        </w:tabs>
        <w:numPr>
          <w:ilvl w:val="0"/>
          <w:numId w:val="5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171,336</w:t>
      </w:r>
    </w:p>
    <w:p>
      <w:pPr>
        <w:spacing w:after="0" w:line="287" w:lineRule="exact"/>
        <w:rPr>
          <w:sz w:val="20"/>
          <w:szCs w:val="20"/>
          <w:color w:val="auto"/>
        </w:rPr>
      </w:pPr>
    </w:p>
    <w:p>
      <w:pPr>
        <w:sectPr>
          <w:pgSz w:w="11900" w:h="16838" w:orient="portrait"/>
          <w:cols w:equalWidth="0" w:num="2">
            <w:col w:w="8434" w:space="720"/>
            <w:col w:w="1866"/>
          </w:cols>
          <w:pgMar w:left="320" w:top="454" w:right="559" w:bottom="1440" w:gutter="0" w:footer="0" w:header="0"/>
          <w:type w:val="continuous"/>
        </w:sectPr>
      </w:pPr>
    </w:p>
    <w:p>
      <w:pPr>
        <w:spacing w:after="0" w:line="14" w:lineRule="exact"/>
        <w:rPr>
          <w:sz w:val="20"/>
          <w:szCs w:val="20"/>
          <w:color w:val="auto"/>
        </w:rPr>
      </w:pPr>
    </w:p>
    <w:p>
      <w:pPr>
        <w:ind w:left="200" w:right="100" w:firstLine="434"/>
        <w:spacing w:after="0" w:line="268"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was $165.7 million for the year ended December 31, 2019, $119.6 million for the Successor 2018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$45.8 million for the Predecessor 2018 period. The change in aircraft fuel expense was primarily due to an increase in fuel gallons consumed of 20% due to our increased level of operations, as measured by an increase of 18% in block hours, partially offset by a decrease in average price per gallon of fuel of 3%. Aircraft fuel expense also includes mark-to-market gains or losses from fuel derivative contracts associated with our economic fuel hedges. We recognized a mark-to-market gain of $10.8 million in the year ended December 31, 2019 compared to a loss of $12.0 million in the Successor 2018 period, and none for the Predecessor 2018 period.</w:t>
      </w:r>
    </w:p>
    <w:p>
      <w:pPr>
        <w:spacing w:after="0" w:line="179" w:lineRule="exact"/>
        <w:rPr>
          <w:sz w:val="20"/>
          <w:szCs w:val="20"/>
          <w:color w:val="auto"/>
        </w:rPr>
      </w:pPr>
    </w:p>
    <w:p>
      <w:pPr>
        <w:ind w:left="200" w:right="160" w:firstLine="434"/>
        <w:spacing w:after="0" w:line="268" w:lineRule="auto"/>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was $140.7 million for the year ended December 31, 2019, $90.3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179"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was $50.0 million for the year ended December 31, 2019, $36.8 million for the Successor 2018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 decrease was 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320" w:top="454" w:right="55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was $35.3 million for the year ended December 31, 2019, $15.5 million for the Successor</w:t>
      </w:r>
      <w:r>
        <w:rPr>
          <w:rFonts w:ascii="Arial" w:cs="Arial" w:eastAsia="Arial" w:hAnsi="Arial"/>
          <w:sz w:val="17"/>
          <w:szCs w:val="17"/>
          <w:i w:val="1"/>
          <w:iCs w:val="1"/>
          <w:color w:val="auto"/>
        </w:rPr>
        <w:t xml:space="preserve"> </w:t>
      </w:r>
      <w:r>
        <w:rPr>
          <w:rFonts w:ascii="Arial" w:cs="Arial" w:eastAsia="Arial" w:hAnsi="Arial"/>
          <w:sz w:val="17"/>
          <w:szCs w:val="17"/>
          <w:color w:val="auto"/>
        </w:rPr>
        <w:t>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contra-asset) that was recorded as a result of acquisition accounting for the acquisition by the Apollo Funds. The maintenance liability (or contra-asset) is reduced as reimbursable maintenance events are performed and maintenance expense is incurred.</w:t>
      </w:r>
    </w:p>
    <w:p>
      <w:pPr>
        <w:spacing w:after="0" w:line="18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was $35.4 million for the year ended December 31, 2019, $17.2 million for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178"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was $34.9 million for the year ended December 31, 2019, $14.4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181"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was $41.7 million for the year ended December 31, 2019, $23.8 million for the Successor 2018</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191"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was $44.4 million for the year ended December 31, 2019, $26.0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2018 period and $10.5 million for the Predecessor 2018 period. The increase was due to the increase in departures and additional airports in our route network.</w:t>
      </w:r>
    </w:p>
    <w:p>
      <w:pPr>
        <w:spacing w:after="0" w:line="189"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i w:val="1"/>
          <w:iCs w:val="1"/>
          <w:color w:val="auto"/>
        </w:rPr>
        <w:t>Special Items, net</w:t>
      </w:r>
      <w:r>
        <w:rPr>
          <w:rFonts w:ascii="Arial" w:cs="Arial" w:eastAsia="Arial" w:hAnsi="Arial"/>
          <w:sz w:val="17"/>
          <w:szCs w:val="17"/>
          <w:color w:val="auto"/>
        </w:rPr>
        <w:t>. Special items, net was an expense of $7.1 million for the year ended December 31, 2019, income of $6.7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2018 period and an expense of $0.3 million for the Predecessor 2018 period. Special items, net for the year ended December 31, 2019 include a charge of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This expense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Special items, net recognized in the Successor 2018 period include the impact of changes to the terms of our rewards program implemented in the fourth quarter of 2018. The program changes included a net reduction in expenses of $8.5 million due to the earlier expiration of outstanding points, partially offset by an increase in expense as a result of improved terms for members’ redemption of points. We also recognized an expense of $1.7 million for the Successor 2018 period and $0.3 million for the Predecessor 2018 period related to early-out and employee separation expenses incurred in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320" w:top="454"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connection with outsourcing certain operations and other employee initiatives. These efforts were primarily related to airport station, flight attendants and ground handling employees.</w:t>
      </w:r>
    </w:p>
    <w:p>
      <w:pPr>
        <w:spacing w:after="0" w:line="179"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i w:val="1"/>
          <w:iCs w:val="1"/>
          <w:color w:val="auto"/>
        </w:rPr>
        <w:t>Other Operating, net</w:t>
      </w:r>
      <w:r>
        <w:rPr>
          <w:rFonts w:ascii="Arial" w:cs="Arial" w:eastAsia="Arial" w:hAnsi="Arial"/>
          <w:sz w:val="17"/>
          <w:szCs w:val="17"/>
          <w:color w:val="auto"/>
        </w:rPr>
        <w:t>. Other operating, net expense was $68.2 million for the year ended December 31, 2019, $40.9 million for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$18.0 million for the Predecessor 2018 period. The increase was primarily due to our higher level of operations.</w:t>
      </w:r>
    </w:p>
    <w:p>
      <w:pPr>
        <w:sectPr>
          <w:pgSz w:w="11900" w:h="16838" w:orient="portrait"/>
          <w:cols w:equalWidth="0" w:num="1">
            <w:col w:w="11040"/>
          </w:cols>
          <w:pgMar w:left="320" w:top="454" w:right="539" w:bottom="1440" w:gutter="0" w:footer="0" w:header="0"/>
        </w:sect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Income (Expense)</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81"/>
              </w:rPr>
              <w:t>Successor</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vMerge w:val="restart"/>
          </w:tcPr>
          <w:p>
            <w:pPr>
              <w:jc w:val="center"/>
              <w:ind w:right="249"/>
              <w:spacing w:after="0"/>
              <w:rPr>
                <w:sz w:val="20"/>
                <w:szCs w:val="20"/>
                <w:color w:val="auto"/>
              </w:rPr>
            </w:pPr>
            <w:r>
              <w:rPr>
                <w:rFonts w:ascii="Arial" w:cs="Arial" w:eastAsia="Arial" w:hAnsi="Arial"/>
                <w:sz w:val="14"/>
                <w:szCs w:val="14"/>
                <w:b w:val="1"/>
                <w:bCs w:val="1"/>
                <w:color w:val="auto"/>
                <w:w w:val="94"/>
              </w:rPr>
              <w:t>For the year</w:t>
            </w:r>
          </w:p>
        </w:tc>
        <w:tc>
          <w:tcPr>
            <w:tcW w:w="1140" w:type="dxa"/>
            <w:vAlign w:val="bottom"/>
            <w:gridSpan w:val="3"/>
          </w:tcPr>
          <w:p>
            <w:pPr>
              <w:jc w:val="center"/>
              <w:ind w:left="163"/>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9"/>
              <w:spacing w:after="0" w:line="147"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6"/>
        </w:trPr>
        <w:tc>
          <w:tcPr>
            <w:tcW w:w="6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140" w:type="dxa"/>
            <w:vAlign w:val="bottom"/>
            <w:gridSpan w:val="4"/>
          </w:tcPr>
          <w:p>
            <w:pPr>
              <w:jc w:val="center"/>
              <w:ind w:right="22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9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line="181"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(17,170)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24"/>
        </w:trPr>
        <w:tc>
          <w:tcPr>
            <w:tcW w:w="64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700"/>
              <w:spacing w:after="0"/>
              <w:rPr>
                <w:sz w:val="20"/>
                <w:szCs w:val="20"/>
                <w:color w:val="auto"/>
              </w:rPr>
            </w:pPr>
            <w:r>
              <w:rPr>
                <w:rFonts w:ascii="Arial" w:cs="Arial" w:eastAsia="Arial" w:hAnsi="Arial"/>
                <w:sz w:val="18"/>
                <w:szCs w:val="18"/>
                <w:color w:val="auto"/>
              </w:rPr>
              <w:t>Total non-operating expense, net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(17,962)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9"/>
        </w:trPr>
        <w:tc>
          <w:tcPr>
            <w:tcW w:w="64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-1730375</wp:posOffset>
            </wp:positionV>
            <wp:extent cx="6889750" cy="17392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89750" cy="1739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92"/>
        <w:spacing w:after="0"/>
        <w:rPr>
          <w:sz w:val="20"/>
          <w:szCs w:val="20"/>
          <w:color w:val="auto"/>
        </w:rPr>
      </w:pPr>
      <w:r>
        <w:rPr>
          <w:rFonts w:ascii="Arial" w:cs="Arial" w:eastAsia="Arial" w:hAnsi="Arial"/>
          <w:sz w:val="14"/>
          <w:szCs w:val="14"/>
          <w:b w:val="1"/>
          <w:bCs w:val="1"/>
          <w:color w:val="auto"/>
        </w:rPr>
        <w:t>Predecessor</w:t>
      </w:r>
    </w:p>
    <w:p>
      <w:pPr>
        <w:spacing w:after="0" w:line="145" w:lineRule="exact"/>
        <w:rPr>
          <w:sz w:val="20"/>
          <w:szCs w:val="20"/>
          <w:color w:val="auto"/>
        </w:rPr>
      </w:pPr>
    </w:p>
    <w:p>
      <w:pPr>
        <w:jc w:val="center"/>
        <w:ind w:right="92"/>
        <w:spacing w:after="0"/>
        <w:rPr>
          <w:sz w:val="20"/>
          <w:szCs w:val="20"/>
          <w:color w:val="auto"/>
        </w:rPr>
      </w:pPr>
      <w:r>
        <w:rPr>
          <w:rFonts w:ascii="Arial" w:cs="Arial" w:eastAsia="Arial" w:hAnsi="Arial"/>
          <w:sz w:val="14"/>
          <w:szCs w:val="14"/>
          <w:b w:val="1"/>
          <w:bCs w:val="1"/>
          <w:color w:val="auto"/>
        </w:rPr>
        <w:t>For the period</w:t>
      </w:r>
    </w:p>
    <w:p>
      <w:pPr>
        <w:spacing w:after="0" w:line="1" w:lineRule="exact"/>
        <w:rPr>
          <w:sz w:val="20"/>
          <w:szCs w:val="20"/>
          <w:color w:val="auto"/>
        </w:rPr>
      </w:pPr>
    </w:p>
    <w:p>
      <w:pPr>
        <w:jc w:val="center"/>
        <w:ind w:right="92"/>
        <w:spacing w:after="0"/>
        <w:rPr>
          <w:sz w:val="20"/>
          <w:szCs w:val="20"/>
          <w:color w:val="auto"/>
        </w:rPr>
      </w:pPr>
      <w:r>
        <w:rPr>
          <w:rFonts w:ascii="Arial" w:cs="Arial" w:eastAsia="Arial" w:hAnsi="Arial"/>
          <w:sz w:val="12"/>
          <w:szCs w:val="12"/>
          <w:b w:val="1"/>
          <w:bCs w:val="1"/>
          <w:color w:val="auto"/>
        </w:rPr>
        <w:t>January 1, 2018</w:t>
      </w:r>
    </w:p>
    <w:p>
      <w:pPr>
        <w:jc w:val="center"/>
        <w:ind w:right="92"/>
        <w:spacing w:after="0" w:line="230" w:lineRule="auto"/>
        <w:rPr>
          <w:sz w:val="20"/>
          <w:szCs w:val="20"/>
          <w:color w:val="auto"/>
        </w:rPr>
      </w:pPr>
      <w:r>
        <w:rPr>
          <w:rFonts w:ascii="Arial" w:cs="Arial" w:eastAsia="Arial" w:hAnsi="Arial"/>
          <w:sz w:val="14"/>
          <w:szCs w:val="14"/>
          <w:b w:val="1"/>
          <w:bCs w:val="1"/>
          <w:color w:val="auto"/>
        </w:rPr>
        <w:t>through</w:t>
      </w:r>
    </w:p>
    <w:p>
      <w:pPr>
        <w:ind w:left="68"/>
        <w:spacing w:after="0"/>
        <w:rPr>
          <w:sz w:val="20"/>
          <w:szCs w:val="20"/>
          <w:color w:val="auto"/>
        </w:rPr>
      </w:pPr>
      <w:r>
        <w:rPr>
          <w:rFonts w:ascii="Arial" w:cs="Arial" w:eastAsia="Arial" w:hAnsi="Arial"/>
          <w:sz w:val="14"/>
          <w:szCs w:val="14"/>
          <w:b w:val="1"/>
          <w:bCs w:val="1"/>
          <w:color w:val="auto"/>
        </w:rPr>
        <w:t>April 10, 2018</w:t>
      </w:r>
    </w:p>
    <w:p>
      <w:pPr>
        <w:spacing w:after="0" w:line="192" w:lineRule="exact"/>
        <w:rPr>
          <w:sz w:val="20"/>
          <w:szCs w:val="20"/>
          <w:color w:val="auto"/>
        </w:rPr>
      </w:pPr>
    </w:p>
    <w:p>
      <w:pPr>
        <w:ind w:left="788" w:hanging="788"/>
        <w:spacing w:after="0"/>
        <w:tabs>
          <w:tab w:leader="none" w:pos="7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96</w:t>
      </w:r>
    </w:p>
    <w:p>
      <w:pPr>
        <w:spacing w:after="0" w:line="16"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6"/>
          <w:szCs w:val="16"/>
          <w:color w:val="auto"/>
        </w:rPr>
        <w:t>(339)</w:t>
      </w:r>
    </w:p>
    <w:p>
      <w:pPr>
        <w:spacing w:after="0" w:line="28"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(206)</w:t>
      </w:r>
    </w:p>
    <w:p>
      <w:pPr>
        <w:spacing w:after="0" w:line="17" w:lineRule="exact"/>
        <w:rPr>
          <w:sz w:val="20"/>
          <w:szCs w:val="20"/>
          <w:color w:val="auto"/>
        </w:rPr>
      </w:pPr>
    </w:p>
    <w:p>
      <w:pPr>
        <w:ind w:left="488"/>
        <w:spacing w:after="0"/>
        <w:rPr>
          <w:sz w:val="20"/>
          <w:szCs w:val="20"/>
          <w:color w:val="auto"/>
        </w:rPr>
      </w:pPr>
      <w:r>
        <w:rPr>
          <w:rFonts w:ascii="Arial" w:cs="Arial" w:eastAsia="Arial" w:hAnsi="Arial"/>
          <w:sz w:val="17"/>
          <w:szCs w:val="17"/>
          <w:color w:val="auto"/>
        </w:rPr>
        <w:t>25,910</w:t>
      </w:r>
    </w:p>
    <w:p>
      <w:pPr>
        <w:spacing w:after="0" w:line="33" w:lineRule="exact"/>
        <w:rPr>
          <w:sz w:val="20"/>
          <w:szCs w:val="20"/>
          <w:color w:val="auto"/>
        </w:rPr>
      </w:pPr>
    </w:p>
    <w:p>
      <w:pPr>
        <w:ind w:left="708"/>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ind w:left="488" w:hanging="488"/>
        <w:spacing w:after="0"/>
        <w:tabs>
          <w:tab w:leader="none" w:pos="488"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25,910</w:t>
      </w:r>
    </w:p>
    <w:p>
      <w:pPr>
        <w:spacing w:after="0" w:line="275" w:lineRule="exact"/>
        <w:rPr>
          <w:sz w:val="20"/>
          <w:szCs w:val="20"/>
          <w:color w:val="auto"/>
        </w:rPr>
      </w:pPr>
    </w:p>
    <w:p>
      <w:pPr>
        <w:sectPr>
          <w:pgSz w:w="11900" w:h="16838" w:orient="portrait"/>
          <w:cols w:equalWidth="0" w:num="2">
            <w:col w:w="9252" w:space="720"/>
            <w:col w:w="1068"/>
          </w:cols>
          <w:pgMar w:left="320" w:top="454" w:right="539" w:bottom="1440" w:gutter="0" w:footer="0" w:header="0"/>
          <w:type w:val="continuous"/>
        </w:sectPr>
      </w:pPr>
    </w:p>
    <w:p>
      <w:pPr>
        <w:spacing w:after="0" w:line="14"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in the Successor 2018 period and the year ended December 31, 2019 related to higher average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w:t>
      </w:r>
    </w:p>
    <w:p>
      <w:pPr>
        <w:spacing w:after="0" w:line="179"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$17.2 million for the year ended December 31, 2019, $6.1 million for the Successor 2018 period and</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191" w:lineRule="exact"/>
        <w:rPr>
          <w:sz w:val="20"/>
          <w:szCs w:val="20"/>
          <w:color w:val="auto"/>
        </w:rPr>
      </w:pPr>
    </w:p>
    <w:p>
      <w:pPr>
        <w:jc w:val="both"/>
        <w:ind w:left="200" w:right="40" w:firstLine="434"/>
        <w:spacing w:after="0" w:line="253"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net was an expense of $1.7 million for the year ended December 31, 2019, expense of $1.6 million in the Successor 2018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297" w:lineRule="exact"/>
        <w:rPr>
          <w:sz w:val="20"/>
          <w:szCs w:val="20"/>
          <w:color w:val="auto"/>
        </w:rPr>
      </w:pPr>
    </w:p>
    <w:p>
      <w:pPr>
        <w:ind w:left="200" w:right="160" w:firstLine="434"/>
        <w:spacing w:after="0" w:line="272"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 the year ended December 31, 2019, our effective tax rate was 23.5%. In the Successor 2018 period, our effective tax rate was</w:t>
      </w:r>
      <w:r>
        <w:rPr>
          <w:rFonts w:ascii="Arial" w:cs="Arial" w:eastAsia="Arial" w:hAnsi="Arial"/>
          <w:sz w:val="17"/>
          <w:szCs w:val="17"/>
          <w:i w:val="1"/>
          <w:iCs w:val="1"/>
          <w:color w:val="auto"/>
        </w:rPr>
        <w:t xml:space="preserve"> </w:t>
      </w:r>
      <w:r>
        <w:rPr>
          <w:rFonts w:ascii="Arial" w:cs="Arial" w:eastAsia="Arial" w:hAnsi="Arial"/>
          <w:sz w:val="17"/>
          <w:szCs w:val="17"/>
          <w:color w:val="auto"/>
        </w:rPr>
        <w:t>(77.9%)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left="200" w:right="120" w:firstLine="434"/>
        <w:spacing w:after="0" w:line="251"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4" w:right="5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color w:val="auto"/>
        </w:rPr>
        <w:t>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Operating Income Margin, Adjusted Net Income and Adjusted EBITDAR</w:t>
      </w:r>
    </w:p>
    <w:p>
      <w:pPr>
        <w:spacing w:after="0" w:line="112"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5" w:lineRule="exact"/>
        <w:rPr>
          <w:sz w:val="20"/>
          <w:szCs w:val="20"/>
          <w:color w:val="auto"/>
        </w:rPr>
      </w:pPr>
    </w:p>
    <w:p>
      <w:pPr>
        <w:ind w:left="200" w:right="60" w:firstLine="434"/>
        <w:spacing w:after="0" w:line="283" w:lineRule="auto"/>
        <w:rPr>
          <w:sz w:val="20"/>
          <w:szCs w:val="20"/>
          <w:color w:val="auto"/>
        </w:rPr>
      </w:pPr>
      <w:r>
        <w:rPr>
          <w:rFonts w:ascii="Arial" w:cs="Arial" w:eastAsia="Arial" w:hAnsi="Arial"/>
          <w:sz w:val="16"/>
          <w:szCs w:val="16"/>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171" w:lineRule="exact"/>
        <w:rPr>
          <w:sz w:val="20"/>
          <w:szCs w:val="20"/>
          <w:color w:val="auto"/>
        </w:rPr>
      </w:pPr>
    </w:p>
    <w:p>
      <w:pPr>
        <w:ind w:left="200" w:right="80" w:firstLine="434"/>
        <w:spacing w:after="0" w:line="268" w:lineRule="auto"/>
        <w:rPr>
          <w:sz w:val="20"/>
          <w:szCs w:val="20"/>
          <w:color w:val="auto"/>
        </w:rPr>
      </w:pPr>
      <w:r>
        <w:rPr>
          <w:rFonts w:ascii="Arial" w:cs="Arial" w:eastAsia="Arial" w:hAnsi="Arial"/>
          <w:sz w:val="17"/>
          <w:szCs w:val="17"/>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4"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reconciliation of operating income to Adjusted Operating Income Margin for the periods presented below.</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For the year</w:t>
            </w:r>
          </w:p>
        </w:tc>
        <w:tc>
          <w:tcPr>
            <w:tcW w:w="2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87"/>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gridSpan w:val="4"/>
          </w:tcPr>
          <w:p>
            <w:pPr>
              <w:ind w:left="400"/>
              <w:spacing w:after="0" w:line="147"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26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Adjusted Operating Income Margin reconciliation:</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Operating revenues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401,486</w:t>
            </w:r>
          </w:p>
        </w:tc>
        <w:tc>
          <w:tcPr>
            <w:tcW w:w="42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701,384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Operating Income</w:t>
            </w:r>
          </w:p>
        </w:tc>
        <w:tc>
          <w:tcPr>
            <w:tcW w:w="560" w:type="dxa"/>
            <w:vAlign w:val="bottom"/>
            <w:gridSpan w:val="2"/>
            <w:shd w:val="clear" w:color="auto" w:fill="CCEEFF"/>
          </w:tcPr>
          <w:p>
            <w:pPr>
              <w:ind w:left="400"/>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17,385</w:t>
            </w: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78,122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Employee relocation and costs to exit Sun Country’s prior headquarters building and base closures</w:t>
            </w:r>
            <w:r>
              <w:rPr>
                <w:rFonts w:ascii="Arial" w:cs="Arial" w:eastAsia="Arial" w:hAnsi="Arial"/>
                <w:sz w:val="15"/>
                <w:szCs w:val="15"/>
                <w:color w:val="auto"/>
                <w:w w:val="93"/>
              </w:rPr>
              <w:t>(a)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Contractual obligations for retired technology</w:t>
            </w:r>
            <w:r>
              <w:rPr>
                <w:rFonts w:ascii="Arial" w:cs="Arial" w:eastAsia="Arial" w:hAnsi="Arial"/>
                <w:sz w:val="15"/>
                <w:szCs w:val="15"/>
                <w:color w:val="auto"/>
              </w:rPr>
              <w:t>(a)</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airport slot rights</w:t>
            </w:r>
            <w:r>
              <w:rPr>
                <w:rFonts w:ascii="Arial" w:cs="Arial" w:eastAsia="Arial" w:hAnsi="Arial"/>
                <w:sz w:val="15"/>
                <w:szCs w:val="15"/>
                <w:color w:val="auto"/>
              </w:rPr>
              <w:t>(a)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Other adjustments</w:t>
            </w:r>
            <w:r>
              <w:rPr>
                <w:rFonts w:ascii="Arial" w:cs="Arial" w:eastAsia="Arial" w:hAnsi="Arial"/>
                <w:sz w:val="15"/>
                <w:szCs w:val="15"/>
                <w:color w:val="auto"/>
              </w:rPr>
              <w:t>(a)</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19,572</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Margin</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9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5" w:lineRule="exact"/>
              <w:rPr>
                <w:sz w:val="20"/>
                <w:szCs w:val="20"/>
                <w:color w:val="auto"/>
              </w:rPr>
            </w:pPr>
            <w:r>
              <w:rPr>
                <w:rFonts w:ascii="Arial" w:cs="Arial" w:eastAsia="Arial" w:hAnsi="Arial"/>
                <w:sz w:val="18"/>
                <w:szCs w:val="18"/>
                <w:color w:val="auto"/>
              </w:rPr>
              <w:t>4.3%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Margin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20" w:right="140" w:hanging="421"/>
        <w:spacing w:after="0" w:line="251" w:lineRule="auto"/>
        <w:tabs>
          <w:tab w:leader="none" w:pos="6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the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present the reconciliation of Net Income (Loss) to Adjusted Net Income (Loss) for the periods presented below.</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6"/>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58"/>
              <w:spacing w:after="0" w:line="117" w:lineRule="exact"/>
              <w:rPr>
                <w:sz w:val="20"/>
                <w:szCs w:val="20"/>
                <w:color w:val="auto"/>
              </w:rPr>
            </w:pPr>
            <w:r>
              <w:rPr>
                <w:rFonts w:ascii="Arial" w:cs="Arial" w:eastAsia="Arial" w:hAnsi="Arial"/>
                <w:sz w:val="13"/>
                <w:szCs w:val="13"/>
                <w:b w:val="1"/>
                <w:bCs w:val="1"/>
                <w:color w:val="auto"/>
              </w:rPr>
              <w:t>For the year</w:t>
            </w: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440"/>
              <w:spacing w:after="0" w:line="117" w:lineRule="exact"/>
              <w:rPr>
                <w:sz w:val="20"/>
                <w:szCs w:val="20"/>
                <w:color w:val="auto"/>
              </w:rPr>
            </w:pPr>
            <w:r>
              <w:rPr>
                <w:rFonts w:ascii="Arial" w:cs="Arial" w:eastAsia="Arial" w:hAnsi="Arial"/>
                <w:sz w:val="13"/>
                <w:szCs w:val="13"/>
                <w:b w:val="1"/>
                <w:bCs w:val="1"/>
                <w:color w:val="auto"/>
                <w:w w:val="99"/>
              </w:rPr>
              <w:t>For the year</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700" w:type="dxa"/>
            <w:vAlign w:val="bottom"/>
            <w:tcBorders>
              <w:top w:val="single" w:sz="8" w:color="auto"/>
              <w:right w:val="single" w:sz="8" w:color="auto"/>
            </w:tcBorders>
            <w:gridSpan w:val="2"/>
          </w:tcPr>
          <w:p>
            <w:pPr>
              <w:jc w:val="center"/>
              <w:ind w:right="760"/>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42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98"/>
              <w:spacing w:after="0" w:line="147" w:lineRule="exact"/>
              <w:rPr>
                <w:sz w:val="20"/>
                <w:szCs w:val="20"/>
                <w:color w:val="auto"/>
              </w:rPr>
            </w:pPr>
            <w:r>
              <w:rPr>
                <w:rFonts w:ascii="Arial" w:cs="Arial" w:eastAsia="Arial" w:hAnsi="Arial"/>
                <w:sz w:val="14"/>
                <w:szCs w:val="14"/>
                <w:b w:val="1"/>
                <w:bCs w:val="1"/>
                <w:color w:val="auto"/>
                <w:w w:val="87"/>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1440" w:type="dxa"/>
            <w:vAlign w:val="bottom"/>
            <w:gridSpan w:val="4"/>
          </w:tcPr>
          <w:p>
            <w:pPr>
              <w:jc w:val="center"/>
              <w:ind w:left="262"/>
              <w:spacing w:after="0" w:line="147" w:lineRule="exact"/>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120" w:type="dxa"/>
            <w:vAlign w:val="bottom"/>
            <w:gridSpan w:val="4"/>
          </w:tcPr>
          <w:p>
            <w:pPr>
              <w:jc w:val="center"/>
              <w:ind w:right="258"/>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4"/>
              </w:rPr>
              <w:t>through</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69"/>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4"/>
                <w:szCs w:val="14"/>
                <w:color w:val="auto"/>
              </w:rPr>
            </w:pPr>
          </w:p>
        </w:tc>
        <w:tc>
          <w:tcPr>
            <w:tcW w:w="1900" w:type="dxa"/>
            <w:vAlign w:val="bottom"/>
            <w:tcBorders>
              <w:right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0"/>
              </w:rPr>
              <w:t>December 31, 2018</w:t>
            </w:r>
          </w:p>
        </w:tc>
        <w:tc>
          <w:tcPr>
            <w:tcW w:w="4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40"/>
        </w:trPr>
        <w:tc>
          <w:tcPr>
            <w:tcW w:w="4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Net Income (Loss) reconciliation: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98"/>
              <w:spacing w:after="0"/>
              <w:rPr>
                <w:sz w:val="20"/>
                <w:szCs w:val="20"/>
                <w:color w:val="auto"/>
              </w:rPr>
            </w:pPr>
            <w:r>
              <w:rPr>
                <w:rFonts w:ascii="Arial" w:cs="Arial" w:eastAsia="Arial" w:hAnsi="Arial"/>
                <w:sz w:val="17"/>
                <w:szCs w:val="17"/>
                <w:color w:val="auto"/>
              </w:rPr>
              <w:t>(3,904)</w:t>
            </w:r>
          </w:p>
        </w:tc>
        <w:tc>
          <w:tcPr>
            <w:tcW w:w="4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46,072</w:t>
            </w:r>
          </w:p>
        </w:tc>
        <w:tc>
          <w:tcPr>
            <w:tcW w:w="4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(367)</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w w:val="84"/>
              </w:rPr>
              <w:t>25,910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(a)</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98"/>
              <w:spacing w:after="0"/>
              <w:rPr>
                <w:sz w:val="20"/>
                <w:szCs w:val="20"/>
                <w:color w:val="auto"/>
              </w:rPr>
            </w:pPr>
            <w:r>
              <w:rPr>
                <w:rFonts w:ascii="Arial" w:cs="Arial" w:eastAsia="Arial" w:hAnsi="Arial"/>
                <w:sz w:val="17"/>
                <w:szCs w:val="17"/>
                <w:color w:val="auto"/>
              </w:rPr>
              <w:t>(64,563)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(6,706)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7"/>
                <w:szCs w:val="17"/>
                <w:color w:val="auto"/>
                <w:w w:val="84"/>
              </w:rPr>
              <w:t>271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1,888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373</w:t>
            </w: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(gain) on asset transactions,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(811)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14"/>
                <w:szCs w:val="14"/>
                <w:color w:val="auto"/>
              </w:rPr>
              <w:t>(b)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4,881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effect of adjusting items, net</w:t>
            </w:r>
            <w:r>
              <w:rPr>
                <w:rFonts w:ascii="Arial" w:cs="Arial" w:eastAsia="Arial" w:hAnsi="Arial"/>
                <w:sz w:val="14"/>
                <w:szCs w:val="14"/>
                <w:color w:val="auto"/>
              </w:rPr>
              <w:t>(c)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7"/>
                <w:szCs w:val="17"/>
                <w:b w:val="1"/>
                <w:bCs w:val="1"/>
                <w:color w:val="auto"/>
              </w:rPr>
              <w:t>Adjusted Net Income (Loss)</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(47,916</w:t>
            </w:r>
          </w:p>
        </w:tc>
        <w:tc>
          <w:tcPr>
            <w:tcW w:w="280" w:type="dxa"/>
            <w:vAlign w:val="bottom"/>
          </w:tcPr>
          <w:p>
            <w:pPr>
              <w:jc w:val="right"/>
              <w:ind w:right="198"/>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53,734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(5,871)</w:t>
            </w: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b w:val="1"/>
                <w:bCs w:val="1"/>
                <w:color w:val="auto"/>
                <w:w w:val="84"/>
              </w:rPr>
              <w:t>26,181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6032500</wp:posOffset>
            </wp:positionH>
            <wp:positionV relativeFrom="paragraph">
              <wp:posOffset>-1164590</wp:posOffset>
            </wp:positionV>
            <wp:extent cx="25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-176530</wp:posOffset>
            </wp:positionV>
            <wp:extent cx="25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-33020</wp:posOffset>
            </wp:positionV>
            <wp:extent cx="25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-16510</wp:posOffset>
            </wp:positionV>
            <wp:extent cx="25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8" w:lineRule="exact"/>
        <w:rPr>
          <w:sz w:val="20"/>
          <w:szCs w:val="20"/>
          <w:color w:val="auto"/>
        </w:rPr>
      </w:pPr>
    </w:p>
    <w:p>
      <w:pPr>
        <w:ind w:left="620" w:hanging="421"/>
        <w:spacing w:after="0"/>
        <w:tabs>
          <w:tab w:leader="none" w:pos="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ind w:left="620" w:right="100" w:hanging="421"/>
        <w:spacing w:after="0" w:line="218" w:lineRule="auto"/>
        <w:tabs>
          <w:tab w:leader="none" w:pos="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ind w:left="620" w:hanging="421"/>
        <w:spacing w:after="0"/>
        <w:tabs>
          <w:tab w:leader="none" w:pos="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4"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The following tables present the reconciliation of Net Income (Loss) to Adjusted EBITDAR for the periods presented below.</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For the year</w:t>
            </w:r>
          </w:p>
        </w:tc>
        <w:tc>
          <w:tcPr>
            <w:tcW w:w="220" w:type="dxa"/>
            <w:vAlign w:val="bottom"/>
          </w:tcPr>
          <w:p>
            <w:pPr>
              <w:spacing w:after="0"/>
              <w:rPr>
                <w:sz w:val="10"/>
                <w:szCs w:val="10"/>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540" w:type="dxa"/>
            <w:vAlign w:val="bottom"/>
            <w:gridSpan w:val="4"/>
          </w:tcPr>
          <w:p>
            <w:pPr>
              <w:jc w:val="center"/>
              <w:ind w:right="340"/>
              <w:spacing w:after="0" w:line="117"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April 11,</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38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108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8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54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480" w:type="dxa"/>
            <w:vAlign w:val="bottom"/>
          </w:tcPr>
          <w:p>
            <w:pPr>
              <w:spacing w:after="0"/>
              <w:rPr>
                <w:sz w:val="20"/>
                <w:szCs w:val="20"/>
                <w:color w:val="auto"/>
              </w:rPr>
            </w:pPr>
            <w:r>
              <w:rPr>
                <w:rFonts w:ascii="Arial" w:cs="Arial" w:eastAsia="Arial" w:hAnsi="Arial"/>
                <w:sz w:val="17"/>
                <w:szCs w:val="17"/>
                <w:b w:val="1"/>
                <w:bCs w:val="1"/>
                <w:color w:val="auto"/>
              </w:rPr>
              <w:t>Adjusted EBITDAR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60"/>
              <w:spacing w:after="0"/>
              <w:rPr>
                <w:sz w:val="20"/>
                <w:szCs w:val="20"/>
                <w:color w:val="auto"/>
              </w:rPr>
            </w:pPr>
            <w:r>
              <w:rPr>
                <w:rFonts w:ascii="Arial" w:cs="Arial" w:eastAsia="Arial" w:hAnsi="Arial"/>
                <w:sz w:val="17"/>
                <w:szCs w:val="17"/>
                <w:b w:val="1"/>
                <w:bCs w:val="1"/>
                <w:color w:val="auto"/>
              </w:rPr>
              <w:t>reconciliation: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(3,904)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46,072</w:t>
            </w: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(64,563)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7,092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(6,706)</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22,073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17,170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6,060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2,110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Loss (gain) on asset transactions,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14"/>
                <w:szCs w:val="14"/>
                <w:color w:val="auto"/>
              </w:rPr>
              <w:t>(b)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(937)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Provision for income taxes.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14,088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48,086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34,877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14,405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340"/>
              <w:spacing w:after="0"/>
              <w:rPr>
                <w:sz w:val="20"/>
                <w:szCs w:val="20"/>
                <w:color w:val="auto"/>
              </w:rPr>
            </w:pPr>
            <w:r>
              <w:rPr>
                <w:rFonts w:ascii="Arial" w:cs="Arial" w:eastAsia="Arial" w:hAnsi="Arial"/>
                <w:sz w:val="17"/>
                <w:szCs w:val="17"/>
                <w:color w:val="auto"/>
              </w:rPr>
              <w:t>Aircraft rent</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Adjusted EBITDAR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171,129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49,688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-2405380</wp:posOffset>
            </wp:positionV>
            <wp:extent cx="6889750" cy="2414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89750" cy="2414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Predecessor</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period</w:t>
      </w:r>
    </w:p>
    <w:p>
      <w:pPr>
        <w:jc w:val="center"/>
        <w:ind w:right="60"/>
        <w:spacing w:after="0" w:line="237" w:lineRule="auto"/>
        <w:rPr>
          <w:sz w:val="20"/>
          <w:szCs w:val="20"/>
          <w:color w:val="auto"/>
        </w:rPr>
      </w:pPr>
      <w:r>
        <w:rPr>
          <w:rFonts w:ascii="Arial" w:cs="Arial" w:eastAsia="Arial" w:hAnsi="Arial"/>
          <w:sz w:val="14"/>
          <w:szCs w:val="14"/>
          <w:b w:val="1"/>
          <w:bCs w:val="1"/>
          <w:color w:val="auto"/>
        </w:rPr>
        <w:t>January 1,</w:t>
      </w:r>
    </w:p>
    <w:p>
      <w:pPr>
        <w:ind w:left="20" w:right="6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200" w:lineRule="exact"/>
        <w:rPr>
          <w:sz w:val="20"/>
          <w:szCs w:val="20"/>
          <w:color w:val="auto"/>
        </w:rPr>
      </w:pPr>
    </w:p>
    <w:p>
      <w:pPr>
        <w:spacing w:after="0" w:line="370" w:lineRule="exact"/>
        <w:rPr>
          <w:sz w:val="20"/>
          <w:szCs w:val="20"/>
          <w:color w:val="auto"/>
        </w:rPr>
      </w:pPr>
    </w:p>
    <w:p>
      <w:pPr>
        <w:ind w:left="400" w:hanging="395"/>
        <w:spacing w:after="0"/>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25,910</w:t>
      </w:r>
    </w:p>
    <w:p>
      <w:pPr>
        <w:spacing w:after="0" w:line="2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271</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339</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5"/>
          <w:szCs w:val="15"/>
          <w:color w:val="auto"/>
        </w:rPr>
        <w:t>(96)</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2,526</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28,329</w:t>
      </w:r>
    </w:p>
    <w:p>
      <w:pPr>
        <w:spacing w:after="0" w:line="16" w:lineRule="exact"/>
        <w:rPr>
          <w:sz w:val="20"/>
          <w:szCs w:val="20"/>
          <w:color w:val="auto"/>
        </w:rPr>
      </w:pPr>
    </w:p>
    <w:p>
      <w:pPr>
        <w:ind w:left="400" w:hanging="395"/>
        <w:spacing w:after="0"/>
        <w:tabs>
          <w:tab w:leader="none" w:pos="400" w:val="left"/>
        </w:tabs>
        <w:numPr>
          <w:ilvl w:val="0"/>
          <w:numId w:val="65"/>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57,279</w:t>
      </w:r>
    </w:p>
    <w:p>
      <w:pPr>
        <w:spacing w:after="0" w:line="275" w:lineRule="exact"/>
        <w:rPr>
          <w:sz w:val="20"/>
          <w:szCs w:val="20"/>
          <w:color w:val="auto"/>
        </w:rPr>
      </w:pPr>
    </w:p>
    <w:p>
      <w:pPr>
        <w:sectPr>
          <w:pgSz w:w="11900" w:h="16838" w:orient="portrait"/>
          <w:cols w:equalWidth="0" w:num="2">
            <w:col w:w="9640" w:space="420"/>
            <w:col w:w="940"/>
          </w:cols>
          <w:pgMar w:left="320" w:top="454" w:right="579" w:bottom="1440" w:gutter="0" w:footer="0" w:header="0"/>
        </w:sectPr>
      </w:pPr>
    </w:p>
    <w:p>
      <w:pPr>
        <w:spacing w:after="0" w:line="31" w:lineRule="exact"/>
        <w:rPr>
          <w:sz w:val="20"/>
          <w:szCs w:val="20"/>
          <w:color w:val="auto"/>
        </w:rPr>
      </w:pPr>
    </w:p>
    <w:p>
      <w:pPr>
        <w:ind w:left="620" w:hanging="421"/>
        <w:spacing w:after="0"/>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ind w:left="620" w:right="40" w:hanging="421"/>
        <w:spacing w:after="0" w:line="228" w:lineRule="auto"/>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112" w:lineRule="exact"/>
        <w:rPr>
          <w:sz w:val="20"/>
          <w:szCs w:val="20"/>
          <w:color w:val="auto"/>
        </w:rPr>
      </w:pPr>
    </w:p>
    <w:p>
      <w:pPr>
        <w:ind w:left="200" w:right="120" w:firstLine="434"/>
        <w:spacing w:after="0" w:line="267" w:lineRule="auto"/>
        <w:rPr>
          <w:sz w:val="20"/>
          <w:szCs w:val="20"/>
          <w:color w:val="auto"/>
        </w:rPr>
      </w:pPr>
      <w:r>
        <w:rPr>
          <w:rFonts w:ascii="Arial" w:cs="Arial" w:eastAsia="Arial" w:hAnsi="Arial"/>
          <w:sz w:val="17"/>
          <w:szCs w:val="17"/>
          <w:color w:val="auto"/>
        </w:rPr>
        <w:t>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0"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96"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w:t>
      </w:r>
    </w:p>
    <w:p>
      <w:pPr>
        <w:spacing w:after="0" w:line="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320" w:top="454" w:right="57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49" w:lineRule="auto"/>
        <w:rPr>
          <w:sz w:val="20"/>
          <w:szCs w:val="20"/>
          <w:color w:val="auto"/>
        </w:rPr>
      </w:pPr>
      <w:r>
        <w:rPr>
          <w:rFonts w:ascii="Arial" w:cs="Arial" w:eastAsia="Arial" w:hAnsi="Arial"/>
          <w:sz w:val="18"/>
          <w:szCs w:val="18"/>
          <w:color w:val="auto"/>
        </w:rPr>
        <w:t>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95"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For the 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0"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40"/>
              <w:spacing w:after="0" w:line="140"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17"/>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5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(in</w:t>
            </w:r>
          </w:p>
        </w:tc>
        <w:tc>
          <w:tcPr>
            <w:tcW w:w="60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3"/>
                <w:szCs w:val="13"/>
                <w:b w:val="1"/>
                <w:bCs w:val="1"/>
                <w:color w:val="auto"/>
              </w:rPr>
              <w:t>Per ASM</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6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140" w:type="dxa"/>
            <w:vAlign w:val="bottom"/>
          </w:tcPr>
          <w:p>
            <w:pPr>
              <w:spacing w:after="0"/>
              <w:rPr>
                <w:sz w:val="10"/>
                <w:szCs w:val="10"/>
                <w:color w:val="auto"/>
              </w:rPr>
            </w:pPr>
          </w:p>
        </w:tc>
      </w:tr>
      <w:tr>
        <w:trPr>
          <w:trHeight w:val="169"/>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(in cents)</w:t>
            </w:r>
          </w:p>
        </w:tc>
        <w:tc>
          <w:tcPr>
            <w:tcW w:w="2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4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thousands)</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(in cents)</w:t>
            </w:r>
          </w:p>
        </w:tc>
      </w:tr>
      <w:tr>
        <w:trPr>
          <w:trHeight w:val="20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CASM</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384,101</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$ 623,262</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5"/>
              </w:rPr>
              <w:t>8.82</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549,035</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CEEFF"/>
            </w:tcBorders>
            <w:shd w:val="clear" w:color="auto" w:fill="CCEEFF"/>
          </w:tcPr>
          <w:p>
            <w:pPr>
              <w:spacing w:after="0"/>
              <w:rPr>
                <w:sz w:val="17"/>
                <w:szCs w:val="17"/>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Aircraft fuel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83,392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165,666</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2.35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165,343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Cargo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Sun Country Vacations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0.03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(64,563)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5"/>
              </w:rPr>
              <w:t>0.10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0.03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Pr>
          <w:p>
            <w:pPr>
              <w:spacing w:after="0"/>
              <w:rPr>
                <w:sz w:val="20"/>
                <w:szCs w:val="20"/>
                <w:color w:val="auto"/>
              </w:rPr>
            </w:pPr>
            <w:r>
              <w:rPr>
                <w:rFonts w:ascii="Arial" w:cs="Arial" w:eastAsia="Arial" w:hAnsi="Arial"/>
                <w:sz w:val="18"/>
                <w:szCs w:val="18"/>
                <w:b w:val="1"/>
                <w:bCs w:val="1"/>
                <w:color w:val="auto"/>
              </w:rPr>
              <w:t>Adjusted CASM</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326,263</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$ 445,942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left="215"/>
              <w:spacing w:after="0"/>
              <w:rPr>
                <w:sz w:val="20"/>
                <w:szCs w:val="20"/>
                <w:color w:val="auto"/>
              </w:rPr>
            </w:pPr>
            <w:r>
              <w:rPr>
                <w:rFonts w:ascii="Arial" w:cs="Arial" w:eastAsia="Arial" w:hAnsi="Arial"/>
                <w:sz w:val="18"/>
                <w:szCs w:val="18"/>
                <w:b w:val="1"/>
                <w:bCs w:val="1"/>
                <w:color w:val="auto"/>
                <w:w w:val="85"/>
              </w:rPr>
              <w:t>6.31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385,211</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1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equityholders’ capital contributions, the issuance of promissory notes and our 2019-1 EETC financing.</w:t>
      </w:r>
    </w:p>
    <w:p>
      <w:pPr>
        <w:spacing w:after="0" w:line="19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Our primary sources of liquidity as of December 31, 2020 included our existing cash and equivalents of $62.0 million and short-term investments of $5.6 million, our expected cash generated from operations and our $25.0 million ABL Facility, which had availability of $25.0 million as of December 31, 2020. In addition, we had restricted cash of $8.3 million as of December 31, 2020,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165"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4"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83" w:lineRule="auto"/>
        <w:rPr>
          <w:sz w:val="20"/>
          <w:szCs w:val="20"/>
          <w:color w:val="auto"/>
        </w:rPr>
      </w:pPr>
      <w:r>
        <w:rPr>
          <w:rFonts w:ascii="Arial" w:cs="Arial" w:eastAsia="Arial" w:hAnsi="Arial"/>
          <w:sz w:val="16"/>
          <w:szCs w:val="16"/>
          <w:color w:val="auto"/>
        </w:rPr>
        <w:t>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intend to use a portion of the proceeds from this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171"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On January 22, 2021, we were informed by Treasury that we would receive a grant of $32.2 million under the Payroll Support Program Extension under the Consolidated Appropriations Act, 2021. We received $16.1 million on February 2, 2021 and expect to receive the remaining $16.1 million prior to the end of March 2021. All funds provided by Treasury to Payroll Support Program Extension participants may only be used for the continuation of payment of employee wages, salaries, and benefits.</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 liens on certain assets, make certain investments or pay certain dividends and make certain other restricted payments.</w:t>
      </w:r>
    </w:p>
    <w:p>
      <w:pPr>
        <w:spacing w:after="0" w:line="173" w:lineRule="exact"/>
        <w:rPr>
          <w:sz w:val="20"/>
          <w:szCs w:val="20"/>
          <w:color w:val="auto"/>
        </w:rPr>
      </w:pPr>
    </w:p>
    <w:p>
      <w:pPr>
        <w:jc w:val="both"/>
        <w:ind w:left="200" w:right="180" w:firstLine="434"/>
        <w:spacing w:after="0" w:line="256" w:lineRule="auto"/>
        <w:rPr>
          <w:sz w:val="20"/>
          <w:szCs w:val="20"/>
          <w:color w:val="auto"/>
        </w:rPr>
      </w:pPr>
      <w:r>
        <w:rPr>
          <w:rFonts w:ascii="Arial" w:cs="Arial" w:eastAsia="Arial" w:hAnsi="Arial"/>
          <w:sz w:val="18"/>
          <w:szCs w:val="18"/>
          <w:color w:val="auto"/>
        </w:rPr>
        <w:t>In the fourth quarter of 2020, we estimate that we used net cash of approximately $83,000 per day, based on our cash from operations less non-aircraft capital expenditures and not including cash from grants and loans under the CARES Act and from purchases and settlements of our fuel hedge positions.</w:t>
      </w:r>
    </w:p>
    <w:p>
      <w:pPr>
        <w:spacing w:after="0" w:line="189"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 180 days prior to February 10, 2026. The Delayed Draw Term Loan Facility matures on February 10, 2026.</w:t>
      </w:r>
    </w:p>
    <w:p>
      <w:pPr>
        <w:spacing w:after="0" w:line="179"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w:t>
      </w:r>
    </w:p>
    <w:p>
      <w:pPr>
        <w:ind w:left="460" w:hanging="261"/>
        <w:spacing w:after="0"/>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with respect to the Delayed Draw Term Loan Facility, 5.00% per annum for Adjusted LIBOR loans and 4.00% per annum for ABR loans and</w:t>
      </w:r>
    </w:p>
    <w:p>
      <w:pPr>
        <w:spacing w:after="0" w:line="17" w:lineRule="exact"/>
        <w:rPr>
          <w:rFonts w:ascii="Arial" w:cs="Arial" w:eastAsia="Arial" w:hAnsi="Arial"/>
          <w:sz w:val="17"/>
          <w:szCs w:val="17"/>
          <w:color w:val="auto"/>
        </w:rPr>
      </w:pPr>
    </w:p>
    <w:p>
      <w:pPr>
        <w:ind w:left="460" w:hanging="26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4" w:right="5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Revolving Credit Facility, 5.00% per annum for Adjusted LIBOR loans and 4.00% per annum for ABR loans.</w:t>
      </w:r>
    </w:p>
    <w:p>
      <w:pPr>
        <w:spacing w:after="0" w:line="218"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80" w:lineRule="exact"/>
        <w:rPr>
          <w:sz w:val="20"/>
          <w:szCs w:val="20"/>
          <w:color w:val="auto"/>
        </w:rPr>
      </w:pPr>
    </w:p>
    <w:p>
      <w:pPr>
        <w:jc w:val="both"/>
        <w:ind w:left="200" w:right="180" w:firstLine="434"/>
        <w:spacing w:after="0" w:line="272" w:lineRule="auto"/>
        <w:rPr>
          <w:sz w:val="20"/>
          <w:szCs w:val="20"/>
          <w:color w:val="auto"/>
        </w:rPr>
      </w:pPr>
      <w:r>
        <w:rPr>
          <w:rFonts w:ascii="Arial" w:cs="Arial" w:eastAsia="Arial" w:hAnsi="Arial"/>
          <w:sz w:val="17"/>
          <w:szCs w:val="17"/>
          <w:color w:val="auto"/>
        </w:rPr>
        <w:t>The Borrower may only use borrowings under the Delayed Draw Term Facility to finance the acquisition of aircraft or engines and related fees and expenses. In March 2021, we borrowed $68.0 million under the Delayed Draw Term Loan Facility for the purpose of financing the acquisition of five additional aircraft that we presently lease, three of which have been acquired, with the remainder under purchase agreements. The Borrower may use borrowings under the Revolving Credit Facility for general corporate purposes.</w:t>
      </w:r>
    </w:p>
    <w:p>
      <w:pPr>
        <w:spacing w:after="0" w:line="178"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62"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179" w:lineRule="exact"/>
        <w:rPr>
          <w:sz w:val="20"/>
          <w:szCs w:val="20"/>
          <w:color w:val="auto"/>
        </w:rPr>
      </w:pPr>
    </w:p>
    <w:p>
      <w:pPr>
        <w:ind w:left="200" w:right="260" w:firstLine="434"/>
        <w:spacing w:after="0" w:line="278" w:lineRule="auto"/>
        <w:rPr>
          <w:sz w:val="20"/>
          <w:szCs w:val="20"/>
          <w:color w:val="auto"/>
        </w:rPr>
      </w:pPr>
      <w:r>
        <w:rPr>
          <w:rFonts w:ascii="Arial" w:cs="Arial" w:eastAsia="Arial" w:hAnsi="Arial"/>
          <w:sz w:val="17"/>
          <w:szCs w:val="17"/>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172" w:lineRule="exact"/>
        <w:rPr>
          <w:sz w:val="20"/>
          <w:szCs w:val="20"/>
          <w:color w:val="auto"/>
        </w:rPr>
      </w:pPr>
    </w:p>
    <w:p>
      <w:pPr>
        <w:jc w:val="both"/>
        <w:ind w:left="200" w:right="220" w:firstLine="434"/>
        <w:spacing w:after="0" w:line="256"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89"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 $28.3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320" w:top="454" w:right="5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financed aircraft; Class B, 4.66% relating to seven of the financed aircraft and 4.78% relating to six of the financed aircraft; and Class C, 6.95%.</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expected maturity date of the Class A is December 15, 2027, the Class B is December 15, 2025 and the Class C is December 15, 2023.</w:t>
      </w:r>
    </w:p>
    <w:p>
      <w:pPr>
        <w:spacing w:after="0" w:line="219"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Although we do not have any additional aircraft purchase or lease commitments in place, 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6"/>
          <w:szCs w:val="16"/>
          <w:i w:val="1"/>
          <w:iCs w:val="1"/>
          <w:color w:val="auto"/>
        </w:rPr>
        <w:t>Contractual Obligations and Commitments</w:t>
      </w:r>
      <w:r>
        <w:rPr>
          <w:rFonts w:ascii="Arial" w:cs="Arial" w:eastAsia="Arial" w:hAnsi="Arial"/>
          <w:sz w:val="16"/>
          <w:szCs w:val="16"/>
          <w:color w:val="auto"/>
        </w:rPr>
        <w:t>” below.</w:t>
      </w:r>
    </w:p>
    <w:p>
      <w:pPr>
        <w:spacing w:after="0" w:line="16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191"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 $2.2 million in accounts receivable as the eligible maintenance had been performed and reimbursement from the lessor is pending.</w:t>
      </w:r>
    </w:p>
    <w:p>
      <w:pPr>
        <w:spacing w:after="0" w:line="191"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181" w:lineRule="exact"/>
        <w:rPr>
          <w:sz w:val="20"/>
          <w:szCs w:val="20"/>
          <w:color w:val="auto"/>
        </w:rPr>
      </w:pPr>
    </w:p>
    <w:p>
      <w:pPr>
        <w:ind w:left="200" w:right="360" w:firstLine="434"/>
        <w:spacing w:after="0" w:line="272" w:lineRule="auto"/>
        <w:rPr>
          <w:sz w:val="20"/>
          <w:szCs w:val="20"/>
          <w:color w:val="auto"/>
        </w:rPr>
      </w:pPr>
      <w:r>
        <w:rPr>
          <w:rFonts w:ascii="Arial" w:cs="Arial" w:eastAsia="Arial" w:hAnsi="Arial"/>
          <w:sz w:val="17"/>
          <w:szCs w:val="17"/>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3220" w:type="dxa"/>
            <w:vAlign w:val="bottom"/>
            <w:vMerge w:val="restart"/>
          </w:tcPr>
          <w:p>
            <w:pPr>
              <w:spacing w:after="0"/>
              <w:rPr>
                <w:sz w:val="20"/>
                <w:szCs w:val="20"/>
                <w:color w:val="auto"/>
              </w:rPr>
            </w:pPr>
            <w:r>
              <w:rPr>
                <w:rFonts w:ascii="Arial" w:cs="Arial" w:eastAsia="Arial" w:hAnsi="Arial"/>
                <w:sz w:val="14"/>
                <w:szCs w:val="14"/>
                <w:color w:val="auto"/>
              </w:rPr>
              <w:t>(in thousands, except debt to capital</w:t>
            </w: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1"/>
              </w:rPr>
              <w:t>Successor</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2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As of December 31,</w:t>
            </w:r>
          </w:p>
        </w:tc>
        <w:tc>
          <w:tcPr>
            <w:tcW w:w="2080" w:type="dxa"/>
            <w:vAlign w:val="bottom"/>
            <w:gridSpan w:val="4"/>
          </w:tcPr>
          <w:p>
            <w:pPr>
              <w:jc w:val="center"/>
              <w:spacing w:after="0" w:line="117" w:lineRule="exact"/>
              <w:rPr>
                <w:sz w:val="20"/>
                <w:szCs w:val="20"/>
                <w:color w:val="auto"/>
              </w:rPr>
            </w:pPr>
            <w:r>
              <w:rPr>
                <w:rFonts w:ascii="Arial" w:cs="Arial" w:eastAsia="Arial" w:hAnsi="Arial"/>
                <w:sz w:val="13"/>
                <w:szCs w:val="13"/>
                <w:b w:val="1"/>
                <w:bCs w:val="1"/>
                <w:color w:val="auto"/>
                <w:w w:val="97"/>
              </w:rPr>
              <w:t>As of December 31,</w:t>
            </w:r>
          </w:p>
        </w:tc>
        <w:tc>
          <w:tcPr>
            <w:tcW w:w="1620" w:type="dxa"/>
            <w:vAlign w:val="bottom"/>
            <w:gridSpan w:val="3"/>
          </w:tcPr>
          <w:p>
            <w:pPr>
              <w:ind w:left="460"/>
              <w:spacing w:after="0" w:line="117" w:lineRule="exact"/>
              <w:rPr>
                <w:sz w:val="20"/>
                <w:szCs w:val="20"/>
                <w:color w:val="auto"/>
              </w:rPr>
            </w:pPr>
            <w:r>
              <w:rPr>
                <w:rFonts w:ascii="Arial" w:cs="Arial" w:eastAsia="Arial" w:hAnsi="Arial"/>
                <w:sz w:val="13"/>
                <w:szCs w:val="13"/>
                <w:b w:val="1"/>
                <w:bCs w:val="1"/>
                <w:color w:val="auto"/>
                <w:w w:val="94"/>
              </w:rPr>
              <w:t>As of 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amounts)</w:t>
            </w: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and equivalents</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5,624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5,694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256,345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73,720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49,823</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283,817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283,724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00"/>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Debt-to-capital including aircraft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and finance lease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r>
              <w:rPr>
                <w:rFonts w:ascii="Arial" w:cs="Arial" w:eastAsia="Arial" w:hAnsi="Arial"/>
                <w:sz w:val="15"/>
                <w:szCs w:val="15"/>
                <w:color w:val="auto"/>
              </w:rPr>
              <w:t>(1)</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0.62</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60" w:hanging="421"/>
        <w:spacing w:after="0" w:line="234" w:lineRule="auto"/>
        <w:tabs>
          <w:tab w:leader="none" w:pos="6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320" w:top="454" w:right="5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regarding our cash flows the years ended December 31, 2020 and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9"/>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5900" w:type="dxa"/>
            <w:vAlign w:val="bottom"/>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0"/>
              <w:spacing w:after="0" w:line="140"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1"/>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operating activities</w:t>
            </w:r>
          </w:p>
        </w:tc>
        <w:tc>
          <w:tcPr>
            <w:tcW w:w="3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$ 63,272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(96,028)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(69,564)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101,539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18" w:lineRule="exact"/>
        <w:rPr>
          <w:sz w:val="20"/>
          <w:szCs w:val="20"/>
          <w:color w:val="auto"/>
        </w:rPr>
      </w:pPr>
    </w:p>
    <w:p>
      <w:pPr>
        <w:ind w:left="200" w:right="240" w:firstLine="434"/>
        <w:spacing w:after="0" w:line="280" w:lineRule="auto"/>
        <w:rPr>
          <w:sz w:val="20"/>
          <w:szCs w:val="20"/>
          <w:color w:val="auto"/>
        </w:rPr>
      </w:pPr>
      <w:r>
        <w:rPr>
          <w:rFonts w:ascii="Arial" w:cs="Arial" w:eastAsia="Arial" w:hAnsi="Arial"/>
          <w:sz w:val="16"/>
          <w:szCs w:val="16"/>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mark-to-market losses on fuel derivatives of $12.2 million due to our fuel price hedging activity. Non-cash income included in net loss was amortization of over-market liabilities of $10.4 million related to acquisition accounting. These factors were largely offset by cash payments related to a decrease in our operating lease liabilities of</w:t>
      </w:r>
    </w:p>
    <w:p>
      <w:pPr>
        <w:spacing w:after="0" w:line="2" w:lineRule="exact"/>
        <w:rPr>
          <w:sz w:val="20"/>
          <w:szCs w:val="20"/>
          <w:color w:val="auto"/>
        </w:rPr>
      </w:pPr>
    </w:p>
    <w:p>
      <w:pPr>
        <w:ind w:left="200" w:right="120"/>
        <w:spacing w:after="0" w:line="285" w:lineRule="auto"/>
        <w:rPr>
          <w:sz w:val="20"/>
          <w:szCs w:val="20"/>
          <w:color w:val="auto"/>
        </w:rPr>
      </w:pPr>
      <w:r>
        <w:rPr>
          <w:rFonts w:ascii="Arial" w:cs="Arial" w:eastAsia="Arial" w:hAnsi="Arial"/>
          <w:sz w:val="16"/>
          <w:szCs w:val="16"/>
          <w:color w:val="auto"/>
        </w:rPr>
        <w:t>$28.4 million, a decrease in air traffic liabilities of $15.6 million, a decrease in accrued transportation taxes of $7.8 million, a decrease in accounts payable of $7.2 million, an increase in lessor maintenance deposits of $9.4 million, an increase in other assets of $5.4 million and an increase in accounts receivable of $6.3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 Retention Credit. Furthermore, as a result of the COVID-19 pandemic, we negotiated rent payment deferrals of $7.6 million with a majority of our aircraft lessors, which are expected to be paid by the second half of 2021.</w:t>
      </w:r>
    </w:p>
    <w:p>
      <w:pPr>
        <w:spacing w:after="0" w:line="167"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 $10.8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Investing Activities.</w:t>
      </w:r>
    </w:p>
    <w:p>
      <w:pPr>
        <w:spacing w:after="0" w:line="218"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89" w:lineRule="exact"/>
        <w:rPr>
          <w:sz w:val="20"/>
          <w:szCs w:val="20"/>
          <w:color w:val="auto"/>
        </w:rPr>
      </w:pPr>
    </w:p>
    <w:p>
      <w:pPr>
        <w:ind w:left="200" w:right="640" w:firstLine="434"/>
        <w:spacing w:after="0" w:line="329" w:lineRule="auto"/>
        <w:rPr>
          <w:sz w:val="20"/>
          <w:szCs w:val="20"/>
          <w:color w:val="auto"/>
        </w:rPr>
      </w:pPr>
      <w:r>
        <w:rPr>
          <w:rFonts w:ascii="Arial" w:cs="Arial" w:eastAsia="Arial" w:hAnsi="Arial"/>
          <w:sz w:val="16"/>
          <w:szCs w:val="16"/>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4"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8"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For the year ended December 31, 2020, net cash provided by financing activities was $101.5 million, primarily due to $220.3 million in proceeds from borrowings in connection with the 2019-1 EETC for the purchase of nine aircraft, including seven previously under operating or finance leases, and the refinance of three owned aircraft, $45.0 million in borrowings related to the CARES Act Loan, partially offset by $89.7 million of principal payments related to our finance leases, $69.9 million in debt repayments related to the refinancing of three owned aircraft, and payment of debt issuance costs of $4.2 million.</w:t>
      </w:r>
    </w:p>
    <w:p>
      <w:pPr>
        <w:spacing w:after="0" w:line="194" w:lineRule="exact"/>
        <w:rPr>
          <w:sz w:val="20"/>
          <w:szCs w:val="20"/>
          <w:color w:val="auto"/>
        </w:rPr>
      </w:pPr>
    </w:p>
    <w:p>
      <w:pPr>
        <w:jc w:val="both"/>
        <w:ind w:left="200" w:right="80" w:firstLine="434"/>
        <w:spacing w:after="0" w:line="303" w:lineRule="auto"/>
        <w:rPr>
          <w:sz w:val="20"/>
          <w:szCs w:val="20"/>
          <w:color w:val="auto"/>
        </w:rPr>
      </w:pPr>
      <w:r>
        <w:rPr>
          <w:rFonts w:ascii="Arial" w:cs="Arial" w:eastAsia="Arial" w:hAnsi="Arial"/>
          <w:sz w:val="16"/>
          <w:szCs w:val="16"/>
          <w:color w:val="auto"/>
        </w:rPr>
        <w:t>For the year ended December 31, 2019, net cash provided by financing activities was $27.3 million, primarily due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2019 and Successor and Predecessor 2018 periods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following table presents information regarding our cash flows for the year ended December 31, 2019 and the Successor 2018 and Predecessor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periods:</w:t>
      </w:r>
    </w:p>
    <w:p>
      <w:pPr>
        <w:sectPr>
          <w:pgSz w:w="11900" w:h="16838" w:orient="portrait"/>
          <w:cols w:equalWidth="0" w:num="1">
            <w:col w:w="11040"/>
          </w:cols>
          <w:pgMar w:left="320" w:top="454" w:right="539" w:bottom="1440" w:gutter="0" w:footer="0" w:header="0"/>
        </w:sect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79"/>
              </w:rPr>
              <w:t>Successor</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520" w:type="dxa"/>
            <w:vAlign w:val="bottom"/>
            <w:gridSpan w:val="4"/>
          </w:tcPr>
          <w:p>
            <w:pPr>
              <w:jc w:val="center"/>
              <w:ind w:left="369"/>
              <w:spacing w:after="0" w:line="147" w:lineRule="exact"/>
              <w:rPr>
                <w:sz w:val="20"/>
                <w:szCs w:val="20"/>
                <w:color w:val="auto"/>
              </w:rPr>
            </w:pPr>
            <w:r>
              <w:rPr>
                <w:rFonts w:ascii="Arial" w:cs="Arial" w:eastAsia="Arial" w:hAnsi="Arial"/>
                <w:sz w:val="14"/>
                <w:szCs w:val="14"/>
                <w:b w:val="1"/>
                <w:bCs w:val="1"/>
                <w:color w:val="auto"/>
                <w:w w:val="94"/>
              </w:rPr>
              <w:t>period April 11,</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year ended</w:t>
            </w:r>
          </w:p>
        </w:tc>
        <w:tc>
          <w:tcPr>
            <w:tcW w:w="520" w:type="dxa"/>
            <w:vAlign w:val="bottom"/>
          </w:tcPr>
          <w:p>
            <w:pPr>
              <w:spacing w:after="0"/>
              <w:rPr>
                <w:sz w:val="12"/>
                <w:szCs w:val="12"/>
                <w:color w:val="auto"/>
              </w:rPr>
            </w:pPr>
          </w:p>
        </w:tc>
        <w:tc>
          <w:tcPr>
            <w:tcW w:w="100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320" w:type="dxa"/>
            <w:vAlign w:val="bottom"/>
            <w:gridSpan w:val="4"/>
          </w:tcPr>
          <w:p>
            <w:pPr>
              <w:jc w:val="center"/>
              <w:ind w:left="128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10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20" w:type="dxa"/>
            <w:vAlign w:val="bottom"/>
          </w:tcPr>
          <w:p>
            <w:pPr>
              <w:spacing w:after="0" w:line="194" w:lineRule="exact"/>
              <w:rPr>
                <w:sz w:val="20"/>
                <w:szCs w:val="20"/>
                <w:color w:val="auto"/>
              </w:rPr>
            </w:pPr>
            <w:r>
              <w:rPr>
                <w:rFonts w:ascii="Arial" w:cs="Arial" w:eastAsia="Arial" w:hAnsi="Arial"/>
                <w:sz w:val="18"/>
                <w:szCs w:val="18"/>
                <w:color w:val="auto"/>
              </w:rPr>
              <w:t>Net cash provided by operating activities</w:t>
            </w:r>
          </w:p>
        </w:tc>
        <w:tc>
          <w:tcPr>
            <w:tcW w:w="14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63,272</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13,764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(69,564)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(80,823)</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27,329</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-1070610</wp:posOffset>
            </wp:positionV>
            <wp:extent cx="6889750" cy="1072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89750" cy="1072515"/>
                    </a:xfrm>
                    <a:prstGeom prst="rect">
                      <a:avLst/>
                    </a:prstGeom>
                    <a:noFill/>
                  </pic:spPr>
                </pic:pic>
              </a:graphicData>
            </a:graphic>
          </wp:anchor>
        </w:drawing>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9"/>
        <w:spacing w:after="0"/>
        <w:rPr>
          <w:sz w:val="20"/>
          <w:szCs w:val="20"/>
          <w:color w:val="auto"/>
        </w:rPr>
      </w:pPr>
      <w:r>
        <w:rPr>
          <w:rFonts w:ascii="Arial" w:cs="Arial" w:eastAsia="Arial" w:hAnsi="Arial"/>
          <w:sz w:val="13"/>
          <w:szCs w:val="13"/>
          <w:b w:val="1"/>
          <w:bCs w:val="1"/>
          <w:u w:val="single" w:color="auto"/>
          <w:color w:val="auto"/>
        </w:rPr>
        <w:t>Predecessor</w:t>
      </w:r>
    </w:p>
    <w:p>
      <w:pPr>
        <w:spacing w:after="0" w:line="11" w:lineRule="exact"/>
        <w:rPr>
          <w:sz w:val="20"/>
          <w:szCs w:val="20"/>
          <w:color w:val="auto"/>
        </w:rPr>
      </w:pPr>
    </w:p>
    <w:p>
      <w:pPr>
        <w:ind w:left="189"/>
        <w:spacing w:after="0"/>
        <w:rPr>
          <w:sz w:val="20"/>
          <w:szCs w:val="20"/>
          <w:color w:val="auto"/>
        </w:rPr>
      </w:pPr>
      <w:r>
        <w:rPr>
          <w:rFonts w:ascii="Arial" w:cs="Arial" w:eastAsia="Arial" w:hAnsi="Arial"/>
          <w:sz w:val="14"/>
          <w:szCs w:val="14"/>
          <w:b w:val="1"/>
          <w:bCs w:val="1"/>
          <w:color w:val="auto"/>
        </w:rPr>
        <w:t>For the</w:t>
      </w:r>
    </w:p>
    <w:p>
      <w:pPr>
        <w:jc w:val="center"/>
        <w:ind w:right="91"/>
        <w:spacing w:after="0" w:line="218" w:lineRule="auto"/>
        <w:rPr>
          <w:sz w:val="20"/>
          <w:szCs w:val="20"/>
          <w:color w:val="auto"/>
        </w:rPr>
      </w:pPr>
      <w:r>
        <w:rPr>
          <w:rFonts w:ascii="Arial" w:cs="Arial" w:eastAsia="Arial" w:hAnsi="Arial"/>
          <w:sz w:val="14"/>
          <w:szCs w:val="14"/>
          <w:b w:val="1"/>
          <w:bCs w:val="1"/>
          <w:color w:val="auto"/>
        </w:rPr>
        <w:t>period</w:t>
      </w:r>
    </w:p>
    <w:p>
      <w:pPr>
        <w:jc w:val="center"/>
        <w:ind w:right="91"/>
        <w:spacing w:after="0" w:line="218" w:lineRule="auto"/>
        <w:rPr>
          <w:sz w:val="20"/>
          <w:szCs w:val="20"/>
          <w:color w:val="auto"/>
        </w:rPr>
      </w:pPr>
      <w:r>
        <w:rPr>
          <w:rFonts w:ascii="Arial" w:cs="Arial" w:eastAsia="Arial" w:hAnsi="Arial"/>
          <w:sz w:val="14"/>
          <w:szCs w:val="14"/>
          <w:b w:val="1"/>
          <w:bCs w:val="1"/>
          <w:color w:val="auto"/>
        </w:rPr>
        <w:t>January 1,</w:t>
      </w:r>
    </w:p>
    <w:p>
      <w:pPr>
        <w:jc w:val="center"/>
        <w:ind w:right="91"/>
        <w:spacing w:after="0"/>
        <w:rPr>
          <w:sz w:val="20"/>
          <w:szCs w:val="20"/>
          <w:color w:val="auto"/>
        </w:rPr>
      </w:pPr>
      <w:r>
        <w:rPr>
          <w:rFonts w:ascii="Arial" w:cs="Arial" w:eastAsia="Arial" w:hAnsi="Arial"/>
          <w:sz w:val="12"/>
          <w:szCs w:val="12"/>
          <w:b w:val="1"/>
          <w:bCs w:val="1"/>
          <w:color w:val="auto"/>
        </w:rPr>
        <w:t>2018 through</w:t>
      </w:r>
    </w:p>
    <w:p>
      <w:pPr>
        <w:jc w:val="center"/>
        <w:ind w:right="91"/>
        <w:spacing w:after="0" w:line="230" w:lineRule="auto"/>
        <w:rPr>
          <w:sz w:val="20"/>
          <w:szCs w:val="20"/>
          <w:color w:val="auto"/>
        </w:rPr>
      </w:pPr>
      <w:r>
        <w:rPr>
          <w:rFonts w:ascii="Arial" w:cs="Arial" w:eastAsia="Arial" w:hAnsi="Arial"/>
          <w:sz w:val="14"/>
          <w:szCs w:val="14"/>
          <w:b w:val="1"/>
          <w:bCs w:val="1"/>
          <w:color w:val="auto"/>
        </w:rPr>
        <w:t>April 10,</w:t>
      </w:r>
    </w:p>
    <w:p>
      <w:pPr>
        <w:jc w:val="center"/>
        <w:ind w:right="91"/>
        <w:spacing w:after="0"/>
        <w:rPr>
          <w:sz w:val="20"/>
          <w:szCs w:val="20"/>
          <w:color w:val="auto"/>
        </w:rPr>
      </w:pPr>
      <w:r>
        <w:rPr>
          <w:rFonts w:ascii="Arial" w:cs="Arial" w:eastAsia="Arial" w:hAnsi="Arial"/>
          <w:sz w:val="14"/>
          <w:szCs w:val="14"/>
          <w:b w:val="1"/>
          <w:bCs w:val="1"/>
          <w:color w:val="auto"/>
        </w:rPr>
        <w:t>2018</w:t>
      </w:r>
    </w:p>
    <w:p>
      <w:pPr>
        <w:spacing w:after="0" w:line="7" w:lineRule="exact"/>
        <w:rPr>
          <w:sz w:val="20"/>
          <w:szCs w:val="20"/>
          <w:color w:val="auto"/>
        </w:rPr>
      </w:pPr>
    </w:p>
    <w:p>
      <w:pPr>
        <w:ind w:left="409" w:hanging="409"/>
        <w:spacing w:after="0"/>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4,583</w:t>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(2,594)</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(10,680)</w:t>
      </w:r>
    </w:p>
    <w:p>
      <w:pPr>
        <w:spacing w:after="0" w:line="632" w:lineRule="exact"/>
        <w:rPr>
          <w:sz w:val="20"/>
          <w:szCs w:val="20"/>
          <w:color w:val="auto"/>
        </w:rPr>
      </w:pPr>
    </w:p>
    <w:p>
      <w:pPr>
        <w:sectPr>
          <w:pgSz w:w="11900" w:h="16838" w:orient="portrait"/>
          <w:cols w:equalWidth="0" w:num="2">
            <w:col w:w="9411" w:space="720"/>
            <w:col w:w="909"/>
          </w:cols>
          <w:pgMar w:left="320" w:top="454" w:right="539" w:bottom="1440" w:gutter="0" w:footer="0" w:header="0"/>
          <w:type w:val="continuous"/>
        </w:sectPr>
      </w:pPr>
    </w:p>
    <w:p>
      <w:pPr>
        <w:ind w:left="200" w:right="80" w:firstLine="434"/>
        <w:spacing w:after="0" w:line="284" w:lineRule="auto"/>
        <w:rPr>
          <w:sz w:val="20"/>
          <w:szCs w:val="20"/>
          <w:color w:val="auto"/>
        </w:rPr>
      </w:pPr>
      <w:r>
        <w:rPr>
          <w:rFonts w:ascii="Arial" w:cs="Arial" w:eastAsia="Arial" w:hAnsi="Arial"/>
          <w:sz w:val="16"/>
          <w:szCs w:val="16"/>
          <w:color w:val="auto"/>
        </w:rPr>
        <w:t>For the year ended December 31, 2019, net cash provided by operating activities was $63.3 million, primarily due to net income of $46.1 million, increased by depreciation and amortization of $34.9 million related to additional owned and finance leased aircraft, deferred income taxes of</w:t>
      </w:r>
    </w:p>
    <w:p>
      <w:pPr>
        <w:spacing w:after="0" w:line="1" w:lineRule="exact"/>
        <w:rPr>
          <w:sz w:val="20"/>
          <w:szCs w:val="20"/>
          <w:color w:val="auto"/>
        </w:rPr>
      </w:pPr>
    </w:p>
    <w:p>
      <w:pPr>
        <w:ind w:left="200" w:right="160"/>
        <w:spacing w:after="0" w:line="296" w:lineRule="auto"/>
        <w:rPr>
          <w:sz w:val="20"/>
          <w:szCs w:val="20"/>
          <w:color w:val="auto"/>
        </w:rPr>
      </w:pPr>
      <w:r>
        <w:rPr>
          <w:rFonts w:ascii="Arial" w:cs="Arial" w:eastAsia="Arial" w:hAnsi="Arial"/>
          <w:sz w:val="16"/>
          <w:szCs w:val="16"/>
          <w:color w:val="auto"/>
        </w:rPr>
        <w:t>$14.0 million, an increase in air traffic liabilities of $11.3 million, and an increase in accounts payable of $9.0 million, partially offset by $14.1 million in amortization of over-market liabilities related to acquisition accounting, an increase in accounts receivable of $11.4 million, an increase in lessor maintenance deposits of $17.5 million and mark-to-market losses on fuel derivatives of $10.8 million due to our fuel price hedging activity.</w:t>
      </w:r>
    </w:p>
    <w:p>
      <w:pPr>
        <w:spacing w:after="0" w:line="159"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 hedging activity, a decrease in accounts receivable of $20.7 million driven by a one-time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 $14.2 million, a decrease in accounts payable of $9.7 million, an increase in prepaid expenses of $6.2 million and a decrease in other liabilities of $5.5 million.</w:t>
      </w:r>
    </w:p>
    <w:p>
      <w:pPr>
        <w:spacing w:after="0" w:line="169" w:lineRule="exact"/>
        <w:rPr>
          <w:sz w:val="20"/>
          <w:szCs w:val="20"/>
          <w:color w:val="auto"/>
        </w:rPr>
      </w:pPr>
    </w:p>
    <w:p>
      <w:pPr>
        <w:ind w:left="200" w:right="20" w:firstLine="434"/>
        <w:spacing w:after="0" w:line="294" w:lineRule="auto"/>
        <w:rPr>
          <w:sz w:val="20"/>
          <w:szCs w:val="20"/>
          <w:color w:val="auto"/>
        </w:rPr>
      </w:pPr>
      <w:r>
        <w:rPr>
          <w:rFonts w:ascii="Arial" w:cs="Arial" w:eastAsia="Arial" w:hAnsi="Arial"/>
          <w:sz w:val="16"/>
          <w:szCs w:val="16"/>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$34.0 million, an increase in receivable due from the predecessor parent of $7.4 million, an increase in prepaid expenses of $5.5 million and an increase in lessor maintenance deposits of $3.1 million.</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454" w:right="5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Investing Activities.</w:t>
      </w:r>
    </w:p>
    <w:p>
      <w:pPr>
        <w:spacing w:after="0" w:line="112"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89"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For the Predecessor 2018 period, net cash used in investing activities was $2.6 million, primarily due to purchases of property and equipment of $2.6 million.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2" w:lineRule="exact"/>
        <w:rPr>
          <w:sz w:val="20"/>
          <w:szCs w:val="20"/>
          <w:color w:val="auto"/>
        </w:rPr>
      </w:pPr>
    </w:p>
    <w:p>
      <w:pPr>
        <w:jc w:val="both"/>
        <w:ind w:left="200" w:right="260" w:firstLine="434"/>
        <w:spacing w:after="0" w:line="303" w:lineRule="auto"/>
        <w:rPr>
          <w:sz w:val="20"/>
          <w:szCs w:val="20"/>
          <w:color w:val="auto"/>
        </w:rPr>
      </w:pPr>
      <w:r>
        <w:rPr>
          <w:rFonts w:ascii="Arial" w:cs="Arial" w:eastAsia="Arial" w:hAnsi="Arial"/>
          <w:sz w:val="16"/>
          <w:szCs w:val="16"/>
          <w:color w:val="auto"/>
        </w:rPr>
        <w:t>For the year ended December 31, 2019, net cash provided by financing activities was $27.3 million, primarily due to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154"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89" w:lineRule="exact"/>
        <w:rPr>
          <w:sz w:val="20"/>
          <w:szCs w:val="20"/>
          <w:color w:val="auto"/>
        </w:rPr>
      </w:pPr>
    </w:p>
    <w:p>
      <w:pPr>
        <w:ind w:left="200" w:right="440" w:firstLine="434"/>
        <w:spacing w:after="0" w:line="266" w:lineRule="auto"/>
        <w:rPr>
          <w:sz w:val="20"/>
          <w:szCs w:val="20"/>
          <w:color w:val="auto"/>
        </w:rPr>
      </w:pPr>
      <w:r>
        <w:rPr>
          <w:rFonts w:ascii="Arial" w:cs="Arial" w:eastAsia="Arial" w:hAnsi="Arial"/>
          <w:sz w:val="18"/>
          <w:szCs w:val="18"/>
          <w:color w:val="auto"/>
        </w:rPr>
        <w:t>For the Predecessor 2018 period, net cash used in financing activities was $10.7 million, primarily due to cash distributions to SCA common stockholders of $10.5 million.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18" w:lineRule="exact"/>
        <w:rPr>
          <w:sz w:val="20"/>
          <w:szCs w:val="20"/>
          <w:color w:val="auto"/>
        </w:rPr>
      </w:pPr>
    </w:p>
    <w:p>
      <w:pPr>
        <w:ind w:left="200" w:right="80" w:firstLine="434"/>
        <w:spacing w:after="0" w:line="329" w:lineRule="auto"/>
        <w:rPr>
          <w:sz w:val="20"/>
          <w:szCs w:val="20"/>
          <w:color w:val="auto"/>
        </w:rPr>
      </w:pPr>
      <w:r>
        <w:rPr>
          <w:rFonts w:ascii="Arial" w:cs="Arial" w:eastAsia="Arial" w:hAnsi="Arial"/>
          <w:sz w:val="16"/>
          <w:szCs w:val="16"/>
          <w:color w:val="auto"/>
        </w:rPr>
        <w:t>We have contractual obligations comprised of aircraft leases and supplemental maintenance reserves, payment of debt and interest and other lease arrangements. The following table includes our contractual obligations as of December 31, 2020 for the periods in which payments are due:</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2022 - 2023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2024 - 2025</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Thereafter</w:t>
            </w:r>
          </w:p>
        </w:tc>
        <w:tc>
          <w:tcPr>
            <w:tcW w:w="26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Current and long-term debt</w:t>
            </w:r>
            <w:r>
              <w:rPr>
                <w:rFonts w:ascii="Arial" w:cs="Arial" w:eastAsia="Arial" w:hAnsi="Arial"/>
                <w:sz w:val="15"/>
                <w:szCs w:val="15"/>
                <w:color w:val="auto"/>
              </w:rPr>
              <w:t>(1)</w:t>
            </w:r>
          </w:p>
        </w:tc>
        <w:tc>
          <w:tcPr>
            <w:tcW w:w="2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72,665</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$ 132,469</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$ 285,801</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(2)</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56,212</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163,382</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2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30,920</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139,107</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200,318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$ 219,910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123,127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$ 644,502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8" w:lineRule="exact"/>
        <w:rPr>
          <w:sz w:val="20"/>
          <w:szCs w:val="20"/>
          <w:color w:val="auto"/>
        </w:rPr>
      </w:pPr>
    </w:p>
    <w:p>
      <w:pPr>
        <w:ind w:left="620" w:hanging="421"/>
        <w:spacing w:after="0"/>
        <w:tabs>
          <w:tab w:leader="none" w:pos="6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principal portion only, exclusive of deferred financing costs.</w:t>
      </w:r>
    </w:p>
    <w:p>
      <w:pPr>
        <w:ind w:left="620" w:hanging="421"/>
        <w:spacing w:after="0" w:line="218" w:lineRule="auto"/>
        <w:tabs>
          <w:tab w:leader="none" w:pos="6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interest on current and long-term debt.</w:t>
      </w:r>
    </w:p>
    <w:p>
      <w:pPr>
        <w:ind w:left="620" w:hanging="421"/>
        <w:spacing w:after="0"/>
        <w:tabs>
          <w:tab w:leader="none" w:pos="6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non-cancelable contractual payment commitments for aircraft and engines, and includes non-aircraft operating lease obligations.</w:t>
      </w:r>
    </w:p>
    <w:p>
      <w:pPr>
        <w:spacing w:after="0" w:line="19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$144 million in total, including $20 million in 2021, $43 million for 2022 and 2023, $43 million for 2024 and 2025, and $38 million thereafter.</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4"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 Balance Sheet Arrangements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 lessee,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91"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54"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i w:val="1"/>
          <w:iCs w:val="1"/>
          <w:color w:val="auto"/>
        </w:rPr>
        <w:t>Pass-Through Trusts</w:t>
      </w:r>
      <w:r>
        <w:rPr>
          <w:rFonts w:ascii="Arial" w:cs="Arial" w:eastAsia="Arial" w:hAnsi="Arial"/>
          <w:sz w:val="16"/>
          <w:szCs w:val="16"/>
          <w:color w:val="auto"/>
        </w:rPr>
        <w:t>. We have equipment notes outstanding issued under the 2019-1 EETC. Generally, the structure of the EETC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173"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i w:val="1"/>
          <w:iCs w:val="1"/>
          <w:color w:val="auto"/>
        </w:rPr>
        <w:t>Fuel Consortia</w:t>
      </w:r>
      <w:r>
        <w:rPr>
          <w:rFonts w:ascii="Arial" w:cs="Arial" w:eastAsia="Arial" w:hAnsi="Arial"/>
          <w:sz w:val="17"/>
          <w:szCs w:val="17"/>
          <w:color w:val="auto"/>
        </w:rPr>
        <w:t>. We currently participate in fuel consortia at Minneapolis-Saint Paul International 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 other off-balance sheet arrangements.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Our financial position and results of operations are affected by significant judgments and estimates made by management in accordance with GAAP. These estimates are based on historical experience and varying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40"/>
          </w:cols>
          <w:pgMar w:left="320" w:top="454"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spacing w:after="0" w:line="253" w:lineRule="auto"/>
        <w:rPr>
          <w:sz w:val="20"/>
          <w:szCs w:val="20"/>
          <w:color w:val="auto"/>
        </w:rPr>
      </w:pPr>
      <w:r>
        <w:rPr>
          <w:rFonts w:ascii="Arial" w:cs="Arial" w:eastAsia="Arial" w:hAnsi="Arial"/>
          <w:sz w:val="18"/>
          <w:szCs w:val="18"/>
          <w:color w:val="auto"/>
        </w:rPr>
        <w:t>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i w:val="1"/>
          <w:iCs w:val="1"/>
          <w:color w:val="auto"/>
        </w:rPr>
        <w:t>Scheduled Service and Ancillary Revenue</w:t>
      </w:r>
      <w:r>
        <w:rPr>
          <w:rFonts w:ascii="Arial" w:cs="Arial" w:eastAsia="Arial" w:hAnsi="Arial"/>
          <w:sz w:val="17"/>
          <w:szCs w:val="17"/>
          <w:color w:val="auto"/>
        </w:rPr>
        <w:t>. We generate the majority of our revenue from sales of passenger tickets and ancillary services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181"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78" w:lineRule="exact"/>
        <w:rPr>
          <w:sz w:val="20"/>
          <w:szCs w:val="20"/>
          <w:color w:val="auto"/>
        </w:rPr>
      </w:pPr>
    </w:p>
    <w:p>
      <w:pPr>
        <w:ind w:left="200" w:right="320" w:firstLine="434"/>
        <w:spacing w:after="0" w:line="278" w:lineRule="auto"/>
        <w:rPr>
          <w:sz w:val="20"/>
          <w:szCs w:val="20"/>
          <w:color w:val="auto"/>
        </w:rPr>
      </w:pPr>
      <w:r>
        <w:rPr>
          <w:rFonts w:ascii="Arial" w:cs="Arial" w:eastAsia="Arial" w:hAnsi="Arial"/>
          <w:sz w:val="17"/>
          <w:szCs w:val="17"/>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172"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 xml:space="preserve">Effective January 1, 2019, we adopted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adoption of ASC 606 impacts the timing of recognition of 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67" w:lineRule="exact"/>
        <w:rPr>
          <w:sz w:val="20"/>
          <w:szCs w:val="20"/>
          <w:color w:val="auto"/>
        </w:rPr>
      </w:pPr>
    </w:p>
    <w:p>
      <w:pPr>
        <w:ind w:left="200" w:right="560" w:firstLine="434"/>
        <w:spacing w:after="0" w:line="329" w:lineRule="auto"/>
        <w:rPr>
          <w:sz w:val="20"/>
          <w:szCs w:val="20"/>
          <w:color w:val="auto"/>
        </w:rPr>
      </w:pPr>
      <w:r>
        <w:rPr>
          <w:rFonts w:ascii="Arial" w:cs="Arial" w:eastAsia="Arial" w:hAnsi="Arial"/>
          <w:sz w:val="16"/>
          <w:szCs w:val="16"/>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34" w:lineRule="exact"/>
        <w:rPr>
          <w:sz w:val="20"/>
          <w:szCs w:val="20"/>
          <w:color w:val="auto"/>
        </w:rPr>
      </w:pPr>
    </w:p>
    <w:p>
      <w:pPr>
        <w:ind w:left="200" w:right="120" w:firstLine="434"/>
        <w:spacing w:after="0" w:line="348" w:lineRule="auto"/>
        <w:rPr>
          <w:sz w:val="20"/>
          <w:szCs w:val="20"/>
          <w:color w:val="auto"/>
        </w:rPr>
      </w:pPr>
      <w:r>
        <w:rPr>
          <w:rFonts w:ascii="Arial" w:cs="Arial" w:eastAsia="Arial" w:hAnsi="Arial"/>
          <w:sz w:val="14"/>
          <w:szCs w:val="14"/>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Charter Service Revenue</w:t>
      </w:r>
      <w:r>
        <w:rPr>
          <w:rFonts w:ascii="Arial" w:cs="Arial" w:eastAsia="Arial" w:hAnsi="Arial"/>
          <w:sz w:val="18"/>
          <w:szCs w:val="18"/>
          <w:color w:val="auto"/>
        </w:rPr>
        <w:t>. Charter revenue is recognized at the time of departure when transportation is provided.</w:t>
      </w:r>
    </w:p>
    <w:p>
      <w:pPr>
        <w:spacing w:after="0" w:line="218"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Revenue for cargo services is typically recognized based on hours flown and the number of aircraft operated during a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certain performance obligations that are reimbursed through</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320" w:top="454"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airline service agreements, including consumption of aircraft fuel, are generally recognized net of the related costs incurred. Under the ATSA,</w:t>
      </w:r>
    </w:p>
    <w:p>
      <w:pPr>
        <w:spacing w:after="0" w:line="28" w:lineRule="exact"/>
        <w:rPr>
          <w:sz w:val="20"/>
          <w:szCs w:val="20"/>
          <w:color w:val="auto"/>
        </w:rPr>
      </w:pPr>
    </w:p>
    <w:p>
      <w:pPr>
        <w:ind w:left="200" w:right="20"/>
        <w:spacing w:after="0" w:line="250" w:lineRule="auto"/>
        <w:rPr>
          <w:sz w:val="20"/>
          <w:szCs w:val="20"/>
          <w:color w:val="auto"/>
        </w:rPr>
      </w:pPr>
      <w:r>
        <w:rPr>
          <w:rFonts w:ascii="Arial" w:cs="Arial" w:eastAsia="Arial" w:hAnsi="Arial"/>
          <w:sz w:val="18"/>
          <w:szCs w:val="18"/>
          <w:color w:val="auto"/>
        </w:rPr>
        <w:t>$5.6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93"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i w:val="1"/>
          <w:iCs w:val="1"/>
          <w:color w:val="auto"/>
        </w:rPr>
        <w:t>Frequent Flyer Program</w:t>
      </w:r>
      <w:r>
        <w:rPr>
          <w:rFonts w:ascii="Arial" w:cs="Arial" w:eastAsia="Arial" w:hAnsi="Arial"/>
          <w:sz w:val="18"/>
          <w:szCs w:val="18"/>
          <w:color w:val="auto"/>
        </w:rPr>
        <w:t>. The Sun Country Rewards program provides frequent flyer rewards to program members based on accumulated loyalty</w:t>
      </w:r>
      <w:r>
        <w:rPr>
          <w:rFonts w:ascii="Arial" w:cs="Arial" w:eastAsia="Arial" w:hAnsi="Arial"/>
          <w:sz w:val="18"/>
          <w:szCs w:val="18"/>
          <w:i w:val="1"/>
          <w:iCs w:val="1"/>
          <w:color w:val="auto"/>
        </w:rPr>
        <w:t xml:space="preserve"> </w:t>
      </w:r>
      <w:r>
        <w:rPr>
          <w:rFonts w:ascii="Arial" w:cs="Arial" w:eastAsia="Arial" w:hAnsi="Arial"/>
          <w:sz w:val="18"/>
          <w:szCs w:val="18"/>
          <w:color w:val="auto"/>
        </w:rPr>
        <w:t>points. Loyalty points are earned as a result of travel and purchases using our co-branded credit card. The program terms include expiration of loyalty points after 36 months from the date they were earned, except members who are holders of the Sun Country co-branded credit card are not subject to the expiration terms. For loyalty points earned under the Sun Country Rewards program, we have an obligation to provide future services when these loyalty points are redeemed.</w:t>
      </w:r>
    </w:p>
    <w:p>
      <w:pPr>
        <w:spacing w:after="0" w:line="194"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80"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 redemption opportunities may result in material changes to the loyalty program liability balance, as well as revenue recognized from the program.</w:t>
      </w:r>
    </w:p>
    <w:p>
      <w:pPr>
        <w:spacing w:after="0" w:line="194"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i w:val="1"/>
          <w:iCs w:val="1"/>
          <w:color w:val="auto"/>
        </w:rPr>
        <w:t>Co-Brand Credit Card Program</w:t>
      </w:r>
      <w:r>
        <w:rPr>
          <w:rFonts w:ascii="Arial" w:cs="Arial" w:eastAsia="Arial" w:hAnsi="Arial"/>
          <w:sz w:val="18"/>
          <w:szCs w:val="18"/>
          <w:color w:val="auto"/>
        </w:rPr>
        <w:t>. Our co-branded credit card with First Bank, a division of First National Bank of Omaha, provides members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96"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Aircraft Maintenance</w:t>
      </w:r>
    </w:p>
    <w:p>
      <w:pPr>
        <w:spacing w:after="0" w:line="112" w:lineRule="exact"/>
        <w:rPr>
          <w:sz w:val="20"/>
          <w:szCs w:val="20"/>
          <w:color w:val="auto"/>
        </w:rPr>
      </w:pPr>
    </w:p>
    <w:p>
      <w:pPr>
        <w:jc w:val="both"/>
        <w:ind w:left="200" w:right="100" w:firstLine="434"/>
        <w:spacing w:after="0" w:line="294" w:lineRule="auto"/>
        <w:rPr>
          <w:sz w:val="20"/>
          <w:szCs w:val="20"/>
          <w:color w:val="auto"/>
        </w:rPr>
      </w:pPr>
      <w:r>
        <w:rPr>
          <w:rFonts w:ascii="Arial" w:cs="Arial" w:eastAsia="Arial" w:hAnsi="Arial"/>
          <w:sz w:val="16"/>
          <w:szCs w:val="16"/>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4" w:right="5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181"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18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For leased aircraft, we expense maintenance as incurred. Routine cost for maintaining the airframes and engines and line maintenance are charged to maintenance expense as performed.</w:t>
      </w:r>
    </w:p>
    <w:p>
      <w:pPr>
        <w:spacing w:after="0" w:line="179"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i w:val="1"/>
          <w:iCs w:val="1"/>
          <w:color w:val="auto"/>
        </w:rPr>
        <w:t>Maintenance Reserves</w:t>
      </w:r>
      <w:r>
        <w:rPr>
          <w:rFonts w:ascii="Arial" w:cs="Arial" w:eastAsia="Arial" w:hAnsi="Arial"/>
          <w:sz w:val="18"/>
          <w:szCs w:val="18"/>
          <w:color w:val="auto"/>
        </w:rPr>
        <w:t>. Our aircraft lease agreements provide that we pay maintenance reserves to aircraft lessors to be held as collateral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our required performance of significant maintenance events. Our lease agreements with maintenance reserve requirements provide that maintenance reserves are reimbursable to us upon completion of the maintenance event in an amount equal to the lesser of either (1) 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96"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178"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2" w:lineRule="exact"/>
        <w:rPr>
          <w:sz w:val="20"/>
          <w:szCs w:val="20"/>
          <w:color w:val="auto"/>
        </w:rPr>
      </w:pPr>
    </w:p>
    <w:p>
      <w:pPr>
        <w:ind w:left="200" w:right="220" w:firstLine="434"/>
        <w:spacing w:after="0" w:line="256" w:lineRule="auto"/>
        <w:rPr>
          <w:sz w:val="20"/>
          <w:szCs w:val="20"/>
          <w:color w:val="auto"/>
        </w:rPr>
      </w:pPr>
      <w:r>
        <w:rPr>
          <w:rFonts w:ascii="Arial" w:cs="Arial" w:eastAsia="Arial" w:hAnsi="Arial"/>
          <w:sz w:val="18"/>
          <w:szCs w:val="18"/>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89" w:lineRule="exact"/>
        <w:rPr>
          <w:sz w:val="20"/>
          <w:szCs w:val="20"/>
          <w:color w:val="auto"/>
        </w:rPr>
      </w:pPr>
    </w:p>
    <w:p>
      <w:pPr>
        <w:jc w:val="both"/>
        <w:ind w:left="200" w:right="120" w:firstLine="434"/>
        <w:spacing w:after="0" w:line="256" w:lineRule="auto"/>
        <w:rPr>
          <w:sz w:val="20"/>
          <w:szCs w:val="20"/>
          <w:color w:val="auto"/>
        </w:rPr>
      </w:pPr>
      <w:r>
        <w:rPr>
          <w:rFonts w:ascii="Arial" w:cs="Arial" w:eastAsia="Arial" w:hAnsi="Arial"/>
          <w:sz w:val="18"/>
          <w:szCs w:val="18"/>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40"/>
          </w:cols>
          <w:pgMar w:left="320" w:top="454"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limited to, (1) negative trends in our market capitalization, (2) reduced profitability resulting from lower passenger mile yields or higher input costs (primarily related to fuel and employees), (3) 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 (7) strategic changes to our operations leading to diminished utilization of the intangible assets.</w:t>
      </w:r>
    </w:p>
    <w:p>
      <w:pPr>
        <w:spacing w:after="0" w:line="162" w:lineRule="exact"/>
        <w:rPr>
          <w:sz w:val="20"/>
          <w:szCs w:val="20"/>
          <w:color w:val="auto"/>
        </w:rPr>
      </w:pPr>
    </w:p>
    <w:p>
      <w:pPr>
        <w:ind w:left="200" w:right="480" w:firstLine="434"/>
        <w:spacing w:after="0" w:line="266" w:lineRule="auto"/>
        <w:rPr>
          <w:sz w:val="20"/>
          <w:szCs w:val="20"/>
          <w:color w:val="auto"/>
        </w:rPr>
      </w:pPr>
      <w:r>
        <w:rPr>
          <w:rFonts w:ascii="Arial" w:cs="Arial" w:eastAsia="Arial" w:hAnsi="Arial"/>
          <w:sz w:val="18"/>
          <w:szCs w:val="18"/>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185"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We believe these assumptions are consistent with those a hypothetical market participant would use given circumstances that were present at the time the estimates were made.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 Valuation</w:t>
      </w:r>
    </w:p>
    <w:p>
      <w:pPr>
        <w:spacing w:after="0" w:line="112" w:lineRule="exact"/>
        <w:rPr>
          <w:sz w:val="20"/>
          <w:szCs w:val="20"/>
          <w:color w:val="auto"/>
        </w:rPr>
      </w:pPr>
    </w:p>
    <w:p>
      <w:pPr>
        <w:ind w:left="200" w:right="20" w:firstLine="434"/>
        <w:spacing w:after="0" w:line="286" w:lineRule="auto"/>
        <w:rPr>
          <w:sz w:val="20"/>
          <w:szCs w:val="20"/>
          <w:color w:val="auto"/>
        </w:rPr>
      </w:pPr>
      <w:r>
        <w:rPr>
          <w:rFonts w:ascii="Arial" w:cs="Arial" w:eastAsia="Arial" w:hAnsi="Arial"/>
          <w:sz w:val="16"/>
          <w:szCs w:val="16"/>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6"/>
          <w:szCs w:val="16"/>
          <w:i w:val="1"/>
          <w:iCs w:val="1"/>
          <w:color w:val="auto"/>
        </w:rPr>
        <w:t>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or the Practice Aid. Given the absence of a public trading market of our capital stock, the assumptions used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of our SCA common stock was based on a number of objective and subjective factors, including:</w:t>
      </w:r>
    </w:p>
    <w:p>
      <w:pPr>
        <w:spacing w:after="0" w:line="74" w:lineRule="exact"/>
        <w:rPr>
          <w:sz w:val="20"/>
          <w:szCs w:val="20"/>
          <w:color w:val="auto"/>
        </w:rPr>
      </w:pPr>
    </w:p>
    <w:p>
      <w:pPr>
        <w:ind w:left="1160" w:hanging="535"/>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25" w:lineRule="exact"/>
        <w:rPr>
          <w:rFonts w:ascii="Arial" w:cs="Arial" w:eastAsia="Arial" w:hAnsi="Arial"/>
          <w:sz w:val="18"/>
          <w:szCs w:val="18"/>
          <w:color w:val="auto"/>
        </w:rPr>
      </w:pPr>
    </w:p>
    <w:p>
      <w:pPr>
        <w:ind w:left="5500" w:right="1620" w:hanging="4875"/>
        <w:spacing w:after="0" w:line="435" w:lineRule="auto"/>
        <w:tabs>
          <w:tab w:leader="none" w:pos="11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 106</w:t>
      </w:r>
    </w:p>
    <w:p>
      <w:pPr>
        <w:sectPr>
          <w:pgSz w:w="11900" w:h="16838" w:orient="portrait"/>
          <w:cols w:equalWidth="0" w:num="1">
            <w:col w:w="11040"/>
          </w:cols>
          <w:pgMar w:left="320" w:top="454"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535"/>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48" w:lineRule="exact"/>
        <w:rPr>
          <w:rFonts w:ascii="Arial" w:cs="Arial" w:eastAsia="Arial" w:hAnsi="Arial"/>
          <w:sz w:val="16"/>
          <w:szCs w:val="16"/>
          <w:color w:val="auto"/>
        </w:rPr>
      </w:pPr>
    </w:p>
    <w:p>
      <w:pPr>
        <w:ind w:left="1160" w:hanging="535"/>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lack of marketability of our SCA common stock;</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18" w:lineRule="exact"/>
        <w:rPr>
          <w:sz w:val="20"/>
          <w:szCs w:val="20"/>
          <w:color w:val="auto"/>
        </w:rPr>
      </w:pPr>
    </w:p>
    <w:p>
      <w:pPr>
        <w:ind w:left="200" w:right="460" w:firstLine="434"/>
        <w:spacing w:after="0" w:line="290" w:lineRule="auto"/>
        <w:rPr>
          <w:sz w:val="20"/>
          <w:szCs w:val="20"/>
          <w:color w:val="auto"/>
        </w:rPr>
      </w:pPr>
      <w:r>
        <w:rPr>
          <w:rFonts w:ascii="Arial" w:cs="Arial" w:eastAsia="Arial" w:hAnsi="Arial"/>
          <w:sz w:val="16"/>
          <w:szCs w:val="16"/>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165"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The determination of the fair values of our non-public shares of SCA common stock and stock-based awards are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 After completion of this offering, future stock-based grant values will be based on quoted market prices.</w:t>
      </w:r>
    </w:p>
    <w:p>
      <w:pPr>
        <w:spacing w:after="0" w:line="191"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179" w:lineRule="exact"/>
        <w:rPr>
          <w:sz w:val="20"/>
          <w:szCs w:val="20"/>
          <w:color w:val="auto"/>
        </w:rPr>
      </w:pPr>
    </w:p>
    <w:p>
      <w:pPr>
        <w:jc w:val="both"/>
        <w:ind w:left="200" w:right="180" w:firstLine="434"/>
        <w:spacing w:after="0" w:line="253" w:lineRule="auto"/>
        <w:rPr>
          <w:sz w:val="20"/>
          <w:szCs w:val="20"/>
          <w:color w:val="auto"/>
        </w:rPr>
      </w:pPr>
      <w:r>
        <w:rPr>
          <w:rFonts w:ascii="Arial" w:cs="Arial" w:eastAsia="Arial" w:hAnsi="Arial"/>
          <w:sz w:val="18"/>
          <w:szCs w:val="18"/>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91" w:lineRule="exact"/>
        <w:rPr>
          <w:sz w:val="20"/>
          <w:szCs w:val="20"/>
          <w:color w:val="auto"/>
        </w:rPr>
      </w:pPr>
    </w:p>
    <w:p>
      <w:pPr>
        <w:ind w:left="200" w:right="100" w:firstLine="434"/>
        <w:spacing w:after="0" w:line="303" w:lineRule="auto"/>
        <w:rPr>
          <w:sz w:val="20"/>
          <w:szCs w:val="20"/>
          <w:color w:val="auto"/>
        </w:rPr>
      </w:pPr>
      <w:r>
        <w:rPr>
          <w:rFonts w:ascii="Arial" w:cs="Arial" w:eastAsia="Arial" w:hAnsi="Arial"/>
          <w:sz w:val="16"/>
          <w:szCs w:val="16"/>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1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78"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Unexpected pricing changes of aircraft fuel could have a material adverse effect on our business, results of operations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320" w:top="454"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color w:val="auto"/>
        </w:rPr>
        <w:t>increase in average aircraft fuel price would increase our 2021 annual aircraft fuel expense by $0.6 million, excluding any impact associated with fuel derivative instruments held and reimbursed cargo fuel.</w:t>
      </w:r>
    </w:p>
    <w:p>
      <w:pPr>
        <w:spacing w:after="0" w:line="179"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i w:val="1"/>
          <w:iCs w:val="1"/>
          <w:color w:val="auto"/>
        </w:rPr>
        <w:t>Interest Rates</w:t>
      </w:r>
      <w:r>
        <w:rPr>
          <w:rFonts w:ascii="Arial" w:cs="Arial" w:eastAsia="Arial" w:hAnsi="Arial"/>
          <w:sz w:val="16"/>
          <w:szCs w:val="16"/>
          <w:color w:val="auto"/>
        </w:rPr>
        <w:t>. We have exposure to market risk associated with changes in interest rates related to the interest expense from our variable-rate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18" w:lineRule="exact"/>
        <w:rPr>
          <w:sz w:val="20"/>
          <w:szCs w:val="20"/>
          <w:color w:val="auto"/>
        </w:rPr>
      </w:pPr>
    </w:p>
    <w:p>
      <w:pPr>
        <w:ind w:left="200" w:right="100" w:firstLine="434"/>
        <w:spacing w:after="0" w:line="340" w:lineRule="auto"/>
        <w:rPr>
          <w:sz w:val="20"/>
          <w:szCs w:val="20"/>
          <w:color w:val="auto"/>
        </w:rPr>
      </w:pPr>
      <w:r>
        <w:rPr>
          <w:rFonts w:ascii="Arial" w:cs="Arial" w:eastAsia="Arial" w:hAnsi="Arial"/>
          <w:sz w:val="14"/>
          <w:szCs w:val="14"/>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36"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40"/>
          </w:cols>
          <w:pgMar w:left="320" w:top="454"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Scheduled Passenger</w:t>
      </w:r>
    </w:p>
    <w:p>
      <w:pPr>
        <w:spacing w:after="0" w:line="118" w:lineRule="exact"/>
        <w:rPr>
          <w:sz w:val="20"/>
          <w:szCs w:val="20"/>
          <w:color w:val="auto"/>
        </w:rPr>
      </w:pPr>
    </w:p>
    <w:p>
      <w:pPr>
        <w:ind w:left="200" w:right="20" w:firstLine="434"/>
        <w:spacing w:after="0" w:line="248" w:lineRule="auto"/>
        <w:rPr>
          <w:sz w:val="20"/>
          <w:szCs w:val="20"/>
          <w:color w:val="auto"/>
        </w:rPr>
      </w:pPr>
      <w:r>
        <w:rPr>
          <w:rFonts w:ascii="Arial" w:cs="Arial" w:eastAsia="Arial" w:hAnsi="Arial"/>
          <w:sz w:val="18"/>
          <w:szCs w:val="18"/>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201" w:lineRule="exact"/>
        <w:rPr>
          <w:sz w:val="20"/>
          <w:szCs w:val="20"/>
          <w:color w:val="auto"/>
        </w:rPr>
      </w:pPr>
    </w:p>
    <w:p>
      <w:pPr>
        <w:ind w:left="200" w:right="160" w:firstLine="434"/>
        <w:spacing w:after="0" w:line="278" w:lineRule="auto"/>
        <w:rPr>
          <w:sz w:val="20"/>
          <w:szCs w:val="20"/>
          <w:color w:val="auto"/>
        </w:rPr>
      </w:pPr>
      <w:r>
        <w:rPr>
          <w:rFonts w:ascii="Arial" w:cs="Arial" w:eastAsia="Arial" w:hAnsi="Arial"/>
          <w:sz w:val="17"/>
          <w:szCs w:val="17"/>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172"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189" w:lineRule="exact"/>
        <w:rPr>
          <w:sz w:val="20"/>
          <w:szCs w:val="20"/>
          <w:color w:val="auto"/>
        </w:rPr>
      </w:pPr>
    </w:p>
    <w:p>
      <w:pPr>
        <w:ind w:left="200" w:right="200" w:firstLine="434"/>
        <w:spacing w:after="0" w:line="249" w:lineRule="auto"/>
        <w:rPr>
          <w:sz w:val="20"/>
          <w:szCs w:val="20"/>
          <w:color w:val="auto"/>
        </w:rPr>
      </w:pPr>
      <w:r>
        <w:rPr>
          <w:rFonts w:ascii="Arial" w:cs="Arial" w:eastAsia="Arial" w:hAnsi="Arial"/>
          <w:sz w:val="18"/>
          <w:szCs w:val="18"/>
          <w:color w:val="auto"/>
        </w:rPr>
        <w:t>In contrast, the LCC model focuses on operating a more simplified operation, providing point-to-point service without the high fixed costs and inefficiencies required for a hub-and-spoke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40"/>
          </w:cols>
          <w:pgMar w:left="320" w:top="454"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The ULCC model, which was pioneered by Ryanair in Europe and Spirit Airlines in the United States, was built on the LCC model, but combined with a focus on increased aircraft utilization, increased seat 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165"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Charter</w:t>
      </w:r>
    </w:p>
    <w:p>
      <w:pPr>
        <w:spacing w:after="0" w:line="118" w:lineRule="exact"/>
        <w:rPr>
          <w:sz w:val="20"/>
          <w:szCs w:val="20"/>
          <w:color w:val="auto"/>
        </w:rPr>
      </w:pPr>
    </w:p>
    <w:p>
      <w:pPr>
        <w:ind w:left="200" w:right="60" w:firstLine="434"/>
        <w:spacing w:after="0" w:line="303" w:lineRule="auto"/>
        <w:rPr>
          <w:sz w:val="20"/>
          <w:szCs w:val="20"/>
          <w:color w:val="auto"/>
        </w:rPr>
      </w:pPr>
      <w:r>
        <w:rPr>
          <w:rFonts w:ascii="Arial" w:cs="Arial" w:eastAsia="Arial" w:hAnsi="Arial"/>
          <w:sz w:val="16"/>
          <w:szCs w:val="16"/>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54" w:lineRule="exact"/>
        <w:rPr>
          <w:sz w:val="20"/>
          <w:szCs w:val="20"/>
          <w:color w:val="auto"/>
        </w:rPr>
      </w:pPr>
    </w:p>
    <w:p>
      <w:pPr>
        <w:ind w:left="200" w:right="200" w:firstLine="434"/>
        <w:spacing w:after="0" w:line="267" w:lineRule="auto"/>
        <w:rPr>
          <w:sz w:val="20"/>
          <w:szCs w:val="20"/>
          <w:color w:val="auto"/>
        </w:rPr>
      </w:pPr>
      <w:r>
        <w:rPr>
          <w:rFonts w:ascii="Arial" w:cs="Arial" w:eastAsia="Arial" w:hAnsi="Arial"/>
          <w:sz w:val="17"/>
          <w:szCs w:val="17"/>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180" w:lineRule="exact"/>
        <w:rPr>
          <w:sz w:val="20"/>
          <w:szCs w:val="20"/>
          <w:color w:val="auto"/>
        </w:rPr>
      </w:pPr>
    </w:p>
    <w:p>
      <w:pPr>
        <w:ind w:left="200" w:right="80" w:firstLine="434"/>
        <w:spacing w:after="0" w:line="251" w:lineRule="auto"/>
        <w:rPr>
          <w:sz w:val="20"/>
          <w:szCs w:val="20"/>
          <w:color w:val="auto"/>
        </w:rPr>
      </w:pPr>
      <w:r>
        <w:rPr>
          <w:rFonts w:ascii="Arial" w:cs="Arial" w:eastAsia="Arial" w:hAnsi="Arial"/>
          <w:sz w:val="18"/>
          <w:szCs w:val="18"/>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Cargo</w:t>
      </w:r>
    </w:p>
    <w:p>
      <w:pPr>
        <w:spacing w:after="0" w:line="118" w:lineRule="exact"/>
        <w:rPr>
          <w:sz w:val="20"/>
          <w:szCs w:val="20"/>
          <w:color w:val="auto"/>
        </w:rPr>
      </w:pPr>
    </w:p>
    <w:p>
      <w:pPr>
        <w:ind w:left="200" w:right="140" w:firstLine="434"/>
        <w:spacing w:after="0" w:line="272" w:lineRule="auto"/>
        <w:rPr>
          <w:sz w:val="20"/>
          <w:szCs w:val="20"/>
          <w:color w:val="auto"/>
        </w:rPr>
      </w:pPr>
      <w:r>
        <w:rPr>
          <w:rFonts w:ascii="Arial" w:cs="Arial" w:eastAsia="Arial" w:hAnsi="Arial"/>
          <w:sz w:val="17"/>
          <w:szCs w:val="17"/>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 and medium-range carriers such as Air Transport Services Group, Inc. (“ATSG”) and Atlas Air, as well as a host of smaller regional operators.</w:t>
      </w:r>
    </w:p>
    <w:p>
      <w:pPr>
        <w:spacing w:after="0" w:line="178" w:lineRule="exact"/>
        <w:rPr>
          <w:sz w:val="20"/>
          <w:szCs w:val="20"/>
          <w:color w:val="auto"/>
        </w:rPr>
      </w:pPr>
    </w:p>
    <w:p>
      <w:pPr>
        <w:ind w:left="200" w:right="320" w:firstLine="434"/>
        <w:spacing w:after="0" w:line="266" w:lineRule="auto"/>
        <w:rPr>
          <w:sz w:val="20"/>
          <w:szCs w:val="20"/>
          <w:color w:val="auto"/>
        </w:rPr>
      </w:pPr>
      <w:r>
        <w:rPr>
          <w:rFonts w:ascii="Arial" w:cs="Arial" w:eastAsia="Arial" w:hAnsi="Arial"/>
          <w:sz w:val="18"/>
          <w:szCs w:val="18"/>
          <w:color w:val="auto"/>
        </w:rPr>
        <w:t>The two options for air cargo transport are dedicated freighters and passenger aircraft lower holds, also referred to as passenger belly capacity. Freighters are particularly well suited for transporting high-value goods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40"/>
          </w:cols>
          <w:pgMar w:left="320" w:top="454"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 growth rate through 2039. The U.S. domestic air cargo market is more mature and expected by Boeing to grow at a 2.7% compound annual growth rate through 2039.</w:t>
      </w:r>
    </w:p>
    <w:p>
      <w:pPr>
        <w:spacing w:after="0" w:line="162" w:lineRule="exact"/>
        <w:rPr>
          <w:sz w:val="20"/>
          <w:szCs w:val="20"/>
          <w:color w:val="auto"/>
        </w:rPr>
      </w:pPr>
    </w:p>
    <w:p>
      <w:pPr>
        <w:ind w:left="200" w:right="60" w:firstLine="434"/>
        <w:spacing w:after="0" w:line="294" w:lineRule="auto"/>
        <w:rPr>
          <w:sz w:val="20"/>
          <w:szCs w:val="20"/>
          <w:color w:val="auto"/>
        </w:rPr>
      </w:pPr>
      <w:r>
        <w:rPr>
          <w:rFonts w:ascii="Arial" w:cs="Arial" w:eastAsia="Arial" w:hAnsi="Arial"/>
          <w:sz w:val="16"/>
          <w:szCs w:val="16"/>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62"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185" w:lineRule="exact"/>
        <w:rPr>
          <w:sz w:val="20"/>
          <w:szCs w:val="20"/>
          <w:color w:val="auto"/>
        </w:rPr>
      </w:pPr>
    </w:p>
    <w:p>
      <w:pPr>
        <w:ind w:left="200" w:right="80" w:firstLine="434"/>
        <w:spacing w:after="0" w:line="249" w:lineRule="auto"/>
        <w:rPr>
          <w:sz w:val="20"/>
          <w:szCs w:val="20"/>
          <w:color w:val="auto"/>
        </w:rPr>
      </w:pPr>
      <w:r>
        <w:rPr>
          <w:rFonts w:ascii="Arial" w:cs="Arial" w:eastAsia="Arial" w:hAnsi="Arial"/>
          <w:sz w:val="18"/>
          <w:szCs w:val="18"/>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COVID-19 Impact on the Airline Industry</w:t>
      </w:r>
    </w:p>
    <w:p>
      <w:pPr>
        <w:spacing w:after="0" w:line="118"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a monthly average of 24.6 million passengers for the period from July 1, 2020 to October 31, 2020, those levels are still down 65%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become widely distributed in 2021. The initial beneficiaries of the travel rebound are expected to be leisure and VFR focused LCCs and ULCCs, while the more international and business travel exposed legacy network airlines are expected to lag behind.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320" w:top="454" w:right="5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color w:val="auto"/>
        </w:rPr>
        <w:t>As COVID-19 has spread globally, many countries imposed strict international travel restrictions and more recently enacted mandatory quarantines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 volumes since April 2020. For the period from July 1, 2020 to October 31, 2020, international capacity for U.S. airlines was down 73% compared to the same timeframe in 2019, whereas domestic capacity was down 46% for the same period.</w:t>
      </w:r>
    </w:p>
    <w:p>
      <w:pPr>
        <w:spacing w:after="0" w:line="16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 and post-flight COVID-19 rapid testing has recently been introduced as an additional tool to avoid mandatory quarantine periods for international and some domestic travel, and it is expected to, along with a viable and widely distributed vaccine, facilitate the recovery in air passenger traffic as travel restrictions are lifted across the globe.</w:t>
      </w:r>
    </w:p>
    <w:p>
      <w:pPr>
        <w:spacing w:after="0" w:line="19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320" w:top="454"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200" w:right="140" w:firstLine="434"/>
        <w:spacing w:after="0" w:line="283"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 higher TRASM than ULCCs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8"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b w:val="1"/>
          <w:bCs w:val="1"/>
          <w:i w:val="1"/>
          <w:iCs w:val="1"/>
          <w:color w:val="auto"/>
        </w:rPr>
        <w:t xml:space="preserve">Charter. </w:t>
      </w:r>
      <w:r>
        <w:rPr>
          <w:rFonts w:ascii="Arial" w:cs="Arial" w:eastAsia="Arial" w:hAnsi="Arial"/>
          <w:sz w:val="16"/>
          <w:szCs w:val="16"/>
          <w:color w:val="auto"/>
        </w:rPr>
        <w:t>Our charter business, which is one of the largest narrow body charter operations in the United States, is a key component of our strategy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40"/>
          </w:cols>
          <w:pgMar w:left="320" w:top="454" w:right="5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62"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b w:val="1"/>
          <w:bCs w:val="1"/>
          <w:i w:val="1"/>
          <w:iCs w:val="1"/>
          <w:color w:val="auto"/>
        </w:rPr>
        <w:t xml:space="preserve">Cargo. </w:t>
      </w:r>
      <w:r>
        <w:rPr>
          <w:rFonts w:ascii="Arial" w:cs="Arial" w:eastAsia="Arial" w:hAnsi="Arial"/>
          <w:sz w:val="16"/>
          <w:szCs w:val="16"/>
          <w:color w:val="auto"/>
        </w:rPr>
        <w:t>On December 13, 2019, we signed the ATSA with Amazon to provide air cargo services. Flying under the ATSA began in May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200" w:right="360" w:firstLine="434"/>
        <w:spacing w:after="0" w:line="329" w:lineRule="auto"/>
        <w:rPr>
          <w:sz w:val="20"/>
          <w:szCs w:val="20"/>
          <w:color w:val="auto"/>
        </w:rPr>
      </w:pPr>
      <w:r>
        <w:rPr>
          <w:rFonts w:ascii="Arial" w:cs="Arial" w:eastAsia="Arial" w:hAnsi="Arial"/>
          <w:sz w:val="16"/>
          <w:szCs w:val="16"/>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41" w:lineRule="exact"/>
        <w:rPr>
          <w:sz w:val="20"/>
          <w:szCs w:val="20"/>
          <w:color w:val="auto"/>
        </w:rPr>
      </w:pPr>
    </w:p>
    <w:p>
      <w:pPr>
        <w:ind w:left="1160" w:right="180" w:hanging="429"/>
        <w:spacing w:after="0" w:line="256"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95" w:lineRule="exact"/>
        <w:rPr>
          <w:rFonts w:ascii="Arial" w:cs="Arial" w:eastAsia="Arial" w:hAnsi="Arial"/>
          <w:sz w:val="18"/>
          <w:szCs w:val="18"/>
          <w:color w:val="auto"/>
        </w:rPr>
      </w:pPr>
    </w:p>
    <w:p>
      <w:pPr>
        <w:ind w:left="1160" w:right="420" w:hanging="429"/>
        <w:spacing w:after="0" w:line="272" w:lineRule="auto"/>
        <w:tabs>
          <w:tab w:leader="none" w:pos="11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84" w:lineRule="exact"/>
        <w:rPr>
          <w:rFonts w:ascii="Arial" w:cs="Arial" w:eastAsia="Arial" w:hAnsi="Arial"/>
          <w:sz w:val="17"/>
          <w:szCs w:val="17"/>
          <w:color w:val="auto"/>
        </w:rPr>
      </w:pPr>
    </w:p>
    <w:p>
      <w:pPr>
        <w:ind w:left="1160" w:right="280" w:hanging="429"/>
        <w:spacing w:after="0" w:line="266"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greatly expanded our ancillary products and services, which consist of baggage fees, seat assignment fees and other fees, increasing average ancillary revenue per scheduled service passenger by 148% from 2017 to 2019.</w:t>
      </w:r>
    </w:p>
    <w:p>
      <w:pPr>
        <w:spacing w:after="0" w:line="86"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86" w:lineRule="exact"/>
        <w:rPr>
          <w:rFonts w:ascii="Arial" w:cs="Arial" w:eastAsia="Arial" w:hAnsi="Arial"/>
          <w:sz w:val="18"/>
          <w:szCs w:val="18"/>
          <w:color w:val="auto"/>
        </w:rPr>
      </w:pPr>
    </w:p>
    <w:p>
      <w:pPr>
        <w:ind w:left="1160" w:hanging="429"/>
        <w:spacing w:after="0" w:line="256"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While the COVID-19 induced industry downturn has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320" w:top="454"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112" w:lineRule="exact"/>
        <w:rPr>
          <w:sz w:val="20"/>
          <w:szCs w:val="20"/>
          <w:color w:val="auto"/>
        </w:rPr>
      </w:pPr>
    </w:p>
    <w:p>
      <w:pPr>
        <w:ind w:left="200" w:right="100" w:firstLine="434"/>
        <w:spacing w:after="0" w:line="281"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78" w:lineRule="exact"/>
        <w:rPr>
          <w:sz w:val="20"/>
          <w:szCs w:val="20"/>
          <w:color w:val="auto"/>
        </w:rPr>
      </w:pPr>
    </w:p>
    <w:p>
      <w:pPr>
        <w:ind w:left="200" w:right="100" w:firstLine="434"/>
        <w:spacing w:after="0" w:line="284" w:lineRule="auto"/>
        <w:rPr>
          <w:sz w:val="20"/>
          <w:szCs w:val="20"/>
          <w:color w:val="auto"/>
        </w:rPr>
      </w:pPr>
      <w:r>
        <w:rPr>
          <w:rFonts w:ascii="Arial" w:cs="Arial" w:eastAsia="Arial" w:hAnsi="Arial"/>
          <w:sz w:val="16"/>
          <w:szCs w:val="16"/>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without issuing any warrants, unlike nearly all other carriers with whom we compete that received government assistance. We have also maintained our pre-COVID-19 corporate credit ratings throughout the downturn. With the expectation that recently authorized COVID-19 vaccines will be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173"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18"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b w:val="1"/>
          <w:bCs w:val="1"/>
          <w:i w:val="1"/>
          <w:iCs w:val="1"/>
          <w:color w:val="auto"/>
        </w:rPr>
        <w:t xml:space="preserve">Diversified and Resilient Business Model. </w:t>
      </w:r>
      <w:r>
        <w:rPr>
          <w:rFonts w:ascii="Arial" w:cs="Arial" w:eastAsia="Arial" w:hAnsi="Arial"/>
          <w:sz w:val="17"/>
          <w:szCs w:val="17"/>
          <w:color w:val="auto"/>
        </w:rPr>
        <w:t>Our diversified business model, which includes significant leisure and VFR focused scheduled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have continued to fly in 2020, while our casino customers are subject to long-term contracts and began flying again in June 2020. Our cargo business exhibited steady growth in 2020 as flying ramped up and demand remained strong, driven by underlying secular growth in e-commerce.</w:t>
      </w:r>
    </w:p>
    <w:p>
      <w:pPr>
        <w:spacing w:after="0" w:line="179" w:lineRule="exact"/>
        <w:rPr>
          <w:sz w:val="20"/>
          <w:szCs w:val="20"/>
          <w:color w:val="auto"/>
        </w:rPr>
      </w:pPr>
    </w:p>
    <w:p>
      <w:pPr>
        <w:ind w:left="200" w:right="320" w:firstLine="434"/>
        <w:spacing w:after="0" w:line="266" w:lineRule="auto"/>
        <w:rPr>
          <w:sz w:val="20"/>
          <w:szCs w:val="20"/>
          <w:color w:val="auto"/>
        </w:rPr>
      </w:pPr>
      <w:r>
        <w:rPr>
          <w:rFonts w:ascii="Arial" w:cs="Arial" w:eastAsia="Arial" w:hAnsi="Arial"/>
          <w:sz w:val="18"/>
          <w:szCs w:val="18"/>
          <w:b w:val="1"/>
          <w:bCs w:val="1"/>
          <w:i w:val="1"/>
          <w:iCs w:val="1"/>
          <w:color w:val="auto"/>
        </w:rPr>
        <w:t xml:space="preserve">Agile Peak Demand Scheduling Strategy. </w:t>
      </w:r>
      <w:r>
        <w:rPr>
          <w:rFonts w:ascii="Arial" w:cs="Arial" w:eastAsia="Arial" w:hAnsi="Arial"/>
          <w:sz w:val="18"/>
          <w:szCs w:val="18"/>
          <w:color w:val="auto"/>
        </w:rPr>
        <w:t>We flex our capacity by day of the week, month of the year and line of business to capture what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are the most profitable flying opportunities available from both our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4"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5" w:lineRule="auto"/>
        <w:rPr>
          <w:sz w:val="20"/>
          <w:szCs w:val="20"/>
          <w:color w:val="auto"/>
        </w:rPr>
      </w:pPr>
      <w:r>
        <w:rPr>
          <w:rFonts w:ascii="Arial" w:cs="Arial" w:eastAsia="Arial" w:hAnsi="Arial"/>
          <w:sz w:val="17"/>
          <w:szCs w:val="17"/>
          <w:color w:val="auto"/>
        </w:rPr>
        <w:t>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142240</wp:posOffset>
            </wp:positionV>
            <wp:extent cx="4052570" cy="2423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5257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6"/>
          <w:szCs w:val="16"/>
          <w:i w:val="1"/>
          <w:iCs w:val="1"/>
          <w:color w:val="auto"/>
        </w:rPr>
        <w:t>Power Patterns</w:t>
      </w:r>
      <w:r>
        <w:rPr>
          <w:rFonts w:ascii="Arial" w:cs="Arial" w:eastAsia="Arial" w:hAnsi="Arial"/>
          <w:sz w:val="16"/>
          <w:szCs w:val="16"/>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16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b w:val="1"/>
          <w:bCs w:val="1"/>
          <w:i w:val="1"/>
          <w:iCs w:val="1"/>
          <w:color w:val="auto"/>
        </w:rPr>
        <w:t xml:space="preserve">Tactical Mid-Life Fleet with Flexible Operations. </w:t>
      </w:r>
      <w:r>
        <w:rPr>
          <w:rFonts w:ascii="Arial" w:cs="Arial" w:eastAsia="Arial" w:hAnsi="Arial"/>
          <w:sz w:val="16"/>
          <w:szCs w:val="16"/>
          <w:color w:val="auto"/>
        </w:rPr>
        <w:t>We maintain low aircraft ownership costs by acquiring mid-life Boeing 737-800 aircraft,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320" w:top="454"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50" w:lineRule="auto"/>
        <w:rPr>
          <w:sz w:val="20"/>
          <w:szCs w:val="20"/>
          <w:color w:val="auto"/>
        </w:rPr>
      </w:pPr>
      <w:r>
        <w:rPr>
          <w:rFonts w:ascii="Arial" w:cs="Arial" w:eastAsia="Arial" w:hAnsi="Arial"/>
          <w:sz w:val="18"/>
          <w:szCs w:val="18"/>
          <w:color w:val="auto"/>
        </w:rPr>
        <w:t>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96" w:lineRule="exact"/>
        <w:rPr>
          <w:sz w:val="20"/>
          <w:szCs w:val="20"/>
          <w:color w:val="auto"/>
        </w:rPr>
      </w:pPr>
    </w:p>
    <w:p>
      <w:pPr>
        <w:jc w:val="both"/>
        <w:ind w:left="200" w:right="280" w:firstLine="434"/>
        <w:spacing w:after="0" w:line="256"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superior to ULCCs while maintaining lower fares than LCCs and larger full service carriers. Some of the reasons that we believe we have a superior brand to ULCCs include:</w:t>
      </w:r>
    </w:p>
    <w:p>
      <w:pPr>
        <w:spacing w:after="0" w:line="96" w:lineRule="exact"/>
        <w:rPr>
          <w:sz w:val="20"/>
          <w:szCs w:val="20"/>
          <w:color w:val="auto"/>
        </w:rPr>
      </w:pPr>
    </w:p>
    <w:p>
      <w:pPr>
        <w:ind w:left="1160" w:right="80" w:hanging="429"/>
        <w:spacing w:after="0" w:line="269" w:lineRule="auto"/>
        <w:tabs>
          <w:tab w:leader="none" w:pos="11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Our Cabin Experience. </w:t>
      </w:r>
      <w:r>
        <w:rPr>
          <w:rFonts w:ascii="Arial" w:cs="Arial" w:eastAsia="Arial" w:hAnsi="Arial"/>
          <w:sz w:val="17"/>
          <w:szCs w:val="17"/>
          <w:color w:val="auto"/>
        </w:rPr>
        <w:t>All of our 737-800 aircraft have new state-of-the-art seats that comfortably recline and have full size tray tables.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87" w:lineRule="exact"/>
        <w:rPr>
          <w:rFonts w:ascii="Arial" w:cs="Arial" w:eastAsia="Arial" w:hAnsi="Arial"/>
          <w:sz w:val="17"/>
          <w:szCs w:val="17"/>
          <w:color w:val="auto"/>
        </w:rPr>
      </w:pPr>
    </w:p>
    <w:p>
      <w:pPr>
        <w:ind w:left="1160" w:hanging="429"/>
        <w:spacing w:after="0" w:line="283" w:lineRule="auto"/>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 overhauled our passenger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 xml:space="preserve">Navitaire </w:t>
      </w:r>
      <w:r>
        <w:rPr>
          <w:rFonts w:ascii="Arial" w:cs="Arial" w:eastAsia="Arial" w:hAnsi="Arial"/>
          <w:sz w:val="16"/>
          <w:szCs w:val="16"/>
          <w:color w:val="auto"/>
        </w:rPr>
        <w:t>transition, 68% of our Minneapolis originating passengers have checked in either online or at a kiosk. System wide over 55%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passengers have checked in electronically. These tools increase the chances that the passenger can skip the check in counter, which we believe improves our customers’ experience while also reducing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133350</wp:posOffset>
            </wp:positionV>
            <wp:extent cx="3647440" cy="2305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47440"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In addition to our product, we believe that our brand is well recognized and well regarded in the markets that we serve. In the fourth quarter of 2019, management conducted a study of individuals across a variety of ages,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20"/>
          </w:cols>
          <w:pgMar w:left="320" w:top="454" w:right="5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7" w:lineRule="auto"/>
        <w:rPr>
          <w:sz w:val="20"/>
          <w:szCs w:val="20"/>
          <w:color w:val="auto"/>
        </w:rPr>
      </w:pPr>
      <w:r>
        <w:rPr>
          <w:rFonts w:ascii="Arial" w:cs="Arial" w:eastAsia="Arial" w:hAnsi="Arial"/>
          <w:sz w:val="17"/>
          <w:szCs w:val="17"/>
          <w:color w:val="auto"/>
        </w:rPr>
        <w:t>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Competitive Low Cost Structure. </w:t>
      </w:r>
      <w:r>
        <w:rPr>
          <w:rFonts w:ascii="Arial" w:cs="Arial" w:eastAsia="Arial" w:hAnsi="Arial"/>
          <w:sz w:val="16"/>
          <w:szCs w:val="16"/>
          <w:color w:val="auto"/>
        </w:rPr>
        <w:t>Our CASM declined from 10.09 cents for the year ended December 31, 2017 to 8.82 cents for the year ended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2019. Our Adjusted CASM declined from 7.80 cents for the year ended December 31, 2017 to 6.31 cents for the year ended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2019. Our completed and ongoing cost savings efforts include conversion to a focus on owning (versus leasing) aircraft, renegotiation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component maintenance agreement, fuel savings initiatives, catering cost reductions, renegotiation of distribution contracts, consolidation of staff at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headquarters on airport property and various other initiatives. Our CASM and Adjusted CASM for the year ended December 31, 2020 of 8.91 cents and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7.57 cents, respectively, were adversely impacted due to the COVID-19 pandemic. While Adjusted CASM for all U.S. airlines increased in 2020 as a</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result of the COVID-19 induced downturn, we believe that our business model and strategy positions us well to maintain and improve our Adjusted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CASM in the future, while maintaining lower utilization rates than many other U.S. passenger airlines.</w:t>
      </w:r>
    </w:p>
    <w:p>
      <w:pPr>
        <w:spacing w:after="0" w:line="207"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b w:val="1"/>
          <w:bCs w:val="1"/>
          <w:i w:val="1"/>
          <w:iCs w:val="1"/>
          <w:color w:val="auto"/>
        </w:rPr>
        <w:t xml:space="preserve">Strong Position in Our Profitable MSP Home Market. </w:t>
      </w:r>
      <w:r>
        <w:rPr>
          <w:rFonts w:ascii="Arial" w:cs="Arial" w:eastAsia="Arial" w:hAnsi="Arial"/>
          <w:sz w:val="17"/>
          <w:szCs w:val="17"/>
          <w:color w:val="auto"/>
        </w:rPr>
        <w:t>We have been based in the Minneapolis-St. Paul area since our founding over 35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83"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b w:val="1"/>
          <w:bCs w:val="1"/>
          <w:i w:val="1"/>
          <w:iCs w:val="1"/>
          <w:color w:val="auto"/>
        </w:rPr>
        <w:t xml:space="preserve">Seasoned Management Team. </w:t>
      </w:r>
      <w:r>
        <w:rPr>
          <w:rFonts w:ascii="Arial" w:cs="Arial" w:eastAsia="Arial" w:hAnsi="Arial"/>
          <w:sz w:val="17"/>
          <w:szCs w:val="17"/>
          <w:color w:val="auto"/>
        </w:rPr>
        <w:t>Our Chief Executive Officer, Jude Bricker, joined Sun Country Airlines in July 2017 and has over 16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4"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 that we plan to continue once the U.S. air travel market rebounds from the COVID-19 induced downturn.</w:t>
      </w:r>
    </w:p>
    <w:p>
      <w:pPr>
        <w:spacing w:after="0" w:line="86" w:lineRule="exact"/>
        <w:rPr>
          <w:sz w:val="20"/>
          <w:szCs w:val="20"/>
          <w:color w:val="auto"/>
        </w:rPr>
      </w:pPr>
    </w:p>
    <w:p>
      <w:pPr>
        <w:ind w:left="1160" w:hanging="429"/>
        <w:spacing w:after="0" w:line="266"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Network</w:t>
      </w:r>
      <w:r>
        <w:rPr>
          <w:rFonts w:ascii="Arial" w:cs="Arial" w:eastAsia="Arial" w:hAnsi="Arial"/>
          <w:sz w:val="18"/>
          <w:szCs w:val="18"/>
          <w:color w:val="auto"/>
        </w:rPr>
        <w:t>. We launched 64 new markets from 2018 through 2019 and developed a repeatable network growth strategy. Our network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support passenger fleet growth to approximately 50 aircraft by the end of 2023.</w:t>
      </w:r>
    </w:p>
    <w:p>
      <w:pPr>
        <w:spacing w:after="0" w:line="86" w:lineRule="exact"/>
        <w:rPr>
          <w:rFonts w:ascii="Arial" w:cs="Arial" w:eastAsia="Arial" w:hAnsi="Arial"/>
          <w:sz w:val="18"/>
          <w:szCs w:val="18"/>
          <w:color w:val="auto"/>
        </w:rPr>
      </w:pPr>
    </w:p>
    <w:p>
      <w:pPr>
        <w:ind w:left="1160" w:right="60" w:hanging="429"/>
        <w:spacing w:after="0" w:line="256"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 allowing</w:t>
      </w:r>
      <w:r>
        <w:rPr>
          <w:rFonts w:ascii="Arial" w:cs="Arial" w:eastAsia="Arial" w:hAnsi="Arial"/>
          <w:sz w:val="18"/>
          <w:szCs w:val="18"/>
          <w:i w:val="1"/>
          <w:iCs w:val="1"/>
          <w:color w:val="auto"/>
        </w:rPr>
        <w:t xml:space="preserve"> </w:t>
      </w:r>
      <w:r>
        <w:rPr>
          <w:rFonts w:ascii="Arial" w:cs="Arial" w:eastAsia="Arial" w:hAnsi="Arial"/>
          <w:sz w:val="18"/>
          <w:szCs w:val="18"/>
          <w:color w:val="auto"/>
        </w:rPr>
        <w:t>us to focus on growth with low capital commitments. We believe the current dislocation in the aircraft market will enable us to access new aircraft at an attractive cost relative to our peers.</w:t>
      </w:r>
    </w:p>
    <w:p>
      <w:pPr>
        <w:spacing w:after="0" w:line="95" w:lineRule="exact"/>
        <w:rPr>
          <w:rFonts w:ascii="Arial" w:cs="Arial" w:eastAsia="Arial" w:hAnsi="Arial"/>
          <w:sz w:val="18"/>
          <w:szCs w:val="18"/>
          <w:color w:val="auto"/>
        </w:rPr>
      </w:pPr>
    </w:p>
    <w:p>
      <w:pPr>
        <w:ind w:left="1160" w:right="180" w:hanging="429"/>
        <w:spacing w:after="0" w:line="296" w:lineRule="auto"/>
        <w:tabs>
          <w:tab w:leader="none" w:pos="116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Customer</w:t>
      </w:r>
      <w:r>
        <w:rPr>
          <w:rFonts w:ascii="Arial" w:cs="Arial" w:eastAsia="Arial" w:hAnsi="Arial"/>
          <w:sz w:val="17"/>
          <w:szCs w:val="17"/>
          <w:color w:val="auto"/>
        </w:rPr>
        <w:t>. We rebranded the airline around a leisure product with a significant ancillary revenue component which we believe will allow</w:t>
      </w:r>
      <w:r>
        <w:rPr>
          <w:rFonts w:ascii="Arial" w:cs="Arial" w:eastAsia="Arial" w:hAnsi="Arial"/>
          <w:sz w:val="17"/>
          <w:szCs w:val="17"/>
          <w:i w:val="1"/>
          <w:iCs w:val="1"/>
          <w:color w:val="auto"/>
        </w:rPr>
        <w:t xml:space="preserve"> </w:t>
      </w:r>
      <w:r>
        <w:rPr>
          <w:rFonts w:ascii="Arial" w:cs="Arial" w:eastAsia="Arial" w:hAnsi="Arial"/>
          <w:sz w:val="17"/>
          <w:szCs w:val="17"/>
          <w:color w:val="auto"/>
        </w:rPr>
        <w:t>us to stimulate demand during the rebound from COVID-19 earlier than airlines focused on business travelers.</w:t>
      </w:r>
    </w:p>
    <w:p>
      <w:pPr>
        <w:spacing w:after="0" w:line="62" w:lineRule="exact"/>
        <w:rPr>
          <w:rFonts w:ascii="Arial" w:cs="Arial" w:eastAsia="Arial" w:hAnsi="Arial"/>
          <w:sz w:val="17"/>
          <w:szCs w:val="17"/>
          <w:color w:val="auto"/>
        </w:rPr>
      </w:pPr>
    </w:p>
    <w:p>
      <w:pPr>
        <w:ind w:left="1160" w:hanging="429"/>
        <w:spacing w:after="0"/>
        <w:tabs>
          <w:tab w:leader="none" w:pos="1160"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Culture</w:t>
      </w:r>
      <w:r>
        <w:rPr>
          <w:rFonts w:ascii="Arial" w:cs="Arial" w:eastAsia="Arial" w:hAnsi="Arial"/>
          <w:sz w:val="14"/>
          <w:szCs w:val="14"/>
          <w:color w:val="auto"/>
        </w:rPr>
        <w:t>. We installed a new management team with a cost-conscious ethos, which included moving our headquarters into a hangar at MSP.</w:t>
      </w:r>
    </w:p>
    <w:p>
      <w:pPr>
        <w:spacing w:after="0" w:line="171" w:lineRule="exact"/>
        <w:rPr>
          <w:rFonts w:ascii="Arial" w:cs="Arial" w:eastAsia="Arial" w:hAnsi="Arial"/>
          <w:sz w:val="14"/>
          <w:szCs w:val="14"/>
          <w:color w:val="auto"/>
        </w:rPr>
      </w:pPr>
    </w:p>
    <w:p>
      <w:pPr>
        <w:ind w:left="1160" w:right="880" w:hanging="429"/>
        <w:spacing w:after="0" w:line="266"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initiatives have provided us with a platform to profitably grow our business. Key elements of our growth strategy include:</w:t>
      </w:r>
    </w:p>
    <w:p>
      <w:pPr>
        <w:spacing w:after="0" w:line="230" w:lineRule="exact"/>
        <w:rPr>
          <w:sz w:val="20"/>
          <w:szCs w:val="20"/>
          <w:color w:val="auto"/>
        </w:rPr>
      </w:pPr>
    </w:p>
    <w:p>
      <w:pPr>
        <w:ind w:left="200" w:right="60" w:firstLine="434"/>
        <w:spacing w:after="0" w:line="268" w:lineRule="auto"/>
        <w:rPr>
          <w:sz w:val="20"/>
          <w:szCs w:val="20"/>
          <w:color w:val="auto"/>
        </w:rPr>
      </w:pPr>
      <w:r>
        <w:rPr>
          <w:rFonts w:ascii="Arial" w:cs="Arial" w:eastAsia="Arial" w:hAnsi="Arial"/>
          <w:sz w:val="17"/>
          <w:szCs w:val="17"/>
          <w:b w:val="1"/>
          <w:bCs w:val="1"/>
          <w:i w:val="1"/>
          <w:iCs w:val="1"/>
          <w:color w:val="auto"/>
        </w:rPr>
        <w:t xml:space="preserve">Leverage the Expected Rebound in Our Passenger Business. </w:t>
      </w:r>
      <w:r>
        <w:rPr>
          <w:rFonts w:ascii="Arial" w:cs="Arial" w:eastAsia="Arial" w:hAnsi="Arial"/>
          <w:sz w:val="17"/>
          <w:szCs w:val="17"/>
          <w:color w:val="auto"/>
        </w:rPr>
        <w:t>The number of domestic LCC and ULCC passenger enplanements grew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79" w:lineRule="exact"/>
        <w:rPr>
          <w:sz w:val="20"/>
          <w:szCs w:val="20"/>
          <w:color w:val="auto"/>
        </w:rPr>
      </w:pPr>
    </w:p>
    <w:p>
      <w:pPr>
        <w:ind w:left="200" w:right="180" w:firstLine="434"/>
        <w:spacing w:after="0" w:line="253"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 transportation services flying 10 aircraft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91"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b w:val="1"/>
          <w:bCs w:val="1"/>
          <w:i w:val="1"/>
          <w:iCs w:val="1"/>
          <w:color w:val="auto"/>
        </w:rPr>
        <w:t xml:space="preserve">Expand our Peak Demand Flying in Minneapolis and Beyond. </w:t>
      </w:r>
      <w:r>
        <w:rPr>
          <w:rFonts w:ascii="Arial" w:cs="Arial" w:eastAsia="Arial" w:hAnsi="Arial"/>
          <w:sz w:val="16"/>
          <w:szCs w:val="16"/>
          <w:color w:val="auto"/>
        </w:rPr>
        <w:t>Following a rebound in U.S. air travel, we intend to continue growing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4"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8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b w:val="1"/>
          <w:bCs w:val="1"/>
          <w:i w:val="1"/>
          <w:iCs w:val="1"/>
          <w:color w:val="auto"/>
        </w:rPr>
        <w:t xml:space="preserve">Continue to Increase Our Margins and Free Cash Flow. </w:t>
      </w:r>
      <w:r>
        <w:rPr>
          <w:rFonts w:ascii="Arial" w:cs="Arial" w:eastAsia="Arial" w:hAnsi="Arial"/>
          <w:sz w:val="17"/>
          <w:szCs w:val="17"/>
          <w:color w:val="auto"/>
        </w:rPr>
        <w:t>From December 31, 2017 through December 31, 2019, we reduced our CASM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10.09 cents to 8.82 cents and our Adjusted CASM from 7.80 cents to 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Scheduled Service Business</w:t>
      </w:r>
    </w:p>
    <w:p>
      <w:pPr>
        <w:spacing w:after="0" w:line="118"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We provide low-fare passenger airline service primarily to leisure and VFR travelers. Our low fares are designed to stimulate demand from price-sensitive travelers seeking a superior product to ULCCs. For 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 1.7 million passengers, which was impacted dramatically by the COVID-19 pandemic. We believe that the year ended 2019 is a more useful indicator of our average base fare and passenger statistics during normal industry conditions.</w:t>
      </w:r>
    </w:p>
    <w:p>
      <w:pPr>
        <w:spacing w:after="0" w:line="169" w:lineRule="exact"/>
        <w:rPr>
          <w:sz w:val="20"/>
          <w:szCs w:val="20"/>
          <w:color w:val="auto"/>
        </w:rPr>
      </w:pPr>
    </w:p>
    <w:p>
      <w:pPr>
        <w:ind w:left="200" w:right="20" w:firstLine="434"/>
        <w:spacing w:after="0" w:line="262" w:lineRule="auto"/>
        <w:rPr>
          <w:sz w:val="20"/>
          <w:szCs w:val="20"/>
          <w:color w:val="auto"/>
        </w:rPr>
      </w:pPr>
      <w:r>
        <w:rPr>
          <w:rFonts w:ascii="Arial" w:cs="Arial" w:eastAsia="Arial" w:hAnsi="Arial"/>
          <w:sz w:val="17"/>
          <w:szCs w:val="17"/>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COVID-19 pandemic, which drove a decline in the number of passengers, and during which we ceased onboard sales,</w:t>
      </w:r>
    </w:p>
    <w:p>
      <w:pPr>
        <w:spacing w:after="0" w:line="5" w:lineRule="exact"/>
        <w:rPr>
          <w:sz w:val="20"/>
          <w:szCs w:val="20"/>
          <w:color w:val="auto"/>
        </w:rPr>
      </w:pPr>
    </w:p>
    <w:p>
      <w:pPr>
        <w:ind w:left="200" w:right="560"/>
        <w:spacing w:after="0" w:line="253" w:lineRule="auto"/>
        <w:rPr>
          <w:sz w:val="20"/>
          <w:szCs w:val="20"/>
          <w:color w:val="auto"/>
        </w:rPr>
      </w:pPr>
      <w:r>
        <w:rPr>
          <w:rFonts w:ascii="Arial" w:cs="Arial" w:eastAsia="Arial" w:hAnsi="Arial"/>
          <w:sz w:val="18"/>
          <w:szCs w:val="18"/>
          <w:color w:val="auto"/>
        </w:rPr>
        <w:t>among other actions to reduce the spread of the virus. We believe that the year ended 2019 is a more useful indicator of our ancillary revenue per passenger during normal industry conditions.</w:t>
      </w:r>
    </w:p>
    <w:p>
      <w:pPr>
        <w:spacing w:after="0" w:line="191" w:lineRule="exact"/>
        <w:rPr>
          <w:sz w:val="20"/>
          <w:szCs w:val="20"/>
          <w:color w:val="auto"/>
        </w:rPr>
      </w:pPr>
    </w:p>
    <w:p>
      <w:pPr>
        <w:jc w:val="both"/>
        <w:ind w:left="200" w:right="180" w:firstLine="434"/>
        <w:spacing w:after="0" w:line="303" w:lineRule="auto"/>
        <w:rPr>
          <w:sz w:val="20"/>
          <w:szCs w:val="20"/>
          <w:color w:val="auto"/>
        </w:rPr>
      </w:pPr>
      <w:r>
        <w:rPr>
          <w:rFonts w:ascii="Arial" w:cs="Arial" w:eastAsia="Arial" w:hAnsi="Arial"/>
          <w:sz w:val="16"/>
          <w:szCs w:val="16"/>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4" w:right="5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194" w:lineRule="exact"/>
        <w:rPr>
          <w:sz w:val="20"/>
          <w:szCs w:val="20"/>
          <w:color w:val="auto"/>
        </w:rPr>
      </w:pPr>
    </w:p>
    <w:p>
      <w:pPr>
        <w:jc w:val="both"/>
        <w:ind w:left="200" w:right="80" w:firstLine="434"/>
        <w:spacing w:after="0" w:line="256" w:lineRule="auto"/>
        <w:rPr>
          <w:sz w:val="20"/>
          <w:szCs w:val="20"/>
          <w:color w:val="auto"/>
        </w:rPr>
      </w:pPr>
      <w:r>
        <w:rPr>
          <w:rFonts w:ascii="Arial" w:cs="Arial" w:eastAsia="Arial" w:hAnsi="Arial"/>
          <w:sz w:val="18"/>
          <w:szCs w:val="18"/>
          <w:color w:val="auto"/>
        </w:rPr>
        <w:t xml:space="preserve">We also offer interline connectivity with international and domestic airlines. In mid-2019, prior to our transition to </w:t>
      </w:r>
      <w:r>
        <w:rPr>
          <w:rFonts w:ascii="Arial" w:cs="Arial" w:eastAsia="Arial" w:hAnsi="Arial"/>
          <w:sz w:val="18"/>
          <w:szCs w:val="18"/>
          <w:i w:val="1"/>
          <w:iCs w:val="1"/>
          <w:color w:val="auto"/>
        </w:rPr>
        <w:t>Navitaire</w:t>
      </w:r>
      <w:r>
        <w:rPr>
          <w:rFonts w:ascii="Arial" w:cs="Arial" w:eastAsia="Arial" w:hAnsi="Arial"/>
          <w:sz w:val="18"/>
          <w:szCs w:val="18"/>
          <w:color w:val="auto"/>
        </w:rPr>
        <w:t>, we offered interline connectivity with seven carriers. We have reestablished interline connectivity in our new booking system and have identified additional opportunities to grow our interline connectivity.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Charter Business</w:t>
      </w:r>
    </w:p>
    <w:p>
      <w:pPr>
        <w:spacing w:after="0" w:line="118"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169"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Our charter business proved more resilient during the COVID-19 induced downturn by returning closer to pre-downturn levels more quickly than scheduled service. Our scheduled service revenue was down 59% in the fourth quarter of 2020, whereas our charter revenue was only down 24% for the same period.</w:t>
      </w:r>
    </w:p>
    <w:p>
      <w:pPr>
        <w:spacing w:after="0" w:line="189" w:lineRule="exact"/>
        <w:rPr>
          <w:sz w:val="20"/>
          <w:szCs w:val="20"/>
          <w:color w:val="auto"/>
        </w:rPr>
      </w:pPr>
    </w:p>
    <w:p>
      <w:pPr>
        <w:ind w:left="200" w:right="300" w:firstLine="434"/>
        <w:spacing w:after="0" w:line="348"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 $152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Cargo Business</w:t>
      </w:r>
    </w:p>
    <w:p>
      <w:pPr>
        <w:spacing w:after="0" w:line="118" w:lineRule="exact"/>
        <w:rPr>
          <w:sz w:val="20"/>
          <w:szCs w:val="20"/>
          <w:color w:val="auto"/>
        </w:rPr>
      </w:pPr>
    </w:p>
    <w:p>
      <w:pPr>
        <w:ind w:left="200" w:right="100" w:firstLine="434"/>
        <w:spacing w:after="0" w:line="281" w:lineRule="auto"/>
        <w:rPr>
          <w:sz w:val="20"/>
          <w:szCs w:val="20"/>
          <w:color w:val="auto"/>
        </w:rPr>
      </w:pPr>
      <w:r>
        <w:rPr>
          <w:rFonts w:ascii="Arial" w:cs="Arial" w:eastAsia="Arial" w:hAnsi="Arial"/>
          <w:sz w:val="16"/>
          <w:szCs w:val="16"/>
          <w:color w:val="auto"/>
        </w:rPr>
        <w:t>On December 13, 2019, we signed the ATSA with Amazon to provide air cargo services. 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Flying under the ATSA began in May 2020 and, as of today, we are flying 12 Boeing</w:t>
      </w:r>
    </w:p>
    <w:p>
      <w:pPr>
        <w:ind w:left="200"/>
        <w:spacing w:after="0" w:line="248" w:lineRule="auto"/>
        <w:rPr>
          <w:sz w:val="20"/>
          <w:szCs w:val="20"/>
          <w:color w:val="auto"/>
        </w:rPr>
      </w:pPr>
      <w:r>
        <w:rPr>
          <w:rFonts w:ascii="Arial" w:cs="Arial" w:eastAsia="Arial" w:hAnsi="Arial"/>
          <w:sz w:val="18"/>
          <w:szCs w:val="18"/>
          <w:color w:val="auto"/>
        </w:rPr>
        <w:t>737-800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196" w:lineRule="exact"/>
        <w:rPr>
          <w:sz w:val="20"/>
          <w:szCs w:val="20"/>
          <w:color w:val="auto"/>
        </w:rPr>
      </w:pPr>
    </w:p>
    <w:p>
      <w:pPr>
        <w:ind w:left="200" w:right="260" w:firstLine="434"/>
        <w:spacing w:after="0" w:line="272" w:lineRule="auto"/>
        <w:rPr>
          <w:sz w:val="20"/>
          <w:szCs w:val="20"/>
          <w:color w:val="auto"/>
        </w:rPr>
      </w:pPr>
      <w:r>
        <w:rPr>
          <w:rFonts w:ascii="Arial" w:cs="Arial" w:eastAsia="Arial" w:hAnsi="Arial"/>
          <w:sz w:val="17"/>
          <w:szCs w:val="17"/>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COVID-19 induced downturn, providing a baseline of operations and investment that we believe positions our other businesses to recapture demand following the COVID-19 downturn. While other airlines are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4"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color w:val="auto"/>
        </w:rPr>
        <w:t>furloughing pilots, we have restarted pilot hiring in order to support what we believe will be a robust rebound that will require additional pilots in order to ensure we can fly all of our aircraft during peak demand periods.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Route Network</w:t>
      </w:r>
    </w:p>
    <w:p>
      <w:pPr>
        <w:spacing w:after="0" w:line="11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network strategy is optimized between four key segments: MSP, non-MSP, charter services and cargo services. As Minnesota’s hometown airline, a substantial portion of our business is serving markets originating or ending in MSP. Our MSP network has grown 14% since 2017, as measured by ASMs, and, in 2019, we served approximately 52 markets from MSP. We served 51 markets from MSP in 2020, in spite of the COVID-19 downturn. We believe that our TRASM in our MSP network for the year ended December 31, 2019 was higher than any ULCC in its hub. We have a leading position at Terminal 2 in MSP, which is preferred by many flyers because of its smaller layout, shorter security wait times, close parking relative to check-in and full suite of retail shops. We account for approximately 50% of the departures and operate out of eight or more of Terminal 2’s 14 gates, as needed. We are the number two carrier at MSP by seat share. Moreover, we are the largest low-cost airline at MSP, with significant opportunity to continue to grow both seat share and destinations. If we successfully implement our strategy, we believe we can grow our seat share from 7.7% to 12.5%, which is roughly equivalent to what our competitors have in their primary hubs.</w:t>
      </w:r>
    </w:p>
    <w:p>
      <w:pPr>
        <w:spacing w:after="0" w:line="185"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Non-MSP service is an increasingly significant portion of our business, having grown from eight non-MSP markets in 2017 to 52 in 2019. Non-MSP service was a source of significant growth from 2017 to 2019. During 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maps of the routes we operated in 2017 and 2020 (including routes we operate on a seasonal basis):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11430</wp:posOffset>
            </wp:positionV>
            <wp:extent cx="5133340" cy="23469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333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4"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163195</wp:posOffset>
            </wp:positionV>
            <wp:extent cx="5133340" cy="23469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333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180"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Our air carrier operating certificate, labor agreements and operating capabilities allow us to fly to numerous destinations worldwide, which we believe is a benefit to our charter service. We captured 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180"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320" w:top="454" w:right="6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firstLine="434"/>
        <w:spacing w:after="0" w:line="272" w:lineRule="auto"/>
        <w:rPr>
          <w:sz w:val="20"/>
          <w:szCs w:val="20"/>
          <w:color w:val="auto"/>
        </w:rPr>
      </w:pPr>
      <w:r>
        <w:rPr>
          <w:rFonts w:ascii="Arial" w:cs="Arial" w:eastAsia="Arial" w:hAnsi="Arial"/>
          <w:sz w:val="17"/>
          <w:szCs w:val="17"/>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78" w:lineRule="exact"/>
        <w:rPr>
          <w:sz w:val="20"/>
          <w:szCs w:val="20"/>
          <w:color w:val="auto"/>
        </w:rPr>
      </w:pPr>
    </w:p>
    <w:p>
      <w:pPr>
        <w:ind w:left="200" w:right="220" w:firstLine="434"/>
        <w:spacing w:after="0" w:line="329" w:lineRule="auto"/>
        <w:rPr>
          <w:sz w:val="20"/>
          <w:szCs w:val="20"/>
          <w:color w:val="auto"/>
        </w:rPr>
      </w:pPr>
      <w:r>
        <w:rPr>
          <w:rFonts w:ascii="Arial" w:cs="Arial" w:eastAsia="Arial" w:hAnsi="Arial"/>
          <w:sz w:val="16"/>
          <w:szCs w:val="16"/>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34" w:lineRule="exact"/>
        <w:rPr>
          <w:sz w:val="20"/>
          <w:szCs w:val="20"/>
          <w:color w:val="auto"/>
        </w:rPr>
      </w:pPr>
    </w:p>
    <w:p>
      <w:pPr>
        <w:ind w:left="200" w:right="80" w:firstLine="434"/>
        <w:spacing w:after="0" w:line="290" w:lineRule="auto"/>
        <w:rPr>
          <w:sz w:val="20"/>
          <w:szCs w:val="20"/>
          <w:color w:val="auto"/>
        </w:rPr>
      </w:pPr>
      <w:r>
        <w:rPr>
          <w:rFonts w:ascii="Arial" w:cs="Arial" w:eastAsia="Arial" w:hAnsi="Arial"/>
          <w:sz w:val="16"/>
          <w:szCs w:val="16"/>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165"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162" w:lineRule="exact"/>
        <w:rPr>
          <w:sz w:val="20"/>
          <w:szCs w:val="20"/>
          <w:color w:val="auto"/>
        </w:rPr>
      </w:pPr>
    </w:p>
    <w:p>
      <w:pPr>
        <w:ind w:left="200" w:right="140" w:firstLine="434"/>
        <w:spacing w:after="0" w:line="256" w:lineRule="auto"/>
        <w:rPr>
          <w:sz w:val="20"/>
          <w:szCs w:val="20"/>
          <w:color w:val="auto"/>
        </w:rPr>
      </w:pPr>
      <w:r>
        <w:rPr>
          <w:rFonts w:ascii="Arial" w:cs="Arial" w:eastAsia="Arial" w:hAnsi="Arial"/>
          <w:sz w:val="18"/>
          <w:szCs w:val="18"/>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89" w:lineRule="exact"/>
        <w:rPr>
          <w:sz w:val="20"/>
          <w:szCs w:val="20"/>
          <w:color w:val="auto"/>
        </w:rPr>
      </w:pPr>
    </w:p>
    <w:p>
      <w:pPr>
        <w:ind w:left="200" w:right="140" w:firstLine="434"/>
        <w:spacing w:after="0" w:line="329" w:lineRule="auto"/>
        <w:rPr>
          <w:sz w:val="20"/>
          <w:szCs w:val="20"/>
          <w:color w:val="auto"/>
        </w:rPr>
      </w:pPr>
      <w:r>
        <w:rPr>
          <w:rFonts w:ascii="Arial" w:cs="Arial" w:eastAsia="Arial" w:hAnsi="Arial"/>
          <w:sz w:val="16"/>
          <w:szCs w:val="16"/>
          <w:color w:val="auto"/>
        </w:rPr>
        <w:t xml:space="preserve">See also </w:t>
      </w:r>
      <w:r>
        <w:rPr>
          <w:rFonts w:ascii="Arial" w:cs="Arial" w:eastAsia="Arial" w:hAnsi="Arial"/>
          <w:sz w:val="16"/>
          <w:szCs w:val="16"/>
          <w:i w:val="1"/>
          <w:iCs w:val="1"/>
          <w:color w:val="auto"/>
        </w:rPr>
        <w:t>“Risk Factors—Risks Related to Our Industry—The airline industry is exceedingly competitive, and we compete against LCCS, ULCCs</w:t>
      </w:r>
      <w:r>
        <w:rPr>
          <w:rFonts w:ascii="Arial" w:cs="Arial" w:eastAsia="Arial" w:hAnsi="Arial"/>
          <w:sz w:val="16"/>
          <w:szCs w:val="16"/>
          <w:color w:val="auto"/>
        </w:rPr>
        <w:t xml:space="preserve"> </w:t>
      </w:r>
      <w:r>
        <w:rPr>
          <w:rFonts w:ascii="Arial" w:cs="Arial" w:eastAsia="Arial" w:hAnsi="Arial"/>
          <w:sz w:val="16"/>
          <w:szCs w:val="16"/>
          <w:i w:val="1"/>
          <w:iCs w:val="1"/>
          <w:color w:val="auto"/>
        </w:rPr>
        <w:t>and legacy network airlines; if we are not able to compete successfully in our markets, our business will be materially adversely affected.”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181" w:lineRule="exact"/>
        <w:rPr>
          <w:sz w:val="20"/>
          <w:szCs w:val="20"/>
          <w:color w:val="auto"/>
        </w:rPr>
      </w:pPr>
    </w:p>
    <w:p>
      <w:pPr>
        <w:jc w:val="both"/>
        <w:ind w:left="200" w:right="320" w:firstLine="434"/>
        <w:spacing w:after="0" w:line="303" w:lineRule="auto"/>
        <w:rPr>
          <w:sz w:val="20"/>
          <w:szCs w:val="20"/>
          <w:color w:val="auto"/>
        </w:rPr>
      </w:pPr>
      <w:r>
        <w:rPr>
          <w:rFonts w:ascii="Arial" w:cs="Arial" w:eastAsia="Arial" w:hAnsi="Arial"/>
          <w:sz w:val="16"/>
          <w:szCs w:val="16"/>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w:t>
      </w:r>
    </w:p>
    <w:p>
      <w:pPr>
        <w:spacing w:after="0" w:line="118" w:lineRule="exact"/>
        <w:rPr>
          <w:sz w:val="20"/>
          <w:szCs w:val="20"/>
          <w:color w:val="auto"/>
        </w:rPr>
      </w:pPr>
    </w:p>
    <w:p>
      <w:pPr>
        <w:jc w:val="both"/>
        <w:ind w:left="200" w:right="80" w:firstLine="434"/>
        <w:spacing w:after="0" w:line="278" w:lineRule="auto"/>
        <w:rPr>
          <w:sz w:val="20"/>
          <w:szCs w:val="20"/>
          <w:color w:val="auto"/>
        </w:rPr>
      </w:pPr>
      <w:r>
        <w:rPr>
          <w:rFonts w:ascii="Arial" w:cs="Arial" w:eastAsia="Arial" w:hAnsi="Arial"/>
          <w:sz w:val="17"/>
          <w:szCs w:val="17"/>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20"/>
          </w:cols>
          <w:pgMar w:left="320" w:top="454" w:right="5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7"/>
          <w:szCs w:val="17"/>
          <w:i w:val="1"/>
          <w:iCs w:val="1"/>
          <w:color w:val="auto"/>
        </w:rPr>
        <w:t>Navitaire</w:t>
      </w:r>
      <w:r>
        <w:rPr>
          <w:rFonts w:ascii="Arial" w:cs="Arial" w:eastAsia="Arial" w:hAnsi="Arial"/>
          <w:sz w:val="17"/>
          <w:szCs w:val="17"/>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81" w:lineRule="exact"/>
        <w:rPr>
          <w:sz w:val="20"/>
          <w:szCs w:val="20"/>
          <w:color w:val="auto"/>
        </w:rPr>
      </w:pPr>
    </w:p>
    <w:p>
      <w:pPr>
        <w:ind w:left="200" w:right="220" w:firstLine="434"/>
        <w:spacing w:after="0" w:line="294" w:lineRule="auto"/>
        <w:rPr>
          <w:sz w:val="20"/>
          <w:szCs w:val="20"/>
          <w:color w:val="auto"/>
        </w:rPr>
      </w:pPr>
      <w:r>
        <w:rPr>
          <w:rFonts w:ascii="Arial" w:cs="Arial" w:eastAsia="Arial" w:hAnsi="Arial"/>
          <w:sz w:val="16"/>
          <w:szCs w:val="16"/>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162"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200" w:right="80" w:firstLine="434"/>
        <w:spacing w:after="0" w:line="256"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89"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79" w:lineRule="exact"/>
        <w:rPr>
          <w:sz w:val="20"/>
          <w:szCs w:val="20"/>
          <w:color w:val="auto"/>
        </w:rPr>
      </w:pPr>
    </w:p>
    <w:p>
      <w:pPr>
        <w:ind w:left="200" w:right="300" w:firstLine="434"/>
        <w:spacing w:after="0" w:line="303" w:lineRule="auto"/>
        <w:rPr>
          <w:sz w:val="20"/>
          <w:szCs w:val="20"/>
          <w:color w:val="auto"/>
        </w:rPr>
      </w:pPr>
      <w:r>
        <w:rPr>
          <w:rFonts w:ascii="Arial" w:cs="Arial" w:eastAsia="Arial" w:hAnsi="Arial"/>
          <w:sz w:val="16"/>
          <w:szCs w:val="16"/>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Loyalty Program</w:t>
      </w:r>
    </w:p>
    <w:p>
      <w:pPr>
        <w:spacing w:after="0" w:line="118"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4"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our product appeals to price-sensitive customers because we give them the choice to pay only for the products and services they want.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Overall, our business model is designed to deliver what we believe our customers want: low fares and a high quality flight experience.</w:t>
      </w:r>
    </w:p>
    <w:p>
      <w:pPr>
        <w:spacing w:after="0" w:line="207"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54"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8"/>
          <w:szCs w:val="18"/>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320" w:top="454"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Operational Performance</w:t>
      </w:r>
    </w:p>
    <w:p>
      <w:pPr>
        <w:spacing w:after="0" w:line="118" w:lineRule="exact"/>
        <w:rPr>
          <w:sz w:val="20"/>
          <w:szCs w:val="20"/>
          <w:color w:val="auto"/>
        </w:rPr>
      </w:pPr>
    </w:p>
    <w:p>
      <w:pPr>
        <w:ind w:left="200" w:right="160" w:firstLine="434"/>
        <w:spacing w:after="0" w:line="284" w:lineRule="auto"/>
        <w:rPr>
          <w:sz w:val="20"/>
          <w:szCs w:val="20"/>
          <w:color w:val="auto"/>
        </w:rPr>
      </w:pPr>
      <w:r>
        <w:rPr>
          <w:rFonts w:ascii="Arial" w:cs="Arial" w:eastAsia="Arial" w:hAnsi="Arial"/>
          <w:sz w:val="16"/>
          <w:szCs w:val="16"/>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131445</wp:posOffset>
            </wp:positionV>
            <wp:extent cx="4838065" cy="27692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38065"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Source: US DOT Bureau of Transportation Statistics, scheduled passenger service</w:t>
      </w:r>
    </w:p>
    <w:p>
      <w:pPr>
        <w:spacing w:after="0" w:line="204"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During 2020, in order to appropriately respond to changing demand patterns and control costs, due to the COVID-19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96" w:lineRule="exact"/>
        <w:rPr>
          <w:sz w:val="20"/>
          <w:szCs w:val="20"/>
          <w:color w:val="auto"/>
        </w:rPr>
      </w:pPr>
    </w:p>
    <w:p>
      <w:pPr>
        <w:ind w:left="200" w:right="180" w:firstLine="434"/>
        <w:spacing w:after="0" w:line="251" w:lineRule="auto"/>
        <w:rPr>
          <w:sz w:val="20"/>
          <w:szCs w:val="20"/>
          <w:color w:val="auto"/>
        </w:rPr>
      </w:pPr>
      <w:r>
        <w:rPr>
          <w:rFonts w:ascii="Arial" w:cs="Arial" w:eastAsia="Arial" w:hAnsi="Arial"/>
          <w:sz w:val="18"/>
          <w:szCs w:val="18"/>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4" w:right="5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194"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Fleet</w:t>
      </w:r>
    </w:p>
    <w:p>
      <w:pPr>
        <w:spacing w:after="0" w:line="118" w:lineRule="exact"/>
        <w:rPr>
          <w:sz w:val="20"/>
          <w:szCs w:val="20"/>
          <w:color w:val="auto"/>
        </w:rPr>
      </w:pPr>
    </w:p>
    <w:p>
      <w:pPr>
        <w:jc w:val="both"/>
        <w:ind w:left="200" w:right="180" w:firstLine="434"/>
        <w:spacing w:after="0" w:line="303" w:lineRule="auto"/>
        <w:rPr>
          <w:sz w:val="20"/>
          <w:szCs w:val="20"/>
          <w:color w:val="auto"/>
        </w:rPr>
      </w:pPr>
      <w:r>
        <w:rPr>
          <w:rFonts w:ascii="Arial" w:cs="Arial" w:eastAsia="Arial" w:hAnsi="Arial"/>
          <w:sz w:val="16"/>
          <w:szCs w:val="16"/>
          <w:color w:val="auto"/>
        </w:rPr>
        <w:t>We fly only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With the addition of CMI services, we expect that these efficiencies will remain intact.</w:t>
      </w:r>
    </w:p>
    <w:p>
      <w:pPr>
        <w:spacing w:after="0" w:line="15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 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81"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Our fleet of 12 freighters is subleased directly from Amazon and we operate them pursuant to the ATSA. Based upon review of the ATSA, the sublease arrangement does not qualify as a lease under ASC 842, Leases,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Aircraft Fuel</w:t>
      </w:r>
    </w:p>
    <w:p>
      <w:pPr>
        <w:spacing w:after="0" w:line="118" w:lineRule="exact"/>
        <w:rPr>
          <w:sz w:val="20"/>
          <w:szCs w:val="20"/>
          <w:color w:val="auto"/>
        </w:rPr>
      </w:pPr>
    </w:p>
    <w:p>
      <w:pPr>
        <w:ind w:left="200" w:right="60" w:firstLine="434"/>
        <w:spacing w:after="0" w:line="278" w:lineRule="auto"/>
        <w:rPr>
          <w:sz w:val="20"/>
          <w:szCs w:val="20"/>
          <w:color w:val="auto"/>
        </w:rPr>
      </w:pPr>
      <w:r>
        <w:rPr>
          <w:rFonts w:ascii="Arial" w:cs="Arial" w:eastAsia="Arial" w:hAnsi="Arial"/>
          <w:sz w:val="17"/>
          <w:szCs w:val="17"/>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4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80" w:type="dxa"/>
            <w:vAlign w:val="bottom"/>
          </w:tcPr>
          <w:p>
            <w:pPr>
              <w:jc w:val="right"/>
              <w:ind w:right="60"/>
              <w:spacing w:after="0" w:line="140"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140" w:type="dxa"/>
            <w:vAlign w:val="bottom"/>
            <w:gridSpan w:val="2"/>
          </w:tcPr>
          <w:p>
            <w:pPr>
              <w:jc w:val="right"/>
              <w:ind w:right="71"/>
              <w:spacing w:after="0" w:line="140"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580" w:type="dxa"/>
            <w:vAlign w:val="bottom"/>
          </w:tcPr>
          <w:p>
            <w:pPr>
              <w:jc w:val="right"/>
              <w:ind w:right="57"/>
              <w:spacing w:after="0" w:line="14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6"/>
        </w:trPr>
        <w:tc>
          <w:tcPr>
            <w:tcW w:w="42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Gallons consumed (in thousands)</w:t>
            </w:r>
          </w:p>
        </w:tc>
        <w:tc>
          <w:tcPr>
            <w:tcW w:w="1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43,844</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78,042</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64,981</w:t>
            </w:r>
          </w:p>
        </w:tc>
        <w:tc>
          <w:tcPr>
            <w:tcW w:w="60" w:type="dxa"/>
            <w:vAlign w:val="bottom"/>
            <w:tcBorders>
              <w:top w:val="single" w:sz="8" w:color="CCEEFF"/>
            </w:tcBorders>
            <w:shd w:val="clear" w:color="auto" w:fill="CCEEFF"/>
          </w:tcPr>
          <w:p>
            <w:pPr>
              <w:spacing w:after="0"/>
              <w:rPr>
                <w:sz w:val="17"/>
                <w:szCs w:val="17"/>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Average price per gallon</w:t>
            </w:r>
          </w:p>
        </w:tc>
        <w:tc>
          <w:tcPr>
            <w:tcW w:w="2500" w:type="dxa"/>
            <w:vAlign w:val="bottom"/>
            <w:gridSpan w:val="3"/>
          </w:tcPr>
          <w:p>
            <w:pPr>
              <w:jc w:val="right"/>
              <w:ind w:right="80"/>
              <w:spacing w:after="0"/>
              <w:rPr>
                <w:sz w:val="20"/>
                <w:szCs w:val="20"/>
                <w:color w:val="auto"/>
              </w:rPr>
            </w:pPr>
            <w:r>
              <w:rPr>
                <w:rFonts w:ascii="Arial" w:cs="Arial" w:eastAsia="Arial" w:hAnsi="Arial"/>
                <w:sz w:val="18"/>
                <w:szCs w:val="18"/>
                <w:color w:val="auto"/>
              </w:rPr>
              <w:t>$  1.60</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  2.26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2.34</w:t>
            </w:r>
          </w:p>
        </w:tc>
      </w:tr>
    </w:tbl>
    <w:p>
      <w:pPr>
        <w:spacing w:after="0" w:line="189"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Gallons consumed includes scheduled service and charter operations but does not include cargo. Average price per gallon includes related fuel fees and taxes but excludes fuel-hedging gains and losses.</w:t>
      </w:r>
    </w:p>
    <w:p>
      <w:pPr>
        <w:spacing w:after="0" w:line="179"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The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4" w:right="5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118"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191"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 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181"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196"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2020, we had 1,699 employees.</w:t>
      </w:r>
    </w:p>
    <w:p>
      <w:pPr>
        <w:spacing w:after="0" w:line="218" w:lineRule="exact"/>
        <w:rPr>
          <w:sz w:val="20"/>
          <w:szCs w:val="20"/>
          <w:color w:val="auto"/>
        </w:rPr>
      </w:pPr>
    </w:p>
    <w:p>
      <w:pPr>
        <w:ind w:left="200" w:right="240" w:firstLine="434"/>
        <w:spacing w:after="0" w:line="250"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96" w:lineRule="exact"/>
        <w:rPr>
          <w:sz w:val="20"/>
          <w:szCs w:val="20"/>
          <w:color w:val="auto"/>
        </w:rPr>
      </w:pPr>
    </w:p>
    <w:p>
      <w:pPr>
        <w:ind w:left="200" w:right="120" w:firstLine="434"/>
        <w:spacing w:after="0" w:line="251" w:lineRule="auto"/>
        <w:rPr>
          <w:sz w:val="20"/>
          <w:szCs w:val="20"/>
          <w:color w:val="auto"/>
        </w:rPr>
      </w:pPr>
      <w:r>
        <w:rPr>
          <w:rFonts w:ascii="Arial" w:cs="Arial" w:eastAsia="Arial" w:hAnsi="Arial"/>
          <w:sz w:val="18"/>
          <w:szCs w:val="18"/>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320" w:top="454" w:right="5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303" w:lineRule="auto"/>
        <w:rPr>
          <w:sz w:val="20"/>
          <w:szCs w:val="20"/>
          <w:color w:val="auto"/>
        </w:rPr>
      </w:pPr>
      <w:r>
        <w:rPr>
          <w:rFonts w:ascii="Arial" w:cs="Arial" w:eastAsia="Arial" w:hAnsi="Arial"/>
          <w:sz w:val="16"/>
          <w:szCs w:val="16"/>
          <w:color w:val="auto"/>
        </w:rPr>
        <w:t>Negotiations were paused by mutual consent in March 2020 due to the COVID-19 pandemic. Our collective bargaining agreement with our pilots was amendable on October 31, 2020. Neither party chose to serve notice to the other party by the amendable date, therefore, the new amendable date is October 31, 2021, although the collective bargaining agreement provides for an “early open” 180 days in advance of such date.</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0"/>
              </w:rPr>
              <w:t>Employee Groups</w:t>
            </w:r>
          </w:p>
        </w:tc>
        <w:tc>
          <w:tcPr>
            <w:tcW w:w="1720" w:type="dxa"/>
            <w:vAlign w:val="bottom"/>
            <w:vMerge w:val="restart"/>
          </w:tcPr>
          <w:p>
            <w:pPr>
              <w:spacing w:after="0"/>
              <w:rPr>
                <w:sz w:val="14"/>
                <w:szCs w:val="14"/>
                <w:color w:val="auto"/>
              </w:rPr>
            </w:pPr>
          </w:p>
        </w:tc>
        <w:tc>
          <w:tcPr>
            <w:tcW w:w="2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 of Employees</w:t>
            </w:r>
          </w:p>
        </w:tc>
        <w:tc>
          <w:tcPr>
            <w:tcW w:w="120" w:type="dxa"/>
            <w:vAlign w:val="bottom"/>
            <w:vMerge w:val="restart"/>
          </w:tcPr>
          <w:p>
            <w:pPr>
              <w:spacing w:after="0"/>
              <w:rPr>
                <w:sz w:val="14"/>
                <w:szCs w:val="14"/>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Representative</w:t>
            </w:r>
          </w:p>
        </w:tc>
        <w:tc>
          <w:tcPr>
            <w:tcW w:w="120" w:type="dxa"/>
            <w:vAlign w:val="bottom"/>
            <w:vMerge w:val="restart"/>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0"/>
              </w:rPr>
              <w:t>Status of Agreement/Amendable</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1"/>
        </w:trPr>
        <w:tc>
          <w:tcPr>
            <w:tcW w:w="1100" w:type="dxa"/>
            <w:vAlign w:val="bottom"/>
          </w:tcPr>
          <w:p>
            <w:pPr>
              <w:spacing w:after="0" w:line="204" w:lineRule="exact"/>
              <w:rPr>
                <w:sz w:val="20"/>
                <w:szCs w:val="20"/>
                <w:color w:val="auto"/>
              </w:rPr>
            </w:pPr>
            <w:r>
              <w:rPr>
                <w:rFonts w:ascii="Arial" w:cs="Arial" w:eastAsia="Arial" w:hAnsi="Arial"/>
                <w:sz w:val="18"/>
                <w:szCs w:val="18"/>
                <w:color w:val="auto"/>
              </w:rPr>
              <w:t>Pilots</w:t>
            </w:r>
          </w:p>
        </w:tc>
        <w:tc>
          <w:tcPr>
            <w:tcW w:w="17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395</w:t>
            </w:r>
          </w:p>
        </w:tc>
        <w:tc>
          <w:tcPr>
            <w:tcW w:w="120" w:type="dxa"/>
            <w:vAlign w:val="bottom"/>
          </w:tcPr>
          <w:p>
            <w:pPr>
              <w:spacing w:after="0"/>
              <w:rPr>
                <w:sz w:val="18"/>
                <w:szCs w:val="18"/>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Air Line Pilots Association (ALPA)</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Amendable in October 2021</w:t>
            </w:r>
          </w:p>
        </w:tc>
        <w:tc>
          <w:tcPr>
            <w:tcW w:w="0" w:type="dxa"/>
            <w:vAlign w:val="bottom"/>
          </w:tcPr>
          <w:p>
            <w:pPr>
              <w:spacing w:after="0"/>
              <w:rPr>
                <w:sz w:val="1"/>
                <w:szCs w:val="1"/>
                <w:color w:val="auto"/>
              </w:rPr>
            </w:pPr>
          </w:p>
        </w:tc>
      </w:tr>
      <w:tr>
        <w:trPr>
          <w:trHeight w:val="308"/>
        </w:trPr>
        <w:tc>
          <w:tcPr>
            <w:tcW w:w="2820" w:type="dxa"/>
            <w:vAlign w:val="bottom"/>
            <w:gridSpan w:val="2"/>
          </w:tcPr>
          <w:p>
            <w:pPr>
              <w:spacing w:after="0"/>
              <w:rPr>
                <w:sz w:val="20"/>
                <w:szCs w:val="20"/>
                <w:color w:val="auto"/>
              </w:rPr>
            </w:pPr>
            <w:r>
              <w:rPr>
                <w:rFonts w:ascii="Arial" w:cs="Arial" w:eastAsia="Arial" w:hAnsi="Arial"/>
                <w:sz w:val="18"/>
                <w:szCs w:val="18"/>
                <w:color w:val="auto"/>
              </w:rPr>
              <w:t>Flight Attendants</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466</w:t>
            </w:r>
          </w:p>
        </w:tc>
        <w:tc>
          <w:tcPr>
            <w:tcW w:w="120" w:type="dxa"/>
            <w:vAlign w:val="bottom"/>
          </w:tcPr>
          <w:p>
            <w:pPr>
              <w:spacing w:after="0"/>
              <w:rPr>
                <w:sz w:val="24"/>
                <w:szCs w:val="24"/>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International Brotherhood of Teamsters</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Currently amendable (commenced as</w:t>
            </w: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(IBT)</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of December 2019)</w:t>
            </w:r>
          </w:p>
        </w:tc>
        <w:tc>
          <w:tcPr>
            <w:tcW w:w="0" w:type="dxa"/>
            <w:vAlign w:val="bottom"/>
          </w:tcPr>
          <w:p>
            <w:pPr>
              <w:spacing w:after="0"/>
              <w:rPr>
                <w:sz w:val="1"/>
                <w:szCs w:val="1"/>
                <w:color w:val="auto"/>
              </w:rPr>
            </w:pPr>
          </w:p>
        </w:tc>
      </w:tr>
      <w:tr>
        <w:trPr>
          <w:trHeight w:val="332"/>
        </w:trPr>
        <w:tc>
          <w:tcPr>
            <w:tcW w:w="2820" w:type="dxa"/>
            <w:vAlign w:val="bottom"/>
            <w:gridSpan w:val="2"/>
          </w:tcPr>
          <w:p>
            <w:pPr>
              <w:spacing w:after="0"/>
              <w:rPr>
                <w:sz w:val="20"/>
                <w:szCs w:val="20"/>
                <w:color w:val="auto"/>
              </w:rPr>
            </w:pPr>
            <w:r>
              <w:rPr>
                <w:rFonts w:ascii="Arial" w:cs="Arial" w:eastAsia="Arial" w:hAnsi="Arial"/>
                <w:sz w:val="18"/>
                <w:szCs w:val="18"/>
                <w:color w:val="auto"/>
              </w:rPr>
              <w:t>Dispatchers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Transport Workers Union (TWU)</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Amendable in November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Safety and Security</w:t>
      </w:r>
    </w:p>
    <w:p>
      <w:pPr>
        <w:spacing w:after="0" w:line="118" w:lineRule="exact"/>
        <w:rPr>
          <w:sz w:val="20"/>
          <w:szCs w:val="20"/>
          <w:color w:val="auto"/>
        </w:rPr>
      </w:pPr>
    </w:p>
    <w:p>
      <w:pPr>
        <w:ind w:left="200" w:right="260" w:firstLine="434"/>
        <w:spacing w:after="0" w:line="256" w:lineRule="auto"/>
        <w:rPr>
          <w:sz w:val="20"/>
          <w:szCs w:val="20"/>
          <w:color w:val="auto"/>
        </w:rPr>
      </w:pPr>
      <w:r>
        <w:rPr>
          <w:rFonts w:ascii="Arial" w:cs="Arial" w:eastAsia="Arial" w:hAnsi="Arial"/>
          <w:sz w:val="18"/>
          <w:szCs w:val="18"/>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189"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169" w:lineRule="exact"/>
        <w:rPr>
          <w:sz w:val="20"/>
          <w:szCs w:val="20"/>
          <w:color w:val="auto"/>
        </w:rPr>
      </w:pPr>
    </w:p>
    <w:p>
      <w:pPr>
        <w:ind w:left="200" w:right="200" w:firstLine="434"/>
        <w:spacing w:after="0" w:line="269" w:lineRule="auto"/>
        <w:rPr>
          <w:sz w:val="20"/>
          <w:szCs w:val="20"/>
          <w:color w:val="auto"/>
        </w:rPr>
      </w:pPr>
      <w:r>
        <w:rPr>
          <w:rFonts w:ascii="Arial" w:cs="Arial" w:eastAsia="Arial" w:hAnsi="Arial"/>
          <w:sz w:val="17"/>
          <w:szCs w:val="17"/>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 management in airlines. In September 2020, we completed the biennial Department of Defense Operational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4" w:right="5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189" w:lineRule="exact"/>
        <w:rPr>
          <w:sz w:val="20"/>
          <w:szCs w:val="20"/>
          <w:color w:val="auto"/>
        </w:rPr>
      </w:pPr>
    </w:p>
    <w:p>
      <w:pPr>
        <w:ind w:left="200" w:right="140" w:firstLine="434"/>
        <w:spacing w:after="0" w:line="251" w:lineRule="auto"/>
        <w:rPr>
          <w:sz w:val="20"/>
          <w:szCs w:val="20"/>
          <w:color w:val="auto"/>
        </w:rPr>
      </w:pPr>
      <w:r>
        <w:rPr>
          <w:rFonts w:ascii="Arial" w:cs="Arial" w:eastAsia="Arial" w:hAnsi="Arial"/>
          <w:sz w:val="18"/>
          <w:szCs w:val="18"/>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in-flight, dispatch and station operations. In addition, we recently conducted a safety culture survey, the results of which we have used to create action plans for areas of opportunity.</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69"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 Gate space and ticket counter space is used and billed on a per operation (each arrival and departure) basis until an annual operating cap is met. Our operating lease also includes two hangars:</w:t>
      </w:r>
    </w:p>
    <w:p>
      <w:pPr>
        <w:spacing w:after="0" w:line="98" w:lineRule="exact"/>
        <w:rPr>
          <w:sz w:val="20"/>
          <w:szCs w:val="20"/>
          <w:color w:val="auto"/>
        </w:rPr>
      </w:pPr>
    </w:p>
    <w:p>
      <w:pPr>
        <w:ind w:left="1160" w:hanging="535"/>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108,000 square foot maintenance hangar, which includes office space and is where we provide certain maintenance on our aircraft; and</w:t>
      </w:r>
    </w:p>
    <w:p>
      <w:pPr>
        <w:spacing w:after="0" w:line="148" w:lineRule="exact"/>
        <w:rPr>
          <w:rFonts w:ascii="Arial" w:cs="Arial" w:eastAsia="Arial" w:hAnsi="Arial"/>
          <w:sz w:val="16"/>
          <w:szCs w:val="16"/>
          <w:color w:val="auto"/>
        </w:rPr>
      </w:pPr>
    </w:p>
    <w:p>
      <w:pPr>
        <w:ind w:left="1160" w:hanging="535"/>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18"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79" w:lineRule="exact"/>
        <w:rPr>
          <w:sz w:val="20"/>
          <w:szCs w:val="20"/>
          <w:color w:val="auto"/>
        </w:rPr>
      </w:pPr>
    </w:p>
    <w:p>
      <w:pPr>
        <w:ind w:left="200" w:right="360" w:firstLine="434"/>
        <w:spacing w:after="0" w:line="266"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Community Partnerships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As a Minnesota-based company, it is an important part of our culture to give back to the community in which we work and live. We have several key community partnership initiatives, some of which are:</w:t>
      </w:r>
    </w:p>
    <w:p>
      <w:pPr>
        <w:spacing w:after="0" w:line="86" w:lineRule="exact"/>
        <w:rPr>
          <w:sz w:val="20"/>
          <w:szCs w:val="20"/>
          <w:color w:val="auto"/>
        </w:rPr>
      </w:pPr>
    </w:p>
    <w:p>
      <w:pPr>
        <w:ind w:left="1160" w:right="540" w:hanging="535"/>
        <w:spacing w:after="0" w:line="266"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Everyday Heroes – a program where we recognize one hero every month with a $500 Sun Country travel voucher, with recognition through TV and radio properties owned by our media partner.</w:t>
      </w:r>
    </w:p>
    <w:p>
      <w:pPr>
        <w:spacing w:after="0" w:line="86" w:lineRule="exact"/>
        <w:rPr>
          <w:rFonts w:ascii="Arial" w:cs="Arial" w:eastAsia="Arial" w:hAnsi="Arial"/>
          <w:sz w:val="18"/>
          <w:szCs w:val="18"/>
          <w:color w:val="auto"/>
        </w:rPr>
      </w:pPr>
    </w:p>
    <w:p>
      <w:pPr>
        <w:ind w:left="1160" w:right="360" w:hanging="535"/>
        <w:spacing w:after="0" w:line="266"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Make-A-Wish Minnesota – we have a three-year commitment with Make-A-Wish MN to provide travel to every Minnesota Wish Kid flying to a destination Sun Country serves.</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Hennepin Theatre Trust – we support the Trust’s Spotlight Education program, focused on education for local performing arts students.</w:t>
      </w:r>
    </w:p>
    <w:p>
      <w:pPr>
        <w:spacing w:after="0" w:line="148" w:lineRule="exact"/>
        <w:rPr>
          <w:rFonts w:ascii="Arial" w:cs="Arial" w:eastAsia="Arial" w:hAnsi="Arial"/>
          <w:sz w:val="16"/>
          <w:szCs w:val="16"/>
          <w:color w:val="auto"/>
        </w:rPr>
      </w:pPr>
    </w:p>
    <w:p>
      <w:pPr>
        <w:ind w:left="1160" w:right="400" w:hanging="535"/>
        <w:spacing w:after="0" w:line="266"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order to assist our community as we all dealt with the duel crisis of pandemic and civil unrest, we organized a number of volunteer events throughout 2020. Through December 31, 2020, 175 Sun</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320" w:top="454" w:right="5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240"/>
        <w:spacing w:after="0" w:line="266" w:lineRule="auto"/>
        <w:rPr>
          <w:sz w:val="20"/>
          <w:szCs w:val="20"/>
          <w:color w:val="auto"/>
        </w:rPr>
      </w:pPr>
      <w:r>
        <w:rPr>
          <w:rFonts w:ascii="Arial" w:cs="Arial" w:eastAsia="Arial" w:hAnsi="Arial"/>
          <w:sz w:val="18"/>
          <w:szCs w:val="18"/>
          <w:color w:val="auto"/>
        </w:rPr>
        <w:t>Country volunteers have spent over 415 hours volunteering in our community at organizations, including The Sheridan Story, The Food Group and Mississippi River Connection Cleanup.</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Ownership</w:t>
      </w:r>
    </w:p>
    <w:p>
      <w:pPr>
        <w:spacing w:after="0" w:line="118" w:lineRule="exact"/>
        <w:rPr>
          <w:sz w:val="20"/>
          <w:szCs w:val="20"/>
          <w:color w:val="auto"/>
        </w:rPr>
      </w:pPr>
    </w:p>
    <w:p>
      <w:pPr>
        <w:ind w:left="200" w:right="80" w:firstLine="434"/>
        <w:spacing w:after="0" w:line="284" w:lineRule="auto"/>
        <w:rPr>
          <w:sz w:val="20"/>
          <w:szCs w:val="20"/>
          <w:color w:val="auto"/>
        </w:rPr>
      </w:pPr>
      <w:r>
        <w:rPr>
          <w:rFonts w:ascii="Arial" w:cs="Arial" w:eastAsia="Arial" w:hAnsi="Arial"/>
          <w:sz w:val="16"/>
          <w:szCs w:val="16"/>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6"/>
          <w:szCs w:val="16"/>
          <w:i w:val="1"/>
          <w:iCs w:val="1"/>
          <w:color w:val="auto"/>
        </w:rPr>
        <w:t>“Description of Capital Stock—Limited Ownership and Voting by Foreign Owners.”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112"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179"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69"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4" w:right="5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Airport Access</w:t>
      </w:r>
    </w:p>
    <w:p>
      <w:pPr>
        <w:spacing w:after="0" w:line="112"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75" w:lineRule="exact"/>
        <w:rPr>
          <w:sz w:val="20"/>
          <w:szCs w:val="20"/>
          <w:color w:val="auto"/>
        </w:rPr>
      </w:pPr>
    </w:p>
    <w:p>
      <w:pPr>
        <w:ind w:left="200" w:right="280" w:firstLine="434"/>
        <w:spacing w:after="0" w:line="329" w:lineRule="auto"/>
        <w:rPr>
          <w:sz w:val="20"/>
          <w:szCs w:val="20"/>
          <w:color w:val="auto"/>
        </w:rPr>
      </w:pPr>
      <w:r>
        <w:rPr>
          <w:rFonts w:ascii="Arial" w:cs="Arial" w:eastAsia="Arial" w:hAnsi="Arial"/>
          <w:sz w:val="16"/>
          <w:szCs w:val="16"/>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112"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112" w:lineRule="exact"/>
        <w:rPr>
          <w:sz w:val="20"/>
          <w:szCs w:val="20"/>
          <w:color w:val="auto"/>
        </w:rPr>
      </w:pPr>
    </w:p>
    <w:p>
      <w:pPr>
        <w:jc w:val="both"/>
        <w:ind w:left="200" w:right="220" w:firstLine="434"/>
        <w:spacing w:after="0" w:line="272" w:lineRule="auto"/>
        <w:rPr>
          <w:sz w:val="20"/>
          <w:szCs w:val="20"/>
          <w:color w:val="auto"/>
        </w:rPr>
      </w:pPr>
      <w:r>
        <w:rPr>
          <w:rFonts w:ascii="Arial" w:cs="Arial" w:eastAsia="Arial" w:hAnsi="Arial"/>
          <w:sz w:val="17"/>
          <w:szCs w:val="17"/>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2"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89" w:lineRule="exact"/>
        <w:rPr>
          <w:sz w:val="20"/>
          <w:szCs w:val="20"/>
          <w:color w:val="auto"/>
        </w:rPr>
      </w:pPr>
    </w:p>
    <w:p>
      <w:pPr>
        <w:ind w:left="200" w:right="400" w:firstLine="434"/>
        <w:spacing w:after="0" w:line="256"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40"/>
          </w:cols>
          <w:pgMar w:left="320" w:top="454"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00"/>
        <w:spacing w:after="0" w:line="329" w:lineRule="auto"/>
        <w:rPr>
          <w:sz w:val="20"/>
          <w:szCs w:val="20"/>
          <w:color w:val="auto"/>
        </w:rPr>
      </w:pPr>
      <w:r>
        <w:rPr>
          <w:rFonts w:ascii="Arial" w:cs="Arial" w:eastAsia="Arial" w:hAnsi="Arial"/>
          <w:sz w:val="16"/>
          <w:szCs w:val="16"/>
          <w:color w:val="auto"/>
        </w:rPr>
        <w:t>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GHG Emissions</w:t>
      </w:r>
    </w:p>
    <w:p>
      <w:pPr>
        <w:spacing w:after="0" w:line="112"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In August 2020, the EPA issued a proposed rule regulating GHG emissions from aircraft that largely conforms to the March 2017 ICAO standards. However, on January 20, 2021, the new presidential administration, which is expected to promote more aggressive policies with respect to climate change and carbon emissions, including in the aviation sector, announced a freeze with respect to all pending rulemaking. Accordingly, the outcome of this rulemaking may result in stricter GHG emissions standards than those contained in the proposed rule.</w:t>
      </w:r>
    </w:p>
    <w:p>
      <w:pPr>
        <w:spacing w:after="0" w:line="175"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In addition, in October 2016, the ICAO adopted the CORSIA, which is a global, market-based emissions offset program designed to encourage carbon-neutral growth beyond 2020.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Noise</w:t>
      </w:r>
    </w:p>
    <w:p>
      <w:pPr>
        <w:spacing w:after="0" w:line="112"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2" w:lineRule="exact"/>
        <w:rPr>
          <w:sz w:val="20"/>
          <w:szCs w:val="20"/>
          <w:color w:val="auto"/>
        </w:rPr>
      </w:pPr>
    </w:p>
    <w:p>
      <w:pPr>
        <w:ind w:left="200" w:right="240" w:firstLine="434"/>
        <w:spacing w:after="0" w:line="256"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200" w:right="160" w:firstLine="434"/>
        <w:spacing w:after="0" w:line="256"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320" w:top="454" w:right="5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name, age and position of each of our executive officers and directors as of the date of this prospectus.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0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Age</w:t>
            </w:r>
          </w:p>
        </w:tc>
        <w:tc>
          <w:tcPr>
            <w:tcW w:w="6940" w:type="dxa"/>
            <w:vAlign w:val="bottom"/>
            <w:gridSpan w:val="2"/>
          </w:tcPr>
          <w:p>
            <w:pPr>
              <w:ind w:left="420"/>
              <w:spacing w:after="0"/>
              <w:rPr>
                <w:sz w:val="20"/>
                <w:szCs w:val="20"/>
                <w:color w:val="auto"/>
              </w:rPr>
            </w:pPr>
            <w:r>
              <w:rPr>
                <w:rFonts w:ascii="Arial" w:cs="Arial" w:eastAsia="Arial" w:hAnsi="Arial"/>
                <w:sz w:val="14"/>
                <w:szCs w:val="14"/>
                <w:b w:val="1"/>
                <w:bCs w:val="1"/>
                <w:color w:val="auto"/>
              </w:rPr>
              <w:t>Position</w:t>
            </w:r>
          </w:p>
        </w:tc>
      </w:tr>
      <w:tr>
        <w:trPr>
          <w:trHeight w:val="199"/>
        </w:trPr>
        <w:tc>
          <w:tcPr>
            <w:tcW w:w="336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Jude Bricker</w:t>
            </w:r>
          </w:p>
        </w:tc>
        <w:tc>
          <w:tcPr>
            <w:tcW w:w="5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47</w:t>
            </w:r>
          </w:p>
        </w:tc>
        <w:tc>
          <w:tcPr>
            <w:tcW w:w="44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Chief Executive Officer; Director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Dave Davis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President and Chief Financial Officer; 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Mays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Operating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Eric Levenhagen</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Chief Administrative Officer, General Counsel and Secretary</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Mader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Information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Brian Davis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Chief Marketing Officer and Senior Vice President</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Whitney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Revenue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John Gyurci</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Vice President, Finance, and Chief Accounting Officer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Trousdale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Vice President, Financial Planning &amp; Analysis, and Treasurer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Patrick Kearney</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Kerry Philipovitch</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Siegel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Director</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Juan Carlos Zuazua</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brief biographies describing the backgrounds of the executive officers and directors of the Company.</w:t>
      </w:r>
    </w:p>
    <w:p>
      <w:pPr>
        <w:spacing w:after="0" w:line="218"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b w:val="1"/>
          <w:bCs w:val="1"/>
          <w:i w:val="1"/>
          <w:iCs w:val="1"/>
          <w:color w:val="auto"/>
        </w:rPr>
        <w:t xml:space="preserve">Jude Bricker </w:t>
      </w:r>
      <w:r>
        <w:rPr>
          <w:rFonts w:ascii="Arial" w:cs="Arial" w:eastAsia="Arial" w:hAnsi="Arial"/>
          <w:sz w:val="17"/>
          <w:szCs w:val="17"/>
          <w:color w:val="auto"/>
        </w:rPr>
        <w:t>has served as our Chief Executive Officer since July 2017 and is a member of our board of directors. Mr. Bricker has 16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w:t>
      </w:r>
    </w:p>
    <w:p>
      <w:pPr>
        <w:spacing w:after="0" w:line="179"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b w:val="1"/>
          <w:bCs w:val="1"/>
          <w:i w:val="1"/>
          <w:iCs w:val="1"/>
          <w:color w:val="auto"/>
        </w:rPr>
        <w:t xml:space="preserve">Dave Davis </w:t>
      </w:r>
      <w:r>
        <w:rPr>
          <w:rFonts w:ascii="Arial" w:cs="Arial" w:eastAsia="Arial" w:hAnsi="Arial"/>
          <w:sz w:val="17"/>
          <w:szCs w:val="17"/>
          <w:color w:val="auto"/>
        </w:rPr>
        <w:t>has served as our Chief Financial Officer since April 2018 and as our President since December 2019 and is a member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185"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b w:val="1"/>
          <w:bCs w:val="1"/>
          <w:i w:val="1"/>
          <w:iCs w:val="1"/>
          <w:color w:val="auto"/>
        </w:rPr>
        <w:t xml:space="preserve">Gregory Mays </w:t>
      </w:r>
      <w:r>
        <w:rPr>
          <w:rFonts w:ascii="Arial" w:cs="Arial" w:eastAsia="Arial" w:hAnsi="Arial"/>
          <w:sz w:val="18"/>
          <w:szCs w:val="18"/>
          <w:color w:val="auto"/>
        </w:rPr>
        <w:t>has served as our Chief Operating Officer since June 2019. Mr. Mays has 29 years of experience in the aviation industry.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60"/>
          </w:cols>
          <w:pgMar w:left="320" w:top="454"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80"/>
        <w:spacing w:after="0" w:line="266" w:lineRule="auto"/>
        <w:rPr>
          <w:sz w:val="20"/>
          <w:szCs w:val="20"/>
          <w:color w:val="auto"/>
        </w:rPr>
      </w:pPr>
      <w:r>
        <w:rPr>
          <w:rFonts w:ascii="Arial" w:cs="Arial" w:eastAsia="Arial" w:hAnsi="Arial"/>
          <w:sz w:val="18"/>
          <w:szCs w:val="18"/>
          <w:color w:val="auto"/>
        </w:rPr>
        <w:t>operations, cargo operations, labor relations, and design/test engineering. Mr. Mays earned a BS in Aerospace Engineering from the University and Alabama and an MBA from Emory University.</w:t>
      </w:r>
    </w:p>
    <w:p>
      <w:pPr>
        <w:spacing w:after="0" w:line="179" w:lineRule="exact"/>
        <w:rPr>
          <w:sz w:val="20"/>
          <w:szCs w:val="20"/>
          <w:color w:val="auto"/>
        </w:rPr>
      </w:pPr>
    </w:p>
    <w:p>
      <w:pPr>
        <w:ind w:left="200" w:right="80" w:firstLine="434"/>
        <w:spacing w:after="0" w:line="268" w:lineRule="auto"/>
        <w:rPr>
          <w:sz w:val="20"/>
          <w:szCs w:val="20"/>
          <w:color w:val="auto"/>
        </w:rPr>
      </w:pPr>
      <w:r>
        <w:rPr>
          <w:rFonts w:ascii="Arial" w:cs="Arial" w:eastAsia="Arial" w:hAnsi="Arial"/>
          <w:sz w:val="17"/>
          <w:szCs w:val="17"/>
          <w:b w:val="1"/>
          <w:bCs w:val="1"/>
          <w:i w:val="1"/>
          <w:iCs w:val="1"/>
          <w:color w:val="auto"/>
        </w:rPr>
        <w:t xml:space="preserve">Eric Levenhagen </w:t>
      </w:r>
      <w:r>
        <w:rPr>
          <w:rFonts w:ascii="Arial" w:cs="Arial" w:eastAsia="Arial" w:hAnsi="Arial"/>
          <w:sz w:val="17"/>
          <w:szCs w:val="17"/>
          <w:color w:val="auto"/>
        </w:rPr>
        <w:t>has served as our Chief Administrative Officer since April 2018 and has served as our Executive Vice President of Legal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179"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b w:val="1"/>
          <w:bCs w:val="1"/>
          <w:i w:val="1"/>
          <w:iCs w:val="1"/>
          <w:color w:val="auto"/>
        </w:rPr>
        <w:t xml:space="preserve">Jeffrey Mader </w:t>
      </w:r>
      <w:r>
        <w:rPr>
          <w:rFonts w:ascii="Arial" w:cs="Arial" w:eastAsia="Arial" w:hAnsi="Arial"/>
          <w:sz w:val="16"/>
          <w:szCs w:val="16"/>
          <w:color w:val="auto"/>
        </w:rPr>
        <w:t>has served as our Chief Information Officer since April 2018. He previously served as Chief Information Officer at Imagine! 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6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b w:val="1"/>
          <w:bCs w:val="1"/>
          <w:i w:val="1"/>
          <w:iCs w:val="1"/>
          <w:color w:val="auto"/>
        </w:rPr>
        <w:t xml:space="preserve">Brian Davis </w:t>
      </w:r>
      <w:r>
        <w:rPr>
          <w:rFonts w:ascii="Arial" w:cs="Arial" w:eastAsia="Arial" w:hAnsi="Arial"/>
          <w:sz w:val="18"/>
          <w:szCs w:val="18"/>
          <w:color w:val="auto"/>
        </w:rPr>
        <w:t>has served as our Chief Marketing Officer since January 2018. Mr. Davis previously served as Special Advisor on Business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194"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b w:val="1"/>
          <w:bCs w:val="1"/>
          <w:i w:val="1"/>
          <w:iCs w:val="1"/>
          <w:color w:val="auto"/>
        </w:rPr>
        <w:t xml:space="preserve">Grant Whitney </w:t>
      </w:r>
      <w:r>
        <w:rPr>
          <w:rFonts w:ascii="Arial" w:cs="Arial" w:eastAsia="Arial" w:hAnsi="Arial"/>
          <w:sz w:val="18"/>
          <w:szCs w:val="18"/>
          <w:color w:val="auto"/>
        </w:rPr>
        <w:t>has served as our Chief Revenue Officer since May 2019. Prior thereto, he spent nine years at United Airlines from 2010 to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194" w:lineRule="exact"/>
        <w:rPr>
          <w:sz w:val="20"/>
          <w:szCs w:val="20"/>
          <w:color w:val="auto"/>
        </w:rPr>
      </w:pPr>
    </w:p>
    <w:p>
      <w:pPr>
        <w:ind w:left="200" w:right="80" w:firstLine="434"/>
        <w:spacing w:after="0" w:line="269" w:lineRule="auto"/>
        <w:rPr>
          <w:sz w:val="20"/>
          <w:szCs w:val="20"/>
          <w:color w:val="auto"/>
        </w:rPr>
      </w:pPr>
      <w:r>
        <w:rPr>
          <w:rFonts w:ascii="Arial" w:cs="Arial" w:eastAsia="Arial" w:hAnsi="Arial"/>
          <w:sz w:val="17"/>
          <w:szCs w:val="17"/>
          <w:b w:val="1"/>
          <w:bCs w:val="1"/>
          <w:i w:val="1"/>
          <w:iCs w:val="1"/>
          <w:color w:val="auto"/>
        </w:rPr>
        <w:t xml:space="preserve">John Gyurci </w:t>
      </w:r>
      <w:r>
        <w:rPr>
          <w:rFonts w:ascii="Arial" w:cs="Arial" w:eastAsia="Arial" w:hAnsi="Arial"/>
          <w:sz w:val="17"/>
          <w:szCs w:val="17"/>
          <w:color w:val="auto"/>
        </w:rPr>
        <w:t>has served as our Chief Accounting Officer since October 2018. Mr. Gyurci previously served as Corporate Controller at MTS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81"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b w:val="1"/>
          <w:bCs w:val="1"/>
          <w:i w:val="1"/>
          <w:iCs w:val="1"/>
          <w:color w:val="auto"/>
        </w:rPr>
        <w:t xml:space="preserve">Bill Trousdale </w:t>
      </w:r>
      <w:r>
        <w:rPr>
          <w:rFonts w:ascii="Arial" w:cs="Arial" w:eastAsia="Arial" w:hAnsi="Arial"/>
          <w:sz w:val="18"/>
          <w:szCs w:val="18"/>
          <w:color w:val="auto"/>
        </w:rPr>
        <w:t>has served as our Vice President of Financial Planning &amp; Analysis and Treasurer since June 2018. Previously, he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Corporate Finance and Treasurer at Global Eagle Entertainment from May 2016 to October 2017. Prior thereto, Mr. Trousdale worked at Laureate Education from 2009 to 2016, most recently in the role of Vice President of Financial Transformation from October 2014 to March 2016. Prior thereto, he held senior finance positions at Northwest Airlines and US Airways. Mr. Trousdale received a BS in Mechanical Engineering from MIT and an MBA from Northwestern University.</w:t>
      </w:r>
    </w:p>
    <w:p>
      <w:pPr>
        <w:spacing w:after="0" w:line="194"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b w:val="1"/>
          <w:bCs w:val="1"/>
          <w:i w:val="1"/>
          <w:iCs w:val="1"/>
          <w:color w:val="auto"/>
        </w:rPr>
        <w:t xml:space="preserve">Patrick Kearney </w:t>
      </w:r>
      <w:r>
        <w:rPr>
          <w:rFonts w:ascii="Arial" w:cs="Arial" w:eastAsia="Arial" w:hAnsi="Arial"/>
          <w:sz w:val="16"/>
          <w:szCs w:val="16"/>
          <w:color w:val="auto"/>
        </w:rPr>
        <w:t>is a member of our board of directors. Mr. Kearney joined Apollo in 2017 in the Private Equity Group and is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0"/>
          </w:cols>
          <w:pgMar w:left="320" w:top="454" w:right="5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Antoine Munfakh </w:t>
      </w:r>
      <w:r>
        <w:rPr>
          <w:rFonts w:ascii="Arial" w:cs="Arial" w:eastAsia="Arial" w:hAnsi="Arial"/>
          <w:sz w:val="17"/>
          <w:szCs w:val="17"/>
          <w:color w:val="auto"/>
        </w:rPr>
        <w:t>is a member of our board of directors. Mr. Munfakh is a Senior Partner at Apollo, having joined in 2008. Previously,</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Munfakh served as an Associate at the private equity firm Court Square Capital Partners, where he focused on investments into the Business &amp;</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Industrial Services sectors. Prior thereto, he started his career as an Analyst in the Financial Sponsor Investment Banking group at JPMorgan, where 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provided M&amp;A and financing services in support of private equity transactions. Mr. Munfakh currently serves on the board of directors of Volotea</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Airlines, Direct ChassisLink Inc, Blume Global, Maxim Crane Works, Apollo Education Group and McGraw-Hill Education, Inc. He also serves on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Board of Governors of The Thirst Project, a charitable organization that builds freshwater wells in developing nations. He previously served on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board of directors of CH2M HILL Companies and Claire’s Stores, Inc. Mr. Munfakh graduated summa cum laude from Duke University with a BS in</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Economics, where he was elected to Phi Beta Kappa. In 2018, Mr. Munfakh was selected by The M&amp;A Advisor for their Ninth Annual Emerging</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Leaders Award, commonly referred to as the “40 Under 40” award.</w:t>
      </w:r>
    </w:p>
    <w:p>
      <w:pPr>
        <w:spacing w:after="0" w:line="207"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b w:val="1"/>
          <w:bCs w:val="1"/>
          <w:i w:val="1"/>
          <w:iCs w:val="1"/>
          <w:color w:val="auto"/>
        </w:rPr>
        <w:t xml:space="preserve">Kerry Philipovitch </w:t>
      </w:r>
      <w:r>
        <w:rPr>
          <w:rFonts w:ascii="Arial" w:cs="Arial" w:eastAsia="Arial" w:hAnsi="Arial"/>
          <w:sz w:val="16"/>
          <w:szCs w:val="16"/>
          <w:color w:val="auto"/>
        </w:rPr>
        <w:t>is a member of our board of directors. Ms. Philipovitch most recently served as Senior Vice President – Customer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 – 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171" w:lineRule="exact"/>
        <w:rPr>
          <w:sz w:val="20"/>
          <w:szCs w:val="20"/>
          <w:color w:val="auto"/>
        </w:rPr>
      </w:pPr>
    </w:p>
    <w:p>
      <w:pPr>
        <w:ind w:left="200" w:right="100" w:firstLine="434"/>
        <w:spacing w:after="0" w:line="286" w:lineRule="auto"/>
        <w:rPr>
          <w:sz w:val="20"/>
          <w:szCs w:val="20"/>
          <w:color w:val="auto"/>
        </w:rPr>
      </w:pPr>
      <w:r>
        <w:rPr>
          <w:rFonts w:ascii="Arial" w:cs="Arial" w:eastAsia="Arial" w:hAnsi="Arial"/>
          <w:sz w:val="16"/>
          <w:szCs w:val="16"/>
          <w:b w:val="1"/>
          <w:bCs w:val="1"/>
          <w:i w:val="1"/>
          <w:iCs w:val="1"/>
          <w:color w:val="auto"/>
        </w:rPr>
        <w:t xml:space="preserve">David Siegel </w:t>
      </w:r>
      <w:r>
        <w:rPr>
          <w:rFonts w:ascii="Arial" w:cs="Arial" w:eastAsia="Arial" w:hAnsi="Arial"/>
          <w:sz w:val="16"/>
          <w:szCs w:val="16"/>
          <w:color w:val="auto"/>
        </w:rPr>
        <w:t>has served as our Chairman since March 2021, served as our Executive Chairman from April 2018 to March 2021 and is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Prior to joining Sun Country, 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 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 – Economics.</w:t>
      </w:r>
    </w:p>
    <w:p>
      <w:pPr>
        <w:spacing w:after="0" w:line="167" w:lineRule="exact"/>
        <w:rPr>
          <w:sz w:val="20"/>
          <w:szCs w:val="20"/>
          <w:color w:val="auto"/>
        </w:rPr>
      </w:pPr>
    </w:p>
    <w:p>
      <w:pPr>
        <w:ind w:left="200" w:right="240" w:firstLine="434"/>
        <w:spacing w:after="0" w:line="303" w:lineRule="auto"/>
        <w:rPr>
          <w:sz w:val="20"/>
          <w:szCs w:val="20"/>
          <w:color w:val="auto"/>
        </w:rPr>
      </w:pPr>
      <w:r>
        <w:rPr>
          <w:rFonts w:ascii="Arial" w:cs="Arial" w:eastAsia="Arial" w:hAnsi="Arial"/>
          <w:sz w:val="16"/>
          <w:szCs w:val="16"/>
          <w:b w:val="1"/>
          <w:bCs w:val="1"/>
          <w:i w:val="1"/>
          <w:iCs w:val="1"/>
          <w:color w:val="auto"/>
        </w:rPr>
        <w:t xml:space="preserve">Juan Carlos Zuazua </w:t>
      </w:r>
      <w:r>
        <w:rPr>
          <w:rFonts w:ascii="Arial" w:cs="Arial" w:eastAsia="Arial" w:hAnsi="Arial"/>
          <w:sz w:val="16"/>
          <w:szCs w:val="16"/>
          <w:color w:val="auto"/>
        </w:rPr>
        <w:t>is a member of our board of directors. Mr. Zuazua has 13 years of experience in the aviation industry serving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Officer and promoted to Chief Executive Officer since 2010 of VivaAerobus. Mr. Zuazua holds a BS in Industrial Engineering from Tecnológico de Monterrey and a master degree in Public Policy from Tecnológico de Monterrey School of Government and Public Transformation.</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320" w:top="454" w:right="5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Controlled Company</w:t>
      </w:r>
    </w:p>
    <w:p>
      <w:pPr>
        <w:spacing w:after="0" w:line="11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have applied to list our common stock on Nasdaq. As the Apollo Stockholder will continue to control more than 50% of our combined voting power upon the completion of this offering and the Private Placements, we will be considered a “controlled company” for the purposes of Nasdaq’s rules and corporate governance standards. As a “controlled company,” we will be permitted to, and we intend to, elect not to comply with certain corporate governance requirements, including (1) those that would otherwise require our board of directors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one-year transition period after we cease to be a “controlled company.” Upon consummation of this offering, we expect our independent directors, as such term is defined by the applicable rules and regulations of Nasdaq, will be Juan Carlos Zuazua and Kerry Philipovitch.</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18"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Upon the consummation of this offering, our board of directors will consist of seven members. We intend to avail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 We will be required, however,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w:t>
      </w:r>
    </w:p>
    <w:p>
      <w:pPr>
        <w:spacing w:after="0" w:line="180"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189"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Upon the consummation of this offering, our board of directors will be divided into three classes. The members of each class will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Upon consummation of this offering:</w:t>
      </w:r>
    </w:p>
    <w:p>
      <w:pPr>
        <w:spacing w:after="0" w:line="98" w:lineRule="exact"/>
        <w:rPr>
          <w:sz w:val="20"/>
          <w:szCs w:val="20"/>
          <w:color w:val="auto"/>
        </w:rPr>
      </w:pPr>
    </w:p>
    <w:p>
      <w:pPr>
        <w:ind w:left="1160" w:right="580" w:hanging="429"/>
        <w:spacing w:after="0" w:line="266"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Patrick Kearney and Antoine Munfakh will be Class I directors, whose initial terms will expire at the fiscal 2022 annual meeting of stockholders;</w:t>
      </w:r>
    </w:p>
    <w:p>
      <w:pPr>
        <w:spacing w:after="0" w:line="86" w:lineRule="exact"/>
        <w:rPr>
          <w:rFonts w:ascii="Arial" w:cs="Arial" w:eastAsia="Arial" w:hAnsi="Arial"/>
          <w:sz w:val="18"/>
          <w:szCs w:val="18"/>
          <w:color w:val="auto"/>
        </w:rPr>
      </w:pPr>
    </w:p>
    <w:p>
      <w:pPr>
        <w:ind w:left="1160" w:right="600" w:hanging="429"/>
        <w:spacing w:after="0" w:line="266"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David Siegel and Juan Carlos Zuazua will be Class II directors, whose initial terms will expire at the fiscal 2023 annual meeting of stockholders; and</w:t>
      </w:r>
    </w:p>
    <w:p>
      <w:pPr>
        <w:spacing w:after="0" w:line="86" w:lineRule="exact"/>
        <w:rPr>
          <w:rFonts w:ascii="Arial" w:cs="Arial" w:eastAsia="Arial" w:hAnsi="Arial"/>
          <w:sz w:val="18"/>
          <w:szCs w:val="18"/>
          <w:color w:val="auto"/>
        </w:rPr>
      </w:pPr>
    </w:p>
    <w:p>
      <w:pPr>
        <w:ind w:left="1160" w:right="540" w:hanging="429"/>
        <w:spacing w:after="0" w:line="266"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Jude Bricker, Dave Davis and Kerry Philipovitch will be Class III directors, whose initial terms will expire at the fiscal 2024 annual meeting of stockholders.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4" w:right="5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40" w:firstLine="434"/>
        <w:spacing w:after="0" w:line="278" w:lineRule="auto"/>
        <w:rPr>
          <w:sz w:val="20"/>
          <w:szCs w:val="20"/>
          <w:color w:val="auto"/>
        </w:rPr>
      </w:pPr>
      <w:r>
        <w:rPr>
          <w:rFonts w:ascii="Arial" w:cs="Arial" w:eastAsia="Arial" w:hAnsi="Arial"/>
          <w:sz w:val="17"/>
          <w:szCs w:val="17"/>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172"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165"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8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179"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Upon the consummation of this offering, Patrick Kearney and Antoine Munfakh will be the Apollo Directors. As of the date of this prospectus, Amazon has not exercised its right to nominate a member or an observer to our board of directors.</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18"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7"/>
          <w:szCs w:val="17"/>
          <w:color w:val="auto"/>
        </w:rPr>
        <w:t>Following the consummation of this offering, the board committees will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will be citizens of the United States, as defined in 49 U.S.C. §40102(a)(15).</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2" w:lineRule="exact"/>
        <w:rPr>
          <w:sz w:val="20"/>
          <w:szCs w:val="20"/>
          <w:color w:val="auto"/>
        </w:rPr>
      </w:pPr>
    </w:p>
    <w:p>
      <w:pPr>
        <w:ind w:left="200" w:right="160" w:firstLine="434"/>
        <w:spacing w:after="0" w:line="272" w:lineRule="auto"/>
        <w:rPr>
          <w:sz w:val="20"/>
          <w:szCs w:val="20"/>
          <w:color w:val="auto"/>
        </w:rPr>
      </w:pPr>
      <w:r>
        <w:rPr>
          <w:rFonts w:ascii="Arial" w:cs="Arial" w:eastAsia="Arial" w:hAnsi="Arial"/>
          <w:sz w:val="17"/>
          <w:szCs w:val="17"/>
          <w:color w:val="auto"/>
        </w:rPr>
        <w:t>Following the consummation of this offering, our executive committee will consist of Jude Bricker, as chairperson, Antoine Munfakh and David Siegel.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Stockholder no longer owns a controlling interest in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40"/>
          </w:cols>
          <w:pgMar w:left="320" w:top="454"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2"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Following the consummation of this offering, our audit committee will consist of Kerry Philipovitch, as chairperson, Juan Carlos Zuazua and Patrick Kearney. The Nasdaq listing rules allow us to phase in an independent audit committee. We will be required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 Our board of directors has determined that Mr. Kearney qualifies as an “audit committee financial expert” as such term is defined in Item 407(d)(5) of Regulation S-K and that Ms. Philipovitch and Mr. Zuazua are independent as independence is defined in Rule 10A-3 of the Exchange Act and the Nasdaq’s listing standards. The principal duties and responsibilities of our audit committee will be as follows:</w:t>
      </w:r>
    </w:p>
    <w:p>
      <w:pPr>
        <w:spacing w:after="0" w:line="80" w:lineRule="exact"/>
        <w:rPr>
          <w:sz w:val="20"/>
          <w:szCs w:val="20"/>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prepare the annual audit committee report to be included in our annual proxy statement;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oversee and monitor our accounting and financial reporting processes;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oversee and monitor the integrity of our financial statements and internal control system;</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oversee and monitor the independence, retention, performance and compensation of our independent auditor;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oversee and monitor the performance, appointment and retention of our internal audit department;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discuss, oversee and monitor policies with respect to risk assessment and risk management,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oversee and monitor our compliance with legal and regulatory matters.</w:t>
      </w:r>
    </w:p>
    <w:p>
      <w:pPr>
        <w:spacing w:after="0" w:line="218"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The audit committee will also have the authority to retain counsel and advisors to fulfill its responsibilities and duties and to form and delegate authority to subcommittees.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consummation of this offering, our compensation committee will consist of Antoine Munfakh as chairperson, David Siegel and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Juan Carlos Zuazua. The principal duties and responsibilities of the compensation committee will be as follows:</w:t>
      </w:r>
    </w:p>
    <w:p>
      <w:pPr>
        <w:spacing w:after="0" w:line="114" w:lineRule="exact"/>
        <w:rPr>
          <w:sz w:val="20"/>
          <w:szCs w:val="20"/>
          <w:color w:val="auto"/>
        </w:rPr>
      </w:pPr>
    </w:p>
    <w:p>
      <w:pPr>
        <w:ind w:left="1160" w:hanging="429"/>
        <w:spacing w:after="0"/>
        <w:tabs>
          <w:tab w:leader="none" w:pos="11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review, evaluate and make recommendations to the full board of directors regarding our compensation policies and programs;</w:t>
      </w:r>
    </w:p>
    <w:p>
      <w:pPr>
        <w:spacing w:after="0" w:line="136" w:lineRule="exact"/>
        <w:rPr>
          <w:rFonts w:ascii="Arial" w:cs="Arial" w:eastAsia="Arial" w:hAnsi="Arial"/>
          <w:sz w:val="17"/>
          <w:szCs w:val="17"/>
          <w:color w:val="auto"/>
        </w:rPr>
      </w:pPr>
    </w:p>
    <w:p>
      <w:pPr>
        <w:ind w:left="1160" w:right="140" w:hanging="429"/>
        <w:spacing w:after="0" w:line="26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86" w:lineRule="exact"/>
        <w:rPr>
          <w:rFonts w:ascii="Arial" w:cs="Arial" w:eastAsia="Arial" w:hAnsi="Arial"/>
          <w:sz w:val="18"/>
          <w:szCs w:val="18"/>
          <w:color w:val="auto"/>
        </w:rPr>
      </w:pPr>
    </w:p>
    <w:p>
      <w:pPr>
        <w:ind w:left="1160" w:right="680" w:hanging="429"/>
        <w:spacing w:after="0" w:line="26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our incentive compensation plans and equity-based compensation plans and pension plans;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administer incentive compensation and equity-related plans and pension plans;</w:t>
      </w:r>
    </w:p>
    <w:p>
      <w:pPr>
        <w:spacing w:after="0" w:line="125" w:lineRule="exact"/>
        <w:rPr>
          <w:rFonts w:ascii="Arial" w:cs="Arial" w:eastAsia="Arial" w:hAnsi="Arial"/>
          <w:sz w:val="18"/>
          <w:szCs w:val="18"/>
          <w:color w:val="auto"/>
        </w:rPr>
      </w:pPr>
    </w:p>
    <w:p>
      <w:pPr>
        <w:ind w:left="1160" w:hanging="429"/>
        <w:spacing w:after="0" w:line="26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the financial and other performance targets that must be met; and</w:t>
      </w:r>
    </w:p>
    <w:p>
      <w:pPr>
        <w:spacing w:after="0" w:line="86" w:lineRule="exact"/>
        <w:rPr>
          <w:rFonts w:ascii="Arial" w:cs="Arial" w:eastAsia="Arial" w:hAnsi="Arial"/>
          <w:sz w:val="18"/>
          <w:szCs w:val="18"/>
          <w:color w:val="auto"/>
        </w:rPr>
      </w:pPr>
    </w:p>
    <w:p>
      <w:pPr>
        <w:ind w:left="1160" w:right="260" w:hanging="429"/>
        <w:spacing w:after="0" w:line="26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and take such other actions as are necessary and consistent with the governing law and our organizational documents.</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compensation committee composed entirely of independent directors.</w:t>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4" w:right="5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2"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color w:val="auto"/>
        </w:rPr>
        <w:t>Following the consummation of this offering, our nominating and corporate governance committee will consist of Antoine Munfakh, as chairperson, Kerry Philipovitch and David Siegel. The principal duties and responsibilities of the nominating and corporate governance committee will be as follows:</w:t>
      </w:r>
    </w:p>
    <w:p>
      <w:pPr>
        <w:spacing w:after="0" w:line="96" w:lineRule="exact"/>
        <w:rPr>
          <w:sz w:val="20"/>
          <w:szCs w:val="20"/>
          <w:color w:val="auto"/>
        </w:rPr>
      </w:pPr>
    </w:p>
    <w:p>
      <w:pPr>
        <w:ind w:left="1160" w:hanging="429"/>
        <w:spacing w:after="0"/>
        <w:tabs>
          <w:tab w:leader="none" w:pos="11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identify candidates qualified to become directors of the Company, consistent with criteria approved by our board of directors;</w:t>
      </w:r>
    </w:p>
    <w:p>
      <w:pPr>
        <w:spacing w:after="0" w:line="136" w:lineRule="exact"/>
        <w:rPr>
          <w:rFonts w:ascii="Arial" w:cs="Arial" w:eastAsia="Arial" w:hAnsi="Arial"/>
          <w:sz w:val="17"/>
          <w:szCs w:val="17"/>
          <w:color w:val="auto"/>
        </w:rPr>
      </w:pPr>
    </w:p>
    <w:p>
      <w:pPr>
        <w:ind w:left="1160" w:right="140" w:hanging="429"/>
        <w:spacing w:after="0" w:line="329" w:lineRule="auto"/>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40" w:lineRule="exact"/>
        <w:rPr>
          <w:rFonts w:ascii="Arial" w:cs="Arial" w:eastAsia="Arial" w:hAnsi="Arial"/>
          <w:sz w:val="16"/>
          <w:szCs w:val="16"/>
          <w:color w:val="auto"/>
        </w:rPr>
      </w:pPr>
    </w:p>
    <w:p>
      <w:pPr>
        <w:ind w:left="1160" w:hanging="429"/>
        <w:spacing w:after="0"/>
        <w:tabs>
          <w:tab w:leader="none" w:pos="11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recommend to our board of directors candidates to fill vacancies and newly created directorships on the board of directors;</w:t>
      </w:r>
    </w:p>
    <w:p>
      <w:pPr>
        <w:spacing w:after="0" w:line="136" w:lineRule="exact"/>
        <w:rPr>
          <w:rFonts w:ascii="Arial" w:cs="Arial" w:eastAsia="Arial" w:hAnsi="Arial"/>
          <w:sz w:val="17"/>
          <w:szCs w:val="17"/>
          <w:color w:val="auto"/>
        </w:rPr>
      </w:pPr>
    </w:p>
    <w:p>
      <w:pPr>
        <w:ind w:left="1160" w:right="680" w:hanging="429"/>
        <w:spacing w:after="0" w:line="266" w:lineRule="auto"/>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identify best practices and recommend corporate governance principles, including giving proper attention and making effective responses to stockholder concerns regarding corporate governance;</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set and review the compensation of the non-executive members of the board of directors;</w:t>
      </w:r>
    </w:p>
    <w:p>
      <w:pPr>
        <w:spacing w:after="0" w:line="125" w:lineRule="exact"/>
        <w:rPr>
          <w:rFonts w:ascii="Arial" w:cs="Arial" w:eastAsia="Arial" w:hAnsi="Arial"/>
          <w:sz w:val="18"/>
          <w:szCs w:val="18"/>
          <w:color w:val="auto"/>
        </w:rPr>
      </w:pPr>
    </w:p>
    <w:p>
      <w:pPr>
        <w:ind w:left="1160" w:right="200" w:hanging="429"/>
        <w:spacing w:after="0" w:line="266" w:lineRule="auto"/>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develop and recommend to our board of directors guidelines setting forth corporate governance principles applicable to the Company; and</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oversee the evaluation of our board of directors.</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nominating and corporate governance committee composed entirely of independent directors.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Safety Committee</w:t>
      </w:r>
    </w:p>
    <w:p>
      <w:pPr>
        <w:spacing w:after="0" w:line="112"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color w:val="auto"/>
        </w:rPr>
        <w:t>Following the consummation of this offering, our safety committee will consist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 (iv) periodically reviewing all aspects of airline safety and security with management and outside experts as necessary.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Upon the consummation of this offering, our board of directors will adopt an amended code of business conduct and ethics that will apply to all of our directors, officers and employees and is intended to comply with the relevant listing requirements for a code of conduct as well as qualify as a “code of ethics” as defined by the rules of the SEC. The code of business conduct and ethics will contain, as it does today, general guidelines for conducting</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4" w:right="5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94" w:lineRule="auto"/>
        <w:rPr>
          <w:sz w:val="20"/>
          <w:szCs w:val="20"/>
          <w:color w:val="auto"/>
        </w:rPr>
      </w:pPr>
      <w:r>
        <w:rPr>
          <w:rFonts w:ascii="Arial" w:cs="Arial" w:eastAsia="Arial" w:hAnsi="Arial"/>
          <w:sz w:val="16"/>
          <w:szCs w:val="16"/>
          <w:color w:val="auto"/>
        </w:rPr>
        <w:t>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https://www.suncountry.com. Following the consummation of this offering, the code of business conduct and ethics will be available on our website.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Following the completion of this offering, the compensation committee of the board of directors will be responsible for overseeing the management of risks relating to employee compensation plans and arrangements and the audit committee of the board of directors will oversee the management of financial risks. While each committee will be responsible for evaluating certain risks and overseeing the management of such risks, the entire board of directors will be regularly informed through committee reports about such risks.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320" w:top="454"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118" w:lineRule="exact"/>
        <w:rPr>
          <w:sz w:val="20"/>
          <w:szCs w:val="20"/>
          <w:color w:val="auto"/>
        </w:rPr>
      </w:pPr>
    </w:p>
    <w:p>
      <w:pPr>
        <w:ind w:left="200" w:right="40" w:firstLine="434"/>
        <w:spacing w:after="0" w:line="287" w:lineRule="auto"/>
        <w:rPr>
          <w:sz w:val="20"/>
          <w:szCs w:val="20"/>
          <w:color w:val="auto"/>
        </w:rPr>
      </w:pPr>
      <w:r>
        <w:rPr>
          <w:rFonts w:ascii="Arial" w:cs="Arial" w:eastAsia="Arial" w:hAnsi="Arial"/>
          <w:sz w:val="16"/>
          <w:szCs w:val="16"/>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2"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Bonus</w:t>
            </w:r>
          </w:p>
        </w:tc>
        <w:tc>
          <w:tcPr>
            <w:tcW w:w="2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Stock Awards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tcPr>
          <w:p>
            <w:pPr>
              <w:jc w:val="center"/>
              <w:ind w:left="54"/>
              <w:spacing w:after="0" w:line="15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Jude Bricker</w:t>
            </w:r>
          </w:p>
        </w:tc>
        <w:tc>
          <w:tcPr>
            <w:tcW w:w="1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00"/>
              <w:spacing w:after="0" w:line="200"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$ 200,000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9"/>
              </w:rPr>
              <w:t>340,000</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3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23,777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563,777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$ 200,000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338,300</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567,270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Dave Davis</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2020</w:t>
            </w:r>
          </w:p>
        </w:tc>
        <w:tc>
          <w:tcPr>
            <w:tcW w:w="90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$ 360,000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270,000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President and Chief Financial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$ 360,000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187,275</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549,098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1,114,035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Gregory Mays</w:t>
            </w:r>
            <w:r>
              <w:rPr>
                <w:rFonts w:ascii="Arial" w:cs="Arial" w:eastAsia="Arial" w:hAnsi="Arial"/>
                <w:sz w:val="15"/>
                <w:szCs w:val="15"/>
                <w:b w:val="1"/>
                <w:bCs w:val="1"/>
                <w:color w:val="auto"/>
              </w:rPr>
              <w:t>(1)</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2020</w:t>
            </w:r>
          </w:p>
        </w:tc>
        <w:tc>
          <w:tcPr>
            <w:tcW w:w="90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$ 300,000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56,194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$ 162,500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91,300</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988,950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1,332,788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20" w:hanging="421"/>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Mays was hired in June 2019.</w:t>
      </w:r>
    </w:p>
    <w:p>
      <w:pPr>
        <w:spacing w:after="0" w:line="16" w:lineRule="exact"/>
        <w:rPr>
          <w:rFonts w:ascii="Arial" w:cs="Arial" w:eastAsia="Arial" w:hAnsi="Arial"/>
          <w:sz w:val="18"/>
          <w:szCs w:val="18"/>
          <w:color w:val="auto"/>
        </w:rPr>
      </w:pPr>
    </w:p>
    <w:p>
      <w:pPr>
        <w:ind w:left="620" w:hanging="421"/>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an award of fully vested stock.</w:t>
      </w:r>
    </w:p>
    <w:p>
      <w:pPr>
        <w:spacing w:after="0" w:line="5" w:lineRule="exact"/>
        <w:rPr>
          <w:rFonts w:ascii="Arial" w:cs="Arial" w:eastAsia="Arial" w:hAnsi="Arial"/>
          <w:sz w:val="18"/>
          <w:szCs w:val="18"/>
          <w:color w:val="auto"/>
        </w:rPr>
      </w:pPr>
    </w:p>
    <w:p>
      <w:pPr>
        <w:ind w:left="620" w:right="380" w:hanging="421"/>
        <w:spacing w:after="0" w:line="317" w:lineRule="auto"/>
        <w:tabs>
          <w:tab w:leader="none" w:pos="6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 – 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ind w:left="620" w:right="120" w:hanging="421"/>
        <w:spacing w:after="0" w:line="286" w:lineRule="auto"/>
        <w:tabs>
          <w:tab w:leader="none" w:pos="6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 Messrs. Bricker, Davis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4"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20" w:right="40"/>
        <w:spacing w:after="0" w:line="284" w:lineRule="auto"/>
        <w:rPr>
          <w:sz w:val="20"/>
          <w:szCs w:val="20"/>
          <w:color w:val="auto"/>
        </w:rPr>
      </w:pPr>
      <w:r>
        <w:rPr>
          <w:rFonts w:ascii="Arial" w:cs="Arial" w:eastAsia="Arial" w:hAnsi="Arial"/>
          <w:sz w:val="16"/>
          <w:szCs w:val="16"/>
          <w:color w:val="auto"/>
        </w:rPr>
        <w:t>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 Messrs, Davis and Mays). The amounts reflected in respect of the ATP benefit utilized for fiscal 2020 were adjusted to $11,799, $2,278 and $2,733 for Messrs, Bricker, Davis and Mays, respectively.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Jude Bricker Employment Agreement</w:t>
      </w:r>
    </w:p>
    <w:p>
      <w:pPr>
        <w:spacing w:after="0" w:line="112"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196"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full prior to the filing of the registration statement of which this prospectus is a part.</w:t>
      </w:r>
    </w:p>
    <w:p>
      <w:pPr>
        <w:spacing w:after="0" w:line="165"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194"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jc w:val="both"/>
        <w:ind w:left="200" w:right="320" w:firstLine="434"/>
        <w:spacing w:after="0" w:line="278" w:lineRule="auto"/>
        <w:rPr>
          <w:sz w:val="20"/>
          <w:szCs w:val="20"/>
          <w:color w:val="auto"/>
        </w:rPr>
      </w:pPr>
      <w:r>
        <w:rPr>
          <w:rFonts w:ascii="Arial" w:cs="Arial" w:eastAsia="Arial" w:hAnsi="Arial"/>
          <w:sz w:val="17"/>
          <w:szCs w:val="17"/>
          <w:color w:val="auto"/>
        </w:rPr>
        <w:t>Mr. Bricker is subject to restrictive covenants, including non-competition during employment and for 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Dave Davis Employment Agreement</w:t>
      </w:r>
    </w:p>
    <w:p>
      <w:pPr>
        <w:spacing w:after="0" w:line="112"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Sun Country, Inc. entered into an employment agreement with Dave Davis to serve as Chief Financial Officer, effective as of April 11, 2018. Mr. Davis was thereafter promoted to President and Chief Financial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320" w:top="454"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80"/>
        <w:spacing w:after="0" w:line="284" w:lineRule="auto"/>
        <w:rPr>
          <w:sz w:val="20"/>
          <w:szCs w:val="20"/>
          <w:color w:val="auto"/>
        </w:rPr>
      </w:pPr>
      <w:r>
        <w:rPr>
          <w:rFonts w:ascii="Arial" w:cs="Arial" w:eastAsia="Arial" w:hAnsi="Arial"/>
          <w:sz w:val="16"/>
          <w:szCs w:val="16"/>
          <w:color w:val="auto"/>
        </w:rPr>
        <w:t>Officer effective November 5, 2019. The agreement extends for a term of five years, until April 11, 2023. Pursuant to the employment agreement, Mr. Davis’ annual base salary shall be no less than $420,000 until March 31, 2019 and, beginning April 1, 2019, shall be no less than $360,000.</w:t>
      </w:r>
    </w:p>
    <w:p>
      <w:pPr>
        <w:spacing w:after="0" w:line="1"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196"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191" w:lineRule="exact"/>
        <w:rPr>
          <w:sz w:val="20"/>
          <w:szCs w:val="20"/>
          <w:color w:val="auto"/>
        </w:rPr>
      </w:pPr>
    </w:p>
    <w:p>
      <w:pPr>
        <w:ind w:left="200" w:right="180" w:firstLine="434"/>
        <w:spacing w:after="0" w:line="251" w:lineRule="auto"/>
        <w:rPr>
          <w:sz w:val="20"/>
          <w:szCs w:val="20"/>
          <w:color w:val="auto"/>
        </w:rPr>
      </w:pPr>
      <w:r>
        <w:rPr>
          <w:rFonts w:ascii="Arial" w:cs="Arial" w:eastAsia="Arial" w:hAnsi="Arial"/>
          <w:sz w:val="18"/>
          <w:szCs w:val="18"/>
          <w:color w:val="auto"/>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194" w:lineRule="exact"/>
        <w:rPr>
          <w:sz w:val="20"/>
          <w:szCs w:val="20"/>
          <w:color w:val="auto"/>
        </w:rPr>
      </w:pPr>
    </w:p>
    <w:p>
      <w:pPr>
        <w:ind w:left="200" w:right="28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ind w:left="200" w:right="300" w:firstLine="434"/>
        <w:spacing w:after="0" w:line="278" w:lineRule="auto"/>
        <w:rPr>
          <w:sz w:val="20"/>
          <w:szCs w:val="20"/>
          <w:color w:val="auto"/>
        </w:rPr>
      </w:pPr>
      <w:r>
        <w:rPr>
          <w:rFonts w:ascii="Arial" w:cs="Arial" w:eastAsia="Arial" w:hAnsi="Arial"/>
          <w:sz w:val="17"/>
          <w:szCs w:val="17"/>
          <w:color w:val="auto"/>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Gregory Mays Employment Agreement</w:t>
      </w:r>
    </w:p>
    <w:p>
      <w:pPr>
        <w:spacing w:after="0" w:line="11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180" w:lineRule="exact"/>
        <w:rPr>
          <w:sz w:val="20"/>
          <w:szCs w:val="20"/>
          <w:color w:val="auto"/>
        </w:rPr>
      </w:pPr>
    </w:p>
    <w:p>
      <w:pPr>
        <w:ind w:left="200" w:right="280" w:firstLine="434"/>
        <w:spacing w:after="0" w:line="256" w:lineRule="auto"/>
        <w:rPr>
          <w:sz w:val="20"/>
          <w:szCs w:val="20"/>
          <w:color w:val="auto"/>
        </w:rPr>
      </w:pPr>
      <w:r>
        <w:rPr>
          <w:rFonts w:ascii="Arial" w:cs="Arial" w:eastAsia="Arial" w:hAnsi="Arial"/>
          <w:sz w:val="18"/>
          <w:szCs w:val="18"/>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189" w:lineRule="exact"/>
        <w:rPr>
          <w:sz w:val="20"/>
          <w:szCs w:val="20"/>
          <w:color w:val="auto"/>
        </w:rPr>
      </w:pPr>
    </w:p>
    <w:p>
      <w:pPr>
        <w:jc w:val="both"/>
        <w:ind w:left="200" w:right="200" w:firstLine="434"/>
        <w:spacing w:after="0" w:line="303" w:lineRule="auto"/>
        <w:rPr>
          <w:sz w:val="20"/>
          <w:szCs w:val="20"/>
          <w:color w:val="auto"/>
        </w:rPr>
      </w:pPr>
      <w:r>
        <w:rPr>
          <w:rFonts w:ascii="Arial" w:cs="Arial" w:eastAsia="Arial" w:hAnsi="Arial"/>
          <w:sz w:val="16"/>
          <w:szCs w:val="16"/>
          <w:color w:val="auto"/>
        </w:rPr>
        <w:t>Mr. Mays is also entitled to travel benefits, including an annual credit of $12,500 in his ATP account for personal travel on Company scheduled flights for him and certain qualifying friends and family. Mr. Mays may also travel on scheduled Company flights in accordance with the Company’s general employee travel policy, the cost of which is not deducted from Mr. Mays’ ATP account. Upon the earlier of June 3, 2024 or a Change in</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0"/>
          </w:cols>
          <w:pgMar w:left="320" w:top="454" w:right="5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60"/>
        <w:spacing w:after="0" w:line="266" w:lineRule="auto"/>
        <w:rPr>
          <w:sz w:val="20"/>
          <w:szCs w:val="20"/>
          <w:color w:val="auto"/>
        </w:rPr>
      </w:pPr>
      <w:r>
        <w:rPr>
          <w:rFonts w:ascii="Arial" w:cs="Arial" w:eastAsia="Arial" w:hAnsi="Arial"/>
          <w:sz w:val="18"/>
          <w:szCs w:val="18"/>
          <w:color w:val="auto"/>
        </w:rPr>
        <w:t>Control (as defined in the SCA Acquisition Equity Plan), Mr. Mays’ travel benefits will vest for his lifetime and be useable by Mr. Mays for the remainder of his life.</w:t>
      </w:r>
    </w:p>
    <w:p>
      <w:pPr>
        <w:spacing w:after="0" w:line="179"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ind w:left="200" w:right="120" w:firstLine="434"/>
        <w:spacing w:after="0" w:line="303" w:lineRule="auto"/>
        <w:rPr>
          <w:sz w:val="20"/>
          <w:szCs w:val="20"/>
          <w:color w:val="auto"/>
        </w:rPr>
      </w:pPr>
      <w:r>
        <w:rPr>
          <w:rFonts w:ascii="Arial" w:cs="Arial" w:eastAsia="Arial" w:hAnsi="Arial"/>
          <w:sz w:val="16"/>
          <w:szCs w:val="16"/>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Outstanding Equity Awards at Fiscal Year-End Table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lists each NEO’s outstanding equity awards at the end of fiscal 2020.</w:t>
      </w: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gridSpan w:val="2"/>
          </w:tcPr>
          <w:p>
            <w:pPr>
              <w:jc w:val="center"/>
              <w:ind w:left="1114"/>
              <w:spacing w:after="0"/>
              <w:rPr>
                <w:sz w:val="20"/>
                <w:szCs w:val="20"/>
                <w:color w:val="auto"/>
              </w:rPr>
            </w:pPr>
            <w:r>
              <w:rPr>
                <w:rFonts w:ascii="Arial" w:cs="Arial" w:eastAsia="Arial" w:hAnsi="Arial"/>
                <w:sz w:val="16"/>
                <w:szCs w:val="16"/>
                <w:b w:val="1"/>
                <w:bCs w:val="1"/>
                <w:color w:val="auto"/>
                <w:w w:val="88"/>
              </w:rPr>
              <w:t>Unexercised</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6"/>
              </w:rPr>
              <w:t>Unexercised</w:t>
            </w:r>
          </w:p>
        </w:tc>
        <w:tc>
          <w:tcPr>
            <w:tcW w:w="560" w:type="dxa"/>
            <w:vAlign w:val="bottom"/>
          </w:tcPr>
          <w:p>
            <w:pPr>
              <w:spacing w:after="0"/>
              <w:rPr>
                <w:sz w:val="17"/>
                <w:szCs w:val="17"/>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Option</w:t>
            </w:r>
          </w:p>
        </w:tc>
        <w:tc>
          <w:tcPr>
            <w:tcW w:w="5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198"/>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w w:val="88"/>
              </w:rPr>
              <w:t>Executive</w:t>
            </w:r>
          </w:p>
        </w:tc>
        <w:tc>
          <w:tcPr>
            <w:tcW w:w="16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Unearned</w:t>
            </w: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Exercise Price</w:t>
            </w:r>
          </w:p>
        </w:tc>
        <w:tc>
          <w:tcPr>
            <w:tcW w:w="5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21"/>
        </w:trPr>
        <w:tc>
          <w:tcPr>
            <w:tcW w:w="680" w:type="dxa"/>
            <w:vAlign w:val="bottom"/>
            <w:tcBorders>
              <w:bottom w:val="single" w:sz="8" w:color="auto"/>
            </w:tcBorders>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Exercisable</w:t>
            </w:r>
          </w:p>
        </w:tc>
        <w:tc>
          <w:tcPr>
            <w:tcW w:w="1900" w:type="dxa"/>
            <w:vAlign w:val="bottom"/>
            <w:gridSpan w:val="2"/>
          </w:tcPr>
          <w:p>
            <w:pPr>
              <w:jc w:val="center"/>
              <w:ind w:left="476"/>
              <w:spacing w:after="0" w:line="201" w:lineRule="exact"/>
              <w:rPr>
                <w:sz w:val="20"/>
                <w:szCs w:val="20"/>
                <w:color w:val="auto"/>
              </w:rPr>
            </w:pPr>
            <w:r>
              <w:rPr>
                <w:rFonts w:ascii="Arial" w:cs="Arial" w:eastAsia="Arial" w:hAnsi="Arial"/>
                <w:sz w:val="14"/>
                <w:szCs w:val="14"/>
                <w:b w:val="1"/>
                <w:bCs w:val="1"/>
                <w:color w:val="auto"/>
                <w:w w:val="95"/>
              </w:rPr>
              <w:t xml:space="preserve">Unexercisable </w:t>
            </w:r>
            <w:r>
              <w:rPr>
                <w:rFonts w:ascii="Arial" w:cs="Arial" w:eastAsia="Arial" w:hAnsi="Arial"/>
                <w:sz w:val="23"/>
                <w:szCs w:val="23"/>
                <w:b w:val="1"/>
                <w:bCs w:val="1"/>
                <w:color w:val="auto"/>
                <w:w w:val="95"/>
                <w:vertAlign w:val="superscript"/>
              </w:rPr>
              <w:t>(2) (3)</w:t>
            </w:r>
          </w:p>
        </w:tc>
        <w:tc>
          <w:tcPr>
            <w:tcW w:w="1720" w:type="dxa"/>
            <w:vAlign w:val="bottom"/>
            <w:gridSpan w:val="2"/>
          </w:tcPr>
          <w:p>
            <w:pPr>
              <w:jc w:val="center"/>
              <w:ind w:left="456"/>
              <w:spacing w:after="0" w:line="201" w:lineRule="exact"/>
              <w:rPr>
                <w:sz w:val="20"/>
                <w:szCs w:val="20"/>
                <w:color w:val="auto"/>
              </w:rPr>
            </w:pPr>
            <w:r>
              <w:rPr>
                <w:rFonts w:ascii="Arial" w:cs="Arial" w:eastAsia="Arial" w:hAnsi="Arial"/>
                <w:sz w:val="14"/>
                <w:szCs w:val="14"/>
                <w:b w:val="1"/>
                <w:bCs w:val="1"/>
                <w:color w:val="auto"/>
                <w:w w:val="95"/>
              </w:rPr>
              <w:t xml:space="preserve">Options (#) </w:t>
            </w:r>
            <w:r>
              <w:rPr>
                <w:rFonts w:ascii="Arial" w:cs="Arial" w:eastAsia="Arial" w:hAnsi="Arial"/>
                <w:sz w:val="23"/>
                <w:szCs w:val="23"/>
                <w:b w:val="1"/>
                <w:bCs w:val="1"/>
                <w:color w:val="auto"/>
                <w:w w:val="95"/>
                <w:vertAlign w:val="superscript"/>
              </w:rPr>
              <w:t>(2) (4)</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321"/>
              <w:spacing w:after="0"/>
              <w:rPr>
                <w:sz w:val="20"/>
                <w:szCs w:val="20"/>
                <w:color w:val="auto"/>
              </w:rPr>
            </w:pPr>
            <w:r>
              <w:rPr>
                <w:rFonts w:ascii="Arial" w:cs="Arial" w:eastAsia="Arial" w:hAnsi="Arial"/>
                <w:sz w:val="8"/>
                <w:szCs w:val="8"/>
                <w:b w:val="1"/>
                <w:bCs w:val="1"/>
                <w:color w:val="auto"/>
                <w:w w:val="73"/>
              </w:rPr>
              <w:t>)</w:t>
            </w:r>
          </w:p>
        </w:tc>
        <w:tc>
          <w:tcPr>
            <w:tcW w:w="5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99"/>
        </w:trPr>
        <w:tc>
          <w:tcPr>
            <w:tcW w:w="230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Jude Bricker</w:t>
            </w:r>
          </w:p>
        </w:tc>
        <w:tc>
          <w:tcPr>
            <w:tcW w:w="1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310,339</w:t>
            </w:r>
          </w:p>
        </w:tc>
        <w:tc>
          <w:tcPr>
            <w:tcW w:w="5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310,320</w:t>
            </w: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991,405</w:t>
            </w: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5.30</w:t>
            </w: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11/21/2028</w:t>
            </w:r>
          </w:p>
        </w:tc>
        <w:tc>
          <w:tcPr>
            <w:tcW w:w="0" w:type="dxa"/>
            <w:vAlign w:val="bottom"/>
          </w:tcPr>
          <w:p>
            <w:pPr>
              <w:spacing w:after="0"/>
              <w:rPr>
                <w:sz w:val="1"/>
                <w:szCs w:val="1"/>
                <w:color w:val="auto"/>
              </w:rPr>
            </w:pPr>
          </w:p>
        </w:tc>
      </w:tr>
      <w:tr>
        <w:trPr>
          <w:trHeight w:val="213"/>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Dave Davis</w:t>
            </w:r>
            <w:r>
              <w:rPr>
                <w:rFonts w:ascii="Arial" w:cs="Arial" w:eastAsia="Arial" w:hAnsi="Arial"/>
                <w:sz w:val="15"/>
                <w:szCs w:val="15"/>
                <w:b w:val="1"/>
                <w:bCs w:val="1"/>
                <w:color w:val="auto"/>
              </w:rPr>
              <w:t>(1)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124,135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124,116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396,566</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1380" w:type="dxa"/>
            <w:vAlign w:val="bottom"/>
            <w:gridSpan w:val="2"/>
          </w:tcPr>
          <w:p>
            <w:pPr>
              <w:jc w:val="center"/>
              <w:ind w:left="451"/>
              <w:spacing w:after="0"/>
              <w:rPr>
                <w:sz w:val="20"/>
                <w:szCs w:val="20"/>
                <w:color w:val="auto"/>
              </w:rPr>
            </w:pPr>
            <w:r>
              <w:rPr>
                <w:rFonts w:ascii="Arial" w:cs="Arial" w:eastAsia="Arial" w:hAnsi="Arial"/>
                <w:sz w:val="18"/>
                <w:szCs w:val="18"/>
                <w:color w:val="auto"/>
                <w:w w:val="89"/>
              </w:rPr>
              <w:t>4/17/2028</w:t>
            </w:r>
          </w:p>
        </w:tc>
        <w:tc>
          <w:tcPr>
            <w:tcW w:w="0" w:type="dxa"/>
            <w:vAlign w:val="bottom"/>
          </w:tcPr>
          <w:p>
            <w:pPr>
              <w:spacing w:after="0"/>
              <w:rPr>
                <w:sz w:val="1"/>
                <w:szCs w:val="1"/>
                <w:color w:val="auto"/>
              </w:rPr>
            </w:pPr>
          </w:p>
        </w:tc>
      </w:tr>
      <w:tr>
        <w:trPr>
          <w:trHeight w:val="213"/>
        </w:trPr>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82,618</w:t>
            </w:r>
          </w:p>
        </w:tc>
        <w:tc>
          <w:tcPr>
            <w:tcW w:w="10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15.17</w:t>
            </w:r>
          </w:p>
        </w:tc>
        <w:tc>
          <w:tcPr>
            <w:tcW w:w="1380" w:type="dxa"/>
            <w:vAlign w:val="bottom"/>
            <w:gridSpan w:val="2"/>
            <w:shd w:val="clear" w:color="auto" w:fill="CCEEFF"/>
          </w:tcPr>
          <w:p>
            <w:pPr>
              <w:jc w:val="center"/>
              <w:ind w:left="451"/>
              <w:spacing w:after="0"/>
              <w:rPr>
                <w:sz w:val="20"/>
                <w:szCs w:val="20"/>
                <w:color w:val="auto"/>
              </w:rPr>
            </w:pPr>
            <w:r>
              <w:rPr>
                <w:rFonts w:ascii="Arial" w:cs="Arial" w:eastAsia="Arial" w:hAnsi="Arial"/>
                <w:sz w:val="18"/>
                <w:szCs w:val="18"/>
                <w:color w:val="auto"/>
                <w:w w:val="88"/>
              </w:rPr>
              <w:t>11/19/2029</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Gregory Mays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51,716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155,169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330,474</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1380" w:type="dxa"/>
            <w:vAlign w:val="bottom"/>
            <w:gridSpan w:val="2"/>
          </w:tcPr>
          <w:p>
            <w:pPr>
              <w:jc w:val="center"/>
              <w:ind w:left="451"/>
              <w:spacing w:after="0"/>
              <w:rPr>
                <w:sz w:val="20"/>
                <w:szCs w:val="20"/>
                <w:color w:val="auto"/>
              </w:rPr>
            </w:pPr>
            <w:r>
              <w:rPr>
                <w:rFonts w:ascii="Arial" w:cs="Arial" w:eastAsia="Arial" w:hAnsi="Arial"/>
                <w:sz w:val="18"/>
                <w:szCs w:val="18"/>
                <w:color w:val="auto"/>
                <w:w w:val="91"/>
              </w:rPr>
              <w:t>7/1/2029</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20" w:hanging="421"/>
        <w:spacing w:after="0"/>
        <w:tabs>
          <w:tab w:leader="none" w:pos="6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On November 19, 2019, Mr. Davis was granted additional options with an exercise price of $15.17 in connection with his promotion to President and Chief Financial Officer.</w:t>
      </w:r>
    </w:p>
    <w:p>
      <w:pPr>
        <w:spacing w:after="0" w:line="8" w:lineRule="exact"/>
        <w:rPr>
          <w:rFonts w:ascii="Arial" w:cs="Arial" w:eastAsia="Arial" w:hAnsi="Arial"/>
          <w:sz w:val="13"/>
          <w:szCs w:val="13"/>
          <w:color w:val="auto"/>
        </w:rPr>
      </w:pPr>
    </w:p>
    <w:p>
      <w:pPr>
        <w:ind w:left="620" w:right="560" w:hanging="421"/>
        <w:spacing w:after="0" w:line="218" w:lineRule="auto"/>
        <w:tabs>
          <w:tab w:leader="none" w:pos="6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ind w:left="620" w:right="20" w:hanging="421"/>
        <w:spacing w:after="0" w:line="218" w:lineRule="auto"/>
        <w:tabs>
          <w:tab w:leader="none" w:pos="6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ind w:left="620" w:right="120" w:hanging="421"/>
        <w:spacing w:after="0" w:line="254" w:lineRule="auto"/>
        <w:tabs>
          <w:tab w:leader="none" w:pos="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w:t>
      </w:r>
    </w:p>
    <w:p>
      <w:pPr>
        <w:ind w:left="620" w:right="40"/>
        <w:spacing w:after="0" w:line="223" w:lineRule="auto"/>
        <w:rPr>
          <w:rFonts w:ascii="Arial" w:cs="Arial" w:eastAsia="Arial" w:hAnsi="Arial"/>
          <w:sz w:val="12"/>
          <w:szCs w:val="12"/>
          <w:color w:val="auto"/>
        </w:rPr>
      </w:pPr>
      <w:r>
        <w:rPr>
          <w:rFonts w:ascii="Arial" w:cs="Arial" w:eastAsia="Arial" w:hAnsi="Arial"/>
          <w:sz w:val="14"/>
          <w:szCs w:val="14"/>
          <w:color w:val="auto"/>
        </w:rPr>
        <w:t>5.0x. Vesting in respect of achievement between a MOIC of 3.0x and a MOIC of 5.0x is linearly interpolated. In the event that 100% of the performance-based options have not vested prior to or at the time of the effectiveness of this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this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4"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200" w:type="dxa"/>
            <w:vAlign w:val="bottom"/>
            <w:gridSpan w:val="2"/>
          </w:tcPr>
          <w:p>
            <w:pPr>
              <w:jc w:val="center"/>
              <w:ind w:left="314"/>
              <w:spacing w:after="0"/>
              <w:rPr>
                <w:sz w:val="20"/>
                <w:szCs w:val="20"/>
                <w:color w:val="auto"/>
              </w:rPr>
            </w:pPr>
            <w:r>
              <w:rPr>
                <w:rFonts w:ascii="Arial" w:cs="Arial" w:eastAsia="Arial" w:hAnsi="Arial"/>
                <w:sz w:val="14"/>
                <w:szCs w:val="14"/>
                <w:color w:val="auto"/>
                <w:w w:val="93"/>
              </w:rPr>
              <w:t>Months Post-IPO (“MOIC Test</w:t>
            </w:r>
          </w:p>
        </w:tc>
        <w:tc>
          <w:tcPr>
            <w:tcW w:w="720" w:type="dxa"/>
            <w:vAlign w:val="bottom"/>
          </w:tcPr>
          <w:p>
            <w:pPr>
              <w:spacing w:after="0"/>
              <w:rPr>
                <w:sz w:val="14"/>
                <w:szCs w:val="1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 of Performance-Based</w:t>
            </w: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Vested Amount Based on</w:t>
            </w:r>
          </w:p>
        </w:tc>
        <w:tc>
          <w:tcPr>
            <w:tcW w:w="2100" w:type="dxa"/>
            <w:vAlign w:val="bottom"/>
          </w:tcPr>
          <w:p>
            <w:pPr>
              <w:jc w:val="right"/>
              <w:ind w:right="256"/>
              <w:spacing w:after="0"/>
              <w:rPr>
                <w:sz w:val="20"/>
                <w:szCs w:val="20"/>
                <w:color w:val="auto"/>
              </w:rPr>
            </w:pPr>
            <w:r>
              <w:rPr>
                <w:rFonts w:ascii="Arial" w:cs="Arial" w:eastAsia="Arial" w:hAnsi="Arial"/>
                <w:sz w:val="14"/>
                <w:szCs w:val="14"/>
                <w:color w:val="auto"/>
              </w:rPr>
              <w:t>Vested Amount Based on</w:t>
            </w:r>
          </w:p>
        </w:tc>
      </w:tr>
      <w:tr>
        <w:trPr>
          <w:trHeight w:val="185"/>
        </w:trPr>
        <w:tc>
          <w:tcPr>
            <w:tcW w:w="4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Date”)</w:t>
            </w:r>
          </w:p>
        </w:tc>
        <w:tc>
          <w:tcPr>
            <w:tcW w:w="720" w:type="dxa"/>
            <w:vAlign w:val="bottom"/>
          </w:tcPr>
          <w:p>
            <w:pPr>
              <w:spacing w:after="0"/>
              <w:rPr>
                <w:sz w:val="16"/>
                <w:szCs w:val="16"/>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Options Eligible to Vest</w:t>
            </w: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3.0x TRMOIC</w:t>
            </w:r>
          </w:p>
        </w:tc>
        <w:tc>
          <w:tcPr>
            <w:tcW w:w="2100" w:type="dxa"/>
            <w:vAlign w:val="bottom"/>
          </w:tcPr>
          <w:p>
            <w:pPr>
              <w:jc w:val="right"/>
              <w:ind w:right="556"/>
              <w:spacing w:after="0"/>
              <w:rPr>
                <w:sz w:val="20"/>
                <w:szCs w:val="20"/>
                <w:color w:val="auto"/>
              </w:rPr>
            </w:pPr>
            <w:r>
              <w:rPr>
                <w:rFonts w:ascii="Arial" w:cs="Arial" w:eastAsia="Arial" w:hAnsi="Arial"/>
                <w:sz w:val="14"/>
                <w:szCs w:val="14"/>
                <w:color w:val="auto"/>
              </w:rPr>
              <w:t>5.0x TRMOIC</w:t>
            </w:r>
          </w:p>
        </w:tc>
      </w:tr>
      <w:tr>
        <w:trPr>
          <w:trHeight w:val="199"/>
        </w:trPr>
        <w:tc>
          <w:tcPr>
            <w:tcW w:w="2200" w:type="dxa"/>
            <w:vAlign w:val="bottom"/>
            <w:tcBorders>
              <w:top w:val="single" w:sz="8" w:color="CCEEFF"/>
            </w:tcBorders>
            <w:gridSpan w:val="2"/>
            <w:shd w:val="clear" w:color="auto" w:fill="CCEEFF"/>
          </w:tcPr>
          <w:p>
            <w:pPr>
              <w:jc w:val="center"/>
              <w:ind w:left="314"/>
              <w:spacing w:after="0" w:line="200" w:lineRule="exact"/>
              <w:rPr>
                <w:sz w:val="20"/>
                <w:szCs w:val="20"/>
                <w:color w:val="auto"/>
              </w:rPr>
            </w:pPr>
            <w:r>
              <w:rPr>
                <w:rFonts w:ascii="Arial" w:cs="Arial" w:eastAsia="Arial" w:hAnsi="Arial"/>
                <w:sz w:val="18"/>
                <w:szCs w:val="18"/>
                <w:color w:val="auto"/>
                <w:w w:val="79"/>
              </w:rPr>
              <w:t>12</w:t>
            </w:r>
          </w:p>
        </w:tc>
        <w:tc>
          <w:tcPr>
            <w:tcW w:w="7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7.5%</w:t>
            </w:r>
          </w:p>
        </w:tc>
        <w:tc>
          <w:tcPr>
            <w:tcW w:w="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r>
      <w:tr>
        <w:trPr>
          <w:trHeight w:val="213"/>
        </w:trPr>
        <w:tc>
          <w:tcPr>
            <w:tcW w:w="220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18</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3"/>
        </w:trPr>
        <w:tc>
          <w:tcPr>
            <w:tcW w:w="22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24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20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30</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18.75%</w:t>
            </w: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3"/>
        </w:trPr>
        <w:tc>
          <w:tcPr>
            <w:tcW w:w="22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36</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21" w:lineRule="exact"/>
        <w:rPr>
          <w:sz w:val="20"/>
          <w:szCs w:val="20"/>
          <w:color w:val="auto"/>
        </w:rPr>
      </w:pPr>
    </w:p>
    <w:p>
      <w:pPr>
        <w:jc w:val="both"/>
        <w:ind w:left="620"/>
        <w:spacing w:after="0" w:line="230" w:lineRule="auto"/>
        <w:rPr>
          <w:sz w:val="20"/>
          <w:szCs w:val="20"/>
          <w:color w:val="auto"/>
        </w:rPr>
      </w:pPr>
      <w:r>
        <w:rPr>
          <w:rFonts w:ascii="Arial" w:cs="Arial" w:eastAsia="Arial" w:hAnsi="Arial"/>
          <w:sz w:val="14"/>
          <w:szCs w:val="14"/>
          <w:color w:val="auto"/>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18"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 (iv) 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165" w:lineRule="exact"/>
        <w:rPr>
          <w:sz w:val="20"/>
          <w:szCs w:val="20"/>
          <w:color w:val="auto"/>
        </w:rPr>
      </w:pPr>
    </w:p>
    <w:p>
      <w:pPr>
        <w:ind w:left="200" w:right="80" w:firstLine="434"/>
        <w:spacing w:after="0" w:line="250" w:lineRule="auto"/>
        <w:rPr>
          <w:sz w:val="20"/>
          <w:szCs w:val="20"/>
          <w:color w:val="auto"/>
        </w:rPr>
      </w:pPr>
      <w:r>
        <w:rPr>
          <w:rFonts w:ascii="Arial" w:cs="Arial" w:eastAsia="Arial" w:hAnsi="Arial"/>
          <w:sz w:val="18"/>
          <w:szCs w:val="18"/>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96" w:lineRule="exact"/>
        <w:rPr>
          <w:sz w:val="20"/>
          <w:szCs w:val="20"/>
          <w:color w:val="auto"/>
        </w:rPr>
      </w:pPr>
    </w:p>
    <w:p>
      <w:pPr>
        <w:ind w:left="200" w:firstLine="434"/>
        <w:spacing w:after="0" w:line="279" w:lineRule="auto"/>
        <w:rPr>
          <w:sz w:val="20"/>
          <w:szCs w:val="20"/>
          <w:color w:val="auto"/>
        </w:rPr>
      </w:pPr>
      <w:r>
        <w:rPr>
          <w:rFonts w:ascii="Arial" w:cs="Arial" w:eastAsia="Arial" w:hAnsi="Arial"/>
          <w:sz w:val="16"/>
          <w:szCs w:val="16"/>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w:t>
      </w:r>
    </w:p>
    <w:p>
      <w:pPr>
        <w:spacing w:after="0" w:line="2" w:lineRule="exact"/>
        <w:rPr>
          <w:sz w:val="20"/>
          <w:szCs w:val="20"/>
          <w:color w:val="auto"/>
        </w:rPr>
      </w:pPr>
    </w:p>
    <w:p>
      <w:pPr>
        <w:ind w:left="200" w:hanging="1"/>
        <w:spacing w:after="0" w:line="283" w:lineRule="auto"/>
        <w:tabs>
          <w:tab w:leader="none" w:pos="49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320" w:top="454" w:right="5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00"/>
        <w:spacing w:after="0" w:line="256" w:lineRule="auto"/>
        <w:rPr>
          <w:sz w:val="20"/>
          <w:szCs w:val="20"/>
          <w:color w:val="auto"/>
        </w:rPr>
      </w:pPr>
      <w:r>
        <w:rPr>
          <w:rFonts w:ascii="Arial" w:cs="Arial" w:eastAsia="Arial" w:hAnsi="Arial"/>
          <w:sz w:val="18"/>
          <w:szCs w:val="18"/>
          <w:color w:val="auto"/>
        </w:rPr>
        <w:t>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89"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7"/>
          <w:szCs w:val="17"/>
          <w:color w:val="auto"/>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181"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194"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We currently maintain the SCA Acquisition Equity Plan. In connection with the Reorganization Transactions, all outstanding options to purchase SCA common stock were converted into options to purchase common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112" w:lineRule="exact"/>
        <w:rPr>
          <w:sz w:val="20"/>
          <w:szCs w:val="20"/>
          <w:color w:val="auto"/>
        </w:rPr>
      </w:pPr>
    </w:p>
    <w:p>
      <w:pPr>
        <w:jc w:val="both"/>
        <w:ind w:left="200" w:right="80" w:firstLine="434"/>
        <w:spacing w:after="0" w:line="253" w:lineRule="auto"/>
        <w:rPr>
          <w:sz w:val="20"/>
          <w:szCs w:val="20"/>
          <w:color w:val="auto"/>
        </w:rPr>
      </w:pPr>
      <w:r>
        <w:rPr>
          <w:rFonts w:ascii="Arial" w:cs="Arial" w:eastAsia="Arial" w:hAnsi="Arial"/>
          <w:sz w:val="18"/>
          <w:szCs w:val="18"/>
          <w:color w:val="auto"/>
        </w:rPr>
        <w:t>In connection with this offering, our board of directors expects to adopt, and we expect our stockholders to approve, our 2021 Omnibus Incentive Plan (the “Omnibus Incentive Plan”) to become effective in connection with the consummation of this offering. Following the adoption of the Omnibus Incentive Plan, we will not issue additional options under the SCA Acquisition Equity Plan. This summary is qualified in its entirety by reference to the Omnibus Incentive Plan that is ultimately adopted by our board of directors.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40"/>
          </w:cols>
          <w:pgMar w:left="320" w:top="454" w:right="5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the Omnibus Incentive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the authority to determine the terms and conditions of any agreements evidencing any awards granted under the Omnibus Incentive Plan and to adopt, alter and repeal rules, guidelines and practices relating to the Omnibus Incentive Plan. The compensation committee will have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96"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the Company or its affiliates who are selected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be eligible for awards under the Omnibus Incentive Plan. The compensation committee will have the sole and complete authority to determine who will be granted an award under the Omnibus Incentive Plan.</w:t>
      </w:r>
    </w:p>
    <w:p>
      <w:pPr>
        <w:spacing w:after="0" w:line="189" w:lineRule="exact"/>
        <w:rPr>
          <w:sz w:val="20"/>
          <w:szCs w:val="20"/>
          <w:color w:val="auto"/>
        </w:rPr>
      </w:pPr>
    </w:p>
    <w:p>
      <w:pPr>
        <w:ind w:left="200" w:firstLine="434"/>
        <w:spacing w:after="0" w:line="327" w:lineRule="auto"/>
        <w:rPr>
          <w:sz w:val="20"/>
          <w:szCs w:val="20"/>
          <w:color w:val="auto"/>
        </w:rPr>
      </w:pPr>
      <w:r>
        <w:rPr>
          <w:rFonts w:ascii="Arial" w:cs="Arial" w:eastAsia="Arial" w:hAnsi="Arial"/>
          <w:sz w:val="14"/>
          <w:szCs w:val="14"/>
          <w:i w:val="1"/>
          <w:iCs w:val="1"/>
          <w:color w:val="auto"/>
        </w:rPr>
        <w:t>Number of Shares Authorized</w:t>
      </w:r>
      <w:r>
        <w:rPr>
          <w:rFonts w:ascii="Arial" w:cs="Arial" w:eastAsia="Arial" w:hAnsi="Arial"/>
          <w:sz w:val="14"/>
          <w:szCs w:val="14"/>
          <w:color w:val="auto"/>
        </w:rPr>
        <w:t>. Pursuant to the Omnibus Incentive Plan, we have reserved an aggregate of shares of our common stock for issuance</w:t>
      </w:r>
      <w:r>
        <w:rPr>
          <w:rFonts w:ascii="Arial" w:cs="Arial" w:eastAsia="Arial" w:hAnsi="Arial"/>
          <w:sz w:val="14"/>
          <w:szCs w:val="14"/>
          <w:i w:val="1"/>
          <w:iCs w:val="1"/>
          <w:color w:val="auto"/>
        </w:rPr>
        <w:t xml:space="preserve"> </w:t>
      </w:r>
      <w:r>
        <w:rPr>
          <w:rFonts w:ascii="Arial" w:cs="Arial" w:eastAsia="Arial" w:hAnsi="Arial"/>
          <w:sz w:val="14"/>
          <w:szCs w:val="14"/>
          <w:color w:val="auto"/>
        </w:rPr>
        <w:t>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359" w:lineRule="exact"/>
        <w:rPr>
          <w:sz w:val="20"/>
          <w:szCs w:val="20"/>
          <w:color w:val="auto"/>
        </w:rPr>
      </w:pPr>
    </w:p>
    <w:p>
      <w:pPr>
        <w:ind w:left="200" w:right="60" w:firstLine="434"/>
        <w:spacing w:after="0" w:line="265"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capitalization in the event of a stock or extraordinary cash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185"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 options, incentive (qualified)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196" w:lineRule="exact"/>
        <w:rPr>
          <w:sz w:val="20"/>
          <w:szCs w:val="20"/>
          <w:color w:val="auto"/>
        </w:rPr>
      </w:pPr>
    </w:p>
    <w:p>
      <w:pPr>
        <w:ind w:left="200" w:right="840" w:firstLine="434"/>
        <w:spacing w:after="0" w:line="26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compensation committee will be authorized to grant options to purchase shares of our common stock that are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meaning they are intended to satisfy the requirements of Section 422 of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40"/>
          </w:cols>
          <w:pgMar w:left="320" w:top="454"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8" w:lineRule="auto"/>
        <w:rPr>
          <w:sz w:val="20"/>
          <w:szCs w:val="20"/>
          <w:color w:val="auto"/>
        </w:rPr>
      </w:pPr>
      <w:r>
        <w:rPr>
          <w:rFonts w:ascii="Arial" w:cs="Arial" w:eastAsia="Arial" w:hAnsi="Arial"/>
          <w:sz w:val="16"/>
          <w:szCs w:val="16"/>
          <w:color w:val="auto"/>
        </w:rPr>
        <w:t>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w:t>
      </w:r>
    </w:p>
    <w:p>
      <w:pPr>
        <w:spacing w:after="0" w:line="6" w:lineRule="exact"/>
        <w:rPr>
          <w:sz w:val="20"/>
          <w:szCs w:val="20"/>
          <w:color w:val="auto"/>
        </w:rPr>
      </w:pPr>
    </w:p>
    <w:p>
      <w:pPr>
        <w:ind w:left="200" w:right="40" w:hanging="1"/>
        <w:spacing w:after="0" w:line="247" w:lineRule="auto"/>
        <w:tabs>
          <w:tab w:leader="none" w:pos="4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200"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will be authorized to award SARs under the Omnibus Incentive Plan. SARs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195"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Omnibus Incentive Plan,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191" w:lineRule="exact"/>
        <w:rPr>
          <w:sz w:val="20"/>
          <w:szCs w:val="20"/>
          <w:color w:val="auto"/>
        </w:rPr>
      </w:pPr>
    </w:p>
    <w:p>
      <w:pPr>
        <w:ind w:left="200" w:firstLine="434"/>
        <w:spacing w:after="0" w:line="364"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will be authorized to grant restricted stock unit awards, which will be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w:t>
      </w: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20"/>
          </w:cols>
          <w:pgMar w:left="320" w:top="454" w:right="5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6" w:lineRule="auto"/>
        <w:rPr>
          <w:sz w:val="20"/>
          <w:szCs w:val="20"/>
          <w:color w:val="auto"/>
        </w:rPr>
      </w:pPr>
      <w:r>
        <w:rPr>
          <w:rFonts w:ascii="Arial" w:cs="Arial" w:eastAsia="Arial" w:hAnsi="Arial"/>
          <w:sz w:val="17"/>
          <w:szCs w:val="17"/>
          <w:color w:val="auto"/>
        </w:rPr>
        <w:t>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18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i w:val="1"/>
          <w:iCs w:val="1"/>
          <w:color w:val="auto"/>
        </w:rPr>
        <w:t xml:space="preserve">Other Stock-Based Awards and Other Cash-Based Awards. </w:t>
      </w:r>
      <w:r>
        <w:rPr>
          <w:rFonts w:ascii="Arial" w:cs="Arial" w:eastAsia="Arial" w:hAnsi="Arial"/>
          <w:sz w:val="17"/>
          <w:szCs w:val="17"/>
          <w:color w:val="auto"/>
        </w:rPr>
        <w:t>The compensation committee will be authorized to grant awards of unrestricted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78" w:lineRule="exact"/>
        <w:rPr>
          <w:sz w:val="20"/>
          <w:szCs w:val="20"/>
          <w:color w:val="auto"/>
        </w:rPr>
      </w:pPr>
    </w:p>
    <w:p>
      <w:pPr>
        <w:ind w:left="200" w:right="40" w:firstLine="434"/>
        <w:spacing w:after="0" w:line="280" w:lineRule="auto"/>
        <w:rPr>
          <w:sz w:val="20"/>
          <w:szCs w:val="20"/>
          <w:color w:val="auto"/>
        </w:rPr>
      </w:pPr>
      <w:r>
        <w:rPr>
          <w:rFonts w:ascii="Arial" w:cs="Arial" w:eastAsia="Arial" w:hAnsi="Arial"/>
          <w:sz w:val="16"/>
          <w:szCs w:val="16"/>
          <w:i w:val="1"/>
          <w:iCs w:val="1"/>
          <w:color w:val="auto"/>
        </w:rPr>
        <w:t xml:space="preserve">Effect of Termination of Service a Change in Control. </w:t>
      </w:r>
      <w:r>
        <w:rPr>
          <w:rFonts w:ascii="Arial" w:cs="Arial" w:eastAsia="Arial" w:hAnsi="Arial"/>
          <w:sz w:val="16"/>
          <w:szCs w:val="16"/>
          <w:color w:val="auto"/>
        </w:rPr>
        <w:t>To the extent permitted under Section 409A of the Code, the compensation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180"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 permissible under applicable law,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191" w:lineRule="exact"/>
        <w:rPr>
          <w:sz w:val="20"/>
          <w:szCs w:val="20"/>
          <w:color w:val="auto"/>
        </w:rPr>
      </w:pPr>
    </w:p>
    <w:p>
      <w:pPr>
        <w:ind w:left="200" w:right="280" w:firstLine="434"/>
        <w:spacing w:after="0" w:line="253"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Omnibus Incentive Plan will have a term of ten years. The board of directors may amend, suspend or terminate the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80"/>
          </w:cols>
          <w:pgMar w:left="320" w:top="454" w:right="5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4"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83" w:lineRule="exact"/>
        <w:rPr>
          <w:sz w:val="20"/>
          <w:szCs w:val="20"/>
          <w:color w:val="auto"/>
        </w:rPr>
      </w:pPr>
    </w:p>
    <w:p>
      <w:pPr>
        <w:ind w:left="200" w:right="20" w:firstLine="434"/>
        <w:spacing w:after="0" w:line="278" w:lineRule="auto"/>
        <w:rPr>
          <w:sz w:val="20"/>
          <w:szCs w:val="20"/>
          <w:color w:val="auto"/>
        </w:rPr>
      </w:pPr>
      <w:r>
        <w:rPr>
          <w:rFonts w:ascii="Arial" w:cs="Arial" w:eastAsia="Arial" w:hAnsi="Arial"/>
          <w:sz w:val="17"/>
          <w:szCs w:val="17"/>
          <w:i w:val="1"/>
          <w:iCs w:val="1"/>
          <w:color w:val="auto"/>
        </w:rPr>
        <w:t xml:space="preserve">Clawback/Forfeiture. </w:t>
      </w:r>
      <w:r>
        <w:rPr>
          <w:rFonts w:ascii="Arial" w:cs="Arial" w:eastAsia="Arial" w:hAnsi="Arial"/>
          <w:sz w:val="17"/>
          <w:szCs w:val="17"/>
          <w:color w:val="auto"/>
        </w:rPr>
        <w:t>Awards may be subject to clawback or forfeiture to the extent required by applicable law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172" w:lineRule="exact"/>
        <w:rPr>
          <w:sz w:val="20"/>
          <w:szCs w:val="20"/>
          <w:color w:val="auto"/>
        </w:rPr>
      </w:pPr>
    </w:p>
    <w:p>
      <w:pPr>
        <w:ind w:left="200" w:right="80" w:firstLine="434"/>
        <w:spacing w:after="0" w:line="294" w:lineRule="auto"/>
        <w:rPr>
          <w:sz w:val="20"/>
          <w:szCs w:val="20"/>
          <w:color w:val="auto"/>
        </w:rPr>
      </w:pPr>
      <w:r>
        <w:rPr>
          <w:rFonts w:ascii="Arial" w:cs="Arial" w:eastAsia="Arial" w:hAnsi="Arial"/>
          <w:sz w:val="16"/>
          <w:szCs w:val="16"/>
          <w:i w:val="1"/>
          <w:iCs w:val="1"/>
          <w:color w:val="auto"/>
        </w:rPr>
        <w:t>Whistleblower Acknowledgments</w:t>
      </w:r>
      <w:r>
        <w:rPr>
          <w:rFonts w:ascii="Arial" w:cs="Arial" w:eastAsia="Arial" w:hAnsi="Arial"/>
          <w:sz w:val="16"/>
          <w:szCs w:val="16"/>
          <w:color w:val="auto"/>
        </w:rPr>
        <w:t>. Nothing in the Omnibus Incentive Plan or award agreement will (i) prohibit a participant from making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Federal Income Tax Consequences</w:t>
      </w:r>
    </w:p>
    <w:p>
      <w:pPr>
        <w:spacing w:after="0" w:line="112"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69"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Holders of incentive stock options will generally incur no federal income tax liability at the time of grant or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4" w:right="5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303" w:lineRule="auto"/>
        <w:rPr>
          <w:sz w:val="20"/>
          <w:szCs w:val="20"/>
          <w:color w:val="auto"/>
        </w:rPr>
      </w:pPr>
      <w:r>
        <w:rPr>
          <w:rFonts w:ascii="Arial" w:cs="Arial" w:eastAsia="Arial" w:hAnsi="Arial"/>
          <w:sz w:val="16"/>
          <w:szCs w:val="16"/>
          <w:color w:val="auto"/>
        </w:rPr>
        <w:t>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5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8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No income will be realized by a participant upon grant or vesting of a SAR. Upon the exercise of a SAR, the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91"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8" w:lineRule="exact"/>
        <w:rPr>
          <w:sz w:val="20"/>
          <w:szCs w:val="20"/>
          <w:color w:val="auto"/>
        </w:rPr>
      </w:pPr>
    </w:p>
    <w:p>
      <w:pPr>
        <w:jc w:val="both"/>
        <w:ind w:left="200" w:right="20" w:firstLine="434"/>
        <w:spacing w:after="0" w:line="25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or vesting of a restricted stock unit award. Rather, upon the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94" w:lineRule="exact"/>
        <w:rPr>
          <w:sz w:val="20"/>
          <w:szCs w:val="20"/>
          <w:color w:val="auto"/>
        </w:rPr>
      </w:pPr>
    </w:p>
    <w:p>
      <w:pPr>
        <w:jc w:val="both"/>
        <w:ind w:left="200" w:right="140" w:firstLine="434"/>
        <w:spacing w:after="0" w:line="287"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In general, Section 162(m) of the Code denies a publicly held corporation a deduction for U.S. federal income tax purposes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 the year that is three years following the closing of this offering. However, the IRS has requested comments from interested stakeholders on the application of Section 162(m)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40"/>
          </w:cols>
          <w:pgMar w:left="320" w:top="454" w:right="5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80"/>
        <w:spacing w:after="0" w:line="278" w:lineRule="auto"/>
        <w:rPr>
          <w:sz w:val="20"/>
          <w:szCs w:val="20"/>
          <w:color w:val="auto"/>
        </w:rPr>
      </w:pPr>
      <w:r>
        <w:rPr>
          <w:rFonts w:ascii="Arial" w:cs="Arial" w:eastAsia="Arial" w:hAnsi="Arial"/>
          <w:sz w:val="17"/>
          <w:szCs w:val="17"/>
          <w:color w:val="auto"/>
        </w:rPr>
        <w:t>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112"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During 2020, none of the members of our board of directors received any compensation from the Company for their services on the board, except as set forth below.</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w w:val="88"/>
              </w:rPr>
              <w:t>Fees earned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Option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All Other</w:t>
            </w:r>
          </w:p>
        </w:tc>
        <w:tc>
          <w:tcPr>
            <w:tcW w:w="460" w:type="dxa"/>
            <w:vAlign w:val="bottom"/>
          </w:tcPr>
          <w:p>
            <w:pPr>
              <w:spacing w:after="0"/>
              <w:rPr>
                <w:sz w:val="14"/>
                <w:szCs w:val="14"/>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vMerge w:val="restart"/>
          </w:tcPr>
          <w:p>
            <w:pPr>
              <w:spacing w:after="0"/>
              <w:rPr>
                <w:sz w:val="12"/>
                <w:szCs w:val="12"/>
                <w:color w:val="auto"/>
              </w:rPr>
            </w:pPr>
          </w:p>
        </w:tc>
        <w:tc>
          <w:tcPr>
            <w:tcW w:w="286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or Paid in Cash</w:t>
            </w:r>
          </w:p>
        </w:tc>
        <w:tc>
          <w:tcPr>
            <w:tcW w:w="44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320" w:type="dxa"/>
            <w:vAlign w:val="bottom"/>
            <w:gridSpan w:val="3"/>
          </w:tcPr>
          <w:p>
            <w:pPr>
              <w:ind w:left="44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4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06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78"/>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8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David Siegel</w:t>
            </w:r>
            <w:r>
              <w:rPr>
                <w:rFonts w:ascii="Arial" w:cs="Arial" w:eastAsia="Arial" w:hAnsi="Arial"/>
                <w:sz w:val="15"/>
                <w:szCs w:val="15"/>
                <w:b w:val="1"/>
                <w:bCs w:val="1"/>
                <w:color w:val="auto"/>
              </w:rPr>
              <w:t>(4)</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60,000</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center"/>
              <w:ind w:left="278"/>
              <w:spacing w:after="0" w:line="200" w:lineRule="exact"/>
              <w:rPr>
                <w:sz w:val="20"/>
                <w:szCs w:val="20"/>
                <w:color w:val="auto"/>
              </w:rPr>
            </w:pPr>
            <w:r>
              <w:rPr>
                <w:rFonts w:ascii="Arial" w:cs="Arial" w:eastAsia="Arial" w:hAnsi="Arial"/>
                <w:sz w:val="18"/>
                <w:szCs w:val="18"/>
                <w:color w:val="auto"/>
                <w:w w:val="88"/>
              </w:rPr>
              <w:t>2,458</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6"/>
              </w:rPr>
              <w:t>$62,458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Juan Carlos ZuaZua</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38,743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left="338"/>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Kerry Philipovitch</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49,987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20" w:right="100" w:hanging="421"/>
        <w:spacing w:after="0" w:line="226" w:lineRule="auto"/>
        <w:tabs>
          <w:tab w:leader="none" w:pos="6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reflects an annual cash retainer amount. Ms. Philipovitch joined our board of directors in December 2020 and beginning fiscal year 2021, her annual cash retainer amount will be $50,000.</w:t>
      </w:r>
    </w:p>
    <w:p>
      <w:pPr>
        <w:spacing w:after="0" w:line="1" w:lineRule="exact"/>
        <w:rPr>
          <w:rFonts w:ascii="Arial" w:cs="Arial" w:eastAsia="Arial" w:hAnsi="Arial"/>
          <w:sz w:val="14"/>
          <w:szCs w:val="14"/>
          <w:color w:val="auto"/>
        </w:rPr>
      </w:pPr>
    </w:p>
    <w:p>
      <w:pPr>
        <w:jc w:val="both"/>
        <w:ind w:left="620" w:right="40" w:hanging="421"/>
        <w:spacing w:after="0" w:line="254" w:lineRule="auto"/>
        <w:tabs>
          <w:tab w:leader="none" w:pos="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w:t>
      </w:r>
    </w:p>
    <w:p>
      <w:pPr>
        <w:ind w:left="620"/>
        <w:spacing w:after="0" w:line="218" w:lineRule="auto"/>
        <w:rPr>
          <w:rFonts w:ascii="Arial" w:cs="Arial" w:eastAsia="Arial" w:hAnsi="Arial"/>
          <w:sz w:val="12"/>
          <w:szCs w:val="12"/>
          <w:color w:val="auto"/>
        </w:rPr>
      </w:pPr>
      <w:r>
        <w:rPr>
          <w:rFonts w:ascii="Arial" w:cs="Arial" w:eastAsia="Arial" w:hAnsi="Arial"/>
          <w:sz w:val="14"/>
          <w:szCs w:val="14"/>
          <w:color w:val="auto"/>
        </w:rPr>
        <w:t>Mr. ZuaZua was granted an award of options to purchase 4,722 shares of SCA common stock, which fully vested on April 17, 2020.</w:t>
      </w:r>
    </w:p>
    <w:p>
      <w:pPr>
        <w:ind w:left="620" w:right="160" w:hanging="421"/>
        <w:spacing w:after="0" w:line="218" w:lineRule="auto"/>
        <w:tabs>
          <w:tab w:leader="none" w:pos="6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under “All Other Compensation” represent the Company’s contributions in respect of life insurance and our 401(k) Plan. The value of this benefit is reported as taxable income with taxes on such income paid for by the Company.</w:t>
      </w:r>
    </w:p>
    <w:p>
      <w:pPr>
        <w:ind w:left="620" w:right="140" w:hanging="421"/>
        <w:spacing w:after="0" w:line="234" w:lineRule="auto"/>
        <w:tabs>
          <w:tab w:leader="none" w:pos="6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60"/>
          </w:cols>
          <w:pgMar w:left="320" w:top="454"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4"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Other than compensation arrangements for our executive officers and directors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 discussion of compensation arrangements for our named executive officers and directors) and the transactions discussed below, there were no transactions, to which we were a party or will be a party, in which:</w:t>
      </w:r>
    </w:p>
    <w:p>
      <w:pPr>
        <w:spacing w:after="0" w:line="96" w:lineRule="exact"/>
        <w:rPr>
          <w:sz w:val="20"/>
          <w:szCs w:val="20"/>
          <w:color w:val="auto"/>
        </w:rPr>
      </w:pPr>
    </w:p>
    <w:p>
      <w:pPr>
        <w:ind w:left="1160" w:hanging="42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5" w:lineRule="exact"/>
        <w:rPr>
          <w:rFonts w:ascii="Arial" w:cs="Arial" w:eastAsia="Arial" w:hAnsi="Arial"/>
          <w:sz w:val="18"/>
          <w:szCs w:val="18"/>
          <w:color w:val="auto"/>
        </w:rPr>
      </w:pPr>
    </w:p>
    <w:p>
      <w:pPr>
        <w:ind w:left="1160" w:right="380" w:hanging="429"/>
        <w:spacing w:after="0" w:line="266"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18" w:lineRule="exact"/>
        <w:rPr>
          <w:sz w:val="20"/>
          <w:szCs w:val="20"/>
          <w:color w:val="auto"/>
        </w:rPr>
      </w:pPr>
    </w:p>
    <w:p>
      <w:pPr>
        <w:jc w:val="both"/>
        <w:ind w:left="200" w:right="100" w:firstLine="434"/>
        <w:spacing w:after="0" w:line="278" w:lineRule="auto"/>
        <w:rPr>
          <w:sz w:val="20"/>
          <w:szCs w:val="20"/>
          <w:color w:val="auto"/>
        </w:rPr>
      </w:pPr>
      <w:r>
        <w:rPr>
          <w:rFonts w:ascii="Arial" w:cs="Arial" w:eastAsia="Arial" w:hAnsi="Arial"/>
          <w:sz w:val="17"/>
          <w:szCs w:val="17"/>
          <w:color w:val="auto"/>
        </w:rPr>
        <w:t>Upon the consummation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72"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18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79"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Reorganization Transactions</w:t>
      </w:r>
    </w:p>
    <w:p>
      <w:pPr>
        <w:spacing w:after="0" w:line="118"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Prior to this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7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40"/>
          </w:cols>
          <w:pgMar w:left="320" w:top="454"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81"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Prior to this offering, we effected an approximately 18.8886 for 1 stock split of our common stock (the “Stock Split”), with exercise prices for our outstanding warrants and options appropriately adjusted. As of February 28, 2021, giving effect to the Stock Split, we had an aggregate of 46,698,922 shares of our common stock outstanding, warrants to purchase an aggregate of 9,482,606 shares of our common stock outstanding at an exercise price of approximately $15.17 per share, approximately 10.7% of which have vested as of February 28, 2021, and options to purchase an aggregate of 5,893,704 shares of our common stock outstanding at a weighted average exercise price of $6.38 per share.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prospectus, we refer to the transactions described above as the “Reorganization Transactions.”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118" w:lineRule="exact"/>
        <w:rPr>
          <w:sz w:val="20"/>
          <w:szCs w:val="20"/>
          <w:color w:val="auto"/>
        </w:rPr>
      </w:pPr>
    </w:p>
    <w:p>
      <w:pPr>
        <w:ind w:left="200" w:right="180" w:firstLine="434"/>
        <w:spacing w:after="0" w:line="303" w:lineRule="auto"/>
        <w:rPr>
          <w:sz w:val="20"/>
          <w:szCs w:val="20"/>
          <w:color w:val="auto"/>
        </w:rPr>
      </w:pPr>
      <w:r>
        <w:rPr>
          <w:rFonts w:ascii="Arial" w:cs="Arial" w:eastAsia="Arial" w:hAnsi="Arial"/>
          <w:sz w:val="16"/>
          <w:szCs w:val="16"/>
          <w:color w:val="auto"/>
        </w:rPr>
        <w:t>On April 11, 2018, Jude Bricker, our Chief Executive Officer and a director, purchased 1,227,759 shares of SCA common stock at a purchase price of $5.30 per share. In addition, Mr. Bricker borrowed $2,500,000 from SCA Acquisition Holdings, LLC pursuant to a promissory note issued on April 20, 2018. The loan was repaid in full prior to the filing of the registration statement of which this prospectus is a part.</w:t>
      </w:r>
    </w:p>
    <w:p>
      <w:pPr>
        <w:spacing w:after="0" w:line="154" w:lineRule="exact"/>
        <w:rPr>
          <w:sz w:val="20"/>
          <w:szCs w:val="20"/>
          <w:color w:val="auto"/>
        </w:rPr>
      </w:pPr>
    </w:p>
    <w:p>
      <w:pPr>
        <w:jc w:val="both"/>
        <w:ind w:left="200" w:right="100" w:firstLine="434"/>
        <w:spacing w:after="0" w:line="251" w:lineRule="auto"/>
        <w:rPr>
          <w:sz w:val="20"/>
          <w:szCs w:val="20"/>
          <w:color w:val="auto"/>
        </w:rPr>
      </w:pPr>
      <w:r>
        <w:rPr>
          <w:rFonts w:ascii="Arial" w:cs="Arial" w:eastAsia="Arial" w:hAnsi="Arial"/>
          <w:sz w:val="18"/>
          <w:szCs w:val="18"/>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prior to the filing of the registration statement of which this prospectus is a part. On August 1, 2019, SCA Acquisition Holdings, LLC issued 56,665 shares of SCA common stock to Mr. Siegel as compensation for certain diligence services in connection with our acquisition by the Apollo Funds.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EETC Financing</w:t>
      </w:r>
    </w:p>
    <w:p>
      <w:pPr>
        <w:spacing w:after="0" w:line="118" w:lineRule="exact"/>
        <w:rPr>
          <w:sz w:val="20"/>
          <w:szCs w:val="20"/>
          <w:color w:val="auto"/>
        </w:rPr>
      </w:pPr>
    </w:p>
    <w:p>
      <w:pPr>
        <w:ind w:left="200" w:right="720" w:firstLine="434"/>
        <w:spacing w:after="0" w:line="266" w:lineRule="auto"/>
        <w:rPr>
          <w:sz w:val="20"/>
          <w:szCs w:val="20"/>
          <w:color w:val="auto"/>
        </w:rPr>
      </w:pPr>
      <w:r>
        <w:rPr>
          <w:rFonts w:ascii="Arial" w:cs="Arial" w:eastAsia="Arial" w:hAnsi="Arial"/>
          <w:sz w:val="18"/>
          <w:szCs w:val="18"/>
          <w:color w:val="auto"/>
        </w:rPr>
        <w:t>An affiliate of Apollo, Apollo Global Securities, LLC, acted as co-manager in connection with the 2019-1 EETC financing and received customary placement agent fees of approximately $198,870.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Offering</w:t>
      </w:r>
    </w:p>
    <w:p>
      <w:pPr>
        <w:spacing w:after="0" w:line="118" w:lineRule="exact"/>
        <w:rPr>
          <w:sz w:val="20"/>
          <w:szCs w:val="20"/>
          <w:color w:val="auto"/>
        </w:rPr>
      </w:pPr>
    </w:p>
    <w:p>
      <w:pPr>
        <w:jc w:val="both"/>
        <w:ind w:left="200" w:right="240" w:firstLine="434"/>
        <w:spacing w:after="0" w:line="278" w:lineRule="auto"/>
        <w:rPr>
          <w:sz w:val="20"/>
          <w:szCs w:val="20"/>
          <w:color w:val="auto"/>
        </w:rPr>
      </w:pPr>
      <w:r>
        <w:rPr>
          <w:rFonts w:ascii="Arial" w:cs="Arial" w:eastAsia="Arial" w:hAnsi="Arial"/>
          <w:sz w:val="17"/>
          <w:szCs w:val="17"/>
          <w:color w:val="auto"/>
        </w:rPr>
        <w:t>As more fully discussed in “</w:t>
      </w:r>
      <w:r>
        <w:rPr>
          <w:rFonts w:ascii="Arial" w:cs="Arial" w:eastAsia="Arial" w:hAnsi="Arial"/>
          <w:sz w:val="17"/>
          <w:szCs w:val="17"/>
          <w:i w:val="1"/>
          <w:iCs w:val="1"/>
          <w:color w:val="auto"/>
        </w:rPr>
        <w:t>Underwriting (Conflict of Interest)—Conflict of Interest</w:t>
      </w:r>
      <w:r>
        <w:rPr>
          <w:rFonts w:ascii="Arial" w:cs="Arial" w:eastAsia="Arial" w:hAnsi="Arial"/>
          <w:sz w:val="17"/>
          <w:szCs w:val="17"/>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72"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Apollo Global Securities, LLC, an affiliate of Apollo, is an underwriter in this offering and will receive a portion of the underwriting discounts and commissions in connection with this offering.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w:t>
      </w:r>
    </w:p>
    <w:p>
      <w:pPr>
        <w:spacing w:after="0" w:line="118"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On May 16, 2018, SCA Acquisition Holdings, LLC entered into the Amended and Restated Stockholders’ Agreement (as amended or modified from time to time, the “Stockholders Agreement”) with AP VIII (SCA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20"/>
          </w:cols>
          <w:pgMar w:left="320" w:top="454" w:right="5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249" w:lineRule="auto"/>
        <w:rPr>
          <w:sz w:val="20"/>
          <w:szCs w:val="20"/>
          <w:color w:val="auto"/>
        </w:rPr>
      </w:pPr>
      <w:r>
        <w:rPr>
          <w:rFonts w:ascii="Arial" w:cs="Arial" w:eastAsia="Arial" w:hAnsi="Arial"/>
          <w:sz w:val="18"/>
          <w:szCs w:val="18"/>
          <w:color w:val="auto"/>
        </w:rPr>
        <w:t>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199"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color w:val="auto"/>
        </w:rPr>
        <w:t>We intend to further amend and restate the Stockholders Agreement in connection with this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8"/>
          <w:szCs w:val="18"/>
          <w:i w:val="1"/>
          <w:iCs w:val="1"/>
          <w:color w:val="auto"/>
        </w:rPr>
        <w:t>Management—Board</w:t>
      </w:r>
      <w:r>
        <w:rPr>
          <w:rFonts w:ascii="Arial" w:cs="Arial" w:eastAsia="Arial" w:hAnsi="Arial"/>
          <w:sz w:val="18"/>
          <w:szCs w:val="18"/>
          <w:color w:val="auto"/>
        </w:rPr>
        <w:t xml:space="preserve"> </w:t>
      </w:r>
      <w:r>
        <w:rPr>
          <w:rFonts w:ascii="Arial" w:cs="Arial" w:eastAsia="Arial" w:hAnsi="Arial"/>
          <w:sz w:val="18"/>
          <w:szCs w:val="18"/>
          <w:i w:val="1"/>
          <w:iCs w:val="1"/>
          <w:color w:val="auto"/>
        </w:rPr>
        <w:t>Composition</w:t>
      </w:r>
      <w:r>
        <w:rPr>
          <w:rFonts w:ascii="Arial" w:cs="Arial" w:eastAsia="Arial" w:hAnsi="Arial"/>
          <w:sz w:val="18"/>
          <w:szCs w:val="18"/>
          <w:color w:val="auto"/>
        </w:rPr>
        <w:t>.”</w:t>
      </w:r>
    </w:p>
    <w:p>
      <w:pPr>
        <w:spacing w:after="0" w:line="199" w:lineRule="exact"/>
        <w:rPr>
          <w:sz w:val="20"/>
          <w:szCs w:val="20"/>
          <w:color w:val="auto"/>
        </w:rPr>
      </w:pPr>
    </w:p>
    <w:p>
      <w:pPr>
        <w:ind w:left="200" w:right="120" w:firstLine="434"/>
        <w:spacing w:after="0" w:line="278" w:lineRule="auto"/>
        <w:rPr>
          <w:sz w:val="20"/>
          <w:szCs w:val="20"/>
          <w:color w:val="auto"/>
        </w:rPr>
      </w:pPr>
      <w:r>
        <w:rPr>
          <w:rFonts w:ascii="Arial" w:cs="Arial" w:eastAsia="Arial" w:hAnsi="Arial"/>
          <w:sz w:val="17"/>
          <w:szCs w:val="17"/>
          <w:color w:val="auto"/>
        </w:rPr>
        <w:t>Additionally, the Stockholders Agreement will also specify that Amazon will have the right to nominate a member or an observer to our board of directors for so long as Amazon holds the 2019 Warrants or any shares of common stock issued upon exercise of the 2019 Warrants and the ATSA remains in effect. Further, the Stockholders Agreement will set forth certain information rights granted to the Apollo Stockholder.</w:t>
      </w:r>
    </w:p>
    <w:p>
      <w:pPr>
        <w:spacing w:after="0" w:line="172"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The Stockholders Agreement will also provide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96" w:lineRule="exact"/>
        <w:rPr>
          <w:sz w:val="20"/>
          <w:szCs w:val="20"/>
          <w:color w:val="auto"/>
        </w:rPr>
      </w:pPr>
    </w:p>
    <w:p>
      <w:pPr>
        <w:ind w:left="1160" w:right="240" w:hanging="429"/>
        <w:spacing w:after="0" w:line="256"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95" w:lineRule="exact"/>
        <w:rPr>
          <w:rFonts w:ascii="Arial" w:cs="Arial" w:eastAsia="Arial" w:hAnsi="Arial"/>
          <w:sz w:val="18"/>
          <w:szCs w:val="18"/>
          <w:color w:val="auto"/>
        </w:rPr>
      </w:pPr>
    </w:p>
    <w:p>
      <w:pPr>
        <w:jc w:val="both"/>
        <w:ind w:left="1160" w:right="80" w:hanging="429"/>
        <w:spacing w:after="0" w:line="256"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95" w:lineRule="exact"/>
        <w:rPr>
          <w:rFonts w:ascii="Arial" w:cs="Arial" w:eastAsia="Arial" w:hAnsi="Arial"/>
          <w:sz w:val="18"/>
          <w:szCs w:val="18"/>
          <w:color w:val="auto"/>
        </w:rPr>
      </w:pPr>
    </w:p>
    <w:p>
      <w:pPr>
        <w:ind w:left="1160" w:right="40" w:hanging="429"/>
        <w:spacing w:after="0" w:line="253"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97" w:lineRule="exact"/>
        <w:rPr>
          <w:rFonts w:ascii="Arial" w:cs="Arial" w:eastAsia="Arial" w:hAnsi="Arial"/>
          <w:sz w:val="18"/>
          <w:szCs w:val="18"/>
          <w:color w:val="auto"/>
        </w:rPr>
      </w:pPr>
    </w:p>
    <w:p>
      <w:pPr>
        <w:ind w:left="1160" w:right="260" w:hanging="429"/>
        <w:spacing w:after="0" w:line="256"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95" w:lineRule="exact"/>
        <w:rPr>
          <w:rFonts w:ascii="Arial" w:cs="Arial" w:eastAsia="Arial" w:hAnsi="Arial"/>
          <w:sz w:val="18"/>
          <w:szCs w:val="18"/>
          <w:color w:val="auto"/>
        </w:rPr>
      </w:pPr>
    </w:p>
    <w:p>
      <w:pPr>
        <w:ind w:left="1160" w:right="380" w:hanging="429"/>
        <w:spacing w:after="0" w:line="266"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w:t>
      </w:r>
    </w:p>
    <w:p>
      <w:pPr>
        <w:spacing w:after="0" w:line="86" w:lineRule="exact"/>
        <w:rPr>
          <w:rFonts w:ascii="Arial" w:cs="Arial" w:eastAsia="Arial" w:hAnsi="Arial"/>
          <w:sz w:val="18"/>
          <w:szCs w:val="18"/>
          <w:color w:val="auto"/>
        </w:rPr>
      </w:pPr>
    </w:p>
    <w:p>
      <w:pPr>
        <w:ind w:left="1160" w:right="760" w:hanging="429"/>
        <w:spacing w:after="0" w:line="266"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undertaking any liquidation, dissolution or winding up of the Company, Sun Country, Inc. or any other material subsidiary of the Company;</w:t>
      </w:r>
    </w:p>
    <w:p>
      <w:pPr>
        <w:spacing w:after="0" w:line="86" w:lineRule="exact"/>
        <w:rPr>
          <w:rFonts w:ascii="Arial" w:cs="Arial" w:eastAsia="Arial" w:hAnsi="Arial"/>
          <w:sz w:val="18"/>
          <w:szCs w:val="18"/>
          <w:color w:val="auto"/>
        </w:rPr>
      </w:pPr>
    </w:p>
    <w:p>
      <w:pPr>
        <w:ind w:left="1160" w:hanging="429"/>
        <w:spacing w:after="0" w:line="256"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this offering,</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4" w:right="5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320" w:firstLine="10"/>
        <w:spacing w:after="0" w:line="266" w:lineRule="auto"/>
        <w:tabs>
          <w:tab w:leader="none" w:pos="1421"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intercompany indebtedness or (iii) financing arrangements for aircraft and engines permitted to be acquired under the Stockholders Agreement;</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hiring or terminating any executive officer of our Company or designating any new executive officer of the Company;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effecting any material change in the nature of the business of the Company and its subsidiaries, taken as a whole; 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change in the size of our board of directors.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Prior to the consummation of this offering, we intend to enter into a registration rights agreement (the “Registration Rights Agreement”) with the Apollo Stockholder, Amazon, PAR Capital and certain of our existing holders of our common stock prior to this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following this offering, subject to the restrictions in the lock-up agreements entered into in connection with this offering, so long as the securities being registered in each registration statement or sold in any underwritten offering are reasonably expected to produce aggregate proceeds of at least $50.0 million.</w:t>
      </w:r>
    </w:p>
    <w:p>
      <w:pPr>
        <w:spacing w:after="0" w:line="18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If we become eligible to register the sale of our securities on Form S-3 under the Securities Act, which will not be until at least twelve calendar months after the date of this prospectus,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194"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9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us.</w:t>
      </w:r>
    </w:p>
    <w:p>
      <w:pPr>
        <w:spacing w:after="0" w:line="179"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19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8"/>
          <w:szCs w:val="18"/>
          <w:i w:val="1"/>
          <w:iCs w:val="1"/>
          <w:color w:val="auto"/>
        </w:rPr>
        <w:t>Risk Factors—Risks Related to this Offering and Ownership of our Common Stock—Future sales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in the public market, or the perception in the public market that such sales may occur, could reduce our stock price</w:t>
      </w:r>
      <w:r>
        <w:rPr>
          <w:rFonts w:ascii="Arial" w:cs="Arial" w:eastAsia="Arial" w:hAnsi="Arial"/>
          <w:sz w:val="18"/>
          <w:szCs w:val="18"/>
          <w:color w:val="auto"/>
        </w:rPr>
        <w:t>” and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Receivable Agreement</w:t>
      </w:r>
    </w:p>
    <w:p>
      <w:pPr>
        <w:spacing w:after="0" w:line="118"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In connection with this offering, we will enter into an income tax receivable agreement pursuant to which our pre-IPO stockholders will have the right to receive payment by us of 85% of the amount of cash savings, if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4"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this offering as a result of the utilization of our and our subsidiaries’ tax attributes existing at the time of this offering. These tax attributes, which we refer to as the “Pre-IPO Tax Attributes,” include net operating loss carryforwards, deductions, tax basis and certain other tax attributes, in each case that relate to periods (or portions thereof) ending on or prior to the closing date of this offering.</w:t>
      </w:r>
    </w:p>
    <w:p>
      <w:pPr>
        <w:spacing w:after="0" w:line="181"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Following this offering, we expect to be able to utilize the Pre-IPO Tax Attributes. We expect that the Pre-IPO Tax Attributes will reduce the amount of tax that we and our subsidiaries would otherwise be required to pay in the future.</w:t>
      </w:r>
    </w:p>
    <w:p>
      <w:pPr>
        <w:spacing w:after="0" w:line="179"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color w:val="auto"/>
        </w:rPr>
        <w:t>For purposes of the income tax receivable agreement, cash savings in income tax will be computed by reference to the reduction in the liability for income taxes resulting from the utilization of the tax benefits subject to the income tax receivable agreement. The term of the income tax receivable agreement will commence upon consummation of this offering and will continue until all relevant tax benefits have been utilized or expired.</w:t>
      </w:r>
    </w:p>
    <w:p>
      <w:pPr>
        <w:spacing w:after="0" w:line="154" w:lineRule="exact"/>
        <w:rPr>
          <w:sz w:val="20"/>
          <w:szCs w:val="20"/>
          <w:color w:val="auto"/>
        </w:rPr>
      </w:pPr>
    </w:p>
    <w:p>
      <w:pPr>
        <w:jc w:val="both"/>
        <w:ind w:left="200" w:right="180" w:firstLine="434"/>
        <w:spacing w:after="0" w:line="253" w:lineRule="auto"/>
        <w:rPr>
          <w:sz w:val="20"/>
          <w:szCs w:val="20"/>
          <w:color w:val="auto"/>
        </w:rPr>
      </w:pPr>
      <w:r>
        <w:rPr>
          <w:rFonts w:ascii="Arial" w:cs="Arial" w:eastAsia="Arial" w:hAnsi="Arial"/>
          <w:sz w:val="18"/>
          <w:szCs w:val="18"/>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91"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Any future changes in the realizability of our Pre-IPO Tax Attributes in each case, attributable to periods prior to this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$108.0 million to $119.0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169"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180" w:lineRule="exact"/>
        <w:rPr>
          <w:sz w:val="20"/>
          <w:szCs w:val="20"/>
          <w:color w:val="auto"/>
        </w:rPr>
      </w:pPr>
    </w:p>
    <w:p>
      <w:pPr>
        <w:jc w:val="both"/>
        <w:ind w:left="200" w:right="60" w:firstLine="434"/>
        <w:spacing w:after="0" w:line="290" w:lineRule="auto"/>
        <w:rPr>
          <w:sz w:val="20"/>
          <w:szCs w:val="20"/>
          <w:color w:val="auto"/>
        </w:rPr>
      </w:pPr>
      <w:r>
        <w:rPr>
          <w:rFonts w:ascii="Arial" w:cs="Arial" w:eastAsia="Arial" w:hAnsi="Arial"/>
          <w:sz w:val="16"/>
          <w:szCs w:val="16"/>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w:t>
      </w:r>
    </w:p>
    <w:p>
      <w:pPr>
        <w:spacing w:after="0" w:line="165" w:lineRule="exact"/>
        <w:rPr>
          <w:sz w:val="20"/>
          <w:szCs w:val="20"/>
          <w:color w:val="auto"/>
        </w:rPr>
      </w:pPr>
    </w:p>
    <w:p>
      <w:pPr>
        <w:ind w:left="200" w:right="220" w:firstLine="434"/>
        <w:spacing w:after="0" w:line="256" w:lineRule="auto"/>
        <w:rPr>
          <w:sz w:val="20"/>
          <w:szCs w:val="20"/>
          <w:color w:val="auto"/>
        </w:rPr>
      </w:pPr>
      <w:r>
        <w:rPr>
          <w:rFonts w:ascii="Arial" w:cs="Arial" w:eastAsia="Arial" w:hAnsi="Arial"/>
          <w:sz w:val="18"/>
          <w:szCs w:val="18"/>
          <w:color w:val="auto"/>
        </w:rPr>
        <w:t>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20"/>
          </w:cols>
          <w:pgMar w:left="320" w:top="454" w:right="5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distributions to us. Our existing and future debt agreement, as well as restrictions in government programs, may restrict the ability of our subsidiaries to make distributions to us, which could affect our ability to make payments under the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78"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162"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19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No payments under the income tax receivable agreement will be required until at least 12 months after the closing date of this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40"/>
          </w:cols>
          <w:pgMar w:left="320" w:top="454"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beneficial ownership of our common stock as of February 28, 2021, after giving effect to the Stock Split, by:</w:t>
      </w:r>
    </w:p>
    <w:p>
      <w:pPr>
        <w:spacing w:after="0" w:line="148" w:lineRule="exact"/>
        <w:rPr>
          <w:sz w:val="20"/>
          <w:szCs w:val="20"/>
          <w:color w:val="auto"/>
        </w:rPr>
      </w:pPr>
    </w:p>
    <w:p>
      <w:pPr>
        <w:ind w:left="1160" w:hanging="42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or group of affiliated persons, who we know to beneficially own more than 5% of our common stock;</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named executive officers for fiscal year 2020;</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18" w:lineRule="exact"/>
        <w:rPr>
          <w:sz w:val="20"/>
          <w:szCs w:val="20"/>
          <w:color w:val="auto"/>
        </w:rPr>
      </w:pPr>
    </w:p>
    <w:p>
      <w:pPr>
        <w:jc w:val="both"/>
        <w:ind w:left="200" w:right="200" w:firstLine="434"/>
        <w:spacing w:after="0" w:line="294"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Shares of Common</w:t>
            </w:r>
          </w:p>
        </w:tc>
        <w:tc>
          <w:tcPr>
            <w:tcW w:w="14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Shares of Common</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left="389"/>
              <w:spacing w:after="0" w:line="147"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820" w:type="dxa"/>
            <w:vAlign w:val="bottom"/>
            <w:gridSpan w:val="2"/>
          </w:tcPr>
          <w:p>
            <w:pPr>
              <w:jc w:val="center"/>
              <w:ind w:left="409"/>
              <w:spacing w:after="0" w:line="147"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After the</w:t>
            </w:r>
          </w:p>
        </w:tc>
        <w:tc>
          <w:tcPr>
            <w:tcW w:w="146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Shares of Common</w:t>
            </w:r>
          </w:p>
        </w:tc>
        <w:tc>
          <w:tcPr>
            <w:tcW w:w="154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Offering</w:t>
            </w:r>
          </w:p>
        </w:tc>
        <w:tc>
          <w:tcPr>
            <w:tcW w:w="1460" w:type="dxa"/>
            <w:vAlign w:val="bottom"/>
            <w:gridSpan w:val="5"/>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After the</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54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Assuming</w:t>
            </w:r>
          </w:p>
        </w:tc>
        <w:tc>
          <w:tcPr>
            <w:tcW w:w="146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Underwriters’</w:t>
            </w:r>
          </w:p>
        </w:tc>
        <w:tc>
          <w:tcPr>
            <w:tcW w:w="146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440" w:type="dxa"/>
            <w:vAlign w:val="bottom"/>
            <w:gridSpan w:val="5"/>
          </w:tcPr>
          <w:p>
            <w:pPr>
              <w:ind w:left="40"/>
              <w:spacing w:after="0" w:line="147" w:lineRule="exact"/>
              <w:rPr>
                <w:sz w:val="20"/>
                <w:szCs w:val="20"/>
                <w:color w:val="auto"/>
              </w:rPr>
            </w:pPr>
            <w:r>
              <w:rPr>
                <w:rFonts w:ascii="Arial" w:cs="Arial" w:eastAsia="Arial" w:hAnsi="Arial"/>
                <w:sz w:val="14"/>
                <w:szCs w:val="14"/>
                <w:b w:val="1"/>
                <w:bCs w:val="1"/>
                <w:color w:val="auto"/>
              </w:rPr>
              <w:t>Beneficially Owned</w:t>
            </w:r>
          </w:p>
        </w:tc>
        <w:tc>
          <w:tcPr>
            <w:tcW w:w="154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Option is Not</w:t>
            </w:r>
          </w:p>
        </w:tc>
        <w:tc>
          <w:tcPr>
            <w:tcW w:w="146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Underwriters’</w:t>
            </w: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Before the Offering</w:t>
            </w: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Exercised</w:t>
            </w: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Option is Exercised</w:t>
            </w:r>
          </w:p>
        </w:tc>
        <w:tc>
          <w:tcPr>
            <w:tcW w:w="0" w:type="dxa"/>
            <w:vAlign w:val="bottom"/>
          </w:tcPr>
          <w:p>
            <w:pPr>
              <w:spacing w:after="0"/>
              <w:rPr>
                <w:sz w:val="1"/>
                <w:szCs w:val="1"/>
                <w:color w:val="auto"/>
              </w:rPr>
            </w:pPr>
          </w:p>
        </w:tc>
      </w:tr>
      <w:tr>
        <w:trPr>
          <w:trHeight w:val="140"/>
        </w:trPr>
        <w:tc>
          <w:tcPr>
            <w:tcW w:w="642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2"/>
                <w:szCs w:val="12"/>
                <w:color w:val="auto"/>
              </w:rPr>
            </w:pPr>
          </w:p>
        </w:tc>
        <w:tc>
          <w:tcPr>
            <w:tcW w:w="82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2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5% Stockholders</w:t>
            </w: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SCA Horus Holdings, LLC</w:t>
            </w:r>
            <w:r>
              <w:rPr>
                <w:rFonts w:ascii="Arial" w:cs="Arial" w:eastAsia="Arial" w:hAnsi="Arial"/>
                <w:sz w:val="12"/>
                <w:szCs w:val="12"/>
                <w:color w:val="auto"/>
              </w:rPr>
              <w:t>(1)</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w w:val="91"/>
              </w:rPr>
              <w:t>45,332,640</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97.1%</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w w:val="91"/>
              </w:rPr>
              <w:t>40,497,056</w:t>
            </w:r>
          </w:p>
        </w:tc>
        <w:tc>
          <w:tcPr>
            <w:tcW w:w="140" w:type="dxa"/>
            <w:vAlign w:val="bottom"/>
          </w:tcPr>
          <w:p>
            <w:pPr>
              <w:spacing w:after="0"/>
              <w:rPr>
                <w:sz w:val="12"/>
                <w:szCs w:val="12"/>
                <w:color w:val="auto"/>
              </w:rPr>
            </w:pPr>
          </w:p>
        </w:tc>
        <w:tc>
          <w:tcPr>
            <w:tcW w:w="74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72.6%</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w w:val="94"/>
              </w:rPr>
              <w:t>40,497,056</w:t>
            </w:r>
          </w:p>
        </w:tc>
        <w:tc>
          <w:tcPr>
            <w:tcW w:w="140" w:type="dxa"/>
            <w:vAlign w:val="bottom"/>
          </w:tcPr>
          <w:p>
            <w:pPr>
              <w:spacing w:after="0"/>
              <w:rPr>
                <w:sz w:val="12"/>
                <w:szCs w:val="12"/>
                <w:color w:val="auto"/>
              </w:rPr>
            </w:pPr>
          </w:p>
        </w:tc>
        <w:tc>
          <w:tcPr>
            <w:tcW w:w="64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Named Executive Officers and Directors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Jude Bricker</w:t>
            </w:r>
            <w:r>
              <w:rPr>
                <w:rFonts w:ascii="Arial" w:cs="Arial" w:eastAsia="Arial" w:hAnsi="Arial"/>
                <w:sz w:val="12"/>
                <w:szCs w:val="12"/>
                <w:color w:val="auto"/>
              </w:rPr>
              <w:t>(2)</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1,592,710</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1,592,710</w:t>
            </w:r>
          </w:p>
        </w:tc>
        <w:tc>
          <w:tcPr>
            <w:tcW w:w="140" w:type="dxa"/>
            <w:vAlign w:val="bottom"/>
          </w:tcPr>
          <w:p>
            <w:pPr>
              <w:spacing w:after="0"/>
              <w:rPr>
                <w:sz w:val="12"/>
                <w:szCs w:val="12"/>
                <w:color w:val="auto"/>
              </w:rPr>
            </w:pPr>
          </w:p>
        </w:tc>
        <w:tc>
          <w:tcPr>
            <w:tcW w:w="74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1,592,710</w:t>
            </w:r>
          </w:p>
        </w:tc>
        <w:tc>
          <w:tcPr>
            <w:tcW w:w="140" w:type="dxa"/>
            <w:vAlign w:val="bottom"/>
          </w:tcPr>
          <w:p>
            <w:pPr>
              <w:spacing w:after="0"/>
              <w:rPr>
                <w:sz w:val="12"/>
                <w:szCs w:val="12"/>
                <w:color w:val="auto"/>
              </w:rPr>
            </w:pPr>
          </w:p>
        </w:tc>
        <w:tc>
          <w:tcPr>
            <w:tcW w:w="64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Dave Davis</w:t>
            </w:r>
            <w:r>
              <w:rPr>
                <w:rFonts w:ascii="Arial" w:cs="Arial" w:eastAsia="Arial" w:hAnsi="Arial"/>
                <w:sz w:val="12"/>
                <w:szCs w:val="12"/>
                <w:color w:val="auto"/>
              </w:rPr>
              <w:t>(3)</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199,121</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199,121</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199,121</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Gregory Mays</w:t>
            </w:r>
            <w:r>
              <w:rPr>
                <w:rFonts w:ascii="Arial" w:cs="Arial" w:eastAsia="Arial" w:hAnsi="Arial"/>
                <w:sz w:val="12"/>
                <w:szCs w:val="12"/>
                <w:color w:val="auto"/>
              </w:rPr>
              <w:t>(4)</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53,974</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53,974</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53,974</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Patrick Kearney</w:t>
            </w:r>
            <w:r>
              <w:rPr>
                <w:rFonts w:ascii="Arial" w:cs="Arial" w:eastAsia="Arial" w:hAnsi="Arial"/>
                <w:sz w:val="12"/>
                <w:szCs w:val="12"/>
                <w:color w:val="auto"/>
              </w:rPr>
              <w:t>(1)(5)</w:t>
            </w:r>
          </w:p>
        </w:tc>
        <w:tc>
          <w:tcPr>
            <w:tcW w:w="800" w:type="dxa"/>
            <w:vAlign w:val="bottom"/>
            <w:gridSpan w:val="2"/>
            <w:shd w:val="clear" w:color="auto" w:fill="CCEEFF"/>
          </w:tcPr>
          <w:p>
            <w:pPr>
              <w:ind w:left="460"/>
              <w:spacing w:after="0" w:line="14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Antoine Munfakh</w:t>
            </w:r>
            <w:r>
              <w:rPr>
                <w:rFonts w:ascii="Arial" w:cs="Arial" w:eastAsia="Arial" w:hAnsi="Arial"/>
                <w:sz w:val="12"/>
                <w:szCs w:val="12"/>
                <w:color w:val="auto"/>
              </w:rPr>
              <w:t>(1)(5)</w:t>
            </w:r>
          </w:p>
        </w:tc>
        <w:tc>
          <w:tcPr>
            <w:tcW w:w="800" w:type="dxa"/>
            <w:vAlign w:val="bottom"/>
            <w:gridSpan w:val="2"/>
          </w:tcPr>
          <w:p>
            <w:pPr>
              <w:ind w:left="46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Kerry Philipovitch</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2,889</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2,889</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2,889</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David Siegel</w:t>
            </w:r>
            <w:r>
              <w:rPr>
                <w:rFonts w:ascii="Arial" w:cs="Arial" w:eastAsia="Arial" w:hAnsi="Arial"/>
                <w:sz w:val="12"/>
                <w:szCs w:val="12"/>
                <w:color w:val="auto"/>
              </w:rPr>
              <w:t>(6)</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321,708</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321,708</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321,708</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Juan Carlos Zuazua</w:t>
            </w:r>
            <w:r>
              <w:rPr>
                <w:rFonts w:ascii="Arial" w:cs="Arial" w:eastAsia="Arial" w:hAnsi="Arial"/>
                <w:sz w:val="12"/>
                <w:szCs w:val="12"/>
                <w:color w:val="auto"/>
              </w:rPr>
              <w:t>(7)</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9,444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20" w:type="dxa"/>
            <w:vAlign w:val="bottom"/>
          </w:tcPr>
          <w:p>
            <w:pPr>
              <w:ind w:left="140"/>
              <w:spacing w:after="0" w:line="128" w:lineRule="exact"/>
              <w:rPr>
                <w:sz w:val="20"/>
                <w:szCs w:val="20"/>
                <w:color w:val="auto"/>
              </w:rPr>
            </w:pPr>
            <w:r>
              <w:rPr>
                <w:rFonts w:ascii="Arial" w:cs="Arial" w:eastAsia="Arial" w:hAnsi="Arial"/>
                <w:sz w:val="14"/>
                <w:szCs w:val="14"/>
                <w:color w:val="auto"/>
              </w:rPr>
              <w:t>All current directors and executive officers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as a group (14 persons)</w:t>
            </w:r>
            <w:r>
              <w:rPr>
                <w:rFonts w:ascii="Arial" w:cs="Arial" w:eastAsia="Arial" w:hAnsi="Arial"/>
                <w:sz w:val="12"/>
                <w:szCs w:val="12"/>
                <w:color w:val="auto"/>
              </w:rPr>
              <w:t>(8)</w:t>
            </w:r>
          </w:p>
        </w:tc>
        <w:tc>
          <w:tcPr>
            <w:tcW w:w="680" w:type="dxa"/>
            <w:vAlign w:val="bottom"/>
          </w:tcPr>
          <w:p>
            <w:pPr>
              <w:jc w:val="right"/>
              <w:spacing w:after="0"/>
              <w:rPr>
                <w:sz w:val="20"/>
                <w:szCs w:val="20"/>
                <w:color w:val="auto"/>
              </w:rPr>
            </w:pPr>
            <w:r>
              <w:rPr>
                <w:rFonts w:ascii="Arial" w:cs="Arial" w:eastAsia="Arial" w:hAnsi="Arial"/>
                <w:sz w:val="14"/>
                <w:szCs w:val="14"/>
                <w:color w:val="auto"/>
              </w:rPr>
              <w:t>2,507,990</w:t>
            </w:r>
          </w:p>
        </w:tc>
        <w:tc>
          <w:tcPr>
            <w:tcW w:w="1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2,507,990</w:t>
            </w:r>
          </w:p>
        </w:tc>
        <w:tc>
          <w:tcPr>
            <w:tcW w:w="14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4.4%</w:t>
            </w:r>
          </w:p>
        </w:tc>
        <w:tc>
          <w:tcPr>
            <w:tcW w:w="680" w:type="dxa"/>
            <w:vAlign w:val="bottom"/>
          </w:tcPr>
          <w:p>
            <w:pPr>
              <w:jc w:val="right"/>
              <w:spacing w:after="0"/>
              <w:rPr>
                <w:sz w:val="20"/>
                <w:szCs w:val="20"/>
                <w:color w:val="auto"/>
              </w:rPr>
            </w:pPr>
            <w:r>
              <w:rPr>
                <w:rFonts w:ascii="Arial" w:cs="Arial" w:eastAsia="Arial" w:hAnsi="Arial"/>
                <w:sz w:val="14"/>
                <w:szCs w:val="14"/>
                <w:color w:val="auto"/>
              </w:rPr>
              <w:t>2,507,990</w:t>
            </w:r>
          </w:p>
        </w:tc>
        <w:tc>
          <w:tcPr>
            <w:tcW w:w="140" w:type="dxa"/>
            <w:vAlign w:val="bottom"/>
          </w:tcPr>
          <w:p>
            <w:pPr>
              <w:spacing w:after="0"/>
              <w:rPr>
                <w:sz w:val="15"/>
                <w:szCs w:val="15"/>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74930</wp:posOffset>
            </wp:positionV>
            <wp:extent cx="7512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29" w:lineRule="exact"/>
        <w:rPr>
          <w:sz w:val="20"/>
          <w:szCs w:val="20"/>
          <w:color w:val="auto"/>
        </w:rPr>
      </w:pPr>
    </w:p>
    <w:p>
      <w:pPr>
        <w:ind w:left="620" w:hanging="421"/>
        <w:spacing w:after="0"/>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 than 1%.</w:t>
      </w:r>
    </w:p>
    <w:p>
      <w:pPr>
        <w:ind w:left="620" w:right="140" w:hanging="421"/>
        <w:spacing w:after="0" w:line="254" w:lineRule="auto"/>
        <w:tabs>
          <w:tab w:leader="none" w:pos="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Shares of common stock in the columns entitled “Shares of Common Stock Beneficially Owned After the Offering Assuming Underwriters’ Option is Not Exercised” and “Shares of Common Stock Beneficially Owned After the Offering Assuming Underwriters’ Option is Exercised” reflect the sale by SCA Horus Holdings, LLC (the “Apollo Stockholder”) of an aggregate of 4,835,584 shares to PAR Capital and the Blackrock Entities in the Private Placements. 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1" w:lineRule="exact"/>
        <w:rPr>
          <w:rFonts w:ascii="Arial" w:cs="Arial" w:eastAsia="Arial" w:hAnsi="Arial"/>
          <w:sz w:val="12"/>
          <w:szCs w:val="12"/>
          <w:color w:val="auto"/>
        </w:rPr>
      </w:pPr>
    </w:p>
    <w:p>
      <w:pPr>
        <w:ind w:left="620" w:hanging="421"/>
        <w:spacing w:after="0" w:line="218" w:lineRule="auto"/>
        <w:tabs>
          <w:tab w:leader="none" w:pos="6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465,478 shares of common stock issuable upon the exercise of options within 60 days.</w:t>
      </w:r>
    </w:p>
    <w:p>
      <w:pPr>
        <w:ind w:left="620" w:hanging="421"/>
        <w:spacing w:after="0" w:line="218" w:lineRule="auto"/>
        <w:tabs>
          <w:tab w:leader="none" w:pos="6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199,121 shares of common stock issuable upon the exercise of options within 60 days.</w:t>
      </w:r>
    </w:p>
    <w:p>
      <w:pPr>
        <w:ind w:left="620" w:hanging="421"/>
        <w:spacing w:after="0" w:line="218" w:lineRule="auto"/>
        <w:tabs>
          <w:tab w:leader="none" w:pos="6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51,719 shares of common stock issuable upon the exercise of options within 60 days.</w:t>
      </w:r>
    </w:p>
    <w:p>
      <w:pPr>
        <w:ind w:left="620" w:hanging="421"/>
        <w:spacing w:after="0" w:line="234" w:lineRule="auto"/>
        <w:tabs>
          <w:tab w:leader="none" w:pos="6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Each of Patrick Kearney and Antoine Munfakh is affiliated with Apollo Management, L.P. and its affiliated investment managers and advisors. Each of Messrs. Kearney and</w:t>
      </w:r>
    </w:p>
    <w:p>
      <w:pPr>
        <w:ind w:left="620" w:right="140"/>
        <w:spacing w:after="0" w:line="234" w:lineRule="auto"/>
        <w:rPr>
          <w:rFonts w:ascii="Arial" w:cs="Arial" w:eastAsia="Arial" w:hAnsi="Arial"/>
          <w:sz w:val="13"/>
          <w:szCs w:val="13"/>
          <w:color w:val="auto"/>
        </w:rPr>
      </w:pPr>
      <w:r>
        <w:rPr>
          <w:rFonts w:ascii="Arial" w:cs="Arial" w:eastAsia="Arial" w:hAnsi="Arial"/>
          <w:sz w:val="14"/>
          <w:szCs w:val="14"/>
          <w:color w:val="auto"/>
        </w:rPr>
        <w:t>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4" w:right="5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620" w:hanging="421"/>
        <w:spacing w:after="0"/>
        <w:tabs>
          <w:tab w:leader="none" w:pos="6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Number of shares of common stock beneficially owned includes 116,367 shares of common stock issuable upon the exercise of options within 60 days.</w:t>
      </w:r>
    </w:p>
    <w:p>
      <w:pPr>
        <w:spacing w:after="0" w:line="8" w:lineRule="exact"/>
        <w:rPr>
          <w:rFonts w:ascii="Arial" w:cs="Arial" w:eastAsia="Arial" w:hAnsi="Arial"/>
          <w:sz w:val="13"/>
          <w:szCs w:val="13"/>
          <w:color w:val="auto"/>
        </w:rPr>
      </w:pPr>
    </w:p>
    <w:p>
      <w:pPr>
        <w:ind w:left="620" w:hanging="421"/>
        <w:spacing w:after="0" w:line="234" w:lineRule="auto"/>
        <w:tabs>
          <w:tab w:leader="none" w:pos="6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Number of shares of common stock beneficially owned includes 9,444 shares of common stock issuable upon the exercise of options within 60 days.</w:t>
      </w:r>
    </w:p>
    <w:p>
      <w:pPr>
        <w:ind w:left="620" w:hanging="421"/>
        <w:spacing w:after="0"/>
        <w:tabs>
          <w:tab w:leader="none" w:pos="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Number of shares of common stock beneficially owned includes 1,162,763 shares of common stock issuable upon the exercise of options within 60 days.</w:t>
      </w:r>
    </w:p>
    <w:p>
      <w:pPr>
        <w:spacing w:after="0" w:line="14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139"/>
          </w:cols>
          <w:pgMar w:left="320" w:top="454" w:right="1440"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4" w:lineRule="exact"/>
        <w:rPr>
          <w:sz w:val="20"/>
          <w:szCs w:val="20"/>
          <w:color w:val="auto"/>
        </w:rPr>
      </w:pPr>
    </w:p>
    <w:p>
      <w:pPr>
        <w:ind w:left="200" w:right="140" w:firstLine="434"/>
        <w:spacing w:after="0" w:line="303" w:lineRule="auto"/>
        <w:rPr>
          <w:sz w:val="20"/>
          <w:szCs w:val="20"/>
          <w:color w:val="auto"/>
        </w:rPr>
      </w:pPr>
      <w:r>
        <w:rPr>
          <w:rFonts w:ascii="Arial" w:cs="Arial" w:eastAsia="Arial" w:hAnsi="Arial"/>
          <w:sz w:val="16"/>
          <w:szCs w:val="16"/>
          <w:i w:val="1"/>
          <w:iCs w:val="1"/>
          <w:color w:val="auto"/>
        </w:rPr>
        <w:t>The following is a description of the material terms of our amended and restated certificate of incorporation and amended and restated bylaws, each of which will become effective prior to the consummation of this offering, and of specific provisions of Delaware law. The following description is intended as a summary only and is qualified in its entirety by reference to our certificate of incorporation, our bylaws and the DGCL.</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Upon the closing of this offering and the filing of our amended and restated certificate of incorporation that will become effective prior to the closing of this offering, our capital stock will consist of 1,000,000,000 authorized shares, of which 995,000,000 shares, par value $0.01 per share, will be designated as “common stock” and 5,000,000 shares, par value $0.01 per share, will be designated as “preferred stock.” As of February 28, 2021, there were 46,698,922 shares of common stock outstanding and no shares of preferred stock outstanding.</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200" w:right="720" w:firstLine="434"/>
        <w:spacing w:after="0" w:line="266"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79"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all shares of our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in any dividends our board of directors may declare from legally available sources.</w:t>
      </w:r>
    </w:p>
    <w:p>
      <w:pPr>
        <w:spacing w:after="0" w:line="179"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 outstanding preferred stock, all shares of our common stock are entitled to share equally in the assets available for distribution to stockholders after payment of all of our prior obligations.</w:t>
      </w:r>
    </w:p>
    <w:p>
      <w:pPr>
        <w:spacing w:after="0" w:line="189" w:lineRule="exact"/>
        <w:rPr>
          <w:sz w:val="20"/>
          <w:szCs w:val="20"/>
          <w:color w:val="auto"/>
        </w:rPr>
      </w:pPr>
    </w:p>
    <w:p>
      <w:pPr>
        <w:ind w:left="200" w:right="40" w:firstLine="434"/>
        <w:spacing w:after="0" w:line="303" w:lineRule="auto"/>
        <w:rPr>
          <w:sz w:val="20"/>
          <w:szCs w:val="20"/>
          <w:color w:val="auto"/>
        </w:rPr>
      </w:pPr>
      <w:r>
        <w:rPr>
          <w:rFonts w:ascii="Arial" w:cs="Arial" w:eastAsia="Arial" w:hAnsi="Arial"/>
          <w:sz w:val="16"/>
          <w:szCs w:val="16"/>
          <w:i w:val="1"/>
          <w:iCs w:val="1"/>
          <w:color w:val="auto"/>
        </w:rPr>
        <w:t>Other Matters</w:t>
      </w:r>
      <w:r>
        <w:rPr>
          <w:rFonts w:ascii="Arial" w:cs="Arial" w:eastAsia="Arial" w:hAnsi="Arial"/>
          <w:sz w:val="16"/>
          <w:szCs w:val="16"/>
          <w:color w:val="auto"/>
        </w:rPr>
        <w:t>. Holders of our common stock have no preemptive or conversion rights, and our common stock is not subject to further calls or</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February 28, 2021, approximately 10.7% of the 2019 Warrants were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40"/>
          </w:cols>
          <w:pgMar w:left="320" w:top="454" w:right="5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00"/>
        <w:spacing w:after="0" w:line="294" w:lineRule="auto"/>
        <w:rPr>
          <w:sz w:val="20"/>
          <w:szCs w:val="20"/>
          <w:color w:val="auto"/>
        </w:rPr>
      </w:pPr>
      <w:r>
        <w:rPr>
          <w:rFonts w:ascii="Arial" w:cs="Arial" w:eastAsia="Arial" w:hAnsi="Arial"/>
          <w:sz w:val="16"/>
          <w:szCs w:val="16"/>
          <w:color w:val="auto"/>
        </w:rPr>
        <w:t>vested. Any unvested 2019 Warrants will become vested upon a change of control (as defined in the 2019 Warrant) or certain transfers of 30% or more of the voting power in the Company to a new person or group (other than this offering or any follow-on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162"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Board of Directors; Election and Removal</w:t>
      </w:r>
    </w:p>
    <w:p>
      <w:pPr>
        <w:spacing w:after="0" w:line="118" w:lineRule="exact"/>
        <w:rPr>
          <w:sz w:val="20"/>
          <w:szCs w:val="20"/>
          <w:color w:val="auto"/>
        </w:rPr>
      </w:pPr>
    </w:p>
    <w:p>
      <w:pPr>
        <w:ind w:left="200" w:right="60" w:firstLine="434"/>
        <w:spacing w:after="0" w:line="290" w:lineRule="auto"/>
        <w:rPr>
          <w:sz w:val="20"/>
          <w:szCs w:val="20"/>
          <w:color w:val="auto"/>
        </w:rPr>
      </w:pPr>
      <w:r>
        <w:rPr>
          <w:rFonts w:ascii="Arial" w:cs="Arial" w:eastAsia="Arial" w:hAnsi="Arial"/>
          <w:sz w:val="16"/>
          <w:szCs w:val="16"/>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will provide for a board of directors divided into three classes (each as nearly as equal as possible and with directors in each class serving staggered three-year terms), initially consisting of two directors in Class I, two directors in Class II and three directors in Class III. See “</w:t>
      </w:r>
      <w:r>
        <w:rPr>
          <w:rFonts w:ascii="Arial" w:cs="Arial" w:eastAsia="Arial" w:hAnsi="Arial"/>
          <w:sz w:val="16"/>
          <w:szCs w:val="16"/>
          <w:i w:val="1"/>
          <w:iCs w:val="1"/>
          <w:color w:val="auto"/>
        </w:rPr>
        <w:t>Description of Capital Stock—Certain Corporate Anti-takeover Provisions—Classified Board of Directors</w:t>
      </w:r>
      <w:r>
        <w:rPr>
          <w:rFonts w:ascii="Arial" w:cs="Arial" w:eastAsia="Arial" w:hAnsi="Arial"/>
          <w:sz w:val="16"/>
          <w:szCs w:val="16"/>
          <w:color w:val="auto"/>
        </w:rPr>
        <w:t>.”</w:t>
      </w:r>
    </w:p>
    <w:p>
      <w:pPr>
        <w:spacing w:after="0" w:line="165"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Transactions—Stockholders Agreement</w:t>
      </w:r>
      <w:r>
        <w:rPr>
          <w:rFonts w:ascii="Arial" w:cs="Arial" w:eastAsia="Arial" w:hAnsi="Arial"/>
          <w:sz w:val="17"/>
          <w:szCs w:val="17"/>
          <w:color w:val="auto"/>
        </w:rPr>
        <w:t>.”</w:t>
      </w:r>
    </w:p>
    <w:p>
      <w:pPr>
        <w:spacing w:after="0" w:line="180"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91"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Party Transactions—Stockholders Agreement</w:t>
      </w:r>
      <w:r>
        <w:rPr>
          <w:rFonts w:ascii="Arial" w:cs="Arial" w:eastAsia="Arial" w:hAnsi="Arial"/>
          <w:sz w:val="17"/>
          <w:szCs w:val="17"/>
          <w:color w:val="auto"/>
        </w:rPr>
        <w:t>.”</w:t>
      </w:r>
    </w:p>
    <w:p>
      <w:pPr>
        <w:spacing w:after="0" w:line="180"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At any meeting of our board of directors, except as otherwise required by law, a majority of the total number of directors then in office will constitute a quorum for all purposes, except that if Apollo and its affiliates,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320" w:top="454" w:right="5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40"/>
        <w:spacing w:after="0" w:line="256" w:lineRule="auto"/>
        <w:rPr>
          <w:sz w:val="20"/>
          <w:szCs w:val="20"/>
          <w:color w:val="auto"/>
        </w:rPr>
      </w:pPr>
      <w:r>
        <w:rPr>
          <w:rFonts w:ascii="Arial" w:cs="Arial" w:eastAsia="Arial" w:hAnsi="Arial"/>
          <w:sz w:val="18"/>
          <w:szCs w:val="18"/>
          <w:color w:val="auto"/>
        </w:rPr>
        <w:t>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118" w:lineRule="exact"/>
        <w:rPr>
          <w:sz w:val="20"/>
          <w:szCs w:val="20"/>
          <w:color w:val="auto"/>
        </w:rPr>
      </w:pPr>
    </w:p>
    <w:p>
      <w:pPr>
        <w:ind w:left="200" w:right="180" w:firstLine="434"/>
        <w:spacing w:after="0" w:line="278" w:lineRule="auto"/>
        <w:rPr>
          <w:sz w:val="20"/>
          <w:szCs w:val="20"/>
          <w:color w:val="auto"/>
        </w:rPr>
      </w:pPr>
      <w:r>
        <w:rPr>
          <w:rFonts w:ascii="Arial" w:cs="Arial" w:eastAsia="Arial" w:hAnsi="Arial"/>
          <w:sz w:val="17"/>
          <w:szCs w:val="17"/>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Preferred Stock</w:t>
      </w:r>
    </w:p>
    <w:p>
      <w:pPr>
        <w:spacing w:after="0" w:line="112"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Classified Board of Directors</w:t>
      </w:r>
    </w:p>
    <w:p>
      <w:pPr>
        <w:spacing w:after="0" w:line="112"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7"/>
          <w:szCs w:val="17"/>
          <w:i w:val="1"/>
          <w:iCs w:val="1"/>
          <w:color w:val="auto"/>
        </w:rPr>
        <w:t>Composition of Board of Directors; Election and Removal</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Removal of Directors; Vacancies</w:t>
      </w:r>
    </w:p>
    <w:p>
      <w:pPr>
        <w:spacing w:after="0" w:line="112"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6"/>
          <w:szCs w:val="16"/>
          <w:i w:val="1"/>
          <w:iCs w:val="1"/>
          <w:color w:val="auto"/>
        </w:rPr>
        <w:t>Composition of Board of Directors; Election and Removal</w:t>
      </w:r>
      <w:r>
        <w:rPr>
          <w:rFonts w:ascii="Arial" w:cs="Arial" w:eastAsia="Arial" w:hAnsi="Arial"/>
          <w:sz w:val="16"/>
          <w:szCs w:val="16"/>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Cumulative Voting</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4"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Meetings of Stockholders</w:t>
      </w:r>
    </w:p>
    <w:p>
      <w:pPr>
        <w:spacing w:after="0" w:line="112" w:lineRule="exact"/>
        <w:rPr>
          <w:sz w:val="20"/>
          <w:szCs w:val="20"/>
          <w:color w:val="auto"/>
        </w:rPr>
      </w:pPr>
    </w:p>
    <w:p>
      <w:pPr>
        <w:ind w:left="200" w:right="140" w:firstLine="434"/>
        <w:spacing w:after="0" w:line="287"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1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88"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4" w:right="5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Delaware Takeover Statute</w:t>
      </w:r>
    </w:p>
    <w:p>
      <w:pPr>
        <w:spacing w:after="0" w:line="112"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However, our certificate of incorporation will include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98" w:lineRule="exact"/>
        <w:rPr>
          <w:sz w:val="20"/>
          <w:szCs w:val="20"/>
          <w:color w:val="auto"/>
        </w:rPr>
      </w:pPr>
    </w:p>
    <w:p>
      <w:pPr>
        <w:ind w:left="1160" w:right="20" w:hanging="429"/>
        <w:spacing w:after="0" w:line="303" w:lineRule="auto"/>
        <w:tabs>
          <w:tab w:leader="none" w:pos="11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61" w:lineRule="exact"/>
        <w:rPr>
          <w:rFonts w:ascii="Arial" w:cs="Arial" w:eastAsia="Arial" w:hAnsi="Arial"/>
          <w:sz w:val="16"/>
          <w:szCs w:val="16"/>
          <w:color w:val="auto"/>
        </w:rPr>
      </w:pPr>
    </w:p>
    <w:p>
      <w:pPr>
        <w:ind w:left="1160" w:hanging="429"/>
        <w:spacing w:after="0" w:line="281" w:lineRule="auto"/>
        <w:tabs>
          <w:tab w:leader="none" w:pos="11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Additionally, we would be able to enter into a business combination with an interested stockholder if:</w:t>
      </w:r>
    </w:p>
    <w:p>
      <w:pPr>
        <w:spacing w:after="0" w:line="125" w:lineRule="exact"/>
        <w:rPr>
          <w:sz w:val="20"/>
          <w:szCs w:val="20"/>
          <w:color w:val="auto"/>
        </w:rPr>
      </w:pPr>
    </w:p>
    <w:p>
      <w:pPr>
        <w:ind w:left="1160" w:right="280" w:hanging="429"/>
        <w:spacing w:after="0" w:line="266"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86" w:lineRule="exact"/>
        <w:rPr>
          <w:rFonts w:ascii="Arial" w:cs="Arial" w:eastAsia="Arial" w:hAnsi="Arial"/>
          <w:sz w:val="18"/>
          <w:szCs w:val="18"/>
          <w:color w:val="auto"/>
        </w:rPr>
      </w:pPr>
    </w:p>
    <w:p>
      <w:pPr>
        <w:ind w:left="1160" w:right="20" w:hanging="429"/>
        <w:spacing w:after="0" w:line="269" w:lineRule="auto"/>
        <w:tabs>
          <w:tab w:leader="none" w:pos="11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7" w:lineRule="exact"/>
        <w:rPr>
          <w:rFonts w:ascii="Arial" w:cs="Arial" w:eastAsia="Arial" w:hAnsi="Arial"/>
          <w:sz w:val="17"/>
          <w:szCs w:val="17"/>
          <w:color w:val="auto"/>
        </w:rPr>
      </w:pPr>
    </w:p>
    <w:p>
      <w:pPr>
        <w:ind w:left="1160" w:right="160" w:hanging="429"/>
        <w:spacing w:after="0" w:line="256"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4"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94"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of Our Certificate of Incorporation</w:t>
      </w:r>
    </w:p>
    <w:p>
      <w:pPr>
        <w:spacing w:after="0" w:line="112"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179"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01" w:lineRule="exact"/>
        <w:rPr>
          <w:sz w:val="20"/>
          <w:szCs w:val="20"/>
          <w:color w:val="auto"/>
        </w:rPr>
      </w:pPr>
    </w:p>
    <w:p>
      <w:pPr>
        <w:ind w:left="1160" w:right="80" w:hanging="429"/>
        <w:spacing w:after="0" w:line="296" w:lineRule="auto"/>
        <w:tabs>
          <w:tab w:leader="none" w:pos="11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2" w:lineRule="exact"/>
        <w:rPr>
          <w:rFonts w:ascii="Arial" w:cs="Arial" w:eastAsia="Arial" w:hAnsi="Arial"/>
          <w:sz w:val="17"/>
          <w:szCs w:val="17"/>
          <w:color w:val="auto"/>
        </w:rPr>
      </w:pPr>
    </w:p>
    <w:p>
      <w:pPr>
        <w:jc w:val="both"/>
        <w:ind w:left="1160" w:right="360" w:hanging="429"/>
        <w:spacing w:after="0" w:line="303" w:lineRule="auto"/>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61" w:lineRule="exact"/>
        <w:rPr>
          <w:rFonts w:ascii="Arial" w:cs="Arial" w:eastAsia="Arial" w:hAnsi="Arial"/>
          <w:sz w:val="16"/>
          <w:szCs w:val="16"/>
          <w:color w:val="auto"/>
        </w:rPr>
      </w:pPr>
    </w:p>
    <w:p>
      <w:pPr>
        <w:ind w:left="1160" w:hanging="42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25" w:lineRule="exact"/>
        <w:rPr>
          <w:rFonts w:ascii="Arial" w:cs="Arial" w:eastAsia="Arial" w:hAnsi="Arial"/>
          <w:sz w:val="18"/>
          <w:szCs w:val="18"/>
          <w:color w:val="auto"/>
        </w:rPr>
      </w:pPr>
    </w:p>
    <w:p>
      <w:pPr>
        <w:ind w:left="1160" w:right="240" w:hanging="429"/>
        <w:spacing w:after="0" w:line="256"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95" w:lineRule="exact"/>
        <w:rPr>
          <w:rFonts w:ascii="Arial" w:cs="Arial" w:eastAsia="Arial" w:hAnsi="Arial"/>
          <w:sz w:val="18"/>
          <w:szCs w:val="18"/>
          <w:color w:val="auto"/>
        </w:rPr>
      </w:pPr>
    </w:p>
    <w:p>
      <w:pPr>
        <w:ind w:left="1160" w:hanging="42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25" w:lineRule="exact"/>
        <w:rPr>
          <w:rFonts w:ascii="Arial" w:cs="Arial" w:eastAsia="Arial" w:hAnsi="Arial"/>
          <w:sz w:val="18"/>
          <w:szCs w:val="18"/>
          <w:color w:val="auto"/>
        </w:rPr>
      </w:pPr>
    </w:p>
    <w:p>
      <w:pPr>
        <w:ind w:left="1160" w:hanging="429"/>
        <w:spacing w:after="0" w:line="278" w:lineRule="auto"/>
        <w:tabs>
          <w:tab w:leader="none" w:pos="11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78" w:lineRule="exact"/>
        <w:rPr>
          <w:rFonts w:ascii="Arial" w:cs="Arial" w:eastAsia="Arial" w:hAnsi="Arial"/>
          <w:sz w:val="17"/>
          <w:szCs w:val="17"/>
          <w:color w:val="auto"/>
        </w:rPr>
      </w:pPr>
    </w:p>
    <w:p>
      <w:pPr>
        <w:ind w:left="1160" w:hanging="429"/>
        <w:spacing w:after="0" w:line="256"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20"/>
          </w:cols>
          <w:pgMar w:left="320" w:top="454" w:right="5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of Our Bylaws</w:t>
      </w:r>
    </w:p>
    <w:p>
      <w:pPr>
        <w:spacing w:after="0" w:line="112"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Matters that Require Consent of our Stockholders</w:t>
      </w:r>
    </w:p>
    <w:p>
      <w:pPr>
        <w:spacing w:after="0" w:line="112" w:lineRule="exact"/>
        <w:rPr>
          <w:sz w:val="20"/>
          <w:szCs w:val="20"/>
          <w:color w:val="auto"/>
        </w:rPr>
      </w:pPr>
    </w:p>
    <w:p>
      <w:pPr>
        <w:ind w:left="200" w:right="140" w:firstLine="434"/>
        <w:spacing w:after="0" w:line="256" w:lineRule="auto"/>
        <w:rPr>
          <w:sz w:val="20"/>
          <w:szCs w:val="20"/>
          <w:color w:val="auto"/>
        </w:rPr>
      </w:pPr>
      <w:r>
        <w:rPr>
          <w:rFonts w:ascii="Arial" w:cs="Arial" w:eastAsia="Arial" w:hAnsi="Arial"/>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96" w:lineRule="exact"/>
        <w:rPr>
          <w:sz w:val="20"/>
          <w:szCs w:val="20"/>
          <w:color w:val="auto"/>
        </w:rPr>
      </w:pPr>
    </w:p>
    <w:p>
      <w:pPr>
        <w:ind w:left="1160" w:right="220" w:hanging="429"/>
        <w:spacing w:after="0" w:line="256"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95" w:lineRule="exact"/>
        <w:rPr>
          <w:rFonts w:ascii="Arial" w:cs="Arial" w:eastAsia="Arial" w:hAnsi="Arial"/>
          <w:sz w:val="18"/>
          <w:szCs w:val="18"/>
          <w:color w:val="auto"/>
        </w:rPr>
      </w:pPr>
    </w:p>
    <w:p>
      <w:pPr>
        <w:ind w:left="1160" w:right="340" w:hanging="429"/>
        <w:spacing w:after="0" w:line="266"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 or</w:t>
      </w:r>
    </w:p>
    <w:p>
      <w:pPr>
        <w:spacing w:after="0" w:line="86" w:lineRule="exact"/>
        <w:rPr>
          <w:rFonts w:ascii="Arial" w:cs="Arial" w:eastAsia="Arial" w:hAnsi="Arial"/>
          <w:sz w:val="18"/>
          <w:szCs w:val="18"/>
          <w:color w:val="auto"/>
        </w:rPr>
      </w:pPr>
    </w:p>
    <w:p>
      <w:pPr>
        <w:ind w:left="1160" w:hanging="429"/>
        <w:spacing w:after="0" w:line="294" w:lineRule="auto"/>
        <w:tabs>
          <w:tab w:leader="none" w:pos="11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6"/>
          <w:szCs w:val="16"/>
          <w:i w:val="1"/>
          <w:iCs w:val="1"/>
          <w:color w:val="auto"/>
        </w:rPr>
        <w:t>Certain Relationships and Related Party Transactions—Stockholders Agreement</w:t>
      </w:r>
      <w:r>
        <w:rPr>
          <w:rFonts w:ascii="Arial" w:cs="Arial" w:eastAsia="Arial" w:hAnsi="Arial"/>
          <w:sz w:val="16"/>
          <w:szCs w:val="16"/>
          <w:color w:val="auto"/>
        </w:rPr>
        <w:t>.”</w:t>
      </w:r>
    </w:p>
    <w:p>
      <w:pPr>
        <w:spacing w:after="0" w:line="162"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Opportunity</w:t>
      </w:r>
    </w:p>
    <w:p>
      <w:pPr>
        <w:spacing w:after="0" w:line="1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73" w:lineRule="exact"/>
        <w:rPr>
          <w:sz w:val="20"/>
          <w:szCs w:val="20"/>
          <w:color w:val="auto"/>
        </w:rPr>
      </w:pPr>
    </w:p>
    <w:p>
      <w:pPr>
        <w:ind w:left="200" w:right="640" w:firstLine="434"/>
        <w:spacing w:after="0" w:line="266" w:lineRule="auto"/>
        <w:rPr>
          <w:sz w:val="20"/>
          <w:szCs w:val="20"/>
          <w:color w:val="auto"/>
        </w:rPr>
      </w:pPr>
      <w:r>
        <w:rPr>
          <w:rFonts w:ascii="Arial" w:cs="Arial" w:eastAsia="Arial" w:hAnsi="Arial"/>
          <w:sz w:val="18"/>
          <w:szCs w:val="18"/>
          <w:color w:val="auto"/>
        </w:rPr>
        <w:t>Section 122(17) of the DGCL permits a corporation to renounce, in advance, in its certificate of incorporation or by action of its board of directors, any interest or expectancy of a corporation in certain classes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0"/>
          </w:cols>
          <w:pgMar w:left="320" w:top="454" w:right="5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49" w:lineRule="auto"/>
        <w:rPr>
          <w:sz w:val="20"/>
          <w:szCs w:val="20"/>
          <w:color w:val="auto"/>
        </w:rPr>
      </w:pPr>
      <w:r>
        <w:rPr>
          <w:rFonts w:ascii="Arial" w:cs="Arial" w:eastAsia="Arial" w:hAnsi="Arial"/>
          <w:sz w:val="18"/>
          <w:szCs w:val="18"/>
          <w:color w:val="auto"/>
        </w:rPr>
        <w:t>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Limited Ownership and Voting by Foreign Owners</w:t>
      </w:r>
    </w:p>
    <w:p>
      <w:pPr>
        <w:spacing w:after="0" w:line="118"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to be in effect immediately prior to the consummation of this offering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to be in effect immediately prior to the consummation of this offering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73" w:lineRule="exact"/>
        <w:rPr>
          <w:sz w:val="20"/>
          <w:szCs w:val="20"/>
          <w:color w:val="auto"/>
        </w:rPr>
      </w:pPr>
    </w:p>
    <w:p>
      <w:pPr>
        <w:ind w:left="200" w:right="220" w:firstLine="434"/>
        <w:spacing w:after="0" w:line="284" w:lineRule="auto"/>
        <w:rPr>
          <w:sz w:val="20"/>
          <w:szCs w:val="20"/>
          <w:color w:val="auto"/>
        </w:rPr>
      </w:pPr>
      <w:r>
        <w:rPr>
          <w:rFonts w:ascii="Arial" w:cs="Arial" w:eastAsia="Arial" w:hAnsi="Arial"/>
          <w:sz w:val="16"/>
          <w:szCs w:val="16"/>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w:t>
      </w:r>
    </w:p>
    <w:p>
      <w:pPr>
        <w:spacing w:after="0" w:line="1" w:lineRule="exact"/>
        <w:rPr>
          <w:sz w:val="20"/>
          <w:szCs w:val="20"/>
          <w:color w:val="auto"/>
        </w:rPr>
      </w:pPr>
    </w:p>
    <w:p>
      <w:pPr>
        <w:ind w:left="480" w:hanging="281"/>
        <w:spacing w:after="0"/>
        <w:tabs>
          <w:tab w:leader="none" w:pos="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 individual who is a citizen of the United States; (B) a partnership each of whose partners is an individual who is a citizen of the United States; or</w:t>
      </w:r>
    </w:p>
    <w:p>
      <w:pPr>
        <w:spacing w:after="0" w:line="28" w:lineRule="exact"/>
        <w:rPr>
          <w:rFonts w:ascii="Arial" w:cs="Arial" w:eastAsia="Arial" w:hAnsi="Arial"/>
          <w:sz w:val="16"/>
          <w:szCs w:val="16"/>
          <w:color w:val="auto"/>
        </w:rPr>
      </w:pPr>
    </w:p>
    <w:p>
      <w:pPr>
        <w:ind w:left="200" w:hanging="1"/>
        <w:spacing w:after="0" w:line="248"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Exclusive Forum Selection</w:t>
      </w:r>
    </w:p>
    <w:p>
      <w:pPr>
        <w:spacing w:after="0" w:line="118" w:lineRule="exact"/>
        <w:rPr>
          <w:sz w:val="20"/>
          <w:szCs w:val="20"/>
          <w:color w:val="auto"/>
        </w:rPr>
      </w:pPr>
    </w:p>
    <w:p>
      <w:pPr>
        <w:ind w:left="200" w:right="540" w:firstLine="434"/>
        <w:spacing w:after="0" w:line="266"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86" w:lineRule="exact"/>
        <w:rPr>
          <w:sz w:val="20"/>
          <w:szCs w:val="20"/>
          <w:color w:val="auto"/>
        </w:rPr>
      </w:pPr>
    </w:p>
    <w:p>
      <w:pPr>
        <w:ind w:left="1160" w:hanging="429"/>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25" w:lineRule="exact"/>
        <w:rPr>
          <w:rFonts w:ascii="Arial" w:cs="Arial" w:eastAsia="Arial" w:hAnsi="Arial"/>
          <w:sz w:val="18"/>
          <w:szCs w:val="18"/>
          <w:color w:val="auto"/>
        </w:rPr>
      </w:pPr>
    </w:p>
    <w:p>
      <w:pPr>
        <w:ind w:left="1160" w:right="740" w:hanging="429"/>
        <w:spacing w:after="0" w:line="266"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4" w:right="5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or of our certificate of incorporation or our bylaws; or</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each such case subject to the Delaware Court of Chancery having personal jurisdiction over the indispensable parties named as defendants.</w:t>
      </w:r>
    </w:p>
    <w:p>
      <w:pPr>
        <w:spacing w:after="0" w:line="230"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6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18" w:lineRule="exact"/>
        <w:rPr>
          <w:sz w:val="20"/>
          <w:szCs w:val="20"/>
          <w:color w:val="auto"/>
        </w:rPr>
      </w:pPr>
    </w:p>
    <w:p>
      <w:pPr>
        <w:ind w:left="200" w:right="480" w:firstLine="434"/>
        <w:spacing w:after="0" w:line="296" w:lineRule="auto"/>
        <w:rPr>
          <w:sz w:val="20"/>
          <w:szCs w:val="20"/>
          <w:color w:val="auto"/>
        </w:rPr>
      </w:pPr>
      <w:r>
        <w:rPr>
          <w:rFonts w:ascii="Arial" w:cs="Arial" w:eastAsia="Arial" w:hAnsi="Arial"/>
          <w:sz w:val="17"/>
          <w:szCs w:val="17"/>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3" w:lineRule="exact"/>
        <w:rPr>
          <w:sz w:val="20"/>
          <w:szCs w:val="20"/>
          <w:color w:val="auto"/>
        </w:rPr>
      </w:pPr>
    </w:p>
    <w:p>
      <w:pPr>
        <w:ind w:left="1160" w:hanging="42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40"/>
          </w:cols>
          <w:pgMar w:left="320" w:top="454" w:right="5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94" w:lineRule="exact"/>
        <w:rPr>
          <w:sz w:val="20"/>
          <w:szCs w:val="20"/>
          <w:color w:val="auto"/>
        </w:rPr>
      </w:pPr>
    </w:p>
    <w:p>
      <w:pPr>
        <w:ind w:left="200" w:right="80" w:firstLine="434"/>
        <w:spacing w:after="0" w:line="256"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89"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these provisions will assist in attracting and retaining qualified individuals to serve as directors.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shares of common stock on Nasdaq under the symbol “SNCY.”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320" w:top="454" w:right="5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4"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Prior to this offering, there has been no public market for our common stock. As described below, only a limited number of shares will be available for sale shortly after this offering due to contractual and legal restrictions on resale. Nevertheless, sales of a substantial number of shares of our common stock in the public market after such restrictions lapse,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7"/>
          <w:szCs w:val="17"/>
          <w:color w:val="auto"/>
        </w:rPr>
        <w: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of Restricted Shares</w:t>
      </w:r>
    </w:p>
    <w:p>
      <w:pPr>
        <w:spacing w:after="0" w:line="118"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Upon the completion of this offering, we will have outstanding an aggregate of 55,789,831 shares of common stock (or 57,153,467 shares if the underwriters exercise their option to purchase additional shares in full). Additionally, we will have 5,893,704 options outstanding, which are exercisable into 5,893,704 shares of common stock,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6"/>
          <w:szCs w:val="16"/>
          <w:i w:val="1"/>
          <w:iCs w:val="1"/>
          <w:color w:val="auto"/>
        </w:rPr>
        <w:t>Description of Capital Stock—Limited</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and Voting by Foreign Owners</w:t>
      </w:r>
      <w:r>
        <w:rPr>
          <w:rFonts w:ascii="Arial" w:cs="Arial" w:eastAsia="Arial" w:hAnsi="Arial"/>
          <w:sz w:val="16"/>
          <w:szCs w:val="16"/>
          <w:color w:val="auto"/>
        </w:rPr>
        <w:t>.” Of these shares, all of the 9,090,909 shares of common stock to be sold in this offering (or</w:t>
      </w:r>
    </w:p>
    <w:p>
      <w:pPr>
        <w:spacing w:after="0" w:line="2" w:lineRule="exact"/>
        <w:rPr>
          <w:sz w:val="20"/>
          <w:szCs w:val="20"/>
          <w:color w:val="auto"/>
        </w:rPr>
      </w:pPr>
    </w:p>
    <w:p>
      <w:pPr>
        <w:ind w:left="200" w:right="80"/>
        <w:spacing w:after="0" w:line="296" w:lineRule="auto"/>
        <w:rPr>
          <w:sz w:val="20"/>
          <w:szCs w:val="20"/>
          <w:color w:val="auto"/>
        </w:rPr>
      </w:pPr>
      <w:r>
        <w:rPr>
          <w:rFonts w:ascii="Arial" w:cs="Arial" w:eastAsia="Arial" w:hAnsi="Arial"/>
          <w:sz w:val="16"/>
          <w:szCs w:val="16"/>
          <w:color w:val="auto"/>
        </w:rPr>
        <w:t>10,454,545 shares 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59"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46,698,922 shares of our common stock will be entitled to dispose of their shares following the expiration of an initial 180-day underwriter “lock-up” period, subject to the holding period, volume and other restrictions of Rule 144. Barclays Capital Inc. and Morgan Stanley &amp; Co. LLC are entitled to waive these lock-up provisions in their discretion prior to the expiration date of such lock-up agreements.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color w:val="auto"/>
        </w:rPr>
        <w:t>We, the Apollo Stockholder and all of our directors and executive officers, who collectively hold substantially all of our issued and outstanding common stock, and Amazon have agreed not to sell any common stock or securities convertible into or exercisable or exchangeable for shares of common stock for a period of 180 days from the date of this prospectus, subject to certain exceptions. In addition, PAR Capital and the Blackrock Entities will enter into a similar agreement in connection with the Private Placements. Please see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40"/>
          </w:cols>
          <w:pgMar w:left="320" w:top="454"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20" w:firstLine="434"/>
        <w:spacing w:after="0" w:line="269"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200" w:right="120" w:firstLine="434"/>
        <w:spacing w:after="0" w:line="287" w:lineRule="auto"/>
        <w:rPr>
          <w:sz w:val="20"/>
          <w:szCs w:val="20"/>
          <w:color w:val="auto"/>
        </w:rPr>
      </w:pPr>
      <w:r>
        <w:rPr>
          <w:rFonts w:ascii="Arial" w:cs="Arial" w:eastAsia="Arial" w:hAnsi="Arial"/>
          <w:sz w:val="16"/>
          <w:szCs w:val="16"/>
          <w:color w:val="auto"/>
        </w:rPr>
        <w:t>In general, under Rule 701 under the Securities Act, any of our employees, directors, officers, consultants or advisors who purchases shares from us in connection with a compensatory stock or option plan or other written agreement before the effective date of this offering is entitled to sell such shares 90 days after the effective date of this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As of February 28, 2021, we had warrants to purchase an aggregate of 9,482,606 shares of our common stock outstanding, the exercise of which is subject to limitations imposed by federal law on foreign ownership and control of U.S. airlines, of which warrants to purchase shares will have vested.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18"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As of February 28, 2021, we had options to purchase an aggregate of 5,893,704 shares of our common stock outstanding, the exercise of which is subject to limitations imposed by federal law on foreign ownership and control of U.S. airlines, of which options to purchase 1,054,859 shares had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Issued Under Employee Plans</w:t>
      </w:r>
    </w:p>
    <w:p>
      <w:pPr>
        <w:spacing w:after="0" w:line="118"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We intend to file a registration statement on Form S-8 under the Securities Act to register our common stock issuable under the SCA Acquisition Equity Plan and the Omnibus Incentive Plan. This registration statement on Form S-8 is expected to be filed following the effective date of the registration statement of which this prospectus is a part and will be effective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200" w:right="240" w:firstLine="434"/>
        <w:spacing w:after="0" w:line="253" w:lineRule="auto"/>
        <w:rPr>
          <w:sz w:val="20"/>
          <w:szCs w:val="20"/>
          <w:color w:val="auto"/>
        </w:rPr>
      </w:pPr>
      <w:r>
        <w:rPr>
          <w:rFonts w:ascii="Arial" w:cs="Arial" w:eastAsia="Arial" w:hAnsi="Arial"/>
          <w:sz w:val="18"/>
          <w:szCs w:val="18"/>
          <w:color w:val="auto"/>
        </w:rPr>
        <w:t>Following this offering and 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Transactions—Registration Rights Agreement</w:t>
      </w:r>
      <w:r>
        <w:rPr>
          <w:rFonts w:ascii="Arial" w:cs="Arial" w:eastAsia="Arial" w:hAnsi="Arial"/>
          <w:sz w:val="18"/>
          <w:szCs w:val="18"/>
          <w:color w:val="auto"/>
        </w:rPr>
        <w:t>.” After such registration, these shares of common stock will become freely tradable without restriction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except for shares purchased by affiliates.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40"/>
          </w:cols>
          <w:pgMar w:left="320" w:top="454" w:right="5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4"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80"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75"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an individual, corporation, estate or trust, other than:</w:t>
      </w:r>
    </w:p>
    <w:p>
      <w:pPr>
        <w:spacing w:after="0" w:line="86" w:lineRule="exact"/>
        <w:rPr>
          <w:sz w:val="20"/>
          <w:szCs w:val="20"/>
          <w:color w:val="auto"/>
        </w:rPr>
      </w:pPr>
    </w:p>
    <w:p>
      <w:pPr>
        <w:ind w:left="1160" w:hanging="429"/>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25" w:lineRule="exact"/>
        <w:rPr>
          <w:rFonts w:ascii="Arial" w:cs="Arial" w:eastAsia="Arial" w:hAnsi="Arial"/>
          <w:sz w:val="18"/>
          <w:szCs w:val="18"/>
          <w:color w:val="auto"/>
        </w:rPr>
      </w:pPr>
    </w:p>
    <w:p>
      <w:pPr>
        <w:ind w:left="1160" w:right="300" w:hanging="429"/>
        <w:spacing w:after="0" w:line="266"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36" w:lineRule="exact"/>
        <w:rPr>
          <w:rFonts w:ascii="Arial" w:cs="Arial" w:eastAsia="Arial" w:hAnsi="Arial"/>
          <w:sz w:val="17"/>
          <w:szCs w:val="17"/>
          <w:color w:val="auto"/>
        </w:rPr>
      </w:pPr>
    </w:p>
    <w:p>
      <w:pPr>
        <w:ind w:left="1160" w:right="120" w:hanging="429"/>
        <w:spacing w:after="0" w:line="256"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89"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91"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20"/>
          </w:cols>
          <w:pgMar w:left="320" w:top="454" w:right="5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6"/>
          <w:szCs w:val="16"/>
          <w:i w:val="1"/>
          <w:iCs w:val="1"/>
          <w:color w:val="auto"/>
        </w:rPr>
        <w:t>U.S. Trade or Business Income</w:t>
      </w:r>
      <w:r>
        <w:rPr>
          <w:rFonts w:ascii="Arial" w:cs="Arial" w:eastAsia="Arial" w:hAnsi="Arial"/>
          <w:sz w:val="16"/>
          <w:szCs w:val="16"/>
          <w:color w:val="auto"/>
        </w:rPr>
        <w:t>,”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and “—</w:t>
      </w:r>
      <w:r>
        <w:rPr>
          <w:rFonts w:ascii="Arial" w:cs="Arial" w:eastAsia="Arial" w:hAnsi="Arial"/>
          <w:sz w:val="16"/>
          <w:szCs w:val="16"/>
          <w:i w:val="1"/>
          <w:iCs w:val="1"/>
          <w:color w:val="auto"/>
        </w:rPr>
        <w:t>FATCA</w:t>
      </w:r>
      <w:r>
        <w:rPr>
          <w:rFonts w:ascii="Arial" w:cs="Arial" w:eastAsia="Arial" w:hAnsi="Arial"/>
          <w:sz w:val="16"/>
          <w:szCs w:val="16"/>
          <w:color w:val="auto"/>
        </w:rPr>
        <w:t>,” you 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68"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18" w:lineRule="exact"/>
        <w:rPr>
          <w:sz w:val="20"/>
          <w:szCs w:val="20"/>
          <w:color w:val="auto"/>
        </w:rPr>
      </w:pPr>
    </w:p>
    <w:p>
      <w:pPr>
        <w:jc w:val="both"/>
        <w:ind w:left="200" w:right="20" w:firstLine="434"/>
        <w:spacing w:after="0" w:line="256" w:lineRule="auto"/>
        <w:rPr>
          <w:sz w:val="20"/>
          <w:szCs w:val="20"/>
          <w:color w:val="auto"/>
        </w:rPr>
      </w:pPr>
      <w:r>
        <w:rPr>
          <w:rFonts w:ascii="Arial" w:cs="Arial" w:eastAsia="Arial" w:hAnsi="Arial"/>
          <w:sz w:val="18"/>
          <w:szCs w:val="18"/>
          <w:color w:val="auto"/>
        </w:rPr>
        <w:t>Subject to the discussions below under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you generally will not be subject to U.S. federal income or withholding tax in respect of any gain on a sale, exchange or other taxable disposition of our common stock unless:</w:t>
      </w:r>
    </w:p>
    <w:p>
      <w:pPr>
        <w:spacing w:after="0" w:line="96" w:lineRule="exact"/>
        <w:rPr>
          <w:sz w:val="20"/>
          <w:szCs w:val="20"/>
          <w:color w:val="auto"/>
        </w:rPr>
      </w:pPr>
    </w:p>
    <w:p>
      <w:pPr>
        <w:ind w:left="1160" w:hanging="429"/>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48" w:lineRule="exact"/>
        <w:rPr>
          <w:rFonts w:ascii="Arial" w:cs="Arial" w:eastAsia="Arial" w:hAnsi="Arial"/>
          <w:sz w:val="16"/>
          <w:szCs w:val="16"/>
          <w:color w:val="auto"/>
        </w:rPr>
      </w:pPr>
    </w:p>
    <w:p>
      <w:pPr>
        <w:ind w:left="1160" w:right="300" w:hanging="429"/>
        <w:spacing w:after="0" w:line="253"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97" w:lineRule="exact"/>
        <w:rPr>
          <w:rFonts w:ascii="Arial" w:cs="Arial" w:eastAsia="Arial" w:hAnsi="Arial"/>
          <w:sz w:val="18"/>
          <w:szCs w:val="18"/>
          <w:color w:val="auto"/>
        </w:rPr>
      </w:pPr>
    </w:p>
    <w:p>
      <w:pPr>
        <w:ind w:left="1160" w:right="120" w:hanging="429"/>
        <w:spacing w:after="0" w:line="253"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191" w:lineRule="exact"/>
        <w:rPr>
          <w:sz w:val="20"/>
          <w:szCs w:val="20"/>
          <w:color w:val="auto"/>
        </w:rPr>
      </w:pPr>
    </w:p>
    <w:p>
      <w:pPr>
        <w:ind w:left="200" w:right="60" w:firstLine="434"/>
        <w:spacing w:after="0" w:line="249" w:lineRule="auto"/>
        <w:rPr>
          <w:sz w:val="20"/>
          <w:szCs w:val="20"/>
          <w:color w:val="auto"/>
        </w:rPr>
      </w:pPr>
      <w:r>
        <w:rPr>
          <w:rFonts w:ascii="Arial" w:cs="Arial" w:eastAsia="Arial" w:hAnsi="Arial"/>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40"/>
          </w:cols>
          <w:pgMar w:left="320" w:top="454"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Trade or Business Income</w:t>
      </w:r>
    </w:p>
    <w:p>
      <w:pPr>
        <w:spacing w:after="0" w:line="118"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7"/>
          <w:szCs w:val="17"/>
          <w:i w:val="1"/>
          <w:iCs w:val="1"/>
          <w:color w:val="auto"/>
        </w:rPr>
        <w:t>Sale,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Common Stock</w:t>
      </w:r>
      <w:r>
        <w:rPr>
          <w:rFonts w:ascii="Arial" w:cs="Arial" w:eastAsia="Arial" w:hAnsi="Arial"/>
          <w:sz w:val="17"/>
          <w:szCs w:val="17"/>
          <w:color w:val="auto"/>
        </w:rPr>
        <w:t>”). Generally, U.S. trade or business income is not subject to U.S. federal withholding tax (provided that you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199" w:lineRule="exact"/>
        <w:rPr>
          <w:sz w:val="20"/>
          <w:szCs w:val="20"/>
          <w:color w:val="auto"/>
        </w:rPr>
      </w:pPr>
    </w:p>
    <w:p>
      <w:pPr>
        <w:ind w:left="200" w:right="180" w:firstLine="434"/>
        <w:spacing w:after="0" w:line="265" w:lineRule="auto"/>
        <w:rPr>
          <w:sz w:val="20"/>
          <w:szCs w:val="20"/>
          <w:color w:val="auto"/>
        </w:rPr>
      </w:pPr>
      <w:r>
        <w:rPr>
          <w:rFonts w:ascii="Arial" w:cs="Arial" w:eastAsia="Arial" w:hAnsi="Arial"/>
          <w:sz w:val="17"/>
          <w:szCs w:val="17"/>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82"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18" w:lineRule="exact"/>
        <w:rPr>
          <w:sz w:val="20"/>
          <w:szCs w:val="20"/>
          <w:color w:val="auto"/>
        </w:rPr>
      </w:pPr>
    </w:p>
    <w:p>
      <w:pPr>
        <w:ind w:left="200" w:right="460" w:firstLine="434"/>
        <w:spacing w:after="0" w:line="266" w:lineRule="auto"/>
        <w:rPr>
          <w:sz w:val="20"/>
          <w:szCs w:val="20"/>
          <w:color w:val="auto"/>
        </w:rPr>
      </w:pPr>
      <w:r>
        <w:rPr>
          <w:rFonts w:ascii="Arial" w:cs="Arial" w:eastAsia="Arial" w:hAnsi="Arial"/>
          <w:sz w:val="18"/>
          <w:szCs w:val="18"/>
          <w:color w:val="auto"/>
        </w:rPr>
        <w:t>Pursuant to Section 1471 through 1474 of the Code, commonly referred to as the Foreign Account Tax Compliance Act (“FATCA”), foreign financial institutions (which include most foreign hedge funds, private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40"/>
          </w:cols>
          <w:pgMar w:left="320" w:top="454" w:right="5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spacing w:after="0" w:line="278" w:lineRule="auto"/>
        <w:rPr>
          <w:sz w:val="20"/>
          <w:szCs w:val="20"/>
          <w:color w:val="auto"/>
        </w:rPr>
      </w:pPr>
      <w:r>
        <w:rPr>
          <w:rFonts w:ascii="Arial" w:cs="Arial" w:eastAsia="Arial" w:hAnsi="Arial"/>
          <w:sz w:val="17"/>
          <w:szCs w:val="17"/>
          <w:color w:val="auto"/>
        </w:rPr>
        <w:t>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72"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96"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4" w:right="5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 OF INTEREST)</w:t>
      </w:r>
    </w:p>
    <w:p>
      <w:pPr>
        <w:spacing w:after="0" w:line="224"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we have agreed to sell to them, severally, the number of shares indicated below:</w:t>
      </w:r>
    </w:p>
    <w:p>
      <w:pPr>
        <w:spacing w:after="0" w:line="205" w:lineRule="exact"/>
        <w:rPr>
          <w:sz w:val="20"/>
          <w:szCs w:val="20"/>
          <w:color w:val="auto"/>
        </w:rPr>
      </w:pPr>
    </w:p>
    <w:tbl>
      <w:tblPr>
        <w:tblLayout w:type="fixed"/>
        <w:tblInd w:w="194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7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Number of Shares</w:t>
            </w:r>
          </w:p>
        </w:tc>
      </w:tr>
      <w:tr>
        <w:trPr>
          <w:trHeight w:val="199"/>
        </w:trPr>
        <w:tc>
          <w:tcPr>
            <w:tcW w:w="612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Barclays Capital Inc.</w:t>
            </w: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61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1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Securities International, Inc.</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120" w:type="dxa"/>
            <w:vAlign w:val="bottom"/>
            <w:gridSpan w:val="2"/>
          </w:tcPr>
          <w:p>
            <w:pPr>
              <w:spacing w:after="0"/>
              <w:rPr>
                <w:sz w:val="20"/>
                <w:szCs w:val="20"/>
                <w:color w:val="auto"/>
              </w:rPr>
            </w:pPr>
            <w:r>
              <w:rPr>
                <w:rFonts w:ascii="Arial" w:cs="Arial" w:eastAsia="Arial" w:hAnsi="Arial"/>
                <w:sz w:val="18"/>
                <w:szCs w:val="18"/>
                <w:color w:val="auto"/>
              </w:rPr>
              <w:t>Apollo Global Securities, LLC</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AmeriVet Securities, Inc.</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12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Tribal Capital Markets, LLC</w:t>
            </w:r>
          </w:p>
        </w:tc>
        <w:tc>
          <w:tcPr>
            <w:tcW w:w="11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9"/>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9,090,909</w:t>
            </w:r>
          </w:p>
        </w:tc>
        <w:tc>
          <w:tcPr>
            <w:tcW w:w="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this prospectus and part to certain dealers at the public offering price less a concession not 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1,363,636 additional shares of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30" w:lineRule="exact"/>
        <w:rPr>
          <w:sz w:val="20"/>
          <w:szCs w:val="20"/>
          <w:color w:val="auto"/>
        </w:rPr>
      </w:pPr>
    </w:p>
    <w:p>
      <w:pPr>
        <w:ind w:left="200" w:right="520" w:firstLine="434"/>
        <w:spacing w:after="0" w:line="266"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our common stock offered by them.</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40"/>
          </w:cols>
          <w:pgMar w:left="320" w:top="454"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18" w:lineRule="exact"/>
        <w:rPr>
          <w:sz w:val="20"/>
          <w:szCs w:val="20"/>
          <w:color w:val="auto"/>
        </w:rPr>
      </w:pPr>
    </w:p>
    <w:p>
      <w:pPr>
        <w:jc w:val="both"/>
        <w:ind w:left="200" w:right="20" w:firstLine="434"/>
        <w:spacing w:after="0" w:line="256"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1,363,636 shares of common stock from us.</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62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20" w:type="dxa"/>
            <w:vAlign w:val="bottom"/>
            <w:tcBorders>
              <w:top w:val="single" w:sz="8" w:color="auto"/>
            </w:tcBorders>
          </w:tcPr>
          <w:p>
            <w:pPr>
              <w:jc w:val="right"/>
              <w:ind w:right="129"/>
              <w:spacing w:after="0" w:line="117" w:lineRule="exact"/>
              <w:rPr>
                <w:sz w:val="20"/>
                <w:szCs w:val="20"/>
                <w:color w:val="auto"/>
              </w:rPr>
            </w:pPr>
            <w:r>
              <w:rPr>
                <w:rFonts w:ascii="Arial" w:cs="Arial" w:eastAsia="Arial" w:hAnsi="Arial"/>
                <w:sz w:val="13"/>
                <w:szCs w:val="13"/>
                <w:b w:val="1"/>
                <w:bCs w:val="1"/>
                <w:color w:val="auto"/>
              </w:rPr>
              <w:t>No</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Exercise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06"/>
        </w:trPr>
        <w:tc>
          <w:tcPr>
            <w:tcW w:w="65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Public offering price</w:t>
            </w: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340" w:firstLine="434"/>
        <w:spacing w:after="0" w:line="303"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$5.8 million.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Nasdaq under the trading symbol “SNCY.”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200" w:right="160" w:firstLine="434"/>
        <w:spacing w:after="0" w:line="278" w:lineRule="auto"/>
        <w:rPr>
          <w:sz w:val="20"/>
          <w:szCs w:val="20"/>
          <w:color w:val="auto"/>
        </w:rPr>
      </w:pPr>
      <w:r>
        <w:rPr>
          <w:rFonts w:ascii="Arial" w:cs="Arial" w:eastAsia="Arial" w:hAnsi="Arial"/>
          <w:sz w:val="17"/>
          <w:szCs w:val="17"/>
          <w:color w:val="auto"/>
        </w:rPr>
        <w:t>We, the Apollo Stockholder and all of our directors and executive officers, who collectively hold substantially all of our outstanding stock, and Amazon have agreed that, without the prior written consent of Barclays Capital Inc. and Morgan Stanley &amp; Co. LLC on behalf of the underwriters, we and they will not, during the period ending 180 days after the date of this prospectus (the “restricted period”):</w:t>
      </w:r>
    </w:p>
    <w:p>
      <w:pPr>
        <w:spacing w:after="0" w:line="79" w:lineRule="exact"/>
        <w:rPr>
          <w:sz w:val="20"/>
          <w:szCs w:val="20"/>
          <w:color w:val="auto"/>
        </w:rPr>
      </w:pPr>
    </w:p>
    <w:p>
      <w:pPr>
        <w:ind w:left="1160" w:right="60" w:hanging="429"/>
        <w:spacing w:after="0" w:line="256" w:lineRule="auto"/>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95"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86" w:lineRule="exact"/>
        <w:rPr>
          <w:rFonts w:ascii="Arial" w:cs="Arial" w:eastAsia="Arial" w:hAnsi="Arial"/>
          <w:sz w:val="18"/>
          <w:szCs w:val="18"/>
          <w:color w:val="auto"/>
        </w:rPr>
      </w:pPr>
    </w:p>
    <w:p>
      <w:pPr>
        <w:ind w:left="1160" w:right="140" w:hanging="429"/>
        <w:spacing w:after="0" w:line="266" w:lineRule="auto"/>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79"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or publicly disclose the intention to do any of the foregoing, whether any such transaction described above is to be settled by delivery of common stock or such other securities, in cash or otherwise. Each of PAR Capital and the Blackrock Entities has also agreed not to sell any common stock or securities convertible into or exercisable or exchangeable for shares of common stock for a period of 180 days from the date of this prospectus, subject to certain exceptions.</w:t>
      </w:r>
    </w:p>
    <w:p>
      <w:pPr>
        <w:spacing w:after="0" w:line="19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lock-up agreement applicable to the Company is subject to certain specified exceptions, including: (i) shares of common stock to be sold in this offering; (ii) any issuance of common stock, options to purchase shares of common stock, restricted stock units and other equity incentive compensation pursuant to equity plans or similar plans described herein,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any issuances of common stock upon the conversion or exchange of convertible or exchangeable securities outstanding as of the date hereof, including common stock issued upon the exercise of any warrants and any transfer of common stock to the Company upon a “net” or ”cashless” exercise of any warrants; and (iv) issuances by the Company of common stock or securities convertible into shares of common stock in connection with an acquisition or business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40"/>
          </w:cols>
          <w:pgMar w:left="320" w:top="454" w:right="5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60"/>
        <w:spacing w:after="0" w:line="278" w:lineRule="auto"/>
        <w:rPr>
          <w:sz w:val="20"/>
          <w:szCs w:val="20"/>
          <w:color w:val="auto"/>
        </w:rPr>
      </w:pPr>
      <w:r>
        <w:rPr>
          <w:rFonts w:ascii="Arial" w:cs="Arial" w:eastAsia="Arial" w:hAnsi="Arial"/>
          <w:sz w:val="17"/>
          <w:szCs w:val="17"/>
          <w:color w:val="auto"/>
        </w:rPr>
        <w:t>combination, provided that the aggregate number of shares of common stock issued pursuant to this clause (iv) during the lock-up period shall not exceed 5% of the total number of shares of common stock issued and outstanding on the closing date of this offering provided that, in the case of any issuance pursuant to (iv), the transferee or distributee agrees in writing to be bound by the lock-up restrictions.</w:t>
      </w:r>
    </w:p>
    <w:p>
      <w:pPr>
        <w:spacing w:after="0" w:line="172" w:lineRule="exact"/>
        <w:rPr>
          <w:sz w:val="20"/>
          <w:szCs w:val="20"/>
          <w:color w:val="auto"/>
        </w:rPr>
      </w:pPr>
    </w:p>
    <w:p>
      <w:pPr>
        <w:ind w:left="200" w:right="120" w:firstLine="434"/>
        <w:spacing w:after="0" w:line="279" w:lineRule="auto"/>
        <w:rPr>
          <w:sz w:val="20"/>
          <w:szCs w:val="20"/>
          <w:color w:val="auto"/>
        </w:rPr>
      </w:pPr>
      <w:r>
        <w:rPr>
          <w:rFonts w:ascii="Arial" w:cs="Arial" w:eastAsia="Arial" w:hAnsi="Arial"/>
          <w:sz w:val="16"/>
          <w:szCs w:val="16"/>
          <w:color w:val="auto"/>
        </w:rPr>
        <w:t>The lock-up agreements applicable to the Apollo Stockholder, all of our directors and executive officers and Amazon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herein, and the receipt by the lock-up signatory from the Company of shares of common stock upon such exercise;</w:t>
      </w:r>
    </w:p>
    <w:p>
      <w:pPr>
        <w:spacing w:after="0" w:line="2" w:lineRule="exact"/>
        <w:rPr>
          <w:sz w:val="20"/>
          <w:szCs w:val="20"/>
          <w:color w:val="auto"/>
        </w:rPr>
      </w:pPr>
    </w:p>
    <w:p>
      <w:pPr>
        <w:ind w:left="480" w:hanging="281"/>
        <w:spacing w:after="0"/>
        <w:tabs>
          <w:tab w:leader="none" w:pos="4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transfers to the Company upon the “net” or “cashless” exercise of stock options or other equity awards granted pursuant to equity incentive plans;</w:t>
      </w:r>
    </w:p>
    <w:p>
      <w:pPr>
        <w:spacing w:after="0" w:line="28" w:lineRule="exact"/>
        <w:rPr>
          <w:rFonts w:ascii="Arial" w:cs="Arial" w:eastAsia="Arial" w:hAnsi="Arial"/>
          <w:sz w:val="16"/>
          <w:szCs w:val="16"/>
          <w:color w:val="auto"/>
        </w:rPr>
      </w:pPr>
    </w:p>
    <w:p>
      <w:pPr>
        <w:ind w:left="200" w:right="40" w:hanging="1"/>
        <w:spacing w:after="0" w:line="277" w:lineRule="auto"/>
        <w:tabs>
          <w:tab w:leader="none" w:pos="49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transfers for the primary purpose of satisfying any tax or other governmental withholding obligation with respect to any award of equity-based compensation granted pursuant to our equity incentive plans described herein;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herein;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w:t>
      </w:r>
    </w:p>
    <w:p>
      <w:pPr>
        <w:spacing w:after="0" w:line="2" w:lineRule="exact"/>
        <w:rPr>
          <w:rFonts w:ascii="Arial" w:cs="Arial" w:eastAsia="Arial" w:hAnsi="Arial"/>
          <w:sz w:val="16"/>
          <w:szCs w:val="16"/>
          <w:color w:val="auto"/>
        </w:rPr>
      </w:pPr>
    </w:p>
    <w:p>
      <w:pPr>
        <w:ind w:left="200"/>
        <w:spacing w:after="0" w:line="263" w:lineRule="auto"/>
        <w:rPr>
          <w:rFonts w:ascii="Arial" w:cs="Arial" w:eastAsia="Arial" w:hAnsi="Arial"/>
          <w:sz w:val="16"/>
          <w:szCs w:val="16"/>
          <w:color w:val="auto"/>
        </w:rPr>
      </w:pPr>
      <w:r>
        <w:rPr>
          <w:rFonts w:ascii="Arial" w:cs="Arial" w:eastAsia="Arial" w:hAnsi="Arial"/>
          <w:sz w:val="17"/>
          <w:szCs w:val="17"/>
          <w:color w:val="auto"/>
        </w:rPr>
        <w:t xml:space="preserve">(x)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transfer or distribution pursuant to (i) through (v), (vii), (xi) and (xiv), the transferee or distributee agrees in writing to be bound by the lock-up restrictions.</w:t>
      </w:r>
    </w:p>
    <w:p>
      <w:pPr>
        <w:spacing w:after="0" w:line="187" w:lineRule="exact"/>
        <w:rPr>
          <w:sz w:val="20"/>
          <w:szCs w:val="20"/>
          <w:color w:val="auto"/>
        </w:rPr>
      </w:pPr>
    </w:p>
    <w:p>
      <w:pPr>
        <w:ind w:left="200" w:right="200" w:firstLine="434"/>
        <w:spacing w:after="0" w:line="296" w:lineRule="auto"/>
        <w:rPr>
          <w:sz w:val="20"/>
          <w:szCs w:val="20"/>
          <w:color w:val="auto"/>
        </w:rPr>
      </w:pPr>
      <w:r>
        <w:rPr>
          <w:rFonts w:ascii="Arial" w:cs="Arial" w:eastAsia="Arial" w:hAnsi="Arial"/>
          <w:sz w:val="17"/>
          <w:szCs w:val="17"/>
          <w:color w:val="auto"/>
        </w:rPr>
        <w:t>Barclays Capital Inc. and Morgan Stanley &amp; Co. LLC, in their sole discretion, may release our common stock and other securities subject to the lock-up agreements described above in whole or in part at any time, subject to applicable notice requirements.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18"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 allotment option or purchasing shares in the open market. In determining the source of shares to close out a covered short sale, the underwriters will consider, among other things, the open market price of shares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40"/>
          </w:cols>
          <w:pgMar w:left="320" w:top="454"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118"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and Deutsche Bank Securities Inc., underwriters in this offering, are lenders and joint lead arrangers under the Credit Facilities. Barclays Capital Inc. is also serving as placement agent for the Private Placements and will receive a placement fee from the Apollo Stockholder in connection therewith.</w:t>
      </w:r>
    </w:p>
    <w:p>
      <w:pPr>
        <w:spacing w:after="0" w:line="173" w:lineRule="exact"/>
        <w:rPr>
          <w:sz w:val="20"/>
          <w:szCs w:val="20"/>
          <w:color w:val="auto"/>
        </w:rPr>
      </w:pPr>
    </w:p>
    <w:p>
      <w:pPr>
        <w:ind w:left="200" w:right="60" w:firstLine="434"/>
        <w:spacing w:after="0" w:line="268"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 of Interest</w:t>
      </w:r>
    </w:p>
    <w:p>
      <w:pPr>
        <w:spacing w:after="0" w:line="118"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20"/>
          </w:cols>
          <w:pgMar w:left="320" w:top="454" w:right="5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18"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ind w:left="200" w:right="120" w:firstLine="434"/>
        <w:spacing w:after="0" w:line="340" w:lineRule="auto"/>
        <w:rPr>
          <w:sz w:val="20"/>
          <w:szCs w:val="20"/>
          <w:color w:val="auto"/>
        </w:rPr>
      </w:pPr>
      <w:r>
        <w:rPr>
          <w:rFonts w:ascii="Arial" w:cs="Arial" w:eastAsia="Arial" w:hAnsi="Arial"/>
          <w:sz w:val="14"/>
          <w:szCs w:val="14"/>
          <w:color w:val="auto"/>
        </w:rPr>
        <w:t>At our request, the underwriters have reserved up to 5% of the shares of common stock to be issued by the Company and offered by this prospectus for sale, at the initial public offering price, to directors, officers, employees, business associates and related persons of the Company. All shares purchased pursuant to the directed share program will be subject to lock-up agreements with the underwriters.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18"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2" w:lineRule="exact"/>
        <w:rPr>
          <w:sz w:val="20"/>
          <w:szCs w:val="20"/>
          <w:color w:val="auto"/>
        </w:rPr>
      </w:pPr>
    </w:p>
    <w:p>
      <w:pPr>
        <w:ind w:left="200" w:right="160" w:firstLine="434"/>
        <w:spacing w:after="0" w:line="251" w:lineRule="auto"/>
        <w:rPr>
          <w:sz w:val="20"/>
          <w:szCs w:val="20"/>
          <w:color w:val="auto"/>
        </w:rPr>
      </w:pPr>
      <w:r>
        <w:rPr>
          <w:rFonts w:ascii="Arial" w:cs="Arial" w:eastAsia="Arial" w:hAnsi="Arial"/>
          <w:sz w:val="18"/>
          <w:szCs w:val="18"/>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01" w:lineRule="exact"/>
        <w:rPr>
          <w:sz w:val="20"/>
          <w:szCs w:val="20"/>
          <w:color w:val="auto"/>
        </w:rPr>
      </w:pPr>
    </w:p>
    <w:p>
      <w:pPr>
        <w:ind w:left="1160" w:hanging="535"/>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25" w:lineRule="exact"/>
        <w:rPr>
          <w:rFonts w:ascii="Arial" w:cs="Arial" w:eastAsia="Arial" w:hAnsi="Arial"/>
          <w:sz w:val="18"/>
          <w:szCs w:val="18"/>
          <w:color w:val="auto"/>
        </w:rPr>
      </w:pPr>
    </w:p>
    <w:p>
      <w:pPr>
        <w:ind w:left="1160" w:hanging="535"/>
        <w:spacing w:after="0" w:line="266" w:lineRule="auto"/>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2"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79" w:lineRule="exact"/>
        <w:rPr>
          <w:sz w:val="20"/>
          <w:szCs w:val="20"/>
          <w:color w:val="auto"/>
        </w:rPr>
      </w:pPr>
    </w:p>
    <w:p>
      <w:pPr>
        <w:ind w:left="200" w:right="580" w:firstLine="434"/>
        <w:spacing w:after="0" w:line="266"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40"/>
          </w:cols>
          <w:pgMar w:left="320" w:top="454" w:right="5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color w:val="auto"/>
        </w:rPr>
        <w:t>terms of the offer and any shares to be offered so as to enable an investor to decide to purchase any shares, and the expression “Prospectus Regulation” means Regulation (EU) 2017/1129.</w:t>
      </w:r>
    </w:p>
    <w:p>
      <w:pPr>
        <w:spacing w:after="0" w:line="179" w:lineRule="exact"/>
        <w:rPr>
          <w:sz w:val="20"/>
          <w:szCs w:val="20"/>
          <w:color w:val="auto"/>
        </w:rPr>
      </w:pPr>
    </w:p>
    <w:p>
      <w:pPr>
        <w:ind w:left="200" w:right="700" w:firstLine="434"/>
        <w:spacing w:after="0" w:line="256"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189" w:lineRule="exact"/>
        <w:rPr>
          <w:sz w:val="20"/>
          <w:szCs w:val="20"/>
          <w:color w:val="auto"/>
        </w:rPr>
      </w:pPr>
    </w:p>
    <w:p>
      <w:pPr>
        <w:ind w:left="200" w:right="140" w:firstLine="434"/>
        <w:spacing w:after="0" w:line="278" w:lineRule="auto"/>
        <w:rPr>
          <w:sz w:val="20"/>
          <w:szCs w:val="20"/>
          <w:color w:val="auto"/>
        </w:rPr>
      </w:pPr>
      <w:r>
        <w:rPr>
          <w:rFonts w:ascii="Arial" w:cs="Arial" w:eastAsia="Arial" w:hAnsi="Arial"/>
          <w:sz w:val="17"/>
          <w:szCs w:val="17"/>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2" w:lineRule="exact"/>
        <w:rPr>
          <w:sz w:val="20"/>
          <w:szCs w:val="20"/>
          <w:color w:val="auto"/>
        </w:rPr>
      </w:pPr>
    </w:p>
    <w:p>
      <w:pPr>
        <w:ind w:left="200" w:right="100" w:firstLine="434"/>
        <w:spacing w:after="0" w:line="265" w:lineRule="auto"/>
        <w:rPr>
          <w:sz w:val="20"/>
          <w:szCs w:val="20"/>
          <w:color w:val="auto"/>
        </w:rPr>
      </w:pPr>
      <w:r>
        <w:rPr>
          <w:rFonts w:ascii="Arial" w:cs="Arial" w:eastAsia="Arial" w:hAnsi="Arial"/>
          <w:sz w:val="17"/>
          <w:szCs w:val="17"/>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2"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6" w:lineRule="exact"/>
        <w:rPr>
          <w:sz w:val="20"/>
          <w:szCs w:val="20"/>
          <w:color w:val="auto"/>
        </w:rPr>
      </w:pPr>
    </w:p>
    <w:p>
      <w:pPr>
        <w:ind w:left="1160" w:hanging="535"/>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25" w:lineRule="exact"/>
        <w:rPr>
          <w:rFonts w:ascii="Arial" w:cs="Arial" w:eastAsia="Arial" w:hAnsi="Arial"/>
          <w:sz w:val="18"/>
          <w:szCs w:val="18"/>
          <w:color w:val="auto"/>
        </w:rPr>
      </w:pPr>
    </w:p>
    <w:p>
      <w:pPr>
        <w:ind w:left="1160" w:right="380" w:hanging="535"/>
        <w:spacing w:after="0" w:line="266" w:lineRule="auto"/>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2" w:lineRule="exact"/>
        <w:rPr>
          <w:sz w:val="20"/>
          <w:szCs w:val="20"/>
          <w:color w:val="auto"/>
        </w:rPr>
      </w:pPr>
    </w:p>
    <w:p>
      <w:pPr>
        <w:ind w:left="200" w:right="20"/>
        <w:spacing w:after="0" w:line="250" w:lineRule="auto"/>
        <w:rPr>
          <w:sz w:val="20"/>
          <w:szCs w:val="20"/>
          <w:color w:val="auto"/>
        </w:rPr>
      </w:pPr>
      <w:r>
        <w:rPr>
          <w:rFonts w:ascii="Arial" w:cs="Arial" w:eastAsia="Arial" w:hAnsi="Arial"/>
          <w:sz w:val="18"/>
          <w:szCs w:val="18"/>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6"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7"/>
          <w:szCs w:val="17"/>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40"/>
          </w:cols>
          <w:pgMar w:left="320" w:top="454"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12"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of common stock must be made in accordance with an exemption from, or in a transaction not subject to, the prospectus requirements of applicable securities laws.</w:t>
      </w:r>
    </w:p>
    <w:p>
      <w:pPr>
        <w:spacing w:after="0" w:line="162" w:lineRule="exact"/>
        <w:rPr>
          <w:sz w:val="20"/>
          <w:szCs w:val="20"/>
          <w:color w:val="auto"/>
        </w:rPr>
      </w:pPr>
    </w:p>
    <w:p>
      <w:pPr>
        <w:ind w:left="200" w:right="200" w:firstLine="434"/>
        <w:spacing w:after="0" w:line="294"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2"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12"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shares of our common stock are subscribed or purchased under Section 275 by a relevant person which is:</w:t>
      </w:r>
    </w:p>
    <w:p>
      <w:pPr>
        <w:spacing w:after="0" w:line="125" w:lineRule="exact"/>
        <w:rPr>
          <w:sz w:val="20"/>
          <w:szCs w:val="20"/>
          <w:color w:val="auto"/>
        </w:rPr>
      </w:pPr>
    </w:p>
    <w:p>
      <w:pPr>
        <w:ind w:left="1160" w:right="40" w:hanging="535"/>
        <w:spacing w:after="0" w:line="266"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40"/>
          </w:cols>
          <w:pgMar w:left="320" w:top="454" w:right="5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360" w:hanging="535"/>
        <w:spacing w:after="0" w:line="266"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79"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6" w:lineRule="exact"/>
        <w:rPr>
          <w:sz w:val="20"/>
          <w:szCs w:val="20"/>
          <w:color w:val="auto"/>
        </w:rPr>
      </w:pPr>
    </w:p>
    <w:p>
      <w:pPr>
        <w:ind w:left="1160" w:right="300" w:hanging="535"/>
        <w:spacing w:after="0" w:line="266" w:lineRule="auto"/>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Section 275(1A), and in accordance with the conditions, specified in Section 275 of the SFA;</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Japan</w:t>
      </w:r>
    </w:p>
    <w:p>
      <w:pPr>
        <w:spacing w:after="0" w:line="112" w:lineRule="exact"/>
        <w:rPr>
          <w:sz w:val="20"/>
          <w:szCs w:val="20"/>
          <w:color w:val="auto"/>
        </w:rPr>
      </w:pPr>
    </w:p>
    <w:p>
      <w:pPr>
        <w:ind w:left="200" w:firstLine="434"/>
        <w:spacing w:after="0" w:line="329"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4"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2"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Non-QII Investors</w:t>
      </w:r>
    </w:p>
    <w:p>
      <w:pPr>
        <w:spacing w:after="0" w:line="11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40"/>
          </w:cols>
          <w:pgMar w:left="320" w:top="454" w:right="5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4"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EXPERTS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consolidated financial statements of Sun Country Airlines Holdings, Inc. as of December 31, 2020 and 2019, for the years ended</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2020 and 2019 and for the periods from January 1, 2018 to April 10, 2018 and April 11, 2018 to December 31, 2018 have been included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herein in reliance upon the report of KPMG LLP, independent registered public accounting firm, appearing elsewhere herein, and upon the authority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said firm as experts in accounting and auditing. The audit report covering the December 31, 2020 consolidated financial statements refers to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change in its method of accounting for revenue recognition and leases as of January 1, 2019 due to the adoption of Accounting Standards</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900"/>
          </w:cols>
          <w:pgMar w:left="320" w:top="454" w:right="6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4" w:lineRule="exact"/>
        <w:rPr>
          <w:sz w:val="20"/>
          <w:szCs w:val="20"/>
          <w:color w:val="auto"/>
        </w:rPr>
      </w:pPr>
    </w:p>
    <w:p>
      <w:pPr>
        <w:ind w:left="200" w:right="100" w:firstLine="434"/>
        <w:spacing w:after="0" w:line="286" w:lineRule="auto"/>
        <w:rPr>
          <w:sz w:val="20"/>
          <w:szCs w:val="20"/>
          <w:color w:val="auto"/>
        </w:rPr>
      </w:pPr>
      <w:r>
        <w:rPr>
          <w:rFonts w:ascii="Arial" w:cs="Arial" w:eastAsia="Arial" w:hAnsi="Arial"/>
          <w:sz w:val="16"/>
          <w:szCs w:val="16"/>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167"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registrants that file electronically with the SEC. The SEC’s website address is www.sec.gov.</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After we have completed this offering, we will file annual, quarterly and current reports, proxy statements and other information with the SEC. We intend to make these filings available on our website (www.suncountry.com) once this offering is completed.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40"/>
          </w:cols>
          <w:pgMar w:left="320" w:top="454"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360" w:type="dxa"/>
            <w:vAlign w:val="bottom"/>
            <w:gridSpan w:val="5"/>
            <w:vMerge w:val="restart"/>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7"/>
        </w:trPr>
        <w:tc>
          <w:tcPr>
            <w:tcW w:w="536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96"/>
        </w:trPr>
        <w:tc>
          <w:tcPr>
            <w:tcW w:w="5360" w:type="dxa"/>
            <w:vAlign w:val="bottom"/>
            <w:gridSpan w:val="5"/>
          </w:tcPr>
          <w:p>
            <w:pPr>
              <w:spacing w:after="0"/>
              <w:rPr>
                <w:sz w:val="20"/>
                <w:szCs w:val="20"/>
                <w:color w:val="auto"/>
              </w:rPr>
            </w:pPr>
            <w:r>
              <w:rPr>
                <w:rFonts w:ascii="Arial" w:cs="Arial" w:eastAsia="Arial" w:hAnsi="Arial"/>
                <w:sz w:val="18"/>
                <w:szCs w:val="18"/>
                <w:color w:val="auto"/>
              </w:rPr>
              <w:t>Audited Consolidated Financial Statements</w:t>
            </w: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5000" w:type="dxa"/>
            <w:vAlign w:val="bottom"/>
            <w:gridSpan w:val="4"/>
          </w:tcPr>
          <w:p>
            <w:pPr>
              <w:spacing w:after="0"/>
              <w:rPr>
                <w:rFonts w:ascii="Arial" w:cs="Arial" w:eastAsia="Arial" w:hAnsi="Arial"/>
                <w:sz w:val="18"/>
                <w:szCs w:val="18"/>
                <w:u w:val="single" w:color="auto"/>
                <w:color w:val="0000EE"/>
                <w:w w:val="95"/>
              </w:rPr>
            </w:pPr>
            <w:hyperlink w:anchor="page199">
              <w:r>
                <w:rPr>
                  <w:rFonts w:ascii="Arial" w:cs="Arial" w:eastAsia="Arial" w:hAnsi="Arial"/>
                  <w:sz w:val="18"/>
                  <w:szCs w:val="18"/>
                  <w:u w:val="single" w:color="auto"/>
                  <w:color w:val="0000EE"/>
                  <w:w w:val="95"/>
                </w:rPr>
                <w:t>Consolidated Balance Sheets as of December 31, 2020 and 2019</w:t>
              </w:r>
            </w:hyperlink>
          </w:p>
        </w:tc>
        <w:tc>
          <w:tcPr>
            <w:tcW w:w="5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5000" w:type="dxa"/>
            <w:vAlign w:val="bottom"/>
            <w:gridSpan w:val="4"/>
          </w:tcPr>
          <w:p>
            <w:pPr>
              <w:spacing w:after="0" w:line="185" w:lineRule="exact"/>
              <w:rPr>
                <w:rFonts w:ascii="Arial" w:cs="Arial" w:eastAsia="Arial" w:hAnsi="Arial"/>
                <w:sz w:val="18"/>
                <w:szCs w:val="18"/>
                <w:color w:val="0000EE"/>
                <w:w w:val="88"/>
              </w:rPr>
            </w:pPr>
            <w:hyperlink w:anchor="page201">
              <w:r>
                <w:rPr>
                  <w:rFonts w:ascii="Arial" w:cs="Arial" w:eastAsia="Arial" w:hAnsi="Arial"/>
                  <w:sz w:val="18"/>
                  <w:szCs w:val="18"/>
                  <w:color w:val="0000EE"/>
                  <w:w w:val="88"/>
                </w:rPr>
                <w:t>Consolidated Statements of Operations for the years ended December</w:t>
              </w:r>
            </w:hyperlink>
          </w:p>
        </w:tc>
        <w:tc>
          <w:tcPr>
            <w:tcW w:w="4840" w:type="dxa"/>
            <w:vAlign w:val="bottom"/>
            <w:gridSpan w:val="5"/>
          </w:tcPr>
          <w:p>
            <w:pPr>
              <w:ind w:left="20"/>
              <w:spacing w:after="0" w:line="185" w:lineRule="exact"/>
              <w:rPr>
                <w:rFonts w:ascii="Arial" w:cs="Arial" w:eastAsia="Arial" w:hAnsi="Arial"/>
                <w:sz w:val="18"/>
                <w:szCs w:val="18"/>
                <w:color w:val="0000EE"/>
                <w:w w:val="95"/>
              </w:rPr>
            </w:pPr>
            <w:hyperlink w:anchor="page201">
              <w:r>
                <w:rPr>
                  <w:rFonts w:ascii="Arial" w:cs="Arial" w:eastAsia="Arial" w:hAnsi="Arial"/>
                  <w:sz w:val="18"/>
                  <w:szCs w:val="18"/>
                  <w:color w:val="0000EE"/>
                  <w:w w:val="95"/>
                </w:rPr>
                <w:t>31, 2020 and 2019 and for the periods from January 1, 2018 to</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4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April 10, 2018 and April 11, 2018 to December 31, 2018</w:t>
              </w:r>
            </w:hyperlink>
          </w:p>
        </w:tc>
        <w:tc>
          <w:tcPr>
            <w:tcW w:w="7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840" w:type="dxa"/>
            <w:vAlign w:val="bottom"/>
            <w:gridSpan w:val="9"/>
          </w:tcPr>
          <w:p>
            <w:pPr>
              <w:spacing w:after="0" w:line="193"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Consolidated Statements of Changes in Stockholders’ Equity for the years ended December 31, 2020 and 2019 and for the periods from</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38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January 1, 2018 to April 10, 2018 and April 11, 2018 to December 31, 2018</w:t>
              </w:r>
            </w:hyperlink>
          </w:p>
        </w:tc>
        <w:tc>
          <w:tcPr>
            <w:tcW w:w="4060" w:type="dxa"/>
            <w:vAlign w:val="bottom"/>
            <w:tcBorders>
              <w:top w:val="single" w:sz="8" w:color="0000EE"/>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5000" w:type="dxa"/>
            <w:vAlign w:val="bottom"/>
            <w:gridSpan w:val="4"/>
          </w:tcPr>
          <w:p>
            <w:pPr>
              <w:spacing w:after="0" w:line="193" w:lineRule="exact"/>
              <w:rPr>
                <w:rFonts w:ascii="Arial" w:cs="Arial" w:eastAsia="Arial" w:hAnsi="Arial"/>
                <w:sz w:val="18"/>
                <w:szCs w:val="18"/>
                <w:color w:val="0000EE"/>
                <w:w w:val="87"/>
              </w:rPr>
            </w:pPr>
            <w:hyperlink w:anchor="page203">
              <w:r>
                <w:rPr>
                  <w:rFonts w:ascii="Arial" w:cs="Arial" w:eastAsia="Arial" w:hAnsi="Arial"/>
                  <w:sz w:val="18"/>
                  <w:szCs w:val="18"/>
                  <w:color w:val="0000EE"/>
                  <w:w w:val="87"/>
                </w:rPr>
                <w:t>Consolidated Statements of Cash Flows for the years ended December</w:t>
              </w:r>
            </w:hyperlink>
          </w:p>
        </w:tc>
        <w:tc>
          <w:tcPr>
            <w:tcW w:w="4840" w:type="dxa"/>
            <w:vAlign w:val="bottom"/>
            <w:gridSpan w:val="5"/>
          </w:tcPr>
          <w:p>
            <w:pPr>
              <w:ind w:left="80"/>
              <w:spacing w:after="0" w:line="193"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31, 2020 and 2019 and for the periods from January 1, 2018 to</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820" w:type="dxa"/>
            <w:vAlign w:val="bottom"/>
            <w:tcBorders>
              <w:top w:val="single" w:sz="8" w:color="0000EE"/>
            </w:tcBorders>
            <w:gridSpan w:val="3"/>
          </w:tcPr>
          <w:p>
            <w:pPr>
              <w:spacing w:after="0" w:line="193" w:lineRule="exact"/>
              <w:rPr>
                <w:rFonts w:ascii="Arial" w:cs="Arial" w:eastAsia="Arial" w:hAnsi="Arial"/>
                <w:sz w:val="18"/>
                <w:szCs w:val="18"/>
                <w:color w:val="0000EE"/>
              </w:rPr>
            </w:pPr>
            <w:hyperlink w:anchor="page203">
              <w:r>
                <w:rPr>
                  <w:rFonts w:ascii="Arial" w:cs="Arial" w:eastAsia="Arial" w:hAnsi="Arial"/>
                  <w:sz w:val="18"/>
                  <w:szCs w:val="18"/>
                  <w:color w:val="0000EE"/>
                </w:rPr>
                <w:t>April 10, 2018 and April 11, 2018 to December 31, 2018</w:t>
              </w:r>
            </w:hyperlink>
          </w:p>
        </w:tc>
        <w:tc>
          <w:tcPr>
            <w:tcW w:w="56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0" w:type="dxa"/>
            <w:vAlign w:val="bottom"/>
          </w:tcPr>
          <w:p>
            <w:pPr>
              <w:spacing w:after="0"/>
              <w:rPr>
                <w:sz w:val="20"/>
                <w:szCs w:val="20"/>
                <w:color w:val="auto"/>
              </w:rPr>
            </w:pPr>
          </w:p>
        </w:tc>
        <w:tc>
          <w:tcPr>
            <w:tcW w:w="5000" w:type="dxa"/>
            <w:vAlign w:val="bottom"/>
            <w:gridSpan w:val="4"/>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Notes to Consolidated Financial Statements</w:t>
              </w:r>
            </w:hyperlink>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59"/>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ind w:left="72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4" w:right="5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Sun Country Airlines Holdings, Inc.:</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2" w:lineRule="exact"/>
        <w:rPr>
          <w:sz w:val="20"/>
          <w:szCs w:val="20"/>
          <w:color w:val="auto"/>
        </w:rPr>
      </w:pPr>
    </w:p>
    <w:p>
      <w:pPr>
        <w:ind w:left="200"/>
        <w:spacing w:after="0" w:line="249"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Accounting Principle</w:t>
      </w:r>
    </w:p>
    <w:p>
      <w:pPr>
        <w:spacing w:after="0" w:line="112"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w:t>
      </w:r>
      <w:r>
        <w:rPr>
          <w:rFonts w:ascii="Arial" w:cs="Arial" w:eastAsia="Arial" w:hAnsi="Arial"/>
          <w:sz w:val="18"/>
          <w:szCs w:val="18"/>
          <w:i w:val="1"/>
          <w:iCs w:val="1"/>
          <w:color w:val="auto"/>
        </w:rPr>
        <w:t>, Leases.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11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KPMG LLP</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23, 2021, except for the third and fourth paragraphs of Note 20 – Subsequent Events, as to which the date is March 8, 2021.</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320" w:top="454" w:right="5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768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Accounts Receivable, net of an allowance for credit losses of $224 and $630, respectively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22,408</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Lessor Maintenance Deposits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Inventory, net of a reserve for obsolescence of $996 and $550, respectively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Derivative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6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112,525</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&amp; Equipment, net: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Aircraft and Flight Equipment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142,100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 and Ground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Computer Hardware and Software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201,026</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Rotable Parts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&amp;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372,805</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Accumulated Depreciation &amp; Amortization</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(65,065)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(27,728)</w:t>
            </w: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Property &amp; Equipment, net</w:t>
            </w: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345,077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Other Intangible Assets,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97,110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Aircraft Lease Deposits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Lessor Maintenance Deposits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680" w:type="dxa"/>
            <w:vAlign w:val="bottom"/>
          </w:tcPr>
          <w:p>
            <w:pPr>
              <w:ind w:left="680"/>
              <w:spacing w:after="0"/>
              <w:rPr>
                <w:sz w:val="20"/>
                <w:szCs w:val="20"/>
                <w:color w:val="auto"/>
              </w:rPr>
            </w:pPr>
            <w:r>
              <w:rPr>
                <w:rFonts w:ascii="Arial" w:cs="Arial" w:eastAsia="Arial" w:hAnsi="Arial"/>
                <w:sz w:val="18"/>
                <w:szCs w:val="18"/>
                <w:color w:val="auto"/>
              </w:rPr>
              <w:t>Total Other Assets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550,274</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1,007,876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60"/>
          </w:cols>
          <w:pgMar w:left="320" w:top="454"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86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16,621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Transportation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Air Traffic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101,075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116,660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14,092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13,197</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353,551</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37,409</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141,879</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73,720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8640" w:type="dxa"/>
            <w:vAlign w:val="bottom"/>
          </w:tcPr>
          <w:p>
            <w:pPr>
              <w:ind w:left="680"/>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370,601</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724,152</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239,141</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864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w w:val="91"/>
              </w:rPr>
              <w:t>At December 31, 2020, common stock $0.01 par value, 94,443,000 shares authorized, 46,839,659 issued. At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December 31, 2019, common stock with no par value, 94,443,000 shares authorized, 6,800,065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and warrants to acquire common stock at an exercise price of approximately $0.0005 of 40,005,885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Loans to Stockholders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42,228</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283,724</w:t>
            </w:r>
          </w:p>
        </w:tc>
        <w:tc>
          <w:tcPr>
            <w:tcW w:w="120" w:type="dxa"/>
            <w:vAlign w:val="bottom"/>
            <w:shd w:val="clear" w:color="auto" w:fill="CCEEFF"/>
          </w:tcPr>
          <w:p>
            <w:pPr>
              <w:spacing w:after="0"/>
              <w:rPr>
                <w:sz w:val="18"/>
                <w:szCs w:val="18"/>
                <w:color w:val="auto"/>
              </w:rPr>
            </w:pPr>
          </w:p>
        </w:tc>
      </w:tr>
      <w:tr>
        <w:trPr>
          <w:trHeight w:val="219"/>
        </w:trPr>
        <w:tc>
          <w:tcPr>
            <w:tcW w:w="8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1,007,876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60"/>
          </w:cols>
          <w:pgMar w:left="320" w:top="454"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6"/>
          </w:tcPr>
          <w:p>
            <w:pPr>
              <w:jc w:val="right"/>
              <w:ind w:right="580"/>
              <w:spacing w:after="0" w:line="140" w:lineRule="exact"/>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2"/>
              <w:spacing w:after="0" w:line="140" w:lineRule="exact"/>
              <w:rPr>
                <w:sz w:val="20"/>
                <w:szCs w:val="20"/>
                <w:color w:val="auto"/>
              </w:rPr>
            </w:pPr>
            <w:r>
              <w:rPr>
                <w:rFonts w:ascii="Arial" w:cs="Arial" w:eastAsia="Arial" w:hAnsi="Arial"/>
                <w:sz w:val="14"/>
                <w:szCs w:val="14"/>
                <w:b w:val="1"/>
                <w:bCs w:val="1"/>
                <w:color w:val="auto"/>
                <w:w w:val="92"/>
              </w:rPr>
              <w:t>For the Period</w:t>
            </w: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3"/>
              <w:spacing w:after="0" w:line="140" w:lineRule="exact"/>
              <w:rPr>
                <w:sz w:val="20"/>
                <w:szCs w:val="20"/>
                <w:color w:val="auto"/>
              </w:rPr>
            </w:pPr>
            <w:r>
              <w:rPr>
                <w:rFonts w:ascii="Arial" w:cs="Arial" w:eastAsia="Arial" w:hAnsi="Arial"/>
                <w:sz w:val="14"/>
                <w:szCs w:val="14"/>
                <w:b w:val="1"/>
                <w:bCs w:val="1"/>
                <w:color w:val="auto"/>
                <w:w w:val="92"/>
              </w:rPr>
              <w:t>For the Period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Borders>
              <w:right w:val="single" w:sz="8" w:color="auto"/>
            </w:tcBorders>
            <w:gridSpan w:val="3"/>
            <w:vMerge w:val="restart"/>
          </w:tcPr>
          <w:p>
            <w:pPr>
              <w:jc w:val="right"/>
              <w:ind w:right="620"/>
              <w:spacing w:after="0" w:line="124" w:lineRule="exact"/>
              <w:rPr>
                <w:sz w:val="20"/>
                <w:szCs w:val="20"/>
                <w:color w:val="auto"/>
              </w:rPr>
            </w:pPr>
            <w:r>
              <w:rPr>
                <w:rFonts w:ascii="Arial" w:cs="Arial" w:eastAsia="Arial" w:hAnsi="Arial"/>
                <w:sz w:val="14"/>
                <w:szCs w:val="14"/>
                <w:b w:val="1"/>
                <w:bCs w:val="1"/>
                <w:color w:val="auto"/>
                <w:w w:val="96"/>
              </w:rPr>
              <w:t>April 11, 2018 to</w:t>
            </w:r>
          </w:p>
        </w:tc>
        <w:tc>
          <w:tcPr>
            <w:tcW w:w="1560" w:type="dxa"/>
            <w:vAlign w:val="bottom"/>
            <w:gridSpan w:val="4"/>
            <w:vMerge w:val="restart"/>
          </w:tcPr>
          <w:p>
            <w:pPr>
              <w:ind w:left="320"/>
              <w:spacing w:after="0" w:line="124" w:lineRule="exact"/>
              <w:rPr>
                <w:sz w:val="20"/>
                <w:szCs w:val="20"/>
                <w:color w:val="auto"/>
              </w:rPr>
            </w:pPr>
            <w:r>
              <w:rPr>
                <w:rFonts w:ascii="Arial" w:cs="Arial" w:eastAsia="Arial" w:hAnsi="Arial"/>
                <w:sz w:val="14"/>
                <w:szCs w:val="14"/>
                <w:b w:val="1"/>
                <w:bCs w:val="1"/>
                <w:color w:val="auto"/>
              </w:rPr>
              <w:t>January 1, 2018 to</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Borders>
              <w:right w:val="single" w:sz="8" w:color="auto"/>
            </w:tcBorders>
            <w:gridSpan w:val="3"/>
            <w:vMerge w:val="continue"/>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Borders>
              <w:right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April 10,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Revenues:</w:t>
            </w: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359,232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688,833</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335,824</w:t>
            </w:r>
          </w:p>
        </w:tc>
        <w:tc>
          <w:tcPr>
            <w:tcW w:w="540" w:type="dxa"/>
            <w:vAlign w:val="bottom"/>
            <w:tcBorders>
              <w:right w:val="single" w:sz="8" w:color="auto"/>
            </w:tcBorders>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49,107</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384,931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119,553</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90,263</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15,491</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14,405</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 Handling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Landing Fees and Airport Rent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25,977</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40,877</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377,699</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 (Loss) before Income Tax</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 (Benefit)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Income / (Loss)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80" w:type="dxa"/>
            <w:vAlign w:val="bottom"/>
            <w:gridSpan w:val="2"/>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46,072</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(367)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per share to common stockholders: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0.96</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shd w:val="clear" w:color="auto" w:fill="CCEEFF"/>
          </w:tcPr>
          <w:p>
            <w:pPr>
              <w:jc w:val="right"/>
              <w:ind w:right="500"/>
              <w:spacing w:after="0" w:line="206" w:lineRule="exact"/>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46,806,042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46,773,038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46,700,990</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46,806,042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47,909,413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46,700,990</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 Forma Net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share—Basic and diluted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Pro Forma shares used for computation—Basic and diluted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60"/>
          </w:cols>
          <w:pgMar w:left="320" w:top="454"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right="4420"/>
        <w:spacing w:after="0" w:line="273" w:lineRule="auto"/>
        <w:rPr>
          <w:sz w:val="20"/>
          <w:szCs w:val="20"/>
          <w:color w:val="auto"/>
        </w:rPr>
      </w:pPr>
      <w:r>
        <w:rPr>
          <w:rFonts w:ascii="Arial" w:cs="Arial" w:eastAsia="Arial" w:hAnsi="Arial"/>
          <w:sz w:val="18"/>
          <w:szCs w:val="18"/>
          <w:b w:val="1"/>
          <w:bCs w:val="1"/>
          <w:color w:val="auto"/>
        </w:rPr>
        <w:t>CONSOLIDATED STATEMENTS OF CHANGES IN STOCKHOLDERS’ EQUITY (Dollars in thousands, except per share amounts)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Predecessor</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Year Ended December 31, 2018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00" w:type="dxa"/>
            <w:vAlign w:val="bottom"/>
            <w:gridSpan w:val="4"/>
            <w:vMerge w:val="continue"/>
          </w:tcPr>
          <w:p>
            <w:pPr>
              <w:spacing w:after="0"/>
              <w:rPr>
                <w:sz w:val="10"/>
                <w:szCs w:val="1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January 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100,000,000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Distributions to Stockholder</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4"/>
            <w:vMerge w:val="restart"/>
          </w:tcPr>
          <w:p>
            <w:pPr>
              <w:spacing w:after="0"/>
              <w:rPr>
                <w:sz w:val="20"/>
                <w:szCs w:val="20"/>
                <w:color w:val="auto"/>
              </w:rPr>
            </w:pPr>
            <w:r>
              <w:rPr>
                <w:rFonts w:ascii="Arial" w:cs="Arial" w:eastAsia="Arial" w:hAnsi="Arial"/>
                <w:sz w:val="18"/>
                <w:szCs w:val="18"/>
                <w:color w:val="auto"/>
              </w:rPr>
              <w:t>April 10, 2018</w:t>
            </w: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00" w:type="dxa"/>
            <w:vAlign w:val="bottom"/>
            <w:gridSpan w:val="4"/>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100,000,000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2"/>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400" w:type="dxa"/>
            <w:vAlign w:val="bottom"/>
            <w:gridSpan w:val="4"/>
          </w:tcPr>
          <w:p>
            <w:pPr>
              <w:spacing w:after="0"/>
              <w:rPr>
                <w:sz w:val="20"/>
                <w:szCs w:val="20"/>
                <w:color w:val="auto"/>
              </w:rPr>
            </w:pPr>
            <w:r>
              <w:rPr>
                <w:rFonts w:ascii="Arial" w:cs="Arial" w:eastAsia="Arial" w:hAnsi="Arial"/>
                <w:sz w:val="14"/>
                <w:szCs w:val="14"/>
                <w:b w:val="1"/>
                <w:bCs w:val="1"/>
                <w:color w:val="auto"/>
              </w:rPr>
              <w:t>Successor</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202"/>
              <w:spacing w:after="0"/>
              <w:rPr>
                <w:sz w:val="20"/>
                <w:szCs w:val="20"/>
                <w:color w:val="auto"/>
              </w:rPr>
            </w:pPr>
            <w:r>
              <w:rPr>
                <w:rFonts w:ascii="Arial" w:cs="Arial" w:eastAsia="Arial" w:hAnsi="Arial"/>
                <w:sz w:val="14"/>
                <w:szCs w:val="14"/>
                <w:b w:val="1"/>
                <w:bCs w:val="1"/>
                <w:color w:val="auto"/>
                <w:w w:val="89"/>
              </w:rPr>
              <w:t>Loans to</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vMerge w:val="restart"/>
          </w:tcPr>
          <w:p>
            <w:pPr>
              <w:jc w:val="right"/>
              <w:ind w:right="62"/>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Capital Purchase on April 11, 2018—Warrants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165,711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165,711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Capital Purchase on April 11, 2018—Shares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5,326,755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Capital Contribution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Stockholders Capital Contribution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1,416,645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373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6,743,400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5"/>
              <w:spacing w:after="0" w:line="117"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2"/>
              <w:spacing w:after="0" w:line="117" w:lineRule="exact"/>
              <w:rPr>
                <w:sz w:val="20"/>
                <w:szCs w:val="20"/>
                <w:color w:val="auto"/>
              </w:rPr>
            </w:pPr>
            <w:r>
              <w:rPr>
                <w:rFonts w:ascii="Arial" w:cs="Arial" w:eastAsia="Arial" w:hAnsi="Arial"/>
                <w:sz w:val="13"/>
                <w:szCs w:val="13"/>
                <w:b w:val="1"/>
                <w:bCs w:val="1"/>
                <w:color w:val="auto"/>
                <w:w w:val="95"/>
              </w:rPr>
              <w:t>Loans to</w:t>
            </w:r>
          </w:p>
        </w:tc>
        <w:tc>
          <w:tcPr>
            <w:tcW w:w="6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tcPr>
          <w:p>
            <w:pPr>
              <w:jc w:val="right"/>
              <w:ind w:right="62"/>
              <w:spacing w:after="0" w:line="117"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December 31,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6,743,400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373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235,647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0" w:type="dxa"/>
            <w:vAlign w:val="bottom"/>
            <w:gridSpan w:val="4"/>
          </w:tcPr>
          <w:p>
            <w:pPr>
              <w:spacing w:after="0"/>
              <w:rPr>
                <w:sz w:val="20"/>
                <w:szCs w:val="20"/>
                <w:color w:val="auto"/>
              </w:rPr>
            </w:pPr>
            <w:r>
              <w:rPr>
                <w:rFonts w:ascii="Arial" w:cs="Arial" w:eastAsia="Arial" w:hAnsi="Arial"/>
                <w:sz w:val="18"/>
                <w:szCs w:val="18"/>
                <w:color w:val="auto"/>
              </w:rPr>
              <w:t>Cumulative Effect of New Revenue Standard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(3,477)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Granted to Stockholders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Amazon Warrants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3,594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1,888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6,800,065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5,855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42,228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5"/>
              <w:spacing w:after="0" w:line="117"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2"/>
              <w:spacing w:after="0" w:line="117" w:lineRule="exact"/>
              <w:rPr>
                <w:sz w:val="20"/>
                <w:szCs w:val="20"/>
                <w:color w:val="auto"/>
              </w:rPr>
            </w:pPr>
            <w:r>
              <w:rPr>
                <w:rFonts w:ascii="Arial" w:cs="Arial" w:eastAsia="Arial" w:hAnsi="Arial"/>
                <w:sz w:val="13"/>
                <w:szCs w:val="13"/>
                <w:b w:val="1"/>
                <w:bCs w:val="1"/>
                <w:color w:val="auto"/>
                <w:w w:val="95"/>
              </w:rPr>
              <w:t>Loans to</w:t>
            </w:r>
          </w:p>
        </w:tc>
        <w:tc>
          <w:tcPr>
            <w:tcW w:w="6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tcPr>
          <w:p>
            <w:pPr>
              <w:jc w:val="right"/>
              <w:ind w:right="62"/>
              <w:spacing w:after="0" w:line="117"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December 31,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6,800,065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5,855</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42,228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0" w:type="dxa"/>
            <w:vAlign w:val="bottom"/>
            <w:gridSpan w:val="4"/>
          </w:tcPr>
          <w:p>
            <w:pPr>
              <w:spacing w:after="0"/>
              <w:rPr>
                <w:sz w:val="20"/>
                <w:szCs w:val="20"/>
                <w:color w:val="auto"/>
              </w:rPr>
            </w:pPr>
            <w:r>
              <w:rPr>
                <w:rFonts w:ascii="Arial" w:cs="Arial" w:eastAsia="Arial" w:hAnsi="Arial"/>
                <w:sz w:val="18"/>
                <w:szCs w:val="18"/>
                <w:color w:val="auto"/>
              </w:rPr>
              <w:t>Exercise of Apollo Warrants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(40,005,885)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40,005,885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Amazon Warrants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1,866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2,110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gridSpan w:val="4"/>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46,839,659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239,162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
              <w:spacing w:after="0"/>
              <w:rPr>
                <w:sz w:val="20"/>
                <w:szCs w:val="20"/>
                <w:color w:val="auto"/>
              </w:rPr>
            </w:pPr>
            <w:r>
              <w:rPr>
                <w:rFonts w:ascii="Arial" w:cs="Arial" w:eastAsia="Arial" w:hAnsi="Arial"/>
                <w:sz w:val="18"/>
                <w:szCs w:val="18"/>
                <w:color w:val="auto"/>
              </w:rPr>
              <w:t>(3,500)</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spacing w:after="0"/>
              <w:rPr>
                <w:sz w:val="20"/>
                <w:szCs w:val="20"/>
                <w:color w:val="auto"/>
              </w:rPr>
            </w:pPr>
            <w:r>
              <w:rPr>
                <w:rFonts w:ascii="Arial" w:cs="Arial" w:eastAsia="Arial" w:hAnsi="Arial"/>
                <w:sz w:val="18"/>
                <w:szCs w:val="18"/>
                <w:color w:val="auto"/>
                <w:w w:val="88"/>
              </w:rPr>
              <w:t>9,831</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38,324</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60"/>
          </w:cols>
          <w:pgMar w:left="320" w:top="454"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Successor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540" w:type="dxa"/>
            <w:vAlign w:val="bottom"/>
            <w:tcBorders>
              <w:top w:val="single" w:sz="8" w:color="auto"/>
            </w:tcBorders>
            <w:gridSpan w:val="6"/>
          </w:tcPr>
          <w:p>
            <w:pPr>
              <w:jc w:val="right"/>
              <w:ind w:right="820"/>
              <w:spacing w:after="0" w:line="113" w:lineRule="exact"/>
              <w:rPr>
                <w:sz w:val="20"/>
                <w:szCs w:val="20"/>
                <w:color w:val="auto"/>
              </w:rPr>
            </w:pPr>
            <w:r>
              <w:rPr>
                <w:rFonts w:ascii="Arial" w:cs="Arial" w:eastAsia="Arial" w:hAnsi="Arial"/>
                <w:sz w:val="12"/>
                <w:szCs w:val="12"/>
                <w:b w:val="1"/>
                <w:bCs w:val="1"/>
                <w:color w:val="auto"/>
              </w:rPr>
              <w:t>Year Ended December 31,</w:t>
            </w: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ind w:right="69"/>
              <w:spacing w:after="0" w:line="113" w:lineRule="exact"/>
              <w:rPr>
                <w:sz w:val="20"/>
                <w:szCs w:val="20"/>
                <w:color w:val="auto"/>
              </w:rPr>
            </w:pPr>
            <w:r>
              <w:rPr>
                <w:rFonts w:ascii="Arial" w:cs="Arial" w:eastAsia="Arial" w:hAnsi="Arial"/>
                <w:sz w:val="12"/>
                <w:szCs w:val="12"/>
                <w:b w:val="1"/>
                <w:bCs w:val="1"/>
                <w:color w:val="auto"/>
                <w:w w:val="93"/>
              </w:rPr>
              <w:t>For the Period</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30"/>
              <w:spacing w:after="0" w:line="113" w:lineRule="exact"/>
              <w:rPr>
                <w:sz w:val="20"/>
                <w:szCs w:val="20"/>
                <w:color w:val="auto"/>
              </w:rPr>
            </w:pPr>
            <w:r>
              <w:rPr>
                <w:rFonts w:ascii="Arial" w:cs="Arial" w:eastAsia="Arial" w:hAnsi="Arial"/>
                <w:sz w:val="12"/>
                <w:szCs w:val="12"/>
                <w:b w:val="1"/>
                <w:bCs w:val="1"/>
                <w:color w:val="auto"/>
                <w:w w:val="93"/>
              </w:rPr>
              <w:t>For the Period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Borders>
              <w:right w:val="single" w:sz="8" w:color="auto"/>
            </w:tcBorders>
            <w:gridSpan w:val="3"/>
            <w:vMerge w:val="restart"/>
          </w:tcPr>
          <w:p>
            <w:pPr>
              <w:jc w:val="right"/>
              <w:ind w:right="660"/>
              <w:spacing w:after="0" w:line="128" w:lineRule="exact"/>
              <w:rPr>
                <w:sz w:val="20"/>
                <w:szCs w:val="20"/>
                <w:color w:val="auto"/>
              </w:rPr>
            </w:pPr>
            <w:r>
              <w:rPr>
                <w:rFonts w:ascii="Arial" w:cs="Arial" w:eastAsia="Arial" w:hAnsi="Arial"/>
                <w:sz w:val="12"/>
                <w:szCs w:val="12"/>
                <w:b w:val="1"/>
                <w:bCs w:val="1"/>
                <w:color w:val="auto"/>
                <w:w w:val="99"/>
              </w:rPr>
              <w:t>April 11, 2018 to</w:t>
            </w:r>
          </w:p>
        </w:tc>
        <w:tc>
          <w:tcPr>
            <w:tcW w:w="1440" w:type="dxa"/>
            <w:vAlign w:val="bottom"/>
            <w:gridSpan w:val="4"/>
            <w:vMerge w:val="restart"/>
          </w:tcPr>
          <w:p>
            <w:pPr>
              <w:jc w:val="center"/>
              <w:ind w:left="190"/>
              <w:spacing w:after="0" w:line="128" w:lineRule="exact"/>
              <w:rPr>
                <w:sz w:val="20"/>
                <w:szCs w:val="20"/>
                <w:color w:val="auto"/>
              </w:rPr>
            </w:pPr>
            <w:r>
              <w:rPr>
                <w:rFonts w:ascii="Arial" w:cs="Arial" w:eastAsia="Arial" w:hAnsi="Arial"/>
                <w:sz w:val="12"/>
                <w:szCs w:val="12"/>
                <w:b w:val="1"/>
                <w:bCs w:val="1"/>
                <w:color w:val="auto"/>
                <w:w w:val="94"/>
              </w:rPr>
              <w:t>January 1, 2018 to</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9"/>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0"/>
              <w:spacing w:after="0"/>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3"/>
                <w:szCs w:val="13"/>
                <w:color w:val="auto"/>
              </w:rPr>
            </w:pPr>
          </w:p>
        </w:tc>
        <w:tc>
          <w:tcPr>
            <w:tcW w:w="1820" w:type="dxa"/>
            <w:vAlign w:val="bottom"/>
            <w:tcBorders>
              <w:right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rPr>
              <w:t>December 31, 2018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April 10, 2018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Net Income / (Loss)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(3,904)</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46,072</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(367)</w:t>
            </w:r>
          </w:p>
        </w:tc>
        <w:tc>
          <w:tcPr>
            <w:tcW w:w="5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25,910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0" w:type="dxa"/>
            <w:vAlign w:val="bottom"/>
          </w:tcPr>
          <w:p>
            <w:pPr>
              <w:ind w:left="120"/>
              <w:spacing w:after="0" w:line="124" w:lineRule="exact"/>
              <w:rPr>
                <w:sz w:val="20"/>
                <w:szCs w:val="20"/>
                <w:color w:val="auto"/>
              </w:rPr>
            </w:pPr>
            <w:r>
              <w:rPr>
                <w:rFonts w:ascii="Arial" w:cs="Arial" w:eastAsia="Arial" w:hAnsi="Arial"/>
                <w:sz w:val="14"/>
                <w:szCs w:val="14"/>
                <w:b w:val="1"/>
                <w:bCs w:val="1"/>
                <w:color w:val="auto"/>
                <w:w w:val="96"/>
              </w:rPr>
              <w:t>Adjustments to reconcile Net Income / (Loss) to Cash from Operating</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ind w:left="260"/>
              <w:spacing w:after="0"/>
              <w:rPr>
                <w:sz w:val="20"/>
                <w:szCs w:val="20"/>
                <w:color w:val="auto"/>
              </w:rPr>
            </w:pPr>
            <w:r>
              <w:rPr>
                <w:rFonts w:ascii="Arial" w:cs="Arial" w:eastAsia="Arial" w:hAnsi="Arial"/>
                <w:sz w:val="14"/>
                <w:szCs w:val="14"/>
                <w:b w:val="1"/>
                <w:bCs w:val="1"/>
                <w:color w:val="auto"/>
              </w:rPr>
              <w:t>Activities: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48,086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34,877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14,405</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Reduction in Operating Lease Right-of-use Assets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25,880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33,541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Loss on Asset Transactions, net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1,249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(811)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Unrealized Loss (Gain) on Fuel Derivatives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12,206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(10,791)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12,006</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Amortization of Over-market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(10,421)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(14,064)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(17,275)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14,022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147</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Amazon Warrants Vested</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1,866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2,110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1,888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373</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1,523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Changes in Operating Assets and 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(6,282)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(11,353)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20,732</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8,148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Due From Predecessor Parent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(7,370)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156</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2,278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(6,171)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Lessor Maintenance Deposits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(9,415)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(17,466)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(14,193)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Aircraft Lease Deposits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1,290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(1,179)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133</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(5,447)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(718)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(7,174)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9,037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(9,710)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21,690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Accrued Transportation Taxes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(7,845)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(1,868)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Air Traffic 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(15,584)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11,309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33,470</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(33,983)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Loyalty Program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(5,925)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(13,216)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Reduction in Operating Lease Obligations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(28,352)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(34,365)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3,635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(3,581)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374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63,272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13,764</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4,583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Purchases of Property &amp; Equipment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(96,298)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(69,816)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(78,687)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the sale of Property &amp; Equipment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Purchase of Investments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(3,394)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(5,372)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the Sale of Investments</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997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3,646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3,236</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(96,028)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(69,564)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(80,823)</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Cash Contributions from Stockholders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47,866</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Cash Distributions to Stockholder</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(10,549)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Proceeds Received from Exercise of Apollo Warrants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Borrowings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265,307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41,630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63,341</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Proceeds received for Amazon Warrants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4,667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Repayment of Finance Lease Obligations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(89,697)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(8,258)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(3,160)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Repayment of Borrowings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(69,906)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(10,153)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(5,854)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(4,186)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(557)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101,539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27,329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102,193</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(10,680)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4"/>
              </w:rPr>
              <w:t>Net Increase / (Decrease) in Cash, Cash Equivalents and Restricted Cash</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5,885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21,037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35,133</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(8,691)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b w:val="1"/>
                <w:bCs w:val="1"/>
                <w:color w:val="auto"/>
                <w:w w:val="97"/>
              </w:rPr>
              <w:t>Cash, Cash Equivalents and Restricted Cash—Beginning of the Period</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43,441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8,308</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16,999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Cash Equivalents and Restricted Cash—End of the Period</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70,363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43,441</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Cash Payments for Interest</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20,304</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16,424</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4,364</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Cash Payments for Income Taxes, net</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385</w:t>
            </w:r>
          </w:p>
        </w:tc>
        <w:tc>
          <w:tcPr>
            <w:tcW w:w="260" w:type="dxa"/>
            <w:vAlign w:val="bottom"/>
          </w:tcPr>
          <w:p>
            <w:pPr>
              <w:spacing w:after="0"/>
              <w:rPr>
                <w:sz w:val="12"/>
                <w:szCs w:val="12"/>
                <w:color w:val="auto"/>
              </w:rPr>
            </w:pP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11</w:t>
            </w:r>
          </w:p>
        </w:tc>
        <w:tc>
          <w:tcPr>
            <w:tcW w:w="580" w:type="dxa"/>
            <w:vAlign w:val="bottom"/>
            <w:tcBorders>
              <w:right w:val="single" w:sz="8" w:color="auto"/>
            </w:tcBorders>
          </w:tcPr>
          <w:p>
            <w:pPr>
              <w:spacing w:after="0"/>
              <w:rPr>
                <w:sz w:val="12"/>
                <w:szCs w:val="12"/>
                <w:color w:val="auto"/>
              </w:rPr>
            </w:pP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Non-cash transactions: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Lease Deposits Applied Against the Purchase of Aircraft.</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19,976</w:t>
            </w:r>
          </w:p>
        </w:tc>
        <w:tc>
          <w:tcPr>
            <w:tcW w:w="260" w:type="dxa"/>
            <w:vAlign w:val="bottom"/>
          </w:tcPr>
          <w:p>
            <w:pPr>
              <w:spacing w:after="0"/>
              <w:rPr>
                <w:sz w:val="12"/>
                <w:szCs w:val="12"/>
                <w:color w:val="auto"/>
              </w:rPr>
            </w:pP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Aircraft and Flight Equipment Acquired through Finance Leases</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108,978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84,773</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Right-of-use Assets Acquired through Operating Leases</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5,470</w:t>
            </w:r>
          </w:p>
        </w:tc>
        <w:tc>
          <w:tcPr>
            <w:tcW w:w="260" w:type="dxa"/>
            <w:vAlign w:val="bottom"/>
          </w:tcPr>
          <w:p>
            <w:pPr>
              <w:spacing w:after="0"/>
              <w:rPr>
                <w:sz w:val="12"/>
                <w:szCs w:val="12"/>
                <w:color w:val="auto"/>
              </w:rPr>
            </w:pP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Purchases of Property &amp; Equipment in Accounts Payable</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734</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991</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20"/>
              <w:spacing w:after="0"/>
              <w:rPr>
                <w:sz w:val="20"/>
                <w:szCs w:val="20"/>
                <w:color w:val="auto"/>
              </w:rPr>
            </w:pPr>
            <w:r>
              <w:rPr>
                <w:rFonts w:ascii="Arial" w:cs="Arial" w:eastAsia="Arial" w:hAnsi="Arial"/>
                <w:sz w:val="14"/>
                <w:szCs w:val="14"/>
                <w:color w:val="auto"/>
              </w:rPr>
              <w:t>Loans to Stockholders</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3,500</w:t>
            </w:r>
          </w:p>
        </w:tc>
        <w:tc>
          <w:tcPr>
            <w:tcW w:w="580" w:type="dxa"/>
            <w:vAlign w:val="bottom"/>
            <w:tcBorders>
              <w:right w:val="single" w:sz="8" w:color="auto"/>
            </w:tcBorders>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4820" w:type="dxa"/>
            <w:vAlign w:val="bottom"/>
            <w:gridSpan w:val="2"/>
          </w:tcPr>
          <w:p>
            <w:pPr>
              <w:spacing w:after="0"/>
              <w:rPr>
                <w:sz w:val="6"/>
                <w:szCs w:val="6"/>
                <w:color w:val="auto"/>
              </w:rPr>
            </w:pPr>
          </w:p>
        </w:tc>
        <w:tc>
          <w:tcPr>
            <w:tcW w:w="10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7580" w:type="dxa"/>
            <w:vAlign w:val="bottom"/>
            <w:gridSpan w:val="9"/>
            <w:shd w:val="clear" w:color="auto" w:fill="CCEEFF"/>
          </w:tcPr>
          <w:p>
            <w:pPr>
              <w:spacing w:after="0" w:line="128" w:lineRule="exact"/>
              <w:rPr>
                <w:sz w:val="20"/>
                <w:szCs w:val="20"/>
                <w:color w:val="auto"/>
              </w:rPr>
            </w:pPr>
            <w:r>
              <w:rPr>
                <w:rFonts w:ascii="Arial" w:cs="Arial" w:eastAsia="Arial" w:hAnsi="Arial"/>
                <w:sz w:val="14"/>
                <w:szCs w:val="14"/>
                <w:color w:val="auto"/>
              </w:rPr>
              <w:t>The following provides a reconciliation of Cash, Cash Equivalents and Restricted Cash to the amounts reported on the</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Consolidated Balance Sheets:</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Successor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color w:val="auto"/>
              </w:rPr>
              <w:t>December 31, 2020</w:t>
            </w:r>
          </w:p>
        </w:tc>
        <w:tc>
          <w:tcPr>
            <w:tcW w:w="1480" w:type="dxa"/>
            <w:vAlign w:val="bottom"/>
            <w:tcBorders>
              <w:top w:val="single" w:sz="8" w:color="auto"/>
            </w:tcBorders>
            <w:gridSpan w:val="4"/>
          </w:tcPr>
          <w:p>
            <w:pPr>
              <w:jc w:val="center"/>
              <w:ind w:right="40"/>
              <w:spacing w:after="0" w:line="126" w:lineRule="exact"/>
              <w:rPr>
                <w:sz w:val="20"/>
                <w:szCs w:val="20"/>
                <w:color w:val="auto"/>
              </w:rPr>
            </w:pPr>
            <w:r>
              <w:rPr>
                <w:rFonts w:ascii="Arial" w:cs="Arial" w:eastAsia="Arial" w:hAnsi="Arial"/>
                <w:sz w:val="12"/>
                <w:szCs w:val="12"/>
                <w:b w:val="1"/>
                <w:bCs w:val="1"/>
                <w:color w:val="auto"/>
                <w:w w:val="92"/>
              </w:rPr>
              <w:t>December 31, 2019</w:t>
            </w:r>
          </w:p>
        </w:tc>
        <w:tc>
          <w:tcPr>
            <w:tcW w:w="1240" w:type="dxa"/>
            <w:vAlign w:val="bottom"/>
            <w:tcBorders>
              <w:top w:val="single" w:sz="8" w:color="auto"/>
            </w:tcBorders>
            <w:gridSpan w:val="3"/>
          </w:tcPr>
          <w:p>
            <w:pPr>
              <w:ind w:left="220"/>
              <w:spacing w:after="0" w:line="126" w:lineRule="exact"/>
              <w:rPr>
                <w:sz w:val="20"/>
                <w:szCs w:val="20"/>
                <w:color w:val="auto"/>
              </w:rPr>
            </w:pPr>
            <w:r>
              <w:rPr>
                <w:rFonts w:ascii="Arial" w:cs="Arial" w:eastAsia="Arial" w:hAnsi="Arial"/>
                <w:sz w:val="12"/>
                <w:szCs w:val="12"/>
                <w:b w:val="1"/>
                <w:bCs w:val="1"/>
                <w:color w:val="auto"/>
                <w:w w:val="92"/>
              </w:rPr>
              <w:t>December 31, 2018</w:t>
            </w: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0"/>
              <w:spacing w:after="0" w:line="126" w:lineRule="exact"/>
              <w:rPr>
                <w:sz w:val="20"/>
                <w:szCs w:val="20"/>
                <w:color w:val="auto"/>
              </w:rPr>
            </w:pPr>
            <w:r>
              <w:rPr>
                <w:rFonts w:ascii="Arial" w:cs="Arial" w:eastAsia="Arial" w:hAnsi="Arial"/>
                <w:sz w:val="12"/>
                <w:szCs w:val="12"/>
                <w:b w:val="1"/>
                <w:bCs w:val="1"/>
                <w:color w:val="auto"/>
                <w:w w:val="95"/>
              </w:rPr>
              <w:t>April 10, 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Cash and Equivalents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62,028</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51,006</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29,600</w:t>
            </w:r>
          </w:p>
        </w:tc>
        <w:tc>
          <w:tcPr>
            <w:tcW w:w="5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10"/>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8,335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13,472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13,841</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Total Cash, Cash Equivalents and Restricted Cash</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70,363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43,441</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-1704975</wp:posOffset>
            </wp:positionV>
            <wp:extent cx="254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-1687830</wp:posOffset>
            </wp:positionV>
            <wp:extent cx="254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4"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118"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181"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Amazon Agreement</w:t>
      </w:r>
    </w:p>
    <w:p>
      <w:pPr>
        <w:spacing w:after="0" w:line="118" w:lineRule="exact"/>
        <w:rPr>
          <w:sz w:val="20"/>
          <w:szCs w:val="20"/>
          <w:color w:val="auto"/>
        </w:rPr>
      </w:pPr>
    </w:p>
    <w:p>
      <w:pPr>
        <w:ind w:left="200" w:right="80"/>
        <w:spacing w:after="0" w:line="268" w:lineRule="auto"/>
        <w:rPr>
          <w:sz w:val="20"/>
          <w:szCs w:val="20"/>
          <w:color w:val="auto"/>
        </w:rPr>
      </w:pPr>
      <w:r>
        <w:rPr>
          <w:rFonts w:ascii="Arial" w:cs="Arial" w:eastAsia="Arial" w:hAnsi="Arial"/>
          <w:sz w:val="17"/>
          <w:szCs w:val="17"/>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179" w:lineRule="exact"/>
        <w:rPr>
          <w:sz w:val="20"/>
          <w:szCs w:val="20"/>
          <w:color w:val="auto"/>
        </w:rPr>
      </w:pPr>
    </w:p>
    <w:p>
      <w:pPr>
        <w:jc w:val="both"/>
        <w:ind w:left="200" w:right="80"/>
        <w:spacing w:after="0" w:line="256" w:lineRule="auto"/>
        <w:rPr>
          <w:sz w:val="20"/>
          <w:szCs w:val="20"/>
          <w:color w:val="auto"/>
        </w:rPr>
      </w:pPr>
      <w:r>
        <w:rPr>
          <w:rFonts w:ascii="Arial" w:cs="Arial" w:eastAsia="Arial" w:hAnsi="Arial"/>
          <w:sz w:val="18"/>
          <w:szCs w:val="18"/>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189" w:lineRule="exact"/>
        <w:rPr>
          <w:sz w:val="20"/>
          <w:szCs w:val="20"/>
          <w:color w:val="auto"/>
        </w:rPr>
      </w:pPr>
    </w:p>
    <w:p>
      <w:pPr>
        <w:ind w:left="200" w:right="20"/>
        <w:spacing w:after="0" w:line="303" w:lineRule="auto"/>
        <w:rPr>
          <w:sz w:val="20"/>
          <w:szCs w:val="20"/>
          <w:color w:val="auto"/>
        </w:rPr>
      </w:pPr>
      <w:r>
        <w:rPr>
          <w:rFonts w:ascii="Arial" w:cs="Arial" w:eastAsia="Arial" w:hAnsi="Arial"/>
          <w:sz w:val="16"/>
          <w:szCs w:val="16"/>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40"/>
          </w:cols>
          <w:pgMar w:left="320" w:top="454" w:right="5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 stock issued upon exercise of the warrants and the Amazon Agreement remains in effect, Amazon will have the right to nominate a member or an observer to SCA’s board of directors.</w:t>
      </w:r>
    </w:p>
    <w:p>
      <w:pPr>
        <w:spacing w:after="0" w:line="181"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329" w:lineRule="exact"/>
        <w:rPr>
          <w:sz w:val="20"/>
          <w:szCs w:val="20"/>
          <w:color w:val="auto"/>
        </w:rPr>
      </w:pPr>
    </w:p>
    <w:p>
      <w:pPr>
        <w:ind w:left="620" w:hanging="421"/>
        <w:spacing w:after="0"/>
        <w:tabs>
          <w:tab w:leader="none" w:pos="6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12"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Sun Country Airlines Holdings, Inc.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been prepared in accordance with U.S. Generally Accepted Accounting Principles (“GAAP”). All material intercompany balances and transactions have been eliminated in consolidation.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212" w:lineRule="exact"/>
        <w:rPr>
          <w:sz w:val="20"/>
          <w:szCs w:val="20"/>
          <w:color w:val="auto"/>
        </w:rPr>
      </w:pPr>
    </w:p>
    <w:p>
      <w:pPr>
        <w:ind w:left="200" w:right="240"/>
        <w:spacing w:after="0" w:line="292"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—Preparation of the financial statements in conformity with GAAP requires management to make estimates and assumptions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157" w:lineRule="exact"/>
        <w:rPr>
          <w:sz w:val="20"/>
          <w:szCs w:val="20"/>
          <w:color w:val="auto"/>
        </w:rPr>
      </w:pPr>
    </w:p>
    <w:p>
      <w:pPr>
        <w:jc w:val="both"/>
        <w:ind w:left="200" w:right="100"/>
        <w:spacing w:after="0" w:line="273" w:lineRule="auto"/>
        <w:rPr>
          <w:sz w:val="20"/>
          <w:szCs w:val="20"/>
          <w:color w:val="auto"/>
        </w:rPr>
      </w:pPr>
      <w:r>
        <w:rPr>
          <w:rFonts w:ascii="Arial" w:cs="Arial" w:eastAsia="Arial" w:hAnsi="Arial"/>
          <w:sz w:val="18"/>
          <w:szCs w:val="18"/>
          <w:b w:val="1"/>
          <w:bCs w:val="1"/>
          <w:color w:val="auto"/>
        </w:rPr>
        <w:t>Change in Presentation—</w:t>
      </w:r>
      <w:r>
        <w:rPr>
          <w:rFonts w:ascii="Arial" w:cs="Arial" w:eastAsia="Arial" w:hAnsi="Arial"/>
          <w:sz w:val="18"/>
          <w:szCs w:val="18"/>
          <w:color w:val="auto"/>
        </w:rPr>
        <w:t>The Company changed the prior year presentations within the Consolidated Statements of Cash Flows to present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Accrued Transportation Taxes on its own line, which was previously included in the change in Other Liabilities.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 summary of significant accounting policies consistently applied in the preparation of the accompanying financial statements is as follows:</w:t>
      </w:r>
    </w:p>
    <w:p>
      <w:pPr>
        <w:spacing w:after="0" w:line="241"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b w:val="1"/>
          <w:bCs w:val="1"/>
          <w:color w:val="auto"/>
        </w:rPr>
        <w:t>Cash and Equivalents</w:t>
      </w:r>
      <w:r>
        <w:rPr>
          <w:rFonts w:ascii="Arial" w:cs="Arial" w:eastAsia="Arial" w:hAnsi="Arial"/>
          <w:sz w:val="18"/>
          <w:szCs w:val="18"/>
          <w:color w:val="auto"/>
        </w:rPr>
        <w:t>—The Company considers all highly liquid investments with an original maturity of three months or less to be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maintains cash balances at several financial institutions; at times, such balances may be in excess of insurance limits. The Company has not experienced any losses on these balances.</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—Charter revenue receipts received prior to the date of transportation are recorded as Restricted Cash and as a component of the Air</w:t>
      </w:r>
      <w:r>
        <w:rPr>
          <w:rFonts w:ascii="Arial" w:cs="Arial" w:eastAsia="Arial" w:hAnsi="Arial"/>
          <w:sz w:val="18"/>
          <w:szCs w:val="18"/>
          <w:b w:val="1"/>
          <w:bCs w:val="1"/>
          <w:color w:val="auto"/>
        </w:rPr>
        <w:t xml:space="preserve"> </w:t>
      </w:r>
      <w:r>
        <w:rPr>
          <w:rFonts w:ascii="Arial" w:cs="Arial" w:eastAsia="Arial" w:hAnsi="Arial"/>
          <w:sz w:val="18"/>
          <w:szCs w:val="18"/>
          <w:color w:val="auto"/>
        </w:rPr>
        <w:t>Traffic Liabilities. Department of Transportation (“DOT”) regulations require that charter revenue receipts received prior to the date of transportation are maintained in a separate third-party escrow account and the restrictions are released once transportation is provided, which is typically within 12 months of booking.</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320" w:top="454" w:right="5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right="80"/>
        <w:spacing w:after="0" w:line="337" w:lineRule="auto"/>
        <w:rPr>
          <w:sz w:val="20"/>
          <w:szCs w:val="20"/>
          <w:color w:val="auto"/>
        </w:rPr>
      </w:pPr>
      <w:r>
        <w:rPr>
          <w:rFonts w:ascii="Arial" w:cs="Arial" w:eastAsia="Arial" w:hAnsi="Arial"/>
          <w:sz w:val="16"/>
          <w:szCs w:val="16"/>
          <w:b w:val="1"/>
          <w:bCs w:val="1"/>
          <w:color w:val="auto"/>
        </w:rPr>
        <w:t>Investments—</w:t>
      </w:r>
      <w:r>
        <w:rPr>
          <w:rFonts w:ascii="Arial" w:cs="Arial" w:eastAsia="Arial" w:hAnsi="Arial"/>
          <w:sz w:val="16"/>
          <w:szCs w:val="16"/>
          <w:color w:val="auto"/>
        </w:rPr>
        <w:t>Investments consist of certificates of deposit and are recorded at cost, plus accrued interest. The certificates of deposit serve as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for letters of credit required by various airports and other vendors. All of the certificates have original maturities greater than 90 days.</w:t>
      </w:r>
    </w:p>
    <w:p>
      <w:pPr>
        <w:spacing w:after="0" w:line="122" w:lineRule="exact"/>
        <w:rPr>
          <w:sz w:val="20"/>
          <w:szCs w:val="20"/>
          <w:color w:val="auto"/>
        </w:rPr>
      </w:pPr>
    </w:p>
    <w:p>
      <w:pPr>
        <w:ind w:left="200"/>
        <w:spacing w:after="0" w:line="334" w:lineRule="auto"/>
        <w:rPr>
          <w:sz w:val="20"/>
          <w:szCs w:val="20"/>
          <w:color w:val="auto"/>
        </w:rPr>
      </w:pPr>
      <w:r>
        <w:rPr>
          <w:rFonts w:ascii="Arial" w:cs="Arial" w:eastAsia="Arial" w:hAnsi="Arial"/>
          <w:sz w:val="14"/>
          <w:szCs w:val="14"/>
          <w:b w:val="1"/>
          <w:bCs w:val="1"/>
          <w:color w:val="auto"/>
        </w:rPr>
        <w:t>Accounts Receivable</w:t>
      </w:r>
      <w:r>
        <w:rPr>
          <w:rFonts w:ascii="Arial" w:cs="Arial" w:eastAsia="Arial" w:hAnsi="Arial"/>
          <w:sz w:val="14"/>
          <w:szCs w:val="14"/>
          <w:color w:val="auto"/>
        </w:rPr>
        <w:t>—Accounts receivable are recorded at the amount due from customers and do not bear interest. They consist primarily of amounts</w:t>
      </w:r>
      <w:r>
        <w:rPr>
          <w:rFonts w:ascii="Arial" w:cs="Arial" w:eastAsia="Arial" w:hAnsi="Arial"/>
          <w:sz w:val="14"/>
          <w:szCs w:val="14"/>
          <w:b w:val="1"/>
          <w:bCs w:val="1"/>
          <w:color w:val="auto"/>
        </w:rPr>
        <w:t xml:space="preserve"> </w:t>
      </w:r>
      <w:r>
        <w:rPr>
          <w:rFonts w:ascii="Arial" w:cs="Arial" w:eastAsia="Arial" w:hAnsi="Arial"/>
          <w:sz w:val="14"/>
          <w:szCs w:val="14"/>
          <w:color w:val="auto"/>
        </w:rPr>
        <w:t>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 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134"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b w:val="1"/>
          <w:bCs w:val="1"/>
          <w:color w:val="auto"/>
        </w:rPr>
        <w:t>Lessor Maintenance Deposits</w:t>
      </w:r>
      <w:r>
        <w:rPr>
          <w:rFonts w:ascii="Arial" w:cs="Arial" w:eastAsia="Arial" w:hAnsi="Arial"/>
          <w:sz w:val="17"/>
          <w:szCs w:val="17"/>
          <w:color w:val="auto"/>
        </w:rPr>
        <w:t>—SCA’s aircraft lease agreements provide that SCA pay maintenance reserves monthly to aircraft lessors to be held as</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79"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191"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89"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18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color w:val="auto"/>
        </w:rPr>
        <w:t>Inventory</w:t>
      </w:r>
      <w:r>
        <w:rPr>
          <w:rFonts w:ascii="Arial" w:cs="Arial" w:eastAsia="Arial" w:hAnsi="Arial"/>
          <w:sz w:val="16"/>
          <w:szCs w:val="16"/>
          <w:color w:val="auto"/>
        </w:rPr>
        <w:t>—Parts related to flight equipment, which cannot be economically repaired, reconditioned or reused after removal from the aircraft, are</w:t>
      </w:r>
      <w:r>
        <w:rPr>
          <w:rFonts w:ascii="Arial" w:cs="Arial" w:eastAsia="Arial" w:hAnsi="Arial"/>
          <w:sz w:val="16"/>
          <w:szCs w:val="16"/>
          <w:b w:val="1"/>
          <w:bCs w:val="1"/>
          <w:color w:val="auto"/>
        </w:rPr>
        <w:t xml:space="preserve"> </w:t>
      </w:r>
      <w:r>
        <w:rPr>
          <w:rFonts w:ascii="Arial" w:cs="Arial" w:eastAsia="Arial" w:hAnsi="Arial"/>
          <w:sz w:val="16"/>
          <w:szCs w:val="16"/>
          <w:color w:val="auto"/>
        </w:rPr>
        <w:t>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4" w:right="5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right="160"/>
        <w:spacing w:after="0" w:line="273" w:lineRule="auto"/>
        <w:rPr>
          <w:sz w:val="20"/>
          <w:szCs w:val="20"/>
          <w:color w:val="auto"/>
        </w:rPr>
      </w:pPr>
      <w:r>
        <w:rPr>
          <w:rFonts w:ascii="Arial" w:cs="Arial" w:eastAsia="Arial" w:hAnsi="Arial"/>
          <w:sz w:val="18"/>
          <w:szCs w:val="18"/>
          <w:b w:val="1"/>
          <w:bCs w:val="1"/>
          <w:color w:val="auto"/>
        </w:rPr>
        <w:t>Property &amp; Equipment</w:t>
      </w:r>
      <w:r>
        <w:rPr>
          <w:rFonts w:ascii="Arial" w:cs="Arial" w:eastAsia="Arial" w:hAnsi="Arial"/>
          <w:sz w:val="18"/>
          <w:szCs w:val="18"/>
          <w:color w:val="auto"/>
        </w:rPr>
        <w:t>—Property and equipment are recorded at cost or fair value at the Acquisition Date and depreciated on a straight-line basis to</w:t>
      </w:r>
      <w:r>
        <w:rPr>
          <w:rFonts w:ascii="Arial" w:cs="Arial" w:eastAsia="Arial" w:hAnsi="Arial"/>
          <w:sz w:val="18"/>
          <w:szCs w:val="18"/>
          <w:b w:val="1"/>
          <w:bCs w:val="1"/>
          <w:color w:val="auto"/>
        </w:rPr>
        <w:t xml:space="preserve"> </w:t>
      </w:r>
      <w:r>
        <w:rPr>
          <w:rFonts w:ascii="Arial" w:cs="Arial" w:eastAsia="Arial" w:hAnsi="Arial"/>
          <w:sz w:val="18"/>
          <w:szCs w:val="18"/>
          <w:color w:val="auto"/>
        </w:rPr>
        <w:t>an estimated residual value over their estimated useful lives or lease term, whichever is shorter, as follows:</w:t>
      </w:r>
    </w:p>
    <w:p>
      <w:pPr>
        <w:sectPr>
          <w:pgSz w:w="11900" w:h="16838" w:orient="portrait"/>
          <w:cols w:equalWidth="0" w:num="1">
            <w:col w:w="11000"/>
          </w:cols>
          <w:pgMar w:left="320" w:top="454" w:right="579" w:bottom="1440" w:gutter="0" w:footer="0" w:header="0"/>
        </w:sect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Airframes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Engines—Core</w:t>
      </w:r>
    </w:p>
    <w:p>
      <w:pPr>
        <w:spacing w:after="0" w:line="112" w:lineRule="exact"/>
        <w:rPr>
          <w:sz w:val="20"/>
          <w:szCs w:val="20"/>
          <w:color w:val="auto"/>
        </w:rPr>
      </w:pPr>
    </w:p>
    <w:p>
      <w:pPr>
        <w:ind w:left="820" w:hanging="176"/>
        <w:spacing w:after="0" w:line="266" w:lineRule="auto"/>
        <w:rPr>
          <w:sz w:val="20"/>
          <w:szCs w:val="20"/>
          <w:color w:val="auto"/>
        </w:rPr>
      </w:pPr>
      <w:r>
        <w:rPr>
          <w:rFonts w:ascii="Arial" w:cs="Arial" w:eastAsia="Arial" w:hAnsi="Arial"/>
          <w:sz w:val="18"/>
          <w:szCs w:val="18"/>
          <w:color w:val="auto"/>
        </w:rPr>
        <w:t>Engines—Initial Greentime (time remaining until the first scheduled major maintenance event)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Leasehold Improvements, Aircraft, other</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 and Ground Equipment</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Computer Hardware and Software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under Finance Leases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Rotable Parts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10-25 years (depending on 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7 or 12 years (based on remaining cycles)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scheduled maintenance event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3-25 years (or life of lease, if shorter)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5-7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3-25 years (or life of lease, if shorter)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6-16 years (average remaining life of aircraft fleet)</w:t>
      </w:r>
    </w:p>
    <w:p>
      <w:pPr>
        <w:spacing w:after="0" w:line="222" w:lineRule="exact"/>
        <w:rPr>
          <w:sz w:val="20"/>
          <w:szCs w:val="20"/>
          <w:color w:val="auto"/>
        </w:rPr>
      </w:pPr>
    </w:p>
    <w:p>
      <w:pPr>
        <w:sectPr>
          <w:pgSz w:w="11900" w:h="16838" w:orient="portrait"/>
          <w:cols w:equalWidth="0" w:num="2">
            <w:col w:w="5960" w:space="200"/>
            <w:col w:w="4840"/>
          </w:cols>
          <w:pgMar w:left="320" w:top="454" w:right="579" w:bottom="1440" w:gutter="0" w:footer="0" w:header="0"/>
          <w:type w:val="continuous"/>
        </w:sectPr>
      </w:pPr>
    </w:p>
    <w:p>
      <w:pPr>
        <w:spacing w:after="0" w:line="18" w:lineRule="exact"/>
        <w:rPr>
          <w:sz w:val="20"/>
          <w:szCs w:val="20"/>
          <w:color w:val="auto"/>
        </w:rPr>
      </w:pPr>
    </w:p>
    <w:p>
      <w:pPr>
        <w:ind w:left="200" w:right="340"/>
        <w:spacing w:after="0" w:line="256"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89"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Finance leases are recorded at net present value of future minimum lease payments.</w:t>
      </w:r>
    </w:p>
    <w:p>
      <w:pPr>
        <w:spacing w:after="0" w:line="218"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173"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b w:val="1"/>
          <w:bCs w:val="1"/>
          <w:color w:val="auto"/>
        </w:rPr>
        <w:t>Evaluation of Long-Lived Assets</w:t>
      </w:r>
      <w:r>
        <w:rPr>
          <w:rFonts w:ascii="Arial" w:cs="Arial" w:eastAsia="Arial" w:hAnsi="Arial"/>
          <w:sz w:val="17"/>
          <w:szCs w:val="17"/>
          <w:color w:val="auto"/>
        </w:rPr>
        <w:t>—Long-lived assets, such as Property &amp; Equipment and finite-lived Intangible Assets are reviewed for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years ended December 31, 2020 or 2019 or for the periods April 11, 2018 to December 31, 2018 and January 1, 2018 to April 10, 2018. See Note 3 – Impact of the COVID-19 Pandemic.</w:t>
      </w:r>
    </w:p>
    <w:p>
      <w:pPr>
        <w:spacing w:after="0" w:line="175" w:lineRule="exact"/>
        <w:rPr>
          <w:sz w:val="20"/>
          <w:szCs w:val="20"/>
          <w:color w:val="auto"/>
        </w:rPr>
      </w:pPr>
    </w:p>
    <w:p>
      <w:pPr>
        <w:ind w:left="200" w:right="120"/>
        <w:spacing w:after="0" w:line="273" w:lineRule="auto"/>
        <w:rPr>
          <w:sz w:val="20"/>
          <w:szCs w:val="20"/>
          <w:color w:val="auto"/>
        </w:rPr>
      </w:pPr>
      <w:r>
        <w:rPr>
          <w:rFonts w:ascii="Arial" w:cs="Arial" w:eastAsia="Arial" w:hAnsi="Arial"/>
          <w:sz w:val="18"/>
          <w:szCs w:val="18"/>
          <w:b w:val="1"/>
          <w:bCs w:val="1"/>
          <w:color w:val="auto"/>
        </w:rPr>
        <w:t>Equity Incentive Plan</w:t>
      </w:r>
      <w:r>
        <w:rPr>
          <w:rFonts w:ascii="Arial" w:cs="Arial" w:eastAsia="Arial" w:hAnsi="Arial"/>
          <w:sz w:val="18"/>
          <w:szCs w:val="18"/>
          <w:color w:val="auto"/>
        </w:rPr>
        <w:t>—The Company recognizes all employee equity-based compensation as expense in the Consolidated Financial Statements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requisite service period. The Company has elected to account for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320" w:top="454" w:right="57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forfeitures as they occur, rather than forecasting the future forfeitures. See Note 11 for further information on the Equity Incentive Plan.</w:t>
      </w:r>
    </w:p>
    <w:p>
      <w:pPr>
        <w:spacing w:after="0" w:line="21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As of the Acquisition Date, the Company issued 5,326,755 shares of Common Stock with no par value. Also on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190"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189"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color w:val="auto"/>
        </w:rPr>
        <w:t>As of December 31, 2020, Amazon held approximately 885,052 vested warrants to acquire common stock of the Company at an exercise price of approximately $15.17 per share.</w:t>
      </w:r>
    </w:p>
    <w:p>
      <w:pPr>
        <w:spacing w:after="0" w:line="173"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b w:val="1"/>
          <w:bCs w:val="1"/>
          <w:color w:val="auto"/>
        </w:rPr>
        <w:t>Deferred Offering Costs</w:t>
      </w:r>
      <w:r>
        <w:rPr>
          <w:rFonts w:ascii="Arial" w:cs="Arial" w:eastAsia="Arial" w:hAnsi="Arial"/>
          <w:sz w:val="17"/>
          <w:szCs w:val="17"/>
          <w:color w:val="auto"/>
        </w:rPr>
        <w:t>—These consist of legal, accounting and other fees and costs relating to the Company’s planned Initial Public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73" w:lineRule="exact"/>
        <w:rPr>
          <w:sz w:val="20"/>
          <w:szCs w:val="20"/>
          <w:color w:val="auto"/>
        </w:rPr>
      </w:pPr>
    </w:p>
    <w:p>
      <w:pPr>
        <w:ind w:left="200" w:right="160"/>
        <w:spacing w:after="0" w:line="269"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represents the excess purchase price over the estimated fair value of net assets acquired in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181" w:lineRule="exact"/>
        <w:rPr>
          <w:sz w:val="20"/>
          <w:szCs w:val="20"/>
          <w:color w:val="auto"/>
        </w:rPr>
      </w:pPr>
    </w:p>
    <w:p>
      <w:pPr>
        <w:ind w:left="200" w:right="240"/>
        <w:spacing w:after="0" w:line="287" w:lineRule="auto"/>
        <w:rPr>
          <w:sz w:val="20"/>
          <w:szCs w:val="20"/>
          <w:color w:val="auto"/>
        </w:rPr>
      </w:pPr>
      <w:r>
        <w:rPr>
          <w:rFonts w:ascii="Arial" w:cs="Arial" w:eastAsia="Arial" w:hAnsi="Arial"/>
          <w:sz w:val="16"/>
          <w:szCs w:val="16"/>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169" w:lineRule="exact"/>
        <w:rPr>
          <w:sz w:val="20"/>
          <w:szCs w:val="20"/>
          <w:color w:val="auto"/>
        </w:rPr>
      </w:pPr>
    </w:p>
    <w:p>
      <w:pPr>
        <w:ind w:left="200" w:right="280"/>
        <w:spacing w:after="0" w:line="303" w:lineRule="auto"/>
        <w:rPr>
          <w:sz w:val="20"/>
          <w:szCs w:val="20"/>
          <w:color w:val="auto"/>
        </w:rPr>
      </w:pPr>
      <w:r>
        <w:rPr>
          <w:rFonts w:ascii="Arial" w:cs="Arial" w:eastAsia="Arial" w:hAnsi="Arial"/>
          <w:sz w:val="16"/>
          <w:szCs w:val="16"/>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4"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620"/>
        <w:spacing w:after="0" w:line="296" w:lineRule="auto"/>
        <w:rPr>
          <w:sz w:val="20"/>
          <w:szCs w:val="20"/>
          <w:color w:val="auto"/>
        </w:rPr>
      </w:pPr>
      <w:r>
        <w:rPr>
          <w:rFonts w:ascii="Arial" w:cs="Arial" w:eastAsia="Arial" w:hAnsi="Arial"/>
          <w:sz w:val="17"/>
          <w:szCs w:val="17"/>
          <w:color w:val="auto"/>
        </w:rPr>
        <w:t>on (1) recent market transactions, where available, (2) the royalty method for the Sun Country tradename (which assumes hypothetical royalties generated from using SCA’s tradename) or (3) projected discounted future cash flows (an income approach).</w:t>
      </w:r>
    </w:p>
    <w:p>
      <w:pPr>
        <w:spacing w:after="0" w:line="156"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—Debt finance costs are capitalized and amortized over the term of the respective agreement.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—Scheduled passenger service, charter service, and most ancillary revenues are recognized when the passenger flight occurs.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exclude amounts collected on behalf of other parties including, transportation taxes.</w:t>
      </w:r>
    </w:p>
    <w:p>
      <w:pPr>
        <w:spacing w:after="0" w:line="207" w:lineRule="exact"/>
        <w:rPr>
          <w:sz w:val="20"/>
          <w:szCs w:val="20"/>
          <w:color w:val="auto"/>
        </w:rPr>
      </w:pPr>
    </w:p>
    <w:p>
      <w:pPr>
        <w:ind w:left="200" w:right="120"/>
        <w:spacing w:after="0" w:line="286" w:lineRule="auto"/>
        <w:rPr>
          <w:sz w:val="20"/>
          <w:szCs w:val="20"/>
          <w:color w:val="auto"/>
        </w:rPr>
      </w:pPr>
      <w:r>
        <w:rPr>
          <w:rFonts w:ascii="Arial" w:cs="Arial" w:eastAsia="Arial" w:hAnsi="Arial"/>
          <w:sz w:val="16"/>
          <w:szCs w:val="16"/>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167"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 revenue is recognized at the time of departure when transportation is provided.</w:t>
      </w:r>
    </w:p>
    <w:p>
      <w:pPr>
        <w:spacing w:after="0" w:line="218"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167" w:lineRule="exact"/>
        <w:rPr>
          <w:sz w:val="20"/>
          <w:szCs w:val="20"/>
          <w:color w:val="auto"/>
        </w:rPr>
      </w:pPr>
    </w:p>
    <w:p>
      <w:pPr>
        <w:ind w:left="200" w:right="60"/>
        <w:spacing w:after="0" w:line="273" w:lineRule="auto"/>
        <w:rPr>
          <w:sz w:val="20"/>
          <w:szCs w:val="20"/>
          <w:color w:val="auto"/>
        </w:rPr>
      </w:pPr>
      <w:r>
        <w:rPr>
          <w:rFonts w:ascii="Arial" w:cs="Arial" w:eastAsia="Arial" w:hAnsi="Arial"/>
          <w:sz w:val="18"/>
          <w:szCs w:val="18"/>
          <w:b w:val="1"/>
          <w:bCs w:val="1"/>
          <w:color w:val="auto"/>
        </w:rPr>
        <w:t>Loyalty Program</w:t>
      </w:r>
      <w:r>
        <w:rPr>
          <w:rFonts w:ascii="Arial" w:cs="Arial" w:eastAsia="Arial" w:hAnsi="Arial"/>
          <w:sz w:val="18"/>
          <w:szCs w:val="18"/>
          <w:color w:val="auto"/>
        </w:rPr>
        <w:t>—The Company records a liability for points earned by passengers under its Sun Country Rewards program using two methods: (1)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for points that are earned by passengers on purchases of the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320" w:top="454" w:right="5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19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color w:val="auto"/>
        </w:rPr>
        <w:t>Co-branded Credit Card Program</w:t>
      </w:r>
      <w:r>
        <w:rPr>
          <w:rFonts w:ascii="Arial" w:cs="Arial" w:eastAsia="Arial" w:hAnsi="Arial"/>
          <w:sz w:val="16"/>
          <w:szCs w:val="16"/>
          <w:color w:val="auto"/>
        </w:rPr>
        <w:t>—Under the Company’s co-branded credit card program, funds received for the marketing of a co-branded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card and delivery of loyalty points are accounted for as a multiple-deliverable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16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b w:val="1"/>
          <w:bCs w:val="1"/>
          <w:color w:val="auto"/>
        </w:rPr>
        <w:t>Airframe and Engine Maintenance</w:t>
      </w:r>
      <w:r>
        <w:rPr>
          <w:rFonts w:ascii="Arial" w:cs="Arial" w:eastAsia="Arial" w:hAnsi="Arial"/>
          <w:sz w:val="18"/>
          <w:szCs w:val="18"/>
          <w:color w:val="auto"/>
        </w:rPr>
        <w:t>—For leased aircraft, the Company applies the expense as incurred method for maintenance events, where routine</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airframe, and engine overhauls are charged to expense as incurred, except certain costs covered by third-party maintenance agreements, which are charged to expense based on an hourly fee, as defined by the contract.</w:t>
      </w:r>
    </w:p>
    <w:p>
      <w:pPr>
        <w:spacing w:after="0" w:line="187" w:lineRule="exact"/>
        <w:rPr>
          <w:sz w:val="20"/>
          <w:szCs w:val="20"/>
          <w:color w:val="auto"/>
        </w:rPr>
      </w:pPr>
    </w:p>
    <w:p>
      <w:pPr>
        <w:ind w:left="200" w:right="40"/>
        <w:spacing w:after="0" w:line="250" w:lineRule="auto"/>
        <w:rPr>
          <w:sz w:val="20"/>
          <w:szCs w:val="20"/>
          <w:color w:val="auto"/>
        </w:rPr>
      </w:pPr>
      <w:r>
        <w:rPr>
          <w:rFonts w:ascii="Arial" w:cs="Arial" w:eastAsia="Arial" w:hAnsi="Arial"/>
          <w:sz w:val="18"/>
          <w:szCs w:val="18"/>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age/condition of related parts.</w:t>
      </w:r>
    </w:p>
    <w:p>
      <w:pPr>
        <w:spacing w:after="0" w:line="196" w:lineRule="exact"/>
        <w:rPr>
          <w:sz w:val="20"/>
          <w:szCs w:val="20"/>
          <w:color w:val="auto"/>
        </w:rPr>
      </w:pPr>
    </w:p>
    <w:p>
      <w:pPr>
        <w:jc w:val="both"/>
        <w:ind w:left="200" w:right="80"/>
        <w:spacing w:after="0" w:line="303" w:lineRule="auto"/>
        <w:rPr>
          <w:sz w:val="20"/>
          <w:szCs w:val="20"/>
          <w:color w:val="auto"/>
        </w:rPr>
      </w:pPr>
      <w:r>
        <w:rPr>
          <w:rFonts w:ascii="Arial" w:cs="Arial" w:eastAsia="Arial" w:hAnsi="Arial"/>
          <w:sz w:val="16"/>
          <w:szCs w:val="16"/>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148" w:lineRule="exact"/>
        <w:rPr>
          <w:sz w:val="20"/>
          <w:szCs w:val="20"/>
          <w:color w:val="auto"/>
        </w:rPr>
      </w:pPr>
    </w:p>
    <w:p>
      <w:pPr>
        <w:ind w:left="200" w:right="80"/>
        <w:spacing w:after="0" w:line="25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—Deferred income taxes are recognized for the tax consequences in future years of differences between the tax basis of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87" w:lineRule="exact"/>
        <w:rPr>
          <w:sz w:val="20"/>
          <w:szCs w:val="20"/>
          <w:color w:val="auto"/>
        </w:rPr>
      </w:pPr>
    </w:p>
    <w:p>
      <w:pPr>
        <w:ind w:left="200" w:right="560"/>
        <w:spacing w:after="0" w:line="273" w:lineRule="auto"/>
        <w:rPr>
          <w:sz w:val="20"/>
          <w:szCs w:val="20"/>
          <w:color w:val="auto"/>
        </w:rPr>
      </w:pPr>
      <w:r>
        <w:rPr>
          <w:rFonts w:ascii="Arial" w:cs="Arial" w:eastAsia="Arial" w:hAnsi="Arial"/>
          <w:sz w:val="18"/>
          <w:szCs w:val="18"/>
          <w:b w:val="1"/>
          <w:bCs w:val="1"/>
          <w:color w:val="auto"/>
        </w:rPr>
        <w:t>Concentration Risk—</w:t>
      </w:r>
      <w:r>
        <w:rPr>
          <w:rFonts w:ascii="Arial" w:cs="Arial" w:eastAsia="Arial" w:hAnsi="Arial"/>
          <w:sz w:val="18"/>
          <w:szCs w:val="18"/>
          <w:color w:val="auto"/>
        </w:rPr>
        <w:t>Approximately 41% of the Company’s Accounts Receivable balance as of December 31, 2020 was due from Amazon.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approximately 8% and 19% of the Company’s Accounts Receivable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00"/>
          </w:cols>
          <w:pgMar w:left="320" w:top="454" w:right="5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140"/>
        <w:spacing w:after="0" w:line="329" w:lineRule="auto"/>
        <w:rPr>
          <w:sz w:val="20"/>
          <w:szCs w:val="20"/>
          <w:color w:val="auto"/>
        </w:rPr>
      </w:pPr>
      <w:r>
        <w:rPr>
          <w:rFonts w:ascii="Arial" w:cs="Arial" w:eastAsia="Arial" w:hAnsi="Arial"/>
          <w:sz w:val="16"/>
          <w:szCs w:val="16"/>
          <w:color w:val="auto"/>
        </w:rPr>
        <w:t>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134"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Approximately 57%, 58% and 48% of the Company’s fuel purchases were made from two vendors for the years ended December 31, 2020, 2019 and 2018, respectively.</w:t>
      </w:r>
    </w:p>
    <w:p>
      <w:pPr>
        <w:spacing w:after="0" w:line="179"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 on which</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5"/>
              </w:rPr>
              <w:t>Active</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Collective Bargaining</w:t>
            </w: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w w:val="91"/>
              </w:rPr>
              <w:t>Employee Group</w:t>
            </w:r>
          </w:p>
        </w:tc>
        <w:tc>
          <w:tcPr>
            <w:tcW w:w="2340" w:type="dxa"/>
            <w:vAlign w:val="bottom"/>
          </w:tcPr>
          <w:p>
            <w:pPr>
              <w:spacing w:after="0"/>
              <w:rPr>
                <w:sz w:val="12"/>
                <w:szCs w:val="12"/>
                <w:color w:val="auto"/>
              </w:rPr>
            </w:pPr>
          </w:p>
        </w:tc>
        <w:tc>
          <w:tcPr>
            <w:tcW w:w="13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86"/>
              </w:rPr>
              <w:t>Employees</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Union</w:t>
            </w:r>
          </w:p>
        </w:tc>
        <w:tc>
          <w:tcPr>
            <w:tcW w:w="1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Agreement Becomes</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9"/>
              </w:rPr>
              <w:t>Represented</w:t>
            </w:r>
          </w:p>
        </w:tc>
        <w:tc>
          <w:tcPr>
            <w:tcW w:w="1020" w:type="dxa"/>
            <w:vAlign w:val="bottom"/>
            <w:gridSpan w:val="2"/>
            <w:vMerge w:val="continue"/>
          </w:tcPr>
          <w:p>
            <w:pPr>
              <w:spacing w:after="0"/>
              <w:rPr>
                <w:sz w:val="15"/>
                <w:szCs w:val="15"/>
                <w:color w:val="auto"/>
              </w:rPr>
            </w:pPr>
          </w:p>
        </w:tc>
        <w:tc>
          <w:tcPr>
            <w:tcW w:w="15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Amendable</w:t>
            </w:r>
          </w:p>
        </w:tc>
        <w:tc>
          <w:tcPr>
            <w:tcW w:w="0" w:type="dxa"/>
            <w:vAlign w:val="bottom"/>
          </w:tcPr>
          <w:p>
            <w:pPr>
              <w:spacing w:after="0"/>
              <w:rPr>
                <w:sz w:val="1"/>
                <w:szCs w:val="1"/>
                <w:color w:val="auto"/>
              </w:rPr>
            </w:pPr>
          </w:p>
        </w:tc>
      </w:tr>
      <w:tr>
        <w:trPr>
          <w:trHeight w:val="199"/>
        </w:trPr>
        <w:tc>
          <w:tcPr>
            <w:tcW w:w="1900" w:type="dxa"/>
            <w:vAlign w:val="bottom"/>
            <w:tcBorders>
              <w:top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Sun Country Pilots</w:t>
            </w:r>
          </w:p>
        </w:tc>
        <w:tc>
          <w:tcPr>
            <w:tcW w:w="102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395</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5"/>
              </w:rPr>
              <w:t>ALPA</w:t>
            </w:r>
          </w:p>
        </w:tc>
        <w:tc>
          <w:tcPr>
            <w:tcW w:w="5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October 31, 2020</w:t>
            </w: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8"/>
                <w:szCs w:val="18"/>
                <w:color w:val="auto"/>
              </w:rPr>
              <w:t>Sun Country Flight Attendants</w:t>
            </w:r>
          </w:p>
        </w:tc>
        <w:tc>
          <w:tcPr>
            <w:tcW w:w="3640" w:type="dxa"/>
            <w:vAlign w:val="bottom"/>
            <w:gridSpan w:val="3"/>
          </w:tcPr>
          <w:p>
            <w:pPr>
              <w:jc w:val="right"/>
              <w:ind w:right="500"/>
              <w:spacing w:after="0"/>
              <w:rPr>
                <w:sz w:val="20"/>
                <w:szCs w:val="20"/>
                <w:color w:val="auto"/>
              </w:rPr>
            </w:pPr>
            <w:r>
              <w:rPr>
                <w:rFonts w:ascii="Arial" w:cs="Arial" w:eastAsia="Arial" w:hAnsi="Arial"/>
                <w:sz w:val="18"/>
                <w:szCs w:val="18"/>
                <w:color w:val="auto"/>
              </w:rPr>
              <w:t>466</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IBT</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13"/>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 Country Dispatchers</w:t>
            </w:r>
          </w:p>
        </w:tc>
        <w:tc>
          <w:tcPr>
            <w:tcW w:w="3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7"/>
              </w:rPr>
              <w:t>TWU</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30, 2024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118" w:lineRule="exact"/>
        <w:rPr>
          <w:sz w:val="20"/>
          <w:szCs w:val="20"/>
          <w:color w:val="auto"/>
        </w:rPr>
      </w:pPr>
    </w:p>
    <w:p>
      <w:pPr>
        <w:ind w:left="200" w:right="140"/>
        <w:spacing w:after="0" w:line="251" w:lineRule="auto"/>
        <w:rPr>
          <w:sz w:val="20"/>
          <w:szCs w:val="20"/>
          <w:color w:val="auto"/>
        </w:rPr>
      </w:pP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color w:val="auto"/>
        </w:rPr>
        <w:t>—In May 2014, the Financial Accounting Standards Board (“FASB”) issued Accounting Standards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94" w:lineRule="exact"/>
        <w:rPr>
          <w:sz w:val="20"/>
          <w:szCs w:val="20"/>
          <w:color w:val="auto"/>
        </w:rPr>
      </w:pPr>
    </w:p>
    <w:p>
      <w:pPr>
        <w:ind w:left="200" w:right="60"/>
        <w:spacing w:after="0" w:line="249" w:lineRule="auto"/>
        <w:rPr>
          <w:sz w:val="20"/>
          <w:szCs w:val="20"/>
          <w:color w:val="auto"/>
        </w:rPr>
      </w:pPr>
      <w:r>
        <w:rPr>
          <w:rFonts w:ascii="Arial" w:cs="Arial" w:eastAsia="Arial" w:hAnsi="Arial"/>
          <w:sz w:val="18"/>
          <w:szCs w:val="18"/>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99" w:lineRule="exact"/>
        <w:rPr>
          <w:sz w:val="20"/>
          <w:szCs w:val="20"/>
          <w:color w:val="auto"/>
        </w:rPr>
      </w:pPr>
    </w:p>
    <w:p>
      <w:pPr>
        <w:ind w:left="200" w:right="180"/>
        <w:spacing w:after="0" w:line="410"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Upon adoption of the standard on January 1, 2019 the Company made an adjustment to reduce Retained Earnings by $3,477.</w:t>
      </w:r>
    </w:p>
    <w:p>
      <w:pPr>
        <w:spacing w:after="0" w:line="218"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—In February 2016, the FASB issued ASU 2016-02,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 842) (“ASC 842”). Under the new guidance, lessees are required to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for all leases (with the exception of short-term leases) at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20"/>
          </w:cols>
          <w:pgMar w:left="320" w:top="454"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303" w:lineRule="auto"/>
        <w:rPr>
          <w:sz w:val="20"/>
          <w:szCs w:val="20"/>
          <w:color w:val="auto"/>
        </w:rPr>
      </w:pPr>
      <w:r>
        <w:rPr>
          <w:rFonts w:ascii="Arial" w:cs="Arial" w:eastAsia="Arial" w:hAnsi="Arial"/>
          <w:sz w:val="16"/>
          <w:szCs w:val="16"/>
          <w:color w:val="auto"/>
        </w:rPr>
        <w:t>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15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18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b w:val="1"/>
          <w:bCs w:val="1"/>
          <w:i w:val="1"/>
          <w:iCs w:val="1"/>
          <w:color w:val="auto"/>
        </w:rPr>
        <w:t>Capitalized Software Costs</w:t>
      </w:r>
      <w:r>
        <w:rPr>
          <w:rFonts w:ascii="Arial" w:cs="Arial" w:eastAsia="Arial" w:hAnsi="Arial"/>
          <w:sz w:val="16"/>
          <w:szCs w:val="16"/>
          <w:color w:val="auto"/>
        </w:rPr>
        <w:t>—In August 2018, the FASB issued ASU 2018-15,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Other—Internal-Use Software (Subtopic</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350-40): Customer’s Accounting for Implementation Costs Incurred in a Cloud Computing Arrangement That Is a Service Contract</w:t>
      </w:r>
      <w:r>
        <w:rPr>
          <w:rFonts w:ascii="Arial" w:cs="Arial" w:eastAsia="Arial" w:hAnsi="Arial"/>
          <w:sz w:val="16"/>
          <w:szCs w:val="16"/>
          <w:color w:val="auto"/>
        </w:rPr>
        <w:t>. The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addresses when costs should be capitalized rather than expensed, the term to use when amortizing capitalized costs, and how to 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167" w:lineRule="exact"/>
        <w:rPr>
          <w:sz w:val="20"/>
          <w:szCs w:val="20"/>
          <w:color w:val="auto"/>
        </w:rPr>
      </w:pPr>
    </w:p>
    <w:p>
      <w:pPr>
        <w:ind w:left="200" w:right="200"/>
        <w:spacing w:after="0" w:line="282" w:lineRule="auto"/>
        <w:rPr>
          <w:sz w:val="20"/>
          <w:szCs w:val="20"/>
          <w:color w:val="auto"/>
        </w:rPr>
      </w:pPr>
      <w:r>
        <w:rPr>
          <w:rFonts w:ascii="Arial" w:cs="Arial" w:eastAsia="Arial" w:hAnsi="Arial"/>
          <w:sz w:val="16"/>
          <w:szCs w:val="16"/>
          <w:b w:val="1"/>
          <w:bCs w:val="1"/>
          <w:i w:val="1"/>
          <w:iCs w:val="1"/>
          <w:color w:val="auto"/>
        </w:rPr>
        <w:t>Non-employee Share-based Payment Accounting</w:t>
      </w:r>
      <w:r>
        <w:rPr>
          <w:rFonts w:ascii="Arial" w:cs="Arial" w:eastAsia="Arial" w:hAnsi="Arial"/>
          <w:sz w:val="16"/>
          <w:szCs w:val="16"/>
          <w:color w:val="auto"/>
        </w:rPr>
        <w:t>—In June 2018, the FASB issued ASU 2018-07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Improvements to Non-employee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ASU 2018-07 expands the scope of ASC 718,</w:t>
      </w:r>
      <w:r>
        <w:rPr>
          <w:rFonts w:ascii="Arial" w:cs="Arial" w:eastAsia="Arial" w:hAnsi="Arial"/>
          <w:sz w:val="16"/>
          <w:szCs w:val="16"/>
          <w:i w:val="1"/>
          <w:iCs w:val="1"/>
          <w:color w:val="auto"/>
        </w:rPr>
        <w:t xml:space="preserve"> Compensation—Stock Compensation</w:t>
      </w:r>
      <w:r>
        <w:rPr>
          <w:rFonts w:ascii="Arial" w:cs="Arial" w:eastAsia="Arial" w:hAnsi="Arial"/>
          <w:sz w:val="16"/>
          <w:szCs w:val="16"/>
          <w:color w:val="auto"/>
        </w:rPr>
        <w:t>, to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non-employees for goods and services. Additionally, in November 2019, the FASB issued ASU 2019-08,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w:t>
      </w:r>
    </w:p>
    <w:p>
      <w:pPr>
        <w:spacing w:after="0" w:line="1" w:lineRule="exact"/>
        <w:rPr>
          <w:sz w:val="20"/>
          <w:szCs w:val="20"/>
          <w:color w:val="auto"/>
        </w:rPr>
      </w:pPr>
    </w:p>
    <w:p>
      <w:pPr>
        <w:jc w:val="both"/>
        <w:ind w:left="200" w:right="240" w:hanging="1"/>
        <w:spacing w:after="0" w:line="248" w:lineRule="auto"/>
        <w:tabs>
          <w:tab w:leader="none" w:pos="5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entities 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197"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b w:val="1"/>
          <w:bCs w:val="1"/>
          <w:i w:val="1"/>
          <w:iCs w:val="1"/>
          <w:color w:val="auto"/>
        </w:rPr>
        <w:t>Changes to the Disclosure Requirements for Fair Value Measurement</w:t>
      </w:r>
      <w:r>
        <w:rPr>
          <w:rFonts w:ascii="Arial" w:cs="Arial" w:eastAsia="Arial" w:hAnsi="Arial"/>
          <w:sz w:val="18"/>
          <w:szCs w:val="18"/>
          <w:color w:val="auto"/>
        </w:rPr>
        <w:t>—In August 2018, the Financial Accounting Standards Board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Update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update eliminates, adds, and modifies certain disclosure requirements for fair value measurements.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the requirements of ASU 2018-13 prospectively on January 1, 2020. The adoption of ASU 2018-13 did not have a material impact on the Company’s Consolidated Financial Statements.</w:t>
      </w:r>
    </w:p>
    <w:p>
      <w:pPr>
        <w:spacing w:after="0" w:line="19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b w:val="1"/>
          <w:bCs w:val="1"/>
          <w:i w:val="1"/>
          <w:iCs w:val="1"/>
          <w:color w:val="auto"/>
        </w:rPr>
        <w:t>Financial Instruments—Credit Losses</w:t>
      </w:r>
      <w:r>
        <w:rPr>
          <w:rFonts w:ascii="Arial" w:cs="Arial" w:eastAsia="Arial" w:hAnsi="Arial"/>
          <w:sz w:val="16"/>
          <w:szCs w:val="16"/>
          <w:color w:val="auto"/>
        </w:rPr>
        <w:t>—In June 2016, the FASB issued ASU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Instruments—Credit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326)</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update requires the use of an expected loss model on certain types of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165"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b w:val="1"/>
          <w:bCs w:val="1"/>
          <w:i w:val="1"/>
          <w:iCs w:val="1"/>
          <w:color w:val="auto"/>
        </w:rPr>
        <w:t>Simplifying the Test for Goodwill Impairment</w:t>
      </w:r>
      <w:r>
        <w:rPr>
          <w:rFonts w:ascii="Arial" w:cs="Arial" w:eastAsia="Arial" w:hAnsi="Arial"/>
          <w:sz w:val="18"/>
          <w:szCs w:val="18"/>
          <w:color w:val="auto"/>
        </w:rPr>
        <w:t>—In January 2017, the FASB issued ASU 2017-04,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standard eliminates Step 2 from the goodwill impairment test. An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40"/>
          </w:cols>
          <w:pgMar w:left="320" w:top="454" w:right="5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112" w:lineRule="exact"/>
        <w:rPr>
          <w:sz w:val="20"/>
          <w:szCs w:val="20"/>
          <w:color w:val="auto"/>
        </w:rPr>
      </w:pPr>
    </w:p>
    <w:p>
      <w:pPr>
        <w:ind w:left="200" w:right="300"/>
        <w:spacing w:after="0" w:line="292"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Simplifying the Accounting for Income Taxes</w:t>
      </w:r>
      <w:r>
        <w:rPr>
          <w:rFonts w:ascii="Arial" w:cs="Arial" w:eastAsia="Arial" w:hAnsi="Arial"/>
          <w:sz w:val="16"/>
          <w:szCs w:val="16"/>
          <w:color w:val="auto"/>
        </w:rPr>
        <w:t>—In December 2019, the FASB issued ASU 2019-12,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removes certain exceptions related to the approach for intraperiod tax allocation,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303" w:lineRule="exact"/>
        <w:rPr>
          <w:sz w:val="20"/>
          <w:szCs w:val="20"/>
          <w:color w:val="auto"/>
        </w:rPr>
      </w:pPr>
    </w:p>
    <w:p>
      <w:pPr>
        <w:ind w:left="620" w:hanging="421"/>
        <w:spacing w:after="0"/>
        <w:tabs>
          <w:tab w:leader="none" w:pos="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118"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In December 2019, a novel strain of COVID-19 was reported in Wuhan, China. COVID-19 has since spread to almost every country in the world, including the United States. On March 11, 2020, the World Health Organization declared COVID-19 to constitute a “Public Health Emergency of International Concern” and the U.S. federal government declared COVID-19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188" w:lineRule="exact"/>
        <w:rPr>
          <w:sz w:val="20"/>
          <w:szCs w:val="20"/>
          <w:color w:val="auto"/>
        </w:rPr>
      </w:pPr>
    </w:p>
    <w:p>
      <w:pPr>
        <w:ind w:left="200" w:right="120"/>
        <w:spacing w:after="0" w:line="267" w:lineRule="auto"/>
        <w:rPr>
          <w:sz w:val="20"/>
          <w:szCs w:val="20"/>
          <w:color w:val="auto"/>
        </w:rPr>
      </w:pPr>
      <w:r>
        <w:rPr>
          <w:rFonts w:ascii="Arial" w:cs="Arial" w:eastAsia="Arial" w:hAnsi="Arial"/>
          <w:sz w:val="17"/>
          <w:szCs w:val="17"/>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180"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179"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The Company’s charter air transportation services have also been impacted due to a decline in international military charter service, the suspension or cancellation of major U.S. professional and college sports, and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40"/>
          </w:cols>
          <w:pgMar w:left="320" w:top="454"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79" w:lineRule="exact"/>
        <w:rPr>
          <w:sz w:val="20"/>
          <w:szCs w:val="20"/>
          <w:color w:val="auto"/>
        </w:rPr>
      </w:pPr>
    </w:p>
    <w:p>
      <w:pPr>
        <w:ind w:left="200" w:right="540"/>
        <w:spacing w:after="0" w:line="266" w:lineRule="auto"/>
        <w:rPr>
          <w:sz w:val="20"/>
          <w:szCs w:val="20"/>
          <w:color w:val="auto"/>
        </w:rPr>
      </w:pPr>
      <w:r>
        <w:rPr>
          <w:rFonts w:ascii="Arial" w:cs="Arial" w:eastAsia="Arial" w:hAnsi="Arial"/>
          <w:sz w:val="18"/>
          <w:szCs w:val="18"/>
          <w:color w:val="auto"/>
        </w:rPr>
        <w:t>In response to COVID-19 and the reduced consumer demand, the Company has significantly reduced planned capacity for scheduled and charter services.</w:t>
      </w:r>
    </w:p>
    <w:p>
      <w:pPr>
        <w:spacing w:after="0" w:line="179" w:lineRule="exact"/>
        <w:rPr>
          <w:sz w:val="20"/>
          <w:szCs w:val="20"/>
          <w:color w:val="auto"/>
        </w:rPr>
      </w:pPr>
    </w:p>
    <w:p>
      <w:pPr>
        <w:ind w:left="200" w:right="200"/>
        <w:spacing w:after="0" w:line="256" w:lineRule="auto"/>
        <w:rPr>
          <w:sz w:val="20"/>
          <w:szCs w:val="20"/>
          <w:color w:val="auto"/>
        </w:rPr>
      </w:pPr>
      <w:r>
        <w:rPr>
          <w:rFonts w:ascii="Arial" w:cs="Arial" w:eastAsia="Arial" w:hAnsi="Arial"/>
          <w:sz w:val="18"/>
          <w:szCs w:val="18"/>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assessment as a result of COVID-19 impacts</w:t>
      </w:r>
    </w:p>
    <w:p>
      <w:pPr>
        <w:spacing w:after="0" w:line="118" w:lineRule="exact"/>
        <w:rPr>
          <w:sz w:val="20"/>
          <w:szCs w:val="20"/>
          <w:color w:val="auto"/>
        </w:rPr>
      </w:pPr>
    </w:p>
    <w:p>
      <w:pPr>
        <w:ind w:left="200" w:right="200"/>
        <w:spacing w:after="0" w:line="303" w:lineRule="auto"/>
        <w:rPr>
          <w:sz w:val="20"/>
          <w:szCs w:val="20"/>
          <w:color w:val="auto"/>
        </w:rPr>
      </w:pPr>
      <w:r>
        <w:rPr>
          <w:rFonts w:ascii="Arial" w:cs="Arial" w:eastAsia="Arial" w:hAnsi="Arial"/>
          <w:sz w:val="16"/>
          <w:szCs w:val="16"/>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154" w:lineRule="exact"/>
        <w:rPr>
          <w:sz w:val="20"/>
          <w:szCs w:val="20"/>
          <w:color w:val="auto"/>
        </w:rPr>
      </w:pPr>
    </w:p>
    <w:p>
      <w:pPr>
        <w:jc w:val="both"/>
        <w:ind w:left="200" w:right="200"/>
        <w:spacing w:after="0" w:line="278" w:lineRule="auto"/>
        <w:rPr>
          <w:sz w:val="20"/>
          <w:szCs w:val="20"/>
          <w:color w:val="auto"/>
        </w:rPr>
      </w:pPr>
      <w:r>
        <w:rPr>
          <w:rFonts w:ascii="Arial" w:cs="Arial" w:eastAsia="Arial" w:hAnsi="Arial"/>
          <w:sz w:val="17"/>
          <w:szCs w:val="17"/>
          <w:color w:val="auto"/>
        </w:rPr>
        <w:t>Based on the foregoing measures that the Company has taken to improve its liquidity position, along with the $62,312 grant received from the United States Department of the Treasury under the Coronavirus Aid, Relief, and Economic Security Act (“CARES Act”), and the $45.0 million CARES Act Loan both received in 2020 the Company currently believes that it has sufficient liquidity to meet its near-term obligations.</w:t>
      </w:r>
    </w:p>
    <w:p>
      <w:pPr>
        <w:spacing w:after="0" w:line="172" w:lineRule="exact"/>
        <w:rPr>
          <w:sz w:val="20"/>
          <w:szCs w:val="20"/>
          <w:color w:val="auto"/>
        </w:rPr>
      </w:pPr>
    </w:p>
    <w:p>
      <w:pPr>
        <w:jc w:val="both"/>
        <w:ind w:left="200" w:right="60"/>
        <w:spacing w:after="0" w:line="256" w:lineRule="auto"/>
        <w:rPr>
          <w:sz w:val="20"/>
          <w:szCs w:val="20"/>
          <w:color w:val="auto"/>
        </w:rPr>
      </w:pPr>
      <w:r>
        <w:rPr>
          <w:rFonts w:ascii="Arial" w:cs="Arial" w:eastAsia="Arial" w:hAnsi="Arial"/>
          <w:sz w:val="18"/>
          <w:szCs w:val="18"/>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Consideration</w:t>
      </w:r>
    </w:p>
    <w:p>
      <w:pPr>
        <w:spacing w:after="0" w:line="118"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2"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CARES Act</w:t>
      </w:r>
    </w:p>
    <w:p>
      <w:pPr>
        <w:spacing w:after="0" w:line="118"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0"/>
          </w:cols>
          <w:pgMar w:left="320" w:top="454" w:right="5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165" w:lineRule="exact"/>
        <w:rPr>
          <w:sz w:val="20"/>
          <w:szCs w:val="20"/>
          <w:color w:val="auto"/>
        </w:rPr>
      </w:pPr>
    </w:p>
    <w:p>
      <w:pPr>
        <w:ind w:left="200" w:right="120"/>
        <w:spacing w:after="0" w:line="266" w:lineRule="auto"/>
        <w:rPr>
          <w:sz w:val="20"/>
          <w:szCs w:val="20"/>
          <w:color w:val="auto"/>
        </w:rPr>
      </w:pPr>
      <w:r>
        <w:rPr>
          <w:rFonts w:ascii="Arial" w:cs="Arial" w:eastAsia="Arial" w:hAnsi="Arial"/>
          <w:sz w:val="17"/>
          <w:szCs w:val="17"/>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181"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 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194"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91"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Under the CARES Act Loan Program, the Company received a $45,000 loan from the U.S. Department of the Treasury on October 26, 2020. See Note 9 —Debt.</w:t>
      </w:r>
    </w:p>
    <w:p>
      <w:pPr>
        <w:spacing w:after="0" w:line="17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On January 22, 2021, the Company was informed by the United States Department of the Treasury that it would receive a grant of $32,208 under the Payroll Support Program Extension (PSP2) under the Consolidated Appropriations Act, 2021 (PSP Extension Law). The Company received $16,104 on February 2, 2021, and anticipates receiving the remaining $16,104 prior to the end of March 2021. All funds provided by the Treasury Department to PSP2 participants may only be used for the continuation of payment of employee salaries, wages, and benefits.</w:t>
      </w:r>
    </w:p>
    <w:p>
      <w:pPr>
        <w:spacing w:after="0" w:line="318" w:lineRule="exact"/>
        <w:rPr>
          <w:sz w:val="20"/>
          <w:szCs w:val="20"/>
          <w:color w:val="auto"/>
        </w:rPr>
      </w:pPr>
    </w:p>
    <w:p>
      <w:pPr>
        <w:ind w:left="620" w:hanging="421"/>
        <w:spacing w:after="0"/>
        <w:tabs>
          <w:tab w:leader="none" w:pos="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18" w:lineRule="exact"/>
        <w:rPr>
          <w:sz w:val="20"/>
          <w:szCs w:val="20"/>
          <w:color w:val="auto"/>
        </w:rPr>
      </w:pPr>
    </w:p>
    <w:p>
      <w:pPr>
        <w:ind w:left="200" w:right="560"/>
        <w:spacing w:after="0" w:line="256" w:lineRule="auto"/>
        <w:rPr>
          <w:sz w:val="20"/>
          <w:szCs w:val="20"/>
          <w:color w:val="auto"/>
        </w:rPr>
      </w:pPr>
      <w:r>
        <w:rPr>
          <w:rFonts w:ascii="Arial" w:cs="Arial" w:eastAsia="Arial" w:hAnsi="Arial"/>
          <w:sz w:val="18"/>
          <w:szCs w:val="18"/>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40"/>
          </w:cols>
          <w:pgMar w:left="320" w:top="454" w:right="5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80"/>
        <w:spacing w:after="0" w:line="284" w:lineRule="auto"/>
        <w:rPr>
          <w:sz w:val="20"/>
          <w:szCs w:val="20"/>
          <w:color w:val="auto"/>
        </w:rPr>
      </w:pPr>
      <w:r>
        <w:rPr>
          <w:rFonts w:ascii="Arial" w:cs="Arial" w:eastAsia="Arial" w:hAnsi="Arial"/>
          <w:sz w:val="16"/>
          <w:szCs w:val="16"/>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73"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163"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b w:val="1"/>
          <w:bCs w:val="1"/>
          <w:color w:val="auto"/>
        </w:rPr>
        <w:t>Successor—</w:t>
      </w:r>
      <w:r>
        <w:rPr>
          <w:rFonts w:ascii="Arial" w:cs="Arial" w:eastAsia="Arial" w:hAnsi="Arial"/>
          <w:sz w:val="18"/>
          <w:szCs w:val="18"/>
          <w:color w:val="auto"/>
        </w:rPr>
        <w:t>The accompanying Consolidated Financial Statements include the Successor’s assets, liabilities, and stockholders’ equity and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and expenses and cash flows. SCA Acquisition Holdings, LLC had no other operating activities since its formation other than the activities presented of its acquired wholly owned subsidiary, Sun Country, Inc., f/k/a MN Airlines, LLC.</w:t>
      </w:r>
    </w:p>
    <w:p>
      <w:pPr>
        <w:spacing w:after="0" w:line="18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color w:val="auto"/>
        </w:rPr>
        <w:t>Predecessor—</w:t>
      </w:r>
      <w:r>
        <w:rPr>
          <w:rFonts w:ascii="Arial" w:cs="Arial" w:eastAsia="Arial" w:hAnsi="Arial"/>
          <w:sz w:val="18"/>
          <w:szCs w:val="18"/>
          <w:color w:val="auto"/>
        </w:rPr>
        <w:t>The accompanying Predecessor Consolidated Financial Statements include the assets, liabilities, and equity and the related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cash flows of Sun Country, Inc., f/k/a MN Airlines, LLC, which occurred prior to the Acquisition Date and are reported under its historical basis that existed prior to the Acquisition Date.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320" w:top="454" w:right="55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29"/>
        </w:trPr>
        <w:tc>
          <w:tcPr>
            <w:tcW w:w="796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SUN COUNTRY AIRLINES HOLDINGS,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NOTES TO CONSOLIDATED FINANCIAL STATEMENTS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960" w:type="dxa"/>
            <w:vAlign w:val="bottom"/>
            <w:gridSpan w:val="2"/>
          </w:tcPr>
          <w:p>
            <w:pPr>
              <w:ind w:left="200"/>
              <w:spacing w:after="0"/>
              <w:rPr>
                <w:sz w:val="20"/>
                <w:szCs w:val="20"/>
                <w:color w:val="auto"/>
              </w:rPr>
            </w:pPr>
            <w:r>
              <w:rPr>
                <w:rFonts w:ascii="Arial" w:cs="Arial" w:eastAsia="Arial" w:hAnsi="Arial"/>
                <w:sz w:val="18"/>
                <w:szCs w:val="18"/>
                <w:color w:val="auto"/>
                <w:w w:val="96"/>
              </w:rPr>
              <w:t>Fair value of the assets acquired and the liabilities assumed as of the Acquisition Date are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40" w:type="dxa"/>
            <w:vAlign w:val="bottom"/>
            <w:vMerge w:val="restart"/>
          </w:tcPr>
          <w:p>
            <w:pPr>
              <w:spacing w:after="0"/>
              <w:rPr>
                <w:sz w:val="20"/>
                <w:szCs w:val="20"/>
                <w:color w:val="auto"/>
              </w:rPr>
            </w:pPr>
          </w:p>
        </w:tc>
        <w:tc>
          <w:tcPr>
            <w:tcW w:w="6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4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Aircraft Lease Deposits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490,188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960" w:type="dxa"/>
            <w:vAlign w:val="bottom"/>
            <w:gridSpan w:val="2"/>
          </w:tcPr>
          <w:p>
            <w:pPr>
              <w:ind w:left="194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Transportation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Air Traffic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Over-market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960" w:type="dxa"/>
            <w:vAlign w:val="bottom"/>
            <w:gridSpan w:val="2"/>
          </w:tcPr>
          <w:p>
            <w:pPr>
              <w:ind w:left="1940"/>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302,413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187,775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ind w:left="200" w:right="120"/>
        <w:spacing w:after="0" w:line="275" w:lineRule="auto"/>
        <w:rPr>
          <w:sz w:val="20"/>
          <w:szCs w:val="20"/>
          <w:color w:val="auto"/>
        </w:rPr>
      </w:pPr>
      <w:r>
        <w:rPr>
          <w:rFonts w:ascii="Arial" w:cs="Arial" w:eastAsia="Arial" w:hAnsi="Arial"/>
          <w:sz w:val="17"/>
          <w:szCs w:val="17"/>
          <w:b w:val="1"/>
          <w:bCs w:val="1"/>
          <w:color w:val="auto"/>
        </w:rPr>
        <w:t>Property and Equipment</w:t>
      </w:r>
      <w:r>
        <w:rPr>
          <w:rFonts w:ascii="Arial" w:cs="Arial" w:eastAsia="Arial" w:hAnsi="Arial"/>
          <w:sz w:val="17"/>
          <w:szCs w:val="17"/>
          <w:color w:val="auto"/>
        </w:rPr>
        <w:t>—The Company acquired Property and Equipment which were valued based on a combination of the cost and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16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b w:val="1"/>
          <w:bCs w:val="1"/>
          <w:color w:val="auto"/>
        </w:rPr>
        <w:t>Sun Country Airlines Tradename</w:t>
      </w:r>
      <w:r>
        <w:rPr>
          <w:rFonts w:ascii="Arial" w:cs="Arial" w:eastAsia="Arial" w:hAnsi="Arial"/>
          <w:sz w:val="17"/>
          <w:szCs w:val="17"/>
          <w:color w:val="auto"/>
        </w:rPr>
        <w:t>—The Company acquired an intangible asset of $56,000 assigned to the Sun Country Airlines Tradename. Sun</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174" w:lineRule="exact"/>
        <w:rPr>
          <w:sz w:val="20"/>
          <w:szCs w:val="20"/>
          <w:color w:val="auto"/>
        </w:rPr>
      </w:pPr>
    </w:p>
    <w:p>
      <w:pPr>
        <w:ind w:left="200" w:right="160"/>
        <w:spacing w:after="0" w:line="273" w:lineRule="auto"/>
        <w:rPr>
          <w:sz w:val="20"/>
          <w:szCs w:val="20"/>
          <w:color w:val="auto"/>
        </w:rPr>
      </w:pPr>
      <w:r>
        <w:rPr>
          <w:rFonts w:ascii="Arial" w:cs="Arial" w:eastAsia="Arial" w:hAnsi="Arial"/>
          <w:sz w:val="18"/>
          <w:szCs w:val="18"/>
          <w:b w:val="1"/>
          <w:bCs w:val="1"/>
          <w:color w:val="auto"/>
        </w:rPr>
        <w:t>Customer Relationships</w:t>
      </w:r>
      <w:r>
        <w:rPr>
          <w:rFonts w:ascii="Arial" w:cs="Arial" w:eastAsia="Arial" w:hAnsi="Arial"/>
          <w:sz w:val="18"/>
          <w:szCs w:val="18"/>
          <w:color w:val="auto"/>
        </w:rPr>
        <w:t>—The Company acquired an intangible asset of $48,000 representing the fair value of its customer relationships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Sun Country’s extensive charter business, including several large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320" w:top="454"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customers with long-term commitments for charter flights. This intangible asset was valued using the multi-period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188" w:lineRule="exact"/>
        <w:rPr>
          <w:sz w:val="20"/>
          <w:szCs w:val="20"/>
          <w:color w:val="auto"/>
        </w:rPr>
      </w:pPr>
    </w:p>
    <w:p>
      <w:pPr>
        <w:jc w:val="both"/>
        <w:ind w:left="200" w:right="80"/>
        <w:spacing w:after="0" w:line="259"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of which $132,606 was tax deductible, represents the excess of the purchase price over the fair value of the underlying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and largely results from expected growth and improved financial results for the Company as well as an assembled workforce, which does not qualify for separate recognition.</w:t>
      </w:r>
    </w:p>
    <w:p>
      <w:pPr>
        <w:spacing w:after="0" w:line="181"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b w:val="1"/>
          <w:bCs w:val="1"/>
          <w:color w:val="auto"/>
        </w:rPr>
        <w:t>Deferred Tax Asset</w:t>
      </w:r>
      <w:r>
        <w:rPr>
          <w:rFonts w:ascii="Arial" w:cs="Arial" w:eastAsia="Arial" w:hAnsi="Arial"/>
          <w:sz w:val="16"/>
          <w:szCs w:val="16"/>
          <w:color w:val="auto"/>
        </w:rPr>
        <w:t>—The acquisition of MN Airlines, LLC was treated as an asset acquisition for U.S. federal income tax purposes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Over-market Liabilities. The Deferred Tax Asset has been calculated based on the expected federal and state tax rates applicable to the Company.</w:t>
      </w:r>
    </w:p>
    <w:p>
      <w:pPr>
        <w:spacing w:after="0" w:line="153"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b w:val="1"/>
          <w:bCs w:val="1"/>
          <w:color w:val="auto"/>
        </w:rPr>
        <w:t>Over-market Liabilities</w:t>
      </w:r>
      <w:r>
        <w:rPr>
          <w:rFonts w:ascii="Arial" w:cs="Arial" w:eastAsia="Arial" w:hAnsi="Arial"/>
          <w:sz w:val="16"/>
          <w:szCs w:val="16"/>
          <w:color w:val="auto"/>
        </w:rPr>
        <w:t>—The Company acquired liabilities related to its over-market lease rates and over-market maintenance reserve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168" w:lineRule="exact"/>
        <w:rPr>
          <w:sz w:val="20"/>
          <w:szCs w:val="20"/>
          <w:color w:val="auto"/>
        </w:rPr>
      </w:pPr>
    </w:p>
    <w:p>
      <w:pPr>
        <w:ind w:left="200"/>
        <w:spacing w:after="0" w:line="330" w:lineRule="auto"/>
        <w:rPr>
          <w:sz w:val="20"/>
          <w:szCs w:val="20"/>
          <w:color w:val="auto"/>
        </w:rPr>
      </w:pPr>
      <w:r>
        <w:rPr>
          <w:rFonts w:ascii="Arial" w:cs="Arial" w:eastAsia="Arial" w:hAnsi="Arial"/>
          <w:sz w:val="14"/>
          <w:szCs w:val="14"/>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 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straight-line basis over the remaining life of each lease.</w:t>
      </w:r>
    </w:p>
    <w:p>
      <w:pPr>
        <w:spacing w:after="0" w:line="350" w:lineRule="exact"/>
        <w:rPr>
          <w:sz w:val="20"/>
          <w:szCs w:val="20"/>
          <w:color w:val="auto"/>
        </w:rPr>
      </w:pPr>
    </w:p>
    <w:p>
      <w:pPr>
        <w:ind w:left="200" w:right="380"/>
        <w:spacing w:after="0" w:line="273" w:lineRule="auto"/>
        <w:rPr>
          <w:sz w:val="20"/>
          <w:szCs w:val="20"/>
          <w:color w:val="auto"/>
        </w:rPr>
      </w:pPr>
      <w:r>
        <w:rPr>
          <w:rFonts w:ascii="Arial" w:cs="Arial" w:eastAsia="Arial" w:hAnsi="Arial"/>
          <w:sz w:val="18"/>
          <w:szCs w:val="18"/>
          <w:b w:val="1"/>
          <w:bCs w:val="1"/>
          <w:color w:val="auto"/>
        </w:rPr>
        <w:t>Loyalty Program Liabilities</w:t>
      </w:r>
      <w:r>
        <w:rPr>
          <w:rFonts w:ascii="Arial" w:cs="Arial" w:eastAsia="Arial" w:hAnsi="Arial"/>
          <w:sz w:val="18"/>
          <w:szCs w:val="18"/>
          <w:color w:val="auto"/>
        </w:rPr>
        <w:t>—The Company acquired liabilities related to loyalty program obligations. These liabilities were adjusted to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based on stated redemption rates as of the Acquisition Date, less estimated breakage.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320" w:top="454"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ectPr>
          <w:pgSz w:w="11900" w:h="16838" w:orient="portrait"/>
          <w:cols w:equalWidth="0" w:num="1">
            <w:col w:w="11040"/>
          </w:cols>
          <w:pgMar w:left="320" w:top="454" w:right="539" w:bottom="1440" w:gutter="0" w:footer="0" w:header="0"/>
        </w:sectPr>
      </w:pP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3"/>
            <w:vMerge w:val="restart"/>
          </w:tcPr>
          <w:p>
            <w:pPr>
              <w:jc w:val="right"/>
              <w:ind w:right="114"/>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4"/>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0" w:type="dxa"/>
            <w:vAlign w:val="bottom"/>
          </w:tcPr>
          <w:p>
            <w:pPr>
              <w:spacing w:after="0"/>
              <w:rPr>
                <w:sz w:val="1"/>
                <w:szCs w:val="1"/>
                <w:color w:val="auto"/>
              </w:rPr>
            </w:pPr>
          </w:p>
        </w:tc>
      </w:tr>
      <w:tr>
        <w:trPr>
          <w:trHeight w:val="94"/>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680" w:type="dxa"/>
            <w:vAlign w:val="bottom"/>
            <w:gridSpan w:val="2"/>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restart"/>
          </w:tcPr>
          <w:p>
            <w:pPr>
              <w:spacing w:after="0"/>
              <w:rPr>
                <w:sz w:val="20"/>
                <w:szCs w:val="20"/>
                <w:color w:val="auto"/>
              </w:rPr>
            </w:pPr>
            <w:r>
              <w:rPr>
                <w:rFonts w:ascii="Arial" w:cs="Arial" w:eastAsia="Arial" w:hAnsi="Arial"/>
                <w:sz w:val="18"/>
                <w:szCs w:val="18"/>
                <w:color w:val="auto"/>
              </w:rPr>
              <w:t>Scheduled service</w:t>
            </w:r>
          </w:p>
        </w:tc>
        <w:tc>
          <w:tcPr>
            <w:tcW w:w="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$193,047</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$396,113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224,507</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Charter service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98,130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118,158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359,232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688,833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335,824</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Cargo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36,809</w:t>
            </w:r>
          </w:p>
        </w:tc>
        <w:tc>
          <w:tcPr>
            <w:tcW w:w="6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0"/>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Revenue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401,486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384,931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-1527810</wp:posOffset>
            </wp:positionV>
            <wp:extent cx="6332220" cy="1536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32220" cy="1536700"/>
                    </a:xfrm>
                    <a:prstGeom prst="rect">
                      <a:avLst/>
                    </a:prstGeom>
                    <a:noFill/>
                  </pic:spPr>
                </pic:pic>
              </a:graphicData>
            </a:graphic>
          </wp:anchor>
        </w:drawing>
      </w:r>
    </w:p>
    <w:p>
      <w:pPr>
        <w:spacing w:after="0" w:line="101" w:lineRule="exact"/>
        <w:rPr>
          <w:sz w:val="20"/>
          <w:szCs w:val="20"/>
          <w:color w:val="auto"/>
        </w:rPr>
      </w:pPr>
    </w:p>
    <w:p>
      <w:pPr>
        <w:ind w:left="620" w:hanging="421"/>
        <w:spacing w:after="0"/>
        <w:tabs>
          <w:tab w:leader="none" w:pos="62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The classification of Ancillary changed as a result of the adoption of ASC 606.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8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April 10, 2018</w:t>
      </w:r>
    </w:p>
    <w:p>
      <w:pPr>
        <w:spacing w:after="0" w:line="7" w:lineRule="exact"/>
        <w:rPr>
          <w:sz w:val="20"/>
          <w:szCs w:val="20"/>
          <w:color w:val="auto"/>
        </w:rPr>
      </w:pPr>
    </w:p>
    <w:p>
      <w:pPr>
        <w:ind w:left="560" w:hanging="553"/>
        <w:spacing w:after="0"/>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132,234</w:t>
      </w:r>
    </w:p>
    <w:p>
      <w:pPr>
        <w:spacing w:after="0" w:line="2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40,663</w:t>
      </w:r>
    </w:p>
    <w:p>
      <w:pPr>
        <w:spacing w:after="0" w:line="2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172,897</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15,670</w:t>
      </w:r>
    </w:p>
    <w:p>
      <w:pPr>
        <w:spacing w:after="0" w:line="6"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8,885</w:t>
      </w:r>
    </w:p>
    <w:p>
      <w:pPr>
        <w:spacing w:after="0" w:line="21" w:lineRule="exact"/>
        <w:rPr>
          <w:sz w:val="20"/>
          <w:szCs w:val="20"/>
          <w:color w:val="auto"/>
        </w:rPr>
      </w:pPr>
    </w:p>
    <w:p>
      <w:pPr>
        <w:ind w:left="560" w:hanging="553"/>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197,452</w:t>
      </w:r>
    </w:p>
    <w:p>
      <w:pPr>
        <w:spacing w:after="0" w:line="608" w:lineRule="exact"/>
        <w:rPr>
          <w:sz w:val="20"/>
          <w:szCs w:val="20"/>
          <w:color w:val="auto"/>
        </w:rPr>
      </w:pPr>
    </w:p>
    <w:p>
      <w:pPr>
        <w:sectPr>
          <w:pgSz w:w="11900" w:h="16838" w:orient="portrait"/>
          <w:cols w:equalWidth="0" w:num="2">
            <w:col w:w="8700" w:space="720"/>
            <w:col w:w="1620"/>
          </w:cols>
          <w:pgMar w:left="320" w:top="454" w:right="539" w:bottom="1440" w:gutter="0" w:footer="0" w:header="0"/>
          <w:type w:val="continuous"/>
        </w:sectPr>
      </w:pPr>
    </w:p>
    <w:p>
      <w:pPr>
        <w:spacing w:after="0" w:line="18"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79"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Operating Revenue by geographic region are as follows:</w:t>
      </w:r>
    </w:p>
    <w:p>
      <w:pPr>
        <w:sectPr>
          <w:pgSz w:w="11900" w:h="16838" w:orient="portrait"/>
          <w:cols w:equalWidth="0" w:num="1">
            <w:col w:w="11040"/>
          </w:cols>
          <w:pgMar w:left="320" w:top="454" w:right="539" w:bottom="1440" w:gutter="0" w:footer="0" w:header="0"/>
          <w:type w:val="continuous"/>
        </w:sectPr>
      </w:pP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3"/>
            <w:vMerge w:val="restart"/>
          </w:tcPr>
          <w:p>
            <w:pPr>
              <w:jc w:val="right"/>
              <w:ind w:right="117"/>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0" w:type="dxa"/>
            <w:vAlign w:val="bottom"/>
          </w:tcPr>
          <w:p>
            <w:pPr>
              <w:spacing w:after="0"/>
              <w:rPr>
                <w:sz w:val="1"/>
                <w:szCs w:val="1"/>
                <w:color w:val="auto"/>
              </w:rPr>
            </w:pPr>
          </w:p>
        </w:tc>
      </w:tr>
      <w:tr>
        <w:trPr>
          <w:trHeight w:val="94"/>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680" w:type="dxa"/>
            <w:vAlign w:val="bottom"/>
            <w:gridSpan w:val="2"/>
            <w:vMerge w:val="restart"/>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restart"/>
          </w:tcPr>
          <w:p>
            <w:pPr>
              <w:spacing w:after="0"/>
              <w:rPr>
                <w:sz w:val="20"/>
                <w:szCs w:val="20"/>
                <w:color w:val="auto"/>
              </w:rPr>
            </w:pPr>
            <w:r>
              <w:rPr>
                <w:rFonts w:ascii="Arial" w:cs="Arial" w:eastAsia="Arial" w:hAnsi="Arial"/>
                <w:sz w:val="18"/>
                <w:szCs w:val="18"/>
                <w:color w:val="auto"/>
              </w:rPr>
              <w:t>Domestic</w:t>
            </w:r>
          </w:p>
        </w:tc>
        <w:tc>
          <w:tcPr>
            <w:tcW w:w="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$382,463</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$666,332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368,456</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Latin America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33,716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0"/>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Revenue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401,486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384,931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-970280</wp:posOffset>
            </wp:positionV>
            <wp:extent cx="6332220" cy="9791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32220" cy="979170"/>
                    </a:xfrm>
                    <a:prstGeom prst="rect">
                      <a:avLst/>
                    </a:prstGeom>
                    <a:noFill/>
                  </pic:spPr>
                </pic:pic>
              </a:graphicData>
            </a:graphic>
          </wp:anchor>
        </w:drawing>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8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April 10, 2018</w:t>
      </w:r>
    </w:p>
    <w:p>
      <w:pPr>
        <w:spacing w:after="0" w:line="7" w:lineRule="exact"/>
        <w:rPr>
          <w:sz w:val="20"/>
          <w:szCs w:val="20"/>
          <w:color w:val="auto"/>
        </w:rPr>
      </w:pPr>
    </w:p>
    <w:p>
      <w:pPr>
        <w:ind w:left="560" w:hanging="553"/>
        <w:spacing w:after="0"/>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173,995</w:t>
      </w:r>
    </w:p>
    <w:p>
      <w:pPr>
        <w:spacing w:after="0" w:line="2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23,003</w:t>
      </w:r>
    </w:p>
    <w:p>
      <w:pPr>
        <w:spacing w:after="0" w:line="2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4"/>
          <w:szCs w:val="14"/>
          <w:color w:val="auto"/>
        </w:rPr>
        <w:t>454</w:t>
      </w:r>
    </w:p>
    <w:p>
      <w:pPr>
        <w:spacing w:after="0" w:line="67" w:lineRule="exact"/>
        <w:rPr>
          <w:sz w:val="20"/>
          <w:szCs w:val="20"/>
          <w:color w:val="auto"/>
        </w:rPr>
      </w:pPr>
    </w:p>
    <w:p>
      <w:pPr>
        <w:ind w:left="560" w:hanging="553"/>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197,452</w:t>
      </w:r>
    </w:p>
    <w:p>
      <w:pPr>
        <w:spacing w:after="0" w:line="720" w:lineRule="exact"/>
        <w:rPr>
          <w:sz w:val="20"/>
          <w:szCs w:val="20"/>
          <w:color w:val="auto"/>
        </w:rPr>
      </w:pPr>
    </w:p>
    <w:p>
      <w:pPr>
        <w:sectPr>
          <w:pgSz w:w="11900" w:h="16838" w:orient="portrait"/>
          <w:cols w:equalWidth="0" w:num="2">
            <w:col w:w="8700" w:space="720"/>
            <w:col w:w="1620"/>
          </w:cols>
          <w:pgMar w:left="320" w:top="454" w:right="539" w:bottom="1440" w:gutter="0" w:footer="0" w:header="0"/>
          <w:type w:val="continuous"/>
        </w:sectPr>
      </w:pPr>
    </w:p>
    <w:p>
      <w:pPr>
        <w:ind w:left="200" w:right="380"/>
        <w:spacing w:after="0" w:line="256"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40"/>
          </w:cols>
          <w:pgMar w:left="320" w:top="454" w:right="53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 Assets and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3"/>
        </w:trPr>
        <w:tc>
          <w:tcPr>
            <w:tcW w:w="63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Contract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Costs to fulfill contract with Amazon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63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Air Traffic Liabilities</w:t>
            </w:r>
          </w:p>
        </w:tc>
        <w:tc>
          <w:tcPr>
            <w:tcW w:w="1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101,075</w:t>
            </w:r>
          </w:p>
        </w:tc>
        <w:tc>
          <w:tcPr>
            <w:tcW w:w="5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116,660</w:t>
            </w:r>
          </w:p>
        </w:tc>
        <w:tc>
          <w:tcPr>
            <w:tcW w:w="80" w:type="dxa"/>
            <w:vAlign w:val="bottom"/>
            <w:shd w:val="clear" w:color="auto" w:fill="CCEEFF"/>
          </w:tcPr>
          <w:p>
            <w:pPr>
              <w:spacing w:after="0"/>
              <w:rPr>
                <w:sz w:val="17"/>
                <w:szCs w:val="17"/>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22,892</w:t>
            </w:r>
          </w:p>
        </w:tc>
        <w:tc>
          <w:tcPr>
            <w:tcW w:w="80" w:type="dxa"/>
            <w:vAlign w:val="bottom"/>
          </w:tcPr>
          <w:p>
            <w:pPr>
              <w:spacing w:after="0"/>
              <w:rPr>
                <w:sz w:val="18"/>
                <w:szCs w:val="18"/>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Amazon Deferred Start-up Costs Payments Received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shd w:val="clear" w:color="auto" w:fill="CCEEFF"/>
          </w:tcPr>
          <w:p>
            <w:pPr>
              <w:spacing w:after="0"/>
              <w:rPr>
                <w:sz w:val="18"/>
                <w:szCs w:val="18"/>
                <w:color w:val="auto"/>
              </w:rPr>
            </w:pPr>
          </w:p>
        </w:tc>
      </w:tr>
      <w:tr>
        <w:trPr>
          <w:trHeight w:val="219"/>
        </w:trPr>
        <w:tc>
          <w:tcPr>
            <w:tcW w:w="6340" w:type="dxa"/>
            <w:vAlign w:val="bottom"/>
          </w:tcPr>
          <w:p>
            <w:pPr>
              <w:ind w:left="360"/>
              <w:spacing w:after="0"/>
              <w:rPr>
                <w:sz w:val="20"/>
                <w:szCs w:val="20"/>
                <w:color w:val="auto"/>
              </w:rPr>
            </w:pPr>
            <w:r>
              <w:rPr>
                <w:rFonts w:ascii="Arial" w:cs="Arial" w:eastAsia="Arial" w:hAnsi="Arial"/>
                <w:sz w:val="18"/>
                <w:szCs w:val="18"/>
                <w:color w:val="auto"/>
              </w:rPr>
              <w:t>Total Contract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128,384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141,185</w:t>
            </w: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181" w:lineRule="exact"/>
        <w:rPr>
          <w:sz w:val="20"/>
          <w:szCs w:val="20"/>
          <w:color w:val="auto"/>
        </w:rPr>
      </w:pPr>
    </w:p>
    <w:p>
      <w:pPr>
        <w:ind w:left="200" w:right="280"/>
        <w:spacing w:after="0" w:line="269" w:lineRule="auto"/>
        <w:rPr>
          <w:sz w:val="20"/>
          <w:szCs w:val="20"/>
          <w:color w:val="auto"/>
        </w:rPr>
      </w:pPr>
      <w:r>
        <w:rPr>
          <w:rFonts w:ascii="Arial" w:cs="Arial" w:eastAsia="Arial" w:hAnsi="Arial"/>
          <w:sz w:val="17"/>
          <w:szCs w:val="17"/>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 a pro-rata basis over the initial six years of the Amazon Agreement. For the year ended December 31, 2020, $393 has been amortized into Cargo revenue.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Loyalty Program</w:t>
      </w:r>
    </w:p>
    <w:p>
      <w:pPr>
        <w:spacing w:after="0" w:line="118"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00"/>
          </w:cols>
          <w:pgMar w:left="320" w:top="454" w:right="5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88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Balance—December 31, 2018</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$ 23,950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ASC 606 adoption adjustment (January 1, 2019)</w:t>
            </w: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$22,892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Loyalty Points Earned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4,015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Loyalty Points Redeemed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8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22,069</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$ 22,892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20" w:hanging="421"/>
        <w:spacing w:after="0" w:line="278" w:lineRule="auto"/>
        <w:tabs>
          <w:tab w:leader="none" w:pos="620" w:val="left"/>
        </w:tabs>
        <w:numPr>
          <w:ilvl w:val="0"/>
          <w:numId w:val="123"/>
        </w:numPr>
        <w:rPr>
          <w:rFonts w:ascii="Arial" w:cs="Arial" w:eastAsia="Arial" w:hAnsi="Arial"/>
          <w:sz w:val="14"/>
          <w:szCs w:val="14"/>
          <w:color w:val="auto"/>
        </w:rPr>
      </w:pPr>
      <w:r>
        <w:rPr>
          <w:rFonts w:ascii="Arial" w:cs="Arial" w:eastAsia="Arial" w:hAnsi="Arial"/>
          <w:sz w:val="17"/>
          <w:szCs w:val="17"/>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172"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329" w:lineRule="exact"/>
        <w:rPr>
          <w:sz w:val="20"/>
          <w:szCs w:val="20"/>
          <w:color w:val="auto"/>
        </w:rPr>
      </w:pPr>
    </w:p>
    <w:p>
      <w:pPr>
        <w:ind w:left="620" w:hanging="421"/>
        <w:spacing w:after="0"/>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ind w:left="200" w:right="400"/>
        <w:spacing w:after="0" w:line="266" w:lineRule="auto"/>
        <w:rPr>
          <w:sz w:val="20"/>
          <w:szCs w:val="20"/>
          <w:color w:val="auto"/>
        </w:rPr>
      </w:pPr>
      <w:r>
        <w:rPr>
          <w:rFonts w:ascii="Arial" w:cs="Arial" w:eastAsia="Arial" w:hAnsi="Arial"/>
          <w:sz w:val="18"/>
          <w:szCs w:val="18"/>
          <w:color w:val="auto"/>
        </w:rPr>
        <w:t>Basic earnings per share, which excludes dilution, is computed by dividing Net Income available to common stockholders by the weighted average number of common shares outstanding for the period.</w:t>
      </w:r>
    </w:p>
    <w:p>
      <w:pPr>
        <w:spacing w:after="0" w:line="179"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ectPr>
          <w:pgSz w:w="11900" w:h="16838" w:orient="portrait"/>
          <w:cols w:equalWidth="0" w:num="1">
            <w:col w:w="11040"/>
          </w:cols>
          <w:pgMar w:left="320" w:top="454" w:right="539" w:bottom="1440" w:gutter="0" w:footer="0" w:header="0"/>
        </w:sectPr>
      </w:pP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4"/>
              </w:rPr>
              <w:t>Successor</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5"/>
            <w:vMerge w:val="restart"/>
          </w:tcPr>
          <w:p>
            <w:pPr>
              <w:jc w:val="right"/>
              <w:ind w:right="395"/>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34"/>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5"/>
            <w:vMerge w:val="continue"/>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gridSpan w:val="3"/>
            <w:vMerge w:val="restart"/>
          </w:tcPr>
          <w:p>
            <w:pPr>
              <w:jc w:val="right"/>
              <w:ind w:right="120"/>
              <w:spacing w:after="0" w:line="147" w:lineRule="exact"/>
              <w:rPr>
                <w:sz w:val="20"/>
                <w:szCs w:val="20"/>
                <w:color w:val="auto"/>
              </w:rPr>
            </w:pPr>
            <w:r>
              <w:rPr>
                <w:rFonts w:ascii="Arial" w:cs="Arial" w:eastAsia="Arial" w:hAnsi="Arial"/>
                <w:sz w:val="14"/>
                <w:szCs w:val="14"/>
                <w:b w:val="1"/>
                <w:bCs w:val="1"/>
                <w:color w:val="auto"/>
                <w:w w:val="98"/>
              </w:rPr>
              <w:t>April 11, 2018 to</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0" w:type="dxa"/>
            <w:vAlign w:val="bottom"/>
            <w:gridSpan w:val="4"/>
          </w:tcPr>
          <w:p>
            <w:pPr>
              <w:ind w:left="40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80"/>
        </w:trPr>
        <w:tc>
          <w:tcPr>
            <w:tcW w:w="33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Net income /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46,072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Arial" w:cs="Arial" w:eastAsia="Arial" w:hAnsi="Arial"/>
                <w:sz w:val="18"/>
                <w:szCs w:val="18"/>
                <w:b w:val="1"/>
                <w:bCs w:val="1"/>
                <w:color w:val="auto"/>
              </w:rPr>
              <w:t>Denominator (Shares in thousansds):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46,806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Arial" w:cs="Arial" w:eastAsia="Arial" w:hAnsi="Arial"/>
                <w:sz w:val="18"/>
                <w:szCs w:val="18"/>
                <w:color w:val="auto"/>
              </w:rPr>
              <w:t>Dilutive effects of Warrants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Dilutive effect of Stock Options and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180"/>
              <w:spacing w:after="0"/>
              <w:rPr>
                <w:sz w:val="20"/>
                <w:szCs w:val="20"/>
                <w:color w:val="auto"/>
              </w:rPr>
            </w:pPr>
            <w:r>
              <w:rPr>
                <w:rFonts w:ascii="Arial" w:cs="Arial" w:eastAsia="Arial" w:hAnsi="Arial"/>
                <w:sz w:val="18"/>
                <w:szCs w:val="18"/>
                <w:color w:val="auto"/>
              </w:rPr>
              <w:t>Outstanding—Diluted</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46,806,042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47,909,413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rPr>
              <w:t>Basic earnings / (loss) per share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0.99</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Diluted earnings / (loss) per share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-2033270</wp:posOffset>
            </wp:positionV>
            <wp:extent cx="6332220" cy="20345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32220" cy="2034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8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April 10, 2018</w:t>
      </w:r>
    </w:p>
    <w:p>
      <w:pPr>
        <w:spacing w:after="0" w:line="192" w:lineRule="exact"/>
        <w:rPr>
          <w:sz w:val="20"/>
          <w:szCs w:val="20"/>
          <w:color w:val="auto"/>
        </w:rPr>
      </w:pPr>
    </w:p>
    <w:p>
      <w:pPr>
        <w:ind w:left="640" w:hanging="633"/>
        <w:spacing w:after="0"/>
        <w:tabs>
          <w:tab w:leader="none" w:pos="6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25,910</w:t>
      </w:r>
    </w:p>
    <w:p>
      <w:pPr>
        <w:spacing w:after="0" w:line="200" w:lineRule="exact"/>
        <w:rPr>
          <w:sz w:val="20"/>
          <w:szCs w:val="20"/>
          <w:color w:val="auto"/>
        </w:rPr>
      </w:pPr>
    </w:p>
    <w:p>
      <w:pPr>
        <w:spacing w:after="0" w:line="254"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100,000</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45"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100,000</w:t>
      </w:r>
    </w:p>
    <w:p>
      <w:pPr>
        <w:spacing w:after="0" w:line="32" w:lineRule="exact"/>
        <w:rPr>
          <w:sz w:val="20"/>
          <w:szCs w:val="20"/>
          <w:color w:val="auto"/>
        </w:rPr>
      </w:pPr>
    </w:p>
    <w:p>
      <w:pPr>
        <w:ind w:left="820" w:hanging="813"/>
        <w:spacing w:after="0"/>
        <w:tabs>
          <w:tab w:leader="none" w:pos="8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0.26</w:t>
      </w:r>
    </w:p>
    <w:p>
      <w:pPr>
        <w:spacing w:after="0" w:line="39" w:lineRule="exact"/>
        <w:rPr>
          <w:rFonts w:ascii="Arial" w:cs="Arial" w:eastAsia="Arial" w:hAnsi="Arial"/>
          <w:sz w:val="16"/>
          <w:szCs w:val="16"/>
          <w:color w:val="auto"/>
        </w:rPr>
      </w:pPr>
    </w:p>
    <w:p>
      <w:pPr>
        <w:ind w:left="820" w:hanging="813"/>
        <w:spacing w:after="0"/>
        <w:tabs>
          <w:tab w:leader="none" w:pos="8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0.26</w:t>
      </w:r>
    </w:p>
    <w:p>
      <w:pPr>
        <w:spacing w:after="0" w:line="228" w:lineRule="exact"/>
        <w:rPr>
          <w:sz w:val="20"/>
          <w:szCs w:val="20"/>
          <w:color w:val="auto"/>
        </w:rPr>
      </w:pPr>
    </w:p>
    <w:p>
      <w:pPr>
        <w:sectPr>
          <w:pgSz w:w="11900" w:h="16838" w:orient="portrait"/>
          <w:cols w:equalWidth="0" w:num="2">
            <w:col w:w="8700" w:space="720"/>
            <w:col w:w="1620"/>
          </w:cols>
          <w:pgMar w:left="320" w:top="454" w:right="539" w:bottom="1440" w:gutter="0" w:footer="0" w:header="0"/>
          <w:type w:val="continuous"/>
        </w:sectPr>
      </w:pPr>
    </w:p>
    <w:p>
      <w:pPr>
        <w:spacing w:after="0" w:line="148" w:lineRule="exact"/>
        <w:rPr>
          <w:sz w:val="20"/>
          <w:szCs w:val="20"/>
          <w:color w:val="auto"/>
        </w:rPr>
      </w:pPr>
    </w:p>
    <w:p>
      <w:pPr>
        <w:ind w:left="620" w:hanging="421"/>
        <w:spacing w:after="0" w:line="256" w:lineRule="auto"/>
        <w:tabs>
          <w:tab w:leader="none" w:pos="62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40"/>
          </w:cols>
          <w:pgMar w:left="320" w:top="454" w:right="5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jc w:val="both"/>
        <w:ind w:left="200" w:right="680"/>
        <w:spacing w:after="0" w:line="410"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88"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320" w:lineRule="exact"/>
        <w:rPr>
          <w:sz w:val="20"/>
          <w:szCs w:val="20"/>
          <w:color w:val="auto"/>
        </w:rPr>
      </w:pPr>
    </w:p>
    <w:p>
      <w:pPr>
        <w:ind w:left="620" w:hanging="421"/>
        <w:spacing w:after="0"/>
        <w:tabs>
          <w:tab w:leader="none" w:pos="6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&amp; EQUIPMENT</w:t>
      </w:r>
    </w:p>
    <w:p>
      <w:pPr>
        <w:spacing w:after="0" w:line="118"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color w:val="auto"/>
        </w:rPr>
        <w:t>During the year ended December 31, 2020, the Company purchased nine aircraft and a spare engine. See Note 10 for further information on leased aircraft.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Aircraft Fleet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tables summarize the Company’s aircraft fleet activity for the years ended December 31, 2020 and 2019, respectively:</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Removals</w:t>
            </w:r>
          </w:p>
        </w:tc>
        <w:tc>
          <w:tcPr>
            <w:tcW w:w="15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93"/>
        </w:trPr>
        <w:tc>
          <w:tcPr>
            <w:tcW w:w="36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Passenger:</w:t>
            </w:r>
          </w:p>
        </w:tc>
        <w:tc>
          <w:tcPr>
            <w:tcW w:w="9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8"/>
                <w:szCs w:val="18"/>
                <w:color w:val="auto"/>
              </w:rPr>
              <w:t>Owned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Seasonal leases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700"/>
              <w:spacing w:after="0"/>
              <w:rPr>
                <w:sz w:val="20"/>
                <w:szCs w:val="20"/>
                <w:color w:val="auto"/>
              </w:rPr>
            </w:pPr>
            <w:r>
              <w:rPr>
                <w:rFonts w:ascii="Arial" w:cs="Arial" w:eastAsia="Arial" w:hAnsi="Arial"/>
                <w:sz w:val="18"/>
                <w:szCs w:val="18"/>
                <w:color w:val="auto"/>
              </w:rPr>
              <w:t>Sun Country Airlines’ Fleet</w:t>
            </w: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Cargo Aircraft Operated for Amazon</w:t>
            </w:r>
          </w:p>
        </w:tc>
        <w:tc>
          <w:tcPr>
            <w:tcW w:w="9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700"/>
              <w:spacing w:after="0"/>
              <w:rPr>
                <w:sz w:val="20"/>
                <w:szCs w:val="20"/>
                <w:color w:val="auto"/>
              </w:rPr>
            </w:pPr>
            <w:r>
              <w:rPr>
                <w:rFonts w:ascii="Arial" w:cs="Arial" w:eastAsia="Arial" w:hAnsi="Arial"/>
                <w:sz w:val="18"/>
                <w:szCs w:val="18"/>
                <w:color w:val="auto"/>
              </w:rPr>
              <w:t>Total Aircraft Operated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189"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color w:val="auto"/>
        </w:rPr>
        <w:t>In addition to the nine purchases discussed above, the Company refinanced three previously owned aircraft in January 2020 utilizing equipment trust certificates (see Note 9).</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12 cargo aircraft added during 2020 relate to the Amazon Agreement (see Note 1).</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8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Removals</w:t>
            </w: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December 31, 2019</w:t>
            </w:r>
          </w:p>
        </w:tc>
      </w:tr>
      <w:tr>
        <w:trPr>
          <w:trHeight w:val="206"/>
        </w:trPr>
        <w:tc>
          <w:tcPr>
            <w:tcW w:w="31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Owned</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Finance leases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Seasonal leases</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7"/>
        </w:trPr>
        <w:tc>
          <w:tcPr>
            <w:tcW w:w="3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Sun Country Airlines’ Fleet</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0" w:right="60"/>
        <w:spacing w:after="0" w:line="256" w:lineRule="auto"/>
        <w:rPr>
          <w:sz w:val="20"/>
          <w:szCs w:val="20"/>
          <w:color w:val="auto"/>
        </w:rPr>
      </w:pPr>
      <w:r>
        <w:rPr>
          <w:rFonts w:ascii="Arial" w:cs="Arial" w:eastAsia="Arial" w:hAnsi="Arial"/>
          <w:sz w:val="18"/>
          <w:szCs w:val="18"/>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20"/>
          </w:cols>
          <w:pgMar w:left="320" w:top="454" w:right="5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Also, in December 2019, the Company amended an operating lease, which converted it to a finance lease. Lastly, one of the Company’s operating leases expired in August 2019 and two in December 2019.</w:t>
      </w:r>
    </w:p>
    <w:p>
      <w:pPr>
        <w:spacing w:after="0" w:line="179" w:lineRule="exact"/>
        <w:rPr>
          <w:sz w:val="20"/>
          <w:szCs w:val="20"/>
          <w:color w:val="auto"/>
        </w:rPr>
      </w:pPr>
    </w:p>
    <w:p>
      <w:pPr>
        <w:ind w:left="200" w:right="120"/>
        <w:spacing w:after="0" w:line="278" w:lineRule="auto"/>
        <w:rPr>
          <w:sz w:val="20"/>
          <w:szCs w:val="20"/>
          <w:color w:val="auto"/>
        </w:rPr>
      </w:pPr>
      <w:r>
        <w:rPr>
          <w:rFonts w:ascii="Arial" w:cs="Arial" w:eastAsia="Arial" w:hAnsi="Arial"/>
          <w:sz w:val="17"/>
          <w:szCs w:val="17"/>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172" w:lineRule="exact"/>
        <w:rPr>
          <w:sz w:val="20"/>
          <w:szCs w:val="20"/>
          <w:color w:val="auto"/>
        </w:rPr>
      </w:pPr>
    </w:p>
    <w:p>
      <w:pPr>
        <w:ind w:left="200" w:right="500"/>
        <w:spacing w:after="0" w:line="278" w:lineRule="auto"/>
        <w:rPr>
          <w:sz w:val="20"/>
          <w:szCs w:val="20"/>
          <w:color w:val="auto"/>
        </w:rPr>
      </w:pPr>
      <w:r>
        <w:rPr>
          <w:rFonts w:ascii="Arial" w:cs="Arial" w:eastAsia="Arial" w:hAnsi="Arial"/>
          <w:sz w:val="17"/>
          <w:szCs w:val="17"/>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172" w:lineRule="exact"/>
        <w:rPr>
          <w:sz w:val="20"/>
          <w:szCs w:val="20"/>
          <w:color w:val="auto"/>
        </w:rPr>
      </w:pPr>
    </w:p>
    <w:p>
      <w:pPr>
        <w:ind w:left="200" w:right="460"/>
        <w:spacing w:after="0" w:line="266" w:lineRule="auto"/>
        <w:rPr>
          <w:sz w:val="20"/>
          <w:szCs w:val="20"/>
          <w:color w:val="auto"/>
        </w:rPr>
      </w:pPr>
      <w:r>
        <w:rPr>
          <w:rFonts w:ascii="Arial" w:cs="Arial" w:eastAsia="Arial" w:hAnsi="Arial"/>
          <w:sz w:val="18"/>
          <w:szCs w:val="18"/>
          <w:color w:val="auto"/>
        </w:rPr>
        <w:t>Depreciation expense on Owned Assets and amortization expense on Finance Lease Assets are classified in Depreciation and Amortization on the Consolidated Statements of Operations.</w:t>
      </w:r>
    </w:p>
    <w:p>
      <w:pPr>
        <w:spacing w:after="0" w:line="320" w:lineRule="exact"/>
        <w:rPr>
          <w:sz w:val="20"/>
          <w:szCs w:val="20"/>
          <w:color w:val="auto"/>
        </w:rPr>
      </w:pPr>
    </w:p>
    <w:p>
      <w:pPr>
        <w:ind w:left="620" w:hanging="421"/>
        <w:spacing w:after="0"/>
        <w:tabs>
          <w:tab w:leader="none" w:pos="6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4"/>
                <w:szCs w:val="14"/>
                <w:color w:val="auto"/>
              </w:rPr>
              <w:t>Gross Carrying</w:t>
            </w:r>
          </w:p>
        </w:tc>
        <w:tc>
          <w:tcPr>
            <w:tcW w:w="400" w:type="dxa"/>
            <w:vAlign w:val="bottom"/>
          </w:tcPr>
          <w:p>
            <w:pPr>
              <w:spacing w:after="0"/>
              <w:rPr>
                <w:sz w:val="10"/>
                <w:szCs w:val="10"/>
                <w:color w:val="auto"/>
              </w:rPr>
            </w:pPr>
          </w:p>
        </w:tc>
        <w:tc>
          <w:tcPr>
            <w:tcW w:w="1380" w:type="dxa"/>
            <w:vAlign w:val="bottom"/>
            <w:gridSpan w:val="3"/>
          </w:tcPr>
          <w:p>
            <w:pPr>
              <w:spacing w:after="0" w:line="121"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1"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Goodwill</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20"/>
              <w:spacing w:after="0"/>
              <w:rPr>
                <w:sz w:val="20"/>
                <w:szCs w:val="20"/>
                <w:color w:val="auto"/>
              </w:rPr>
            </w:pPr>
            <w:r>
              <w:rPr>
                <w:rFonts w:ascii="Arial" w:cs="Arial" w:eastAsia="Arial" w:hAnsi="Arial"/>
                <w:sz w:val="18"/>
                <w:szCs w:val="18"/>
                <w:color w:val="auto"/>
              </w:rPr>
              <w:t>Total Other Intangible Assets</w:t>
            </w: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$ 315,333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4"/>
                <w:szCs w:val="14"/>
                <w:color w:val="auto"/>
              </w:rPr>
              <w:t>Gross Carrying</w:t>
            </w:r>
          </w:p>
        </w:tc>
        <w:tc>
          <w:tcPr>
            <w:tcW w:w="400" w:type="dxa"/>
            <w:vAlign w:val="bottom"/>
          </w:tcPr>
          <w:p>
            <w:pPr>
              <w:spacing w:after="0"/>
              <w:rPr>
                <w:sz w:val="10"/>
                <w:szCs w:val="10"/>
                <w:color w:val="auto"/>
              </w:rPr>
            </w:pPr>
          </w:p>
        </w:tc>
        <w:tc>
          <w:tcPr>
            <w:tcW w:w="1380" w:type="dxa"/>
            <w:vAlign w:val="bottom"/>
            <w:gridSpan w:val="3"/>
          </w:tcPr>
          <w:p>
            <w:pPr>
              <w:spacing w:after="0" w:line="121"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1"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Goodwill</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20"/>
              <w:spacing w:after="0"/>
              <w:rPr>
                <w:sz w:val="20"/>
                <w:szCs w:val="20"/>
                <w:color w:val="auto"/>
              </w:rPr>
            </w:pPr>
            <w:r>
              <w:rPr>
                <w:rFonts w:ascii="Arial" w:cs="Arial" w:eastAsia="Arial" w:hAnsi="Arial"/>
                <w:sz w:val="18"/>
                <w:szCs w:val="18"/>
                <w:color w:val="auto"/>
              </w:rPr>
              <w:t>Total Other Intangible Assets</w:t>
            </w: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$ 319,333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Goodwill is related to the Passenger Operating segment.</w:t>
      </w:r>
    </w:p>
    <w:p>
      <w:pPr>
        <w:spacing w:after="0" w:line="218"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color w:val="auto"/>
        </w:rPr>
        <w:t>Finite-Lived Intangible Assets are amortized over an estimated useful life based on several factors, including the effects of demand, competition, contractual relationship and other business factors. The Company concluded that</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00"/>
          </w:cols>
          <w:pgMar w:left="320" w:top="454" w:right="5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color w:val="auto"/>
        </w:rPr>
        <w:t>the Customer Relationships Finite-Lived Intangible Assets has an estimated life of 12 years and is being amortized over this period on a straight-line basis.</w:t>
      </w:r>
    </w:p>
    <w:p>
      <w:pPr>
        <w:spacing w:after="0" w:line="179"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331" w:lineRule="exact"/>
        <w:rPr>
          <w:sz w:val="20"/>
          <w:szCs w:val="20"/>
          <w:color w:val="auto"/>
        </w:rPr>
      </w:pPr>
    </w:p>
    <w:p>
      <w:pPr>
        <w:ind w:left="620" w:hanging="421"/>
        <w:spacing w:after="0"/>
        <w:tabs>
          <w:tab w:leader="none" w:pos="6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b w:val="1"/>
          <w:bCs w:val="1"/>
          <w:color w:val="auto"/>
        </w:rPr>
        <w:t>Lines of Credit</w:t>
      </w:r>
      <w:r>
        <w:rPr>
          <w:rFonts w:ascii="Arial" w:cs="Arial" w:eastAsia="Arial" w:hAnsi="Arial"/>
          <w:sz w:val="16"/>
          <w:szCs w:val="16"/>
          <w:color w:val="auto"/>
        </w:rPr>
        <w:t>—In 2018, the Company entered into a revolving credit agreement with a financial institution which provides available credit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defined thresholds to a maximum amount of $20,000. On May 15, 2020, the revolving credit agreement maturity date was extended by one year to April 11, 2022 and the maximum credit amount was increased from $20,000 to $25,000. Available credit under this agreement 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w:t>
      </w:r>
    </w:p>
    <w:p>
      <w:pPr>
        <w:spacing w:after="0" w:line="4" w:lineRule="exact"/>
        <w:rPr>
          <w:sz w:val="20"/>
          <w:szCs w:val="20"/>
          <w:color w:val="auto"/>
        </w:rPr>
      </w:pPr>
    </w:p>
    <w:p>
      <w:pPr>
        <w:ind w:left="200" w:right="60" w:hanging="1"/>
        <w:spacing w:after="0" w:line="248" w:lineRule="auto"/>
        <w:tabs>
          <w:tab w:leader="none" w:pos="38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197"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On February 10, 2021, the Company executed a new five-year credit agreement with a group of lenders that replaces the Company’s May 15, 2020 $25,000 revolving credit agreement.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161"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—In December 2019, the Company arranged for the issuance of Class A, Class B and Class C pass-through trust certificates Series</w:t>
      </w:r>
      <w:r>
        <w:rPr>
          <w:rFonts w:ascii="Arial" w:cs="Arial" w:eastAsia="Arial" w:hAnsi="Arial"/>
          <w:sz w:val="18"/>
          <w:szCs w:val="18"/>
          <w:b w:val="1"/>
          <w:bCs w:val="1"/>
          <w:color w:val="auto"/>
        </w:rPr>
        <w:t xml:space="preserve"> </w:t>
      </w:r>
      <w:r>
        <w:rPr>
          <w:rFonts w:ascii="Arial" w:cs="Arial" w:eastAsia="Arial" w:hAnsi="Arial"/>
          <w:sz w:val="18"/>
          <w:szCs w:val="18"/>
          <w:color w:val="auto"/>
        </w:rPr>
        <w:t>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193"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00"/>
          </w:cols>
          <w:pgMar w:left="320" w:top="454" w:right="5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20"/>
        <w:spacing w:after="0" w:line="284" w:lineRule="auto"/>
        <w:rPr>
          <w:sz w:val="20"/>
          <w:szCs w:val="20"/>
          <w:color w:val="auto"/>
        </w:rPr>
      </w:pPr>
      <w:r>
        <w:rPr>
          <w:rFonts w:ascii="Arial" w:cs="Arial" w:eastAsia="Arial" w:hAnsi="Arial"/>
          <w:sz w:val="16"/>
          <w:szCs w:val="16"/>
          <w:color w:val="auto"/>
        </w:rPr>
        <w:t>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w:t>
      </w:r>
    </w:p>
    <w:p>
      <w:pPr>
        <w:spacing w:after="0" w:line="1" w:lineRule="exact"/>
        <w:rPr>
          <w:sz w:val="20"/>
          <w:szCs w:val="20"/>
          <w:color w:val="auto"/>
        </w:rPr>
      </w:pPr>
    </w:p>
    <w:p>
      <w:pPr>
        <w:jc w:val="both"/>
        <w:ind w:left="200" w:right="200"/>
        <w:spacing w:after="0" w:line="250" w:lineRule="auto"/>
        <w:rPr>
          <w:sz w:val="20"/>
          <w:szCs w:val="20"/>
          <w:color w:val="auto"/>
        </w:rPr>
      </w:pPr>
      <w:r>
        <w:rPr>
          <w:rFonts w:ascii="Arial" w:cs="Arial" w:eastAsia="Arial" w:hAnsi="Arial"/>
          <w:sz w:val="18"/>
          <w:szCs w:val="18"/>
          <w:color w:val="auto"/>
        </w:rPr>
        <w:t>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193"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165"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Under the CARES Act Loan Program, on October 26, 2020, the Company was awarded a forty-five million dollar loan, which is secured by SCA’s loyalty program and certain cash deposit accounts. The loan 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20"/>
          </w:cols>
          <w:pgMar w:left="320" w:top="454" w:right="5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included the following:</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w w:val="94"/>
              </w:rPr>
              <w:t>Notes payable under the Company’s 2019-1 EETC agreement dated December 2019, with original loan amounts of</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$248,587 payable in bi-annual installments through December 2027. These notes bear interest at an annual rate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between 4.13% and 6.95% and are secured by the equipment for which the loan was used.</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227,347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200" w:type="dxa"/>
            <w:vAlign w:val="bottom"/>
            <w:gridSpan w:val="2"/>
          </w:tcPr>
          <w:p>
            <w:pPr>
              <w:spacing w:after="0"/>
              <w:rPr>
                <w:sz w:val="20"/>
                <w:szCs w:val="20"/>
                <w:color w:val="auto"/>
              </w:rPr>
            </w:pPr>
            <w:r>
              <w:rPr>
                <w:rFonts w:ascii="Arial" w:cs="Arial" w:eastAsia="Arial" w:hAnsi="Arial"/>
                <w:sz w:val="17"/>
                <w:szCs w:val="17"/>
                <w:color w:val="auto"/>
              </w:rPr>
              <w:t>U. S. Department of the Treasury CARES Act Loan (see terms and conditions above)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45,419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3"/>
              </w:rPr>
              <w:t>Notes payable to Wilmington Trust Company dated October and November 2018, with original loan amounts totaling</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$55,671 payable in monthly installments through November 2023. These notes bore interest at an annual rate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8.45%. They were refinanced in January 2020 through 2019-1 EETC notes.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200" w:type="dxa"/>
            <w:vAlign w:val="bottom"/>
            <w:gridSpan w:val="2"/>
          </w:tcPr>
          <w:p>
            <w:pPr>
              <w:spacing w:after="0"/>
              <w:rPr>
                <w:sz w:val="20"/>
                <w:szCs w:val="20"/>
                <w:color w:val="auto"/>
              </w:rPr>
            </w:pPr>
            <w:r>
              <w:rPr>
                <w:rFonts w:ascii="Arial" w:cs="Arial" w:eastAsia="Arial" w:hAnsi="Arial"/>
                <w:sz w:val="17"/>
                <w:szCs w:val="17"/>
                <w:color w:val="auto"/>
                <w:w w:val="94"/>
              </w:rPr>
              <w:t>Note payable to Wilmington Trust Company dated February 2019, with an original loan amount of $12,750 payable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w w:val="96"/>
              </w:rPr>
              <w:t>in monthly installments of $151 through January 2024, and then final lump sum payment of $2,825 in February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w w:val="94"/>
              </w:rPr>
              <w:t>2024. This note bears interest at an annual rate of 8.45% and is secured by the equipment for which the loan was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used.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9,813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4"/>
              </w:rPr>
              <w:t>Note payable to Wilmington Trust Company dated November 2018, with an original loan amount of $3,671 payable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in monthly installments of $44 through October 2023, and then final lump sum payment of $1,101 in November</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2023. This note bears interest at an annual rate of 8.45% and is secured by the equipment for which the loan was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200" w:type="dxa"/>
            <w:vAlign w:val="bottom"/>
            <w:gridSpan w:val="2"/>
          </w:tcPr>
          <w:p>
            <w:pPr>
              <w:spacing w:after="0"/>
              <w:rPr>
                <w:sz w:val="20"/>
                <w:szCs w:val="20"/>
                <w:color w:val="auto"/>
              </w:rPr>
            </w:pPr>
            <w:r>
              <w:rPr>
                <w:rFonts w:ascii="Arial" w:cs="Arial" w:eastAsia="Arial" w:hAnsi="Arial"/>
                <w:sz w:val="17"/>
                <w:szCs w:val="17"/>
                <w:color w:val="auto"/>
                <w:w w:val="99"/>
              </w:rPr>
              <w:t>Note payable to Alliance Bank dated February 2019, with an original loan amount of $600 payable in monthly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installments of $5 through March 2029. This note bears interest at an annual rate of 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4"/>
              </w:rPr>
              <w:t>Notes payable to Riverland Bank dated between April 2015 and May 2016, with original loan amounts totaling $734</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payable in monthly installments with expirations between April 2020 and April 2021. The notes bear interest at an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annual rate of 5.15% and are secured by the equipment for which the loan was used.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285,801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89,905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debt issuance costs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(3,338)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Less: Current Maturities of Long-term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(26,118)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(13,197)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Total Long-term Debt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256,345</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5240"/>
              <w:spacing w:after="0"/>
              <w:rPr>
                <w:sz w:val="20"/>
                <w:szCs w:val="20"/>
                <w:color w:val="auto"/>
              </w:rPr>
            </w:pPr>
            <w:r>
              <w:rPr>
                <w:rFonts w:ascii="Arial" w:cs="Arial" w:eastAsia="Arial" w:hAnsi="Arial"/>
                <w:sz w:val="18"/>
                <w:szCs w:val="18"/>
                <w:color w:val="auto"/>
              </w:rPr>
              <w:t>F-30</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860" w:type="dxa"/>
            <w:vAlign w:val="bottom"/>
            <w:gridSpan w:val="3"/>
          </w:tcPr>
          <w:p>
            <w:pPr>
              <w:ind w:left="1960"/>
              <w:spacing w:after="0"/>
              <w:rPr>
                <w:sz w:val="20"/>
                <w:szCs w:val="20"/>
                <w:color w:val="auto"/>
              </w:rPr>
            </w:pPr>
            <w:r>
              <w:rPr>
                <w:rFonts w:ascii="Arial" w:cs="Arial" w:eastAsia="Arial" w:hAnsi="Arial"/>
                <w:sz w:val="14"/>
                <w:szCs w:val="14"/>
                <w:b w:val="1"/>
                <w:bCs w:val="1"/>
                <w:color w:val="auto"/>
                <w:w w:val="93"/>
              </w:rPr>
              <w:t>Debt Principal</w:t>
            </w:r>
          </w:p>
        </w:tc>
        <w:tc>
          <w:tcPr>
            <w:tcW w:w="2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Amortization of Debt</w:t>
            </w:r>
          </w:p>
        </w:tc>
        <w:tc>
          <w:tcPr>
            <w:tcW w:w="380" w:type="dxa"/>
            <w:vAlign w:val="bottom"/>
          </w:tcPr>
          <w:p>
            <w:pPr>
              <w:spacing w:after="0"/>
              <w:rPr>
                <w:sz w:val="14"/>
                <w:szCs w:val="14"/>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69"/>
        </w:trPr>
        <w:tc>
          <w:tcPr>
            <w:tcW w:w="352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Payments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Issuance Costs</w:t>
            </w:r>
          </w:p>
        </w:tc>
        <w:tc>
          <w:tcPr>
            <w:tcW w:w="3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2021</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28,846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(752)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67,659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53,739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the Company’s debt measured at fair value:</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c>
          <w:tcPr>
            <w:tcW w:w="2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6"/>
        </w:trPr>
        <w:tc>
          <w:tcPr>
            <w:tcW w:w="48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Carrying Amount</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1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80" w:type="dxa"/>
            <w:vAlign w:val="bottom"/>
            <w:vMerge w:val="continue"/>
          </w:tcPr>
          <w:p>
            <w:pPr>
              <w:spacing w:after="0"/>
              <w:rPr>
                <w:sz w:val="17"/>
                <w:szCs w:val="17"/>
                <w:color w:val="auto"/>
              </w:rPr>
            </w:pPr>
          </w:p>
        </w:tc>
        <w:tc>
          <w:tcPr>
            <w:tcW w:w="340" w:type="dxa"/>
            <w:vAlign w:val="bottom"/>
            <w:gridSpan w:val="2"/>
          </w:tcPr>
          <w:p>
            <w:pPr>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279,119</w:t>
            </w:r>
          </w:p>
        </w:tc>
        <w:tc>
          <w:tcPr>
            <w:tcW w:w="1380" w:type="dxa"/>
            <w:vAlign w:val="bottom"/>
            <w:gridSpan w:val="2"/>
          </w:tcPr>
          <w:p>
            <w:pPr>
              <w:jc w:val="right"/>
              <w:ind w:right="208"/>
              <w:spacing w:after="0" w:line="20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96,342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320" w:lineRule="exact"/>
        <w:rPr>
          <w:sz w:val="20"/>
          <w:szCs w:val="20"/>
          <w:color w:val="auto"/>
        </w:rPr>
      </w:pPr>
    </w:p>
    <w:p>
      <w:pPr>
        <w:ind w:left="620" w:hanging="421"/>
        <w:spacing w:after="0"/>
        <w:tabs>
          <w:tab w:leader="none" w:pos="6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ind w:left="200" w:right="140"/>
        <w:spacing w:after="0" w:line="269" w:lineRule="auto"/>
        <w:rPr>
          <w:sz w:val="20"/>
          <w:szCs w:val="20"/>
          <w:color w:val="auto"/>
        </w:rPr>
      </w:pPr>
      <w:r>
        <w:rPr>
          <w:rFonts w:ascii="Arial" w:cs="Arial" w:eastAsia="Arial" w:hAnsi="Arial"/>
          <w:sz w:val="17"/>
          <w:szCs w:val="17"/>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81"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162" w:lineRule="exact"/>
        <w:rPr>
          <w:sz w:val="20"/>
          <w:szCs w:val="20"/>
          <w:color w:val="auto"/>
        </w:rPr>
      </w:pPr>
    </w:p>
    <w:p>
      <w:pPr>
        <w:ind w:left="200" w:right="100"/>
        <w:spacing w:after="0" w:line="303" w:lineRule="auto"/>
        <w:rPr>
          <w:sz w:val="20"/>
          <w:szCs w:val="20"/>
          <w:color w:val="auto"/>
        </w:rPr>
      </w:pPr>
      <w:r>
        <w:rPr>
          <w:rFonts w:ascii="Arial" w:cs="Arial" w:eastAsia="Arial" w:hAnsi="Arial"/>
          <w:sz w:val="16"/>
          <w:szCs w:val="16"/>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4" w:right="5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jc w:val="both"/>
        <w:ind w:left="200" w:right="320"/>
        <w:spacing w:after="0" w:line="303" w:lineRule="auto"/>
        <w:rPr>
          <w:sz w:val="20"/>
          <w:szCs w:val="20"/>
          <w:color w:val="auto"/>
        </w:rPr>
      </w:pPr>
      <w:r>
        <w:rPr>
          <w:rFonts w:ascii="Arial" w:cs="Arial" w:eastAsia="Arial" w:hAnsi="Arial"/>
          <w:sz w:val="16"/>
          <w:szCs w:val="16"/>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20" w:type="dxa"/>
            <w:vAlign w:val="bottom"/>
            <w:gridSpan w:val="2"/>
          </w:tcPr>
          <w:p>
            <w:pPr>
              <w:ind w:left="1360"/>
              <w:spacing w:after="0"/>
              <w:rPr>
                <w:sz w:val="20"/>
                <w:szCs w:val="20"/>
                <w:color w:val="auto"/>
              </w:rPr>
            </w:pPr>
            <w:r>
              <w:rPr>
                <w:rFonts w:ascii="Arial" w:cs="Arial" w:eastAsia="Arial" w:hAnsi="Arial"/>
                <w:sz w:val="14"/>
                <w:szCs w:val="14"/>
                <w:b w:val="1"/>
                <w:bCs w:val="1"/>
                <w:color w:val="auto"/>
              </w:rPr>
              <w:t>Classification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December 31, 2019</w:t>
            </w:r>
          </w:p>
        </w:tc>
      </w:tr>
      <w:tr>
        <w:trPr>
          <w:trHeight w:val="179"/>
        </w:trPr>
        <w:tc>
          <w:tcPr>
            <w:tcW w:w="31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Assets</w:t>
            </w:r>
          </w:p>
        </w:tc>
        <w:tc>
          <w:tcPr>
            <w:tcW w:w="104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Finance lease assets, net</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Property and Equipment, net</w:t>
            </w:r>
          </w:p>
        </w:tc>
        <w:tc>
          <w:tcPr>
            <w:tcW w:w="340" w:type="dxa"/>
            <w:vAlign w:val="bottom"/>
            <w:gridSpan w:val="2"/>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104,815</w:t>
            </w:r>
          </w:p>
        </w:tc>
        <w:tc>
          <w:tcPr>
            <w:tcW w:w="78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194,328</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assets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Operating Lease Right-of-use Assets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121,269</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147,148</w:t>
            </w:r>
          </w:p>
        </w:tc>
        <w:tc>
          <w:tcPr>
            <w:tcW w:w="60" w:type="dxa"/>
            <w:vAlign w:val="bottom"/>
            <w:shd w:val="clear" w:color="auto" w:fill="CCEEFF"/>
          </w:tcPr>
          <w:p>
            <w:pPr>
              <w:spacing w:after="0"/>
              <w:rPr>
                <w:sz w:val="17"/>
                <w:szCs w:val="17"/>
                <w:color w:val="auto"/>
              </w:rPr>
            </w:pPr>
          </w:p>
        </w:tc>
      </w:tr>
      <w:tr>
        <w:trPr>
          <w:trHeight w:val="206"/>
        </w:trPr>
        <w:tc>
          <w:tcPr>
            <w:tcW w:w="3120" w:type="dxa"/>
            <w:vAlign w:val="bottom"/>
          </w:tcPr>
          <w:p>
            <w:pPr>
              <w:ind w:left="680"/>
              <w:spacing w:after="0"/>
              <w:rPr>
                <w:sz w:val="20"/>
                <w:szCs w:val="20"/>
                <w:color w:val="auto"/>
              </w:rPr>
            </w:pPr>
            <w:r>
              <w:rPr>
                <w:rFonts w:ascii="Arial" w:cs="Arial" w:eastAsia="Arial" w:hAnsi="Arial"/>
                <w:sz w:val="17"/>
                <w:szCs w:val="17"/>
                <w:color w:val="auto"/>
              </w:rPr>
              <w:t>Total lease assets</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226,084</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341,476</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Liabilities</w:t>
            </w:r>
          </w:p>
        </w:tc>
        <w:tc>
          <w:tcPr>
            <w:tcW w:w="104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9"/>
        </w:trPr>
        <w:tc>
          <w:tcPr>
            <w:tcW w:w="3120" w:type="dxa"/>
            <w:vAlign w:val="bottom"/>
          </w:tcPr>
          <w:p>
            <w:pPr>
              <w:spacing w:after="0"/>
              <w:rPr>
                <w:sz w:val="20"/>
                <w:szCs w:val="20"/>
                <w:color w:val="auto"/>
              </w:rPr>
            </w:pPr>
            <w:r>
              <w:rPr>
                <w:rFonts w:ascii="Arial" w:cs="Arial" w:eastAsia="Arial" w:hAnsi="Arial"/>
                <w:sz w:val="17"/>
                <w:szCs w:val="17"/>
                <w:color w:val="auto"/>
              </w:rPr>
              <w:t>Current:</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lease liabilities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Short-term Finance Lease Obligations</w:t>
            </w: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w:t>
            </w:r>
          </w:p>
        </w:tc>
        <w:tc>
          <w:tcPr>
            <w:tcW w:w="7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92,318</w:t>
            </w:r>
          </w:p>
        </w:tc>
        <w:tc>
          <w:tcPr>
            <w:tcW w:w="60" w:type="dxa"/>
            <w:vAlign w:val="bottom"/>
            <w:shd w:val="clear" w:color="auto" w:fill="CCEEFF"/>
          </w:tcPr>
          <w:p>
            <w:pPr>
              <w:spacing w:after="0"/>
              <w:rPr>
                <w:sz w:val="17"/>
                <w:szCs w:val="17"/>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Short-term Operating Lease Obligations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34,492</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30,611</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Long-term:</w:t>
            </w:r>
          </w:p>
        </w:tc>
        <w:tc>
          <w:tcPr>
            <w:tcW w:w="10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Finance lease liabilities</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Long-term Finance Lease Obligations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95,710</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105,037</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Long-term Operating Lease Obligations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112,707</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141,879</w:t>
            </w:r>
          </w:p>
        </w:tc>
        <w:tc>
          <w:tcPr>
            <w:tcW w:w="60" w:type="dxa"/>
            <w:vAlign w:val="bottom"/>
            <w:shd w:val="clear" w:color="auto" w:fill="CCEEFF"/>
          </w:tcPr>
          <w:p>
            <w:pPr>
              <w:spacing w:after="0"/>
              <w:rPr>
                <w:sz w:val="17"/>
                <w:szCs w:val="17"/>
                <w:color w:val="auto"/>
              </w:rPr>
            </w:pPr>
          </w:p>
        </w:tc>
      </w:tr>
      <w:tr>
        <w:trPr>
          <w:trHeight w:val="206"/>
        </w:trPr>
        <w:tc>
          <w:tcPr>
            <w:tcW w:w="3120" w:type="dxa"/>
            <w:vAlign w:val="bottom"/>
          </w:tcPr>
          <w:p>
            <w:pPr>
              <w:ind w:left="680"/>
              <w:spacing w:after="0"/>
              <w:rPr>
                <w:sz w:val="20"/>
                <w:szCs w:val="20"/>
                <w:color w:val="auto"/>
              </w:rPr>
            </w:pPr>
            <w:r>
              <w:rPr>
                <w:rFonts w:ascii="Arial" w:cs="Arial" w:eastAsia="Arial" w:hAnsi="Arial"/>
                <w:sz w:val="17"/>
                <w:szCs w:val="17"/>
                <w:color w:val="auto"/>
              </w:rPr>
              <w:t>Total lease liabilities</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254,369</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369,845</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191" w:lineRule="exact"/>
        <w:rPr>
          <w:sz w:val="20"/>
          <w:szCs w:val="20"/>
          <w:color w:val="auto"/>
        </w:rPr>
      </w:pPr>
    </w:p>
    <w:p>
      <w:pPr>
        <w:ind w:left="200" w:right="260"/>
        <w:spacing w:after="0" w:line="303" w:lineRule="auto"/>
        <w:rPr>
          <w:sz w:val="20"/>
          <w:szCs w:val="20"/>
          <w:color w:val="auto"/>
        </w:rPr>
      </w:pPr>
      <w:r>
        <w:rPr>
          <w:rFonts w:ascii="Arial" w:cs="Arial" w:eastAsia="Arial" w:hAnsi="Arial"/>
          <w:sz w:val="16"/>
          <w:szCs w:val="16"/>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54" w:lineRule="exact"/>
        <w:rPr>
          <w:sz w:val="20"/>
          <w:szCs w:val="20"/>
          <w:color w:val="auto"/>
        </w:rPr>
      </w:pPr>
    </w:p>
    <w:p>
      <w:pPr>
        <w:jc w:val="both"/>
        <w:ind w:left="200" w:right="40"/>
        <w:spacing w:after="0" w:line="256"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320" w:top="454"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2020:</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Finance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w w:val="88"/>
              </w:rPr>
              <w:t>Leases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0" w:lineRule="exact"/>
              <w:rPr>
                <w:sz w:val="20"/>
                <w:szCs w:val="20"/>
                <w:color w:val="auto"/>
              </w:rPr>
            </w:pPr>
            <w:r>
              <w:rPr>
                <w:rFonts w:ascii="Arial" w:cs="Arial" w:eastAsia="Arial" w:hAnsi="Arial"/>
                <w:sz w:val="14"/>
                <w:szCs w:val="14"/>
                <w:b w:val="1"/>
                <w:bCs w:val="1"/>
                <w:color w:val="auto"/>
                <w:w w:val="92"/>
              </w:rPr>
              <w:t>Aircraft</w:t>
            </w:r>
          </w:p>
        </w:tc>
        <w:tc>
          <w:tcPr>
            <w:tcW w:w="1100" w:type="dxa"/>
            <w:vAlign w:val="bottom"/>
            <w:gridSpan w:val="4"/>
          </w:tcPr>
          <w:p>
            <w:pPr>
              <w:jc w:val="right"/>
              <w:ind w:right="240"/>
              <w:spacing w:after="0" w:line="140" w:lineRule="exact"/>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2"/>
                <w:szCs w:val="12"/>
                <w:color w:val="auto"/>
              </w:rPr>
            </w:pPr>
          </w:p>
        </w:tc>
        <w:tc>
          <w:tcPr>
            <w:tcW w:w="780" w:type="dxa"/>
            <w:vAlign w:val="bottom"/>
            <w:gridSpan w:val="2"/>
          </w:tcPr>
          <w:p>
            <w:pPr>
              <w:jc w:val="right"/>
              <w:ind w:right="320"/>
              <w:spacing w:after="0" w:line="140"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3"/>
              <w:spacing w:after="0" w:line="140"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(31,937)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(18,034)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(2,662)</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Plus: Tennant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(30,880)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(34,492)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Long-term Lease Obligations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95,710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96,924</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13,660</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$ 2,123</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454" w:right="519" w:bottom="1440" w:gutter="0" w:footer="0" w:header="0"/>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4"/>
            <w:vMerge w:val="restart"/>
          </w:tcPr>
          <w:p>
            <w:pPr>
              <w:jc w:val="right"/>
              <w:ind w:right="285"/>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02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0" w:type="dxa"/>
            <w:vAlign w:val="bottom"/>
          </w:tcPr>
          <w:p>
            <w:pPr>
              <w:spacing w:after="0"/>
              <w:rPr>
                <w:sz w:val="1"/>
                <w:szCs w:val="1"/>
                <w:color w:val="auto"/>
              </w:rPr>
            </w:pPr>
          </w:p>
        </w:tc>
      </w:tr>
      <w:tr>
        <w:trPr>
          <w:trHeight w:val="80"/>
        </w:trPr>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160" w:type="dxa"/>
            <w:vAlign w:val="bottom"/>
            <w:gridSpan w:val="3"/>
            <w:vMerge w:val="restart"/>
          </w:tcPr>
          <w:p>
            <w:pPr>
              <w:jc w:val="center"/>
              <w:ind w:left="43"/>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restart"/>
          </w:tcPr>
          <w:p>
            <w:pPr>
              <w:jc w:val="right"/>
              <w:ind w:right="245"/>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bottom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center"/>
              <w:ind w:right="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Classification</w:t>
            </w:r>
          </w:p>
        </w:tc>
        <w:tc>
          <w:tcPr>
            <w:tcW w:w="540" w:type="dxa"/>
            <w:vAlign w:val="bottom"/>
            <w:gridSpan w:val="2"/>
            <w:vMerge w:val="restart"/>
          </w:tcPr>
          <w:p>
            <w:pPr>
              <w:jc w:val="right"/>
              <w:ind w:right="6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
                <w:szCs w:val="2"/>
                <w:color w:val="auto"/>
              </w:rPr>
            </w:pPr>
          </w:p>
        </w:tc>
        <w:tc>
          <w:tcPr>
            <w:tcW w:w="700" w:type="dxa"/>
            <w:vAlign w:val="bottom"/>
            <w:gridSpan w:val="2"/>
            <w:vMerge w:val="restart"/>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Finance lease cost</w:t>
            </w:r>
          </w:p>
        </w:tc>
        <w:tc>
          <w:tcPr>
            <w:tcW w:w="680" w:type="dxa"/>
            <w:vAlign w:val="bottom"/>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29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Amortization of leased assets</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Depreciation and Amortization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6"/>
              </w:rPr>
              <w:t>$11,948</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$13,104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4,475</w:t>
            </w:r>
          </w:p>
        </w:tc>
        <w:tc>
          <w:tcPr>
            <w:tcW w:w="0" w:type="dxa"/>
            <w:vAlign w:val="bottom"/>
          </w:tcPr>
          <w:p>
            <w:pPr>
              <w:spacing w:after="0"/>
              <w:rPr>
                <w:sz w:val="1"/>
                <w:szCs w:val="1"/>
                <w:color w:val="auto"/>
              </w:rPr>
            </w:pPr>
          </w:p>
        </w:tc>
      </w:tr>
      <w:tr>
        <w:trPr>
          <w:trHeight w:val="204"/>
        </w:trPr>
        <w:tc>
          <w:tcPr>
            <w:tcW w:w="2960" w:type="dxa"/>
            <w:vAlign w:val="bottom"/>
          </w:tcPr>
          <w:p>
            <w:pPr>
              <w:ind w:left="160"/>
              <w:spacing w:after="0"/>
              <w:rPr>
                <w:sz w:val="20"/>
                <w:szCs w:val="20"/>
                <w:color w:val="auto"/>
              </w:rPr>
            </w:pPr>
            <w:r>
              <w:rPr>
                <w:rFonts w:ascii="Arial" w:cs="Arial" w:eastAsia="Arial" w:hAnsi="Arial"/>
                <w:sz w:val="16"/>
                <w:szCs w:val="16"/>
                <w:color w:val="auto"/>
              </w:rPr>
              <w:t>Interest on lease liabilities</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Interest Expense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8,659</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10,741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4,754</w:t>
            </w:r>
          </w:p>
        </w:tc>
        <w:tc>
          <w:tcPr>
            <w:tcW w:w="0" w:type="dxa"/>
            <w:vAlign w:val="bottom"/>
          </w:tcPr>
          <w:p>
            <w:pPr>
              <w:spacing w:after="0"/>
              <w:rPr>
                <w:sz w:val="1"/>
                <w:szCs w:val="1"/>
                <w:color w:val="auto"/>
              </w:rPr>
            </w:pPr>
          </w:p>
        </w:tc>
      </w:tr>
      <w:tr>
        <w:trPr>
          <w:trHeight w:val="301"/>
        </w:trPr>
        <w:tc>
          <w:tcPr>
            <w:tcW w:w="2960" w:type="dxa"/>
            <w:vAlign w:val="bottom"/>
          </w:tcPr>
          <w:p>
            <w:pPr>
              <w:spacing w:after="0"/>
              <w:rPr>
                <w:sz w:val="20"/>
                <w:szCs w:val="20"/>
                <w:color w:val="auto"/>
              </w:rPr>
            </w:pPr>
            <w:r>
              <w:rPr>
                <w:rFonts w:ascii="Arial" w:cs="Arial" w:eastAsia="Arial" w:hAnsi="Arial"/>
                <w:sz w:val="16"/>
                <w:szCs w:val="16"/>
                <w:b w:val="1"/>
                <w:bCs w:val="1"/>
                <w:color w:val="auto"/>
              </w:rPr>
              <w:t>Operating lease cost</w:t>
            </w:r>
          </w:p>
        </w:tc>
        <w:tc>
          <w:tcPr>
            <w:tcW w:w="3880" w:type="dxa"/>
            <w:vAlign w:val="bottom"/>
            <w:gridSpan w:val="3"/>
            <w:vMerge w:val="restart"/>
          </w:tcPr>
          <w:p>
            <w:pPr>
              <w:ind w:left="660"/>
              <w:spacing w:after="0"/>
              <w:rPr>
                <w:sz w:val="20"/>
                <w:szCs w:val="20"/>
                <w:color w:val="auto"/>
              </w:rPr>
            </w:pPr>
            <w:r>
              <w:rPr>
                <w:rFonts w:ascii="Arial" w:cs="Arial" w:eastAsia="Arial" w:hAnsi="Arial"/>
                <w:sz w:val="16"/>
                <w:szCs w:val="16"/>
                <w:color w:val="auto"/>
              </w:rPr>
              <w:t>Aircraft Rent</w:t>
            </w:r>
            <w:r>
              <w:rPr>
                <w:rFonts w:ascii="Arial" w:cs="Arial" w:eastAsia="Arial" w:hAnsi="Arial"/>
                <w:sz w:val="27"/>
                <w:szCs w:val="27"/>
                <w:color w:val="auto"/>
                <w:vertAlign w:val="superscript"/>
              </w:rPr>
              <w:t>(1)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Included in ROU asset—Aircraft</w:t>
            </w:r>
          </w:p>
        </w:tc>
        <w:tc>
          <w:tcPr>
            <w:tcW w:w="3880" w:type="dxa"/>
            <w:vAlign w:val="bottom"/>
            <w:gridSpan w:val="3"/>
            <w:vMerge w:val="continue"/>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30,717</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40,043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33,315</w:t>
            </w: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Included in ROU asset—Other</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Ground Handling, Landing Fees and Airport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spacing w:after="0"/>
              <w:rPr>
                <w:sz w:val="17"/>
                <w:szCs w:val="17"/>
                <w:color w:val="auto"/>
              </w:rPr>
            </w:pP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Rent &amp; Other Operating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4,872</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3,832</w:t>
            </w:r>
          </w:p>
        </w:tc>
        <w:tc>
          <w:tcPr>
            <w:tcW w:w="0" w:type="dxa"/>
            <w:vAlign w:val="bottom"/>
          </w:tcPr>
          <w:p>
            <w:pPr>
              <w:spacing w:after="0"/>
              <w:rPr>
                <w:sz w:val="1"/>
                <w:szCs w:val="1"/>
                <w:color w:val="auto"/>
              </w:rPr>
            </w:pPr>
          </w:p>
        </w:tc>
      </w:tr>
      <w:tr>
        <w:trPr>
          <w:trHeight w:val="196"/>
        </w:trPr>
        <w:tc>
          <w:tcPr>
            <w:tcW w:w="2960" w:type="dxa"/>
            <w:vAlign w:val="bottom"/>
          </w:tcPr>
          <w:p>
            <w:pPr>
              <w:ind w:left="160"/>
              <w:spacing w:after="0"/>
              <w:rPr>
                <w:sz w:val="20"/>
                <w:szCs w:val="20"/>
                <w:color w:val="auto"/>
              </w:rPr>
            </w:pPr>
            <w:r>
              <w:rPr>
                <w:rFonts w:ascii="Arial" w:cs="Arial" w:eastAsia="Arial" w:hAnsi="Arial"/>
                <w:sz w:val="16"/>
                <w:szCs w:val="16"/>
                <w:color w:val="auto"/>
              </w:rPr>
              <w:t>Short-term</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Aircraft Rent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1,813</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03"/>
        </w:trPr>
        <w:tc>
          <w:tcPr>
            <w:tcW w:w="2960" w:type="dxa"/>
            <w:vAlign w:val="bottom"/>
          </w:tcPr>
          <w:p>
            <w:pPr>
              <w:ind w:left="160"/>
              <w:spacing w:after="0"/>
              <w:rPr>
                <w:sz w:val="20"/>
                <w:szCs w:val="20"/>
                <w:color w:val="auto"/>
              </w:rPr>
            </w:pPr>
            <w:r>
              <w:rPr>
                <w:rFonts w:ascii="Arial" w:cs="Arial" w:eastAsia="Arial" w:hAnsi="Arial"/>
                <w:sz w:val="16"/>
                <w:szCs w:val="16"/>
                <w:color w:val="auto"/>
              </w:rPr>
              <w:t>Variable—Aircraft</w:t>
            </w:r>
          </w:p>
        </w:tc>
        <w:tc>
          <w:tcPr>
            <w:tcW w:w="3880" w:type="dxa"/>
            <w:vAlign w:val="bottom"/>
            <w:gridSpan w:val="3"/>
          </w:tcPr>
          <w:p>
            <w:pPr>
              <w:ind w:left="660"/>
              <w:spacing w:after="0" w:line="202"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(1,541)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4,520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04"/>
        </w:trPr>
        <w:tc>
          <w:tcPr>
            <w:tcW w:w="2960" w:type="dxa"/>
            <w:vAlign w:val="bottom"/>
          </w:tcPr>
          <w:p>
            <w:pPr>
              <w:ind w:left="160"/>
              <w:spacing w:after="0"/>
              <w:rPr>
                <w:sz w:val="20"/>
                <w:szCs w:val="20"/>
                <w:color w:val="auto"/>
              </w:rPr>
            </w:pPr>
            <w:r>
              <w:rPr>
                <w:rFonts w:ascii="Arial" w:cs="Arial" w:eastAsia="Arial" w:hAnsi="Arial"/>
                <w:sz w:val="16"/>
                <w:szCs w:val="16"/>
                <w:color w:val="auto"/>
              </w:rPr>
              <w:t>Variable—Other</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Landing Fees &amp; Airport Rentals</w:t>
            </w:r>
          </w:p>
        </w:tc>
        <w:tc>
          <w:tcPr>
            <w:tcW w:w="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9"/>
        </w:trPr>
        <w:tc>
          <w:tcPr>
            <w:tcW w:w="2960" w:type="dxa"/>
            <w:vAlign w:val="bottom"/>
          </w:tcPr>
          <w:p>
            <w:pPr>
              <w:ind w:left="480"/>
              <w:spacing w:after="0"/>
              <w:rPr>
                <w:sz w:val="20"/>
                <w:szCs w:val="20"/>
                <w:color w:val="auto"/>
              </w:rPr>
            </w:pPr>
            <w:r>
              <w:rPr>
                <w:rFonts w:ascii="Arial" w:cs="Arial" w:eastAsia="Arial" w:hAnsi="Arial"/>
                <w:sz w:val="16"/>
                <w:szCs w:val="16"/>
                <w:color w:val="auto"/>
              </w:rPr>
              <w:t>Total Lease cost</w:t>
            </w:r>
          </w:p>
        </w:tc>
        <w:tc>
          <w:tcPr>
            <w:tcW w:w="6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57,517</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80,513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50,594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-1974850</wp:posOffset>
            </wp:positionV>
            <wp:extent cx="6889750" cy="19843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89750" cy="1984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82"/>
        <w:spacing w:after="0"/>
        <w:rPr>
          <w:sz w:val="20"/>
          <w:szCs w:val="20"/>
          <w:color w:val="auto"/>
        </w:rPr>
      </w:pPr>
      <w:r>
        <w:rPr>
          <w:rFonts w:ascii="Arial" w:cs="Arial" w:eastAsia="Arial" w:hAnsi="Arial"/>
          <w:sz w:val="13"/>
          <w:szCs w:val="13"/>
          <w:b w:val="1"/>
          <w:bCs w:val="1"/>
          <w:color w:val="auto"/>
        </w:rPr>
        <w:t>Predecessor</w:t>
      </w:r>
    </w:p>
    <w:p>
      <w:pPr>
        <w:spacing w:after="0" w:line="26" w:lineRule="exact"/>
        <w:rPr>
          <w:sz w:val="20"/>
          <w:szCs w:val="20"/>
          <w:color w:val="auto"/>
        </w:rPr>
      </w:pPr>
    </w:p>
    <w:p>
      <w:pPr>
        <w:jc w:val="center"/>
        <w:ind w:right="58"/>
        <w:spacing w:after="0"/>
        <w:rPr>
          <w:sz w:val="20"/>
          <w:szCs w:val="20"/>
          <w:color w:val="auto"/>
        </w:rPr>
      </w:pPr>
      <w:r>
        <w:rPr>
          <w:rFonts w:ascii="Arial" w:cs="Arial" w:eastAsia="Arial" w:hAnsi="Arial"/>
          <w:sz w:val="12"/>
          <w:szCs w:val="12"/>
          <w:b w:val="1"/>
          <w:bCs w:val="1"/>
          <w:color w:val="auto"/>
        </w:rPr>
        <w:t>For the Period</w:t>
      </w:r>
    </w:p>
    <w:p>
      <w:pPr>
        <w:jc w:val="center"/>
        <w:ind w:right="58"/>
        <w:spacing w:after="0" w:line="230" w:lineRule="auto"/>
        <w:rPr>
          <w:sz w:val="20"/>
          <w:szCs w:val="20"/>
          <w:color w:val="auto"/>
        </w:rPr>
      </w:pPr>
      <w:r>
        <w:rPr>
          <w:rFonts w:ascii="Arial" w:cs="Arial" w:eastAsia="Arial" w:hAnsi="Arial"/>
          <w:sz w:val="14"/>
          <w:szCs w:val="14"/>
          <w:b w:val="1"/>
          <w:bCs w:val="1"/>
          <w:color w:val="auto"/>
        </w:rPr>
        <w:t>January 1,</w:t>
      </w:r>
    </w:p>
    <w:p>
      <w:pPr>
        <w:jc w:val="center"/>
        <w:ind w:right="58"/>
        <w:spacing w:after="0" w:line="218" w:lineRule="auto"/>
        <w:rPr>
          <w:sz w:val="20"/>
          <w:szCs w:val="20"/>
          <w:color w:val="auto"/>
        </w:rPr>
      </w:pPr>
      <w:r>
        <w:rPr>
          <w:rFonts w:ascii="Arial" w:cs="Arial" w:eastAsia="Arial" w:hAnsi="Arial"/>
          <w:sz w:val="14"/>
          <w:szCs w:val="14"/>
          <w:b w:val="1"/>
          <w:bCs w:val="1"/>
          <w:color w:val="auto"/>
        </w:rPr>
        <w:t>2018 to</w:t>
      </w:r>
    </w:p>
    <w:p>
      <w:pPr>
        <w:jc w:val="center"/>
        <w:ind w:right="58"/>
        <w:spacing w:after="0"/>
        <w:rPr>
          <w:sz w:val="20"/>
          <w:szCs w:val="20"/>
          <w:color w:val="auto"/>
        </w:rPr>
      </w:pPr>
      <w:r>
        <w:rPr>
          <w:rFonts w:ascii="Arial" w:cs="Arial" w:eastAsia="Arial" w:hAnsi="Arial"/>
          <w:sz w:val="13"/>
          <w:szCs w:val="13"/>
          <w:b w:val="1"/>
          <w:bCs w:val="1"/>
          <w:u w:val="single" w:color="auto"/>
          <w:color w:val="auto"/>
        </w:rPr>
        <w:t>April 10, 2018</w:t>
      </w:r>
    </w:p>
    <w:p>
      <w:pPr>
        <w:spacing w:after="0" w:line="193" w:lineRule="exact"/>
        <w:rPr>
          <w:sz w:val="20"/>
          <w:szCs w:val="20"/>
          <w:color w:val="auto"/>
        </w:rPr>
      </w:pPr>
    </w:p>
    <w:p>
      <w:pPr>
        <w:ind w:left="662" w:hanging="662"/>
        <w:spacing w:after="0"/>
        <w:tabs>
          <w:tab w:leader="none" w:pos="66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119</w:t>
      </w:r>
    </w:p>
    <w:p>
      <w:pPr>
        <w:spacing w:after="0" w:line="54" w:lineRule="exact"/>
        <w:rPr>
          <w:rFonts w:ascii="Arial" w:cs="Arial" w:eastAsia="Arial" w:hAnsi="Arial"/>
          <w:sz w:val="13"/>
          <w:szCs w:val="13"/>
          <w:color w:val="auto"/>
        </w:rPr>
      </w:pPr>
    </w:p>
    <w:p>
      <w:pPr>
        <w:ind w:left="642"/>
        <w:spacing w:after="0"/>
        <w:rPr>
          <w:rFonts w:ascii="Arial" w:cs="Arial" w:eastAsia="Arial" w:hAnsi="Arial"/>
          <w:sz w:val="13"/>
          <w:szCs w:val="13"/>
          <w:color w:val="auto"/>
        </w:rPr>
      </w:pPr>
      <w:r>
        <w:rPr>
          <w:rFonts w:ascii="Arial" w:cs="Arial" w:eastAsia="Arial" w:hAnsi="Arial"/>
          <w:sz w:val="14"/>
          <w:szCs w:val="14"/>
          <w:color w:val="auto"/>
        </w:rPr>
        <w:t>293</w:t>
      </w:r>
    </w:p>
    <w:p>
      <w:pPr>
        <w:spacing w:after="0" w:line="34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16,177</w:t>
      </w:r>
    </w:p>
    <w:p>
      <w:pPr>
        <w:spacing w:after="0" w:line="21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1,648</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6,148</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6,004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440</w:t>
      </w:r>
    </w:p>
    <w:p>
      <w:pPr>
        <w:spacing w:after="0" w:line="37" w:lineRule="exact"/>
        <w:rPr>
          <w:sz w:val="20"/>
          <w:szCs w:val="20"/>
          <w:color w:val="auto"/>
        </w:rPr>
      </w:pPr>
    </w:p>
    <w:p>
      <w:pPr>
        <w:ind w:left="462" w:hanging="462"/>
        <w:spacing w:after="0"/>
        <w:tabs>
          <w:tab w:leader="none" w:pos="462" w:val="left"/>
        </w:tabs>
        <w:numPr>
          <w:ilvl w:val="0"/>
          <w:numId w:val="134"/>
        </w:numPr>
        <w:rPr>
          <w:rFonts w:ascii="Arial" w:cs="Arial" w:eastAsia="Arial" w:hAnsi="Arial"/>
          <w:sz w:val="13"/>
          <w:szCs w:val="13"/>
          <w:color w:val="auto"/>
        </w:rPr>
      </w:pPr>
      <w:r>
        <w:rPr>
          <w:rFonts w:ascii="Arial" w:cs="Arial" w:eastAsia="Arial" w:hAnsi="Arial"/>
          <w:sz w:val="13"/>
          <w:szCs w:val="13"/>
          <w:color w:val="auto"/>
        </w:rPr>
        <w:t>30,829</w:t>
      </w:r>
    </w:p>
    <w:p>
      <w:pPr>
        <w:spacing w:after="0" w:line="299" w:lineRule="exact"/>
        <w:rPr>
          <w:sz w:val="20"/>
          <w:szCs w:val="20"/>
          <w:color w:val="auto"/>
        </w:rPr>
      </w:pPr>
    </w:p>
    <w:p>
      <w:pPr>
        <w:sectPr>
          <w:pgSz w:w="11900" w:h="16838" w:orient="portrait"/>
          <w:cols w:equalWidth="0" w:num="2">
            <w:col w:w="9640" w:space="478"/>
            <w:col w:w="942"/>
          </w:cols>
          <w:pgMar w:left="320" w:top="454" w:right="519" w:bottom="1440" w:gutter="0" w:footer="0" w:header="0"/>
          <w:type w:val="continuous"/>
        </w:sectPr>
      </w:pPr>
    </w:p>
    <w:p>
      <w:pPr>
        <w:spacing w:after="0" w:line="43" w:lineRule="exact"/>
        <w:rPr>
          <w:sz w:val="20"/>
          <w:szCs w:val="20"/>
          <w:color w:val="auto"/>
        </w:rPr>
      </w:pPr>
    </w:p>
    <w:p>
      <w:pPr>
        <w:ind w:left="620" w:right="100" w:hanging="421"/>
        <w:spacing w:after="0" w:line="195" w:lineRule="auto"/>
        <w:tabs>
          <w:tab w:leader="none" w:pos="620" w:val="left"/>
        </w:tabs>
        <w:numPr>
          <w:ilvl w:val="0"/>
          <w:numId w:val="135"/>
        </w:numPr>
        <w:rPr>
          <w:rFonts w:ascii="Arial" w:cs="Arial" w:eastAsia="Arial" w:hAnsi="Arial"/>
          <w:sz w:val="27"/>
          <w:szCs w:val="27"/>
          <w:color w:val="auto"/>
          <w:vertAlign w:val="superscript"/>
        </w:rPr>
      </w:pPr>
      <w:r>
        <w:rPr>
          <w:rFonts w:ascii="Arial" w:cs="Arial" w:eastAsia="Arial" w:hAnsi="Arial"/>
          <w:sz w:val="16"/>
          <w:szCs w:val="16"/>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60"/>
          </w:cols>
          <w:pgMar w:left="320" w:top="454" w:right="51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presents Supplemental cash flow information related to leases, included in the Consolidated Statements of Cash Flows:</w:t>
      </w:r>
    </w:p>
    <w:p>
      <w:pPr>
        <w:spacing w:after="0" w:line="246"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 Year Ended</w:t>
      </w:r>
    </w:p>
    <w:p>
      <w:pPr>
        <w:jc w:val="center"/>
        <w:ind w:left="6420"/>
        <w:spacing w:after="0" w:line="229"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40"/>
        </w:trPr>
        <w:tc>
          <w:tcPr>
            <w:tcW w:w="57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3"/>
        </w:trPr>
        <w:tc>
          <w:tcPr>
            <w:tcW w:w="57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34,576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50,081</w:t>
            </w:r>
          </w:p>
        </w:tc>
        <w:tc>
          <w:tcPr>
            <w:tcW w:w="80" w:type="dxa"/>
            <w:vAlign w:val="bottom"/>
          </w:tcPr>
          <w:p>
            <w:pPr>
              <w:spacing w:after="0"/>
              <w:rPr>
                <w:sz w:val="18"/>
                <w:szCs w:val="18"/>
                <w:color w:val="auto"/>
              </w:rPr>
            </w:pPr>
          </w:p>
        </w:tc>
      </w:tr>
      <w:tr>
        <w:trPr>
          <w:trHeight w:val="213"/>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for Finance Leases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10,741</w:t>
            </w:r>
          </w:p>
        </w:tc>
        <w:tc>
          <w:tcPr>
            <w:tcW w:w="80" w:type="dxa"/>
            <w:vAlign w:val="bottom"/>
            <w:shd w:val="clear" w:color="auto" w:fill="CCEEFF"/>
          </w:tcPr>
          <w:p>
            <w:pPr>
              <w:spacing w:after="0"/>
              <w:rPr>
                <w:sz w:val="18"/>
                <w:szCs w:val="18"/>
                <w:color w:val="auto"/>
              </w:rPr>
            </w:pPr>
          </w:p>
        </w:tc>
      </w:tr>
      <w:tr>
        <w:trPr>
          <w:trHeight w:val="224"/>
        </w:trPr>
        <w:tc>
          <w:tcPr>
            <w:tcW w:w="5760" w:type="dxa"/>
            <w:vAlign w:val="bottom"/>
          </w:tcPr>
          <w:p>
            <w:pPr>
              <w:ind w:left="360"/>
              <w:spacing w:after="0"/>
              <w:rPr>
                <w:sz w:val="20"/>
                <w:szCs w:val="20"/>
                <w:color w:val="auto"/>
              </w:rPr>
            </w:pPr>
            <w:r>
              <w:rPr>
                <w:rFonts w:ascii="Arial" w:cs="Arial" w:eastAsia="Arial" w:hAnsi="Arial"/>
                <w:sz w:val="18"/>
                <w:szCs w:val="18"/>
                <w:color w:val="auto"/>
              </w:rPr>
              <w:t>Financing Cash Flows for Finance Leases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89,697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8,258</w:t>
            </w:r>
          </w:p>
        </w:tc>
        <w:tc>
          <w:tcPr>
            <w:tcW w:w="80" w:type="dxa"/>
            <w:vAlign w:val="bottom"/>
          </w:tcPr>
          <w:p>
            <w:pPr>
              <w:spacing w:after="0"/>
              <w:rPr>
                <w:sz w:val="19"/>
                <w:szCs w:val="19"/>
                <w:color w:val="auto"/>
              </w:rPr>
            </w:pPr>
          </w:p>
        </w:tc>
      </w:tr>
    </w:tbl>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 2020</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2019</w:t>
            </w:r>
          </w:p>
        </w:tc>
      </w:tr>
      <w:tr>
        <w:trPr>
          <w:trHeight w:val="193"/>
        </w:trPr>
        <w:tc>
          <w:tcPr>
            <w:tcW w:w="37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Weighted-average remaining lease term</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3"/>
        </w:trPr>
        <w:tc>
          <w:tcPr>
            <w:tcW w:w="37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4.8 years</w:t>
            </w:r>
          </w:p>
        </w:tc>
        <w:tc>
          <w:tcPr>
            <w:tcW w:w="4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3"/>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9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 years</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 years</w:t>
            </w:r>
          </w:p>
        </w:tc>
      </w:tr>
      <w:tr>
        <w:trPr>
          <w:trHeight w:val="213"/>
        </w:trPr>
        <w:tc>
          <w:tcPr>
            <w:tcW w:w="376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24"/>
        </w:trPr>
        <w:tc>
          <w:tcPr>
            <w:tcW w:w="376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700" w:type="dxa"/>
            <w:vAlign w:val="bottom"/>
            <w:gridSpan w:val="3"/>
          </w:tcPr>
          <w:p>
            <w:pPr>
              <w:jc w:val="right"/>
              <w:ind w:right="460"/>
              <w:spacing w:after="0"/>
              <w:rPr>
                <w:sz w:val="20"/>
                <w:szCs w:val="20"/>
                <w:color w:val="auto"/>
              </w:rPr>
            </w:pPr>
            <w:r>
              <w:rPr>
                <w:rFonts w:ascii="Arial" w:cs="Arial" w:eastAsia="Arial" w:hAnsi="Arial"/>
                <w:sz w:val="18"/>
                <w:szCs w:val="18"/>
                <w:color w:val="auto"/>
              </w:rPr>
              <w:t>6.1%</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189" w:lineRule="exact"/>
        <w:rPr>
          <w:sz w:val="20"/>
          <w:szCs w:val="20"/>
          <w:color w:val="auto"/>
        </w:rPr>
      </w:pPr>
    </w:p>
    <w:p>
      <w:pPr>
        <w:jc w:val="both"/>
        <w:ind w:left="200" w:right="100"/>
        <w:spacing w:after="0" w:line="364" w:lineRule="auto"/>
        <w:rPr>
          <w:sz w:val="20"/>
          <w:szCs w:val="20"/>
          <w:color w:val="auto"/>
        </w:rPr>
      </w:pPr>
      <w:r>
        <w:rPr>
          <w:rFonts w:ascii="Arial" w:cs="Arial" w:eastAsia="Arial" w:hAnsi="Arial"/>
          <w:sz w:val="14"/>
          <w:szCs w:val="14"/>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11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320" w:lineRule="exact"/>
        <w:rPr>
          <w:sz w:val="20"/>
          <w:szCs w:val="20"/>
          <w:color w:val="auto"/>
        </w:rPr>
      </w:pPr>
    </w:p>
    <w:p>
      <w:pPr>
        <w:ind w:left="620" w:hanging="421"/>
        <w:spacing w:after="0"/>
        <w:tabs>
          <w:tab w:leader="none" w:pos="6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178"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On November 7, 2018, the Company granted 5,827,511 stock options to certain employees, with 38.5% of the options vesting upon the passage of time, and 61.5% of the options vesting based on performance conditions.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4" w:right="5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194" w:lineRule="exact"/>
        <w:rPr>
          <w:sz w:val="20"/>
          <w:szCs w:val="20"/>
          <w:color w:val="auto"/>
        </w:rPr>
      </w:pPr>
    </w:p>
    <w:p>
      <w:pPr>
        <w:ind w:left="200"/>
        <w:spacing w:after="0" w:line="278" w:lineRule="auto"/>
        <w:rPr>
          <w:sz w:val="20"/>
          <w:szCs w:val="20"/>
          <w:color w:val="auto"/>
        </w:rPr>
      </w:pPr>
      <w:r>
        <w:rPr>
          <w:rFonts w:ascii="Arial" w:cs="Arial" w:eastAsia="Arial" w:hAnsi="Arial"/>
          <w:sz w:val="17"/>
          <w:szCs w:val="17"/>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stock option activity:</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color w:val="auto"/>
                <w:w w:val="91"/>
              </w:rPr>
              <w:t>Time-Based Stock Options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355"/>
              <w:spacing w:after="0" w:line="147" w:lineRule="exact"/>
              <w:rPr>
                <w:sz w:val="20"/>
                <w:szCs w:val="20"/>
                <w:color w:val="auto"/>
              </w:rPr>
            </w:pPr>
            <w:r>
              <w:rPr>
                <w:rFonts w:ascii="Arial" w:cs="Arial" w:eastAsia="Arial" w:hAnsi="Arial"/>
                <w:sz w:val="14"/>
                <w:szCs w:val="14"/>
                <w:color w:val="auto"/>
                <w:w w:val="91"/>
              </w:rPr>
              <w:t>Weighted</w:t>
            </w:r>
          </w:p>
        </w:tc>
        <w:tc>
          <w:tcPr>
            <w:tcW w:w="140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88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86"/>
              </w:rPr>
              <w:t>average</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91"/>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8"/>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40"/>
              <w:spacing w:after="0" w:line="147" w:lineRule="exact"/>
              <w:rPr>
                <w:sz w:val="20"/>
                <w:szCs w:val="20"/>
                <w:color w:val="auto"/>
              </w:rPr>
            </w:pPr>
            <w:r>
              <w:rPr>
                <w:rFonts w:ascii="Arial" w:cs="Arial" w:eastAsia="Arial" w:hAnsi="Arial"/>
                <w:sz w:val="14"/>
                <w:szCs w:val="14"/>
                <w:color w:val="auto"/>
                <w:w w:val="93"/>
              </w:rPr>
              <w:t>grant</w:t>
            </w:r>
          </w:p>
        </w:tc>
        <w:tc>
          <w:tcPr>
            <w:tcW w:w="880" w:type="dxa"/>
            <w:vAlign w:val="bottom"/>
            <w:gridSpan w:val="3"/>
          </w:tcPr>
          <w:p>
            <w:pPr>
              <w:jc w:val="center"/>
              <w:ind w:left="37"/>
              <w:spacing w:after="0" w:line="147"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price per</w:t>
            </w:r>
          </w:p>
        </w:tc>
        <w:tc>
          <w:tcPr>
            <w:tcW w:w="520" w:type="dxa"/>
            <w:vAlign w:val="bottom"/>
          </w:tcPr>
          <w:p>
            <w:pPr>
              <w:spacing w:after="0"/>
              <w:rPr>
                <w:sz w:val="12"/>
                <w:szCs w:val="12"/>
                <w:color w:val="auto"/>
              </w:rPr>
            </w:pPr>
          </w:p>
        </w:tc>
        <w:tc>
          <w:tcPr>
            <w:tcW w:w="88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90"/>
              </w:rPr>
              <w:t>date fair</w:t>
            </w:r>
          </w:p>
        </w:tc>
        <w:tc>
          <w:tcPr>
            <w:tcW w:w="180" w:type="dxa"/>
            <w:vAlign w:val="bottom"/>
          </w:tcPr>
          <w:p>
            <w:pPr>
              <w:spacing w:after="0"/>
              <w:rPr>
                <w:sz w:val="12"/>
                <w:szCs w:val="12"/>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2"/>
              </w:rPr>
              <w:t>term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4"/>
              <w:spacing w:after="0"/>
              <w:rPr>
                <w:sz w:val="20"/>
                <w:szCs w:val="20"/>
                <w:color w:val="auto"/>
              </w:rPr>
            </w:pPr>
            <w:r>
              <w:rPr>
                <w:rFonts w:ascii="Arial" w:cs="Arial" w:eastAsia="Arial" w:hAnsi="Arial"/>
                <w:sz w:val="14"/>
                <w:szCs w:val="14"/>
                <w:color w:val="auto"/>
                <w:w w:val="85"/>
              </w:rPr>
              <w:t>share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as of December 31, 2018</w:t>
            </w:r>
          </w:p>
        </w:tc>
        <w:tc>
          <w:tcPr>
            <w:tcW w:w="1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2,243,588</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5"/>
              </w:rPr>
              <w:t>2.39</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472,253</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3.14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(434,533)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2,281,308</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5.84</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2.54</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221,941</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$ 17.99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7.02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(173,788)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$ 14.65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5.70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2,329,461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2.74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gridSpan w:val="2"/>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w w:val="92"/>
              </w:rPr>
              <w:t>1,054,059</w:t>
            </w:r>
          </w:p>
        </w:tc>
        <w:tc>
          <w:tcPr>
            <w:tcW w:w="140" w:type="dxa"/>
            <w:vAlign w:val="bottom"/>
          </w:tcPr>
          <w:p>
            <w:pPr>
              <w:spacing w:after="0"/>
              <w:rPr>
                <w:sz w:val="17"/>
                <w:szCs w:val="17"/>
                <w:color w:val="auto"/>
              </w:rPr>
            </w:pPr>
          </w:p>
        </w:tc>
        <w:tc>
          <w:tcPr>
            <w:tcW w:w="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6" w:lineRule="exact"/>
              <w:rPr>
                <w:sz w:val="20"/>
                <w:szCs w:val="20"/>
                <w:color w:val="auto"/>
              </w:rPr>
            </w:pPr>
            <w:r>
              <w:rPr>
                <w:rFonts w:ascii="Arial" w:cs="Arial" w:eastAsia="Arial" w:hAnsi="Arial"/>
                <w:sz w:val="18"/>
                <w:szCs w:val="18"/>
                <w:color w:val="auto"/>
              </w:rPr>
              <w:t>5.64</w:t>
            </w:r>
          </w:p>
        </w:tc>
        <w:tc>
          <w:tcPr>
            <w:tcW w:w="62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line="206" w:lineRule="exact"/>
              <w:rPr>
                <w:sz w:val="20"/>
                <w:szCs w:val="20"/>
                <w:color w:val="auto"/>
              </w:rPr>
            </w:pPr>
            <w:r>
              <w:rPr>
                <w:rFonts w:ascii="Arial" w:cs="Arial" w:eastAsia="Arial" w:hAnsi="Arial"/>
                <w:sz w:val="18"/>
                <w:szCs w:val="18"/>
                <w:color w:val="auto"/>
                <w:w w:val="85"/>
              </w:rPr>
              <w:t>2.50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2,329,461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0"/>
              </w:rPr>
              <w:t>Performance-Based Stock Options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355"/>
              <w:spacing w:after="0" w:line="147" w:lineRule="exact"/>
              <w:rPr>
                <w:sz w:val="20"/>
                <w:szCs w:val="20"/>
                <w:color w:val="auto"/>
              </w:rPr>
            </w:pPr>
            <w:r>
              <w:rPr>
                <w:rFonts w:ascii="Arial" w:cs="Arial" w:eastAsia="Arial" w:hAnsi="Arial"/>
                <w:sz w:val="14"/>
                <w:szCs w:val="14"/>
                <w:color w:val="auto"/>
                <w:w w:val="91"/>
              </w:rPr>
              <w:t>Weighted</w:t>
            </w:r>
          </w:p>
        </w:tc>
        <w:tc>
          <w:tcPr>
            <w:tcW w:w="140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88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86"/>
              </w:rPr>
              <w:t>average</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91"/>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8"/>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40"/>
              <w:spacing w:after="0" w:line="147" w:lineRule="exact"/>
              <w:rPr>
                <w:sz w:val="20"/>
                <w:szCs w:val="20"/>
                <w:color w:val="auto"/>
              </w:rPr>
            </w:pPr>
            <w:r>
              <w:rPr>
                <w:rFonts w:ascii="Arial" w:cs="Arial" w:eastAsia="Arial" w:hAnsi="Arial"/>
                <w:sz w:val="14"/>
                <w:szCs w:val="14"/>
                <w:color w:val="auto"/>
                <w:w w:val="93"/>
              </w:rPr>
              <w:t>grant</w:t>
            </w:r>
          </w:p>
        </w:tc>
        <w:tc>
          <w:tcPr>
            <w:tcW w:w="880" w:type="dxa"/>
            <w:vAlign w:val="bottom"/>
            <w:gridSpan w:val="3"/>
          </w:tcPr>
          <w:p>
            <w:pPr>
              <w:jc w:val="center"/>
              <w:ind w:left="37"/>
              <w:spacing w:after="0" w:line="147"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price per</w:t>
            </w:r>
          </w:p>
        </w:tc>
        <w:tc>
          <w:tcPr>
            <w:tcW w:w="520" w:type="dxa"/>
            <w:vAlign w:val="bottom"/>
          </w:tcPr>
          <w:p>
            <w:pPr>
              <w:spacing w:after="0"/>
              <w:rPr>
                <w:sz w:val="12"/>
                <w:szCs w:val="12"/>
                <w:color w:val="auto"/>
              </w:rPr>
            </w:pPr>
          </w:p>
        </w:tc>
        <w:tc>
          <w:tcPr>
            <w:tcW w:w="88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90"/>
              </w:rPr>
              <w:t>date fair</w:t>
            </w:r>
          </w:p>
        </w:tc>
        <w:tc>
          <w:tcPr>
            <w:tcW w:w="180" w:type="dxa"/>
            <w:vAlign w:val="bottom"/>
          </w:tcPr>
          <w:p>
            <w:pPr>
              <w:spacing w:after="0"/>
              <w:rPr>
                <w:sz w:val="12"/>
                <w:szCs w:val="12"/>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2"/>
              </w:rPr>
              <w:t>term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4"/>
              <w:spacing w:after="0"/>
              <w:rPr>
                <w:sz w:val="20"/>
                <w:szCs w:val="20"/>
                <w:color w:val="auto"/>
              </w:rPr>
            </w:pPr>
            <w:r>
              <w:rPr>
                <w:rFonts w:ascii="Arial" w:cs="Arial" w:eastAsia="Arial" w:hAnsi="Arial"/>
                <w:sz w:val="14"/>
                <w:szCs w:val="14"/>
                <w:color w:val="auto"/>
                <w:w w:val="85"/>
              </w:rPr>
              <w:t>share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as of December 31, 2018</w:t>
            </w:r>
          </w:p>
        </w:tc>
        <w:tc>
          <w:tcPr>
            <w:tcW w:w="1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3,583,923</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5"/>
              </w:rPr>
              <w:t>1.50</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1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25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746,836</w:t>
            </w:r>
          </w:p>
        </w:tc>
        <w:tc>
          <w:tcPr>
            <w:tcW w:w="140" w:type="dxa"/>
            <w:vAlign w:val="bottom"/>
          </w:tcPr>
          <w:p>
            <w:pPr>
              <w:spacing w:after="0"/>
              <w:rPr>
                <w:sz w:val="17"/>
                <w:szCs w:val="17"/>
                <w:color w:val="auto"/>
              </w:rPr>
            </w:pPr>
          </w:p>
        </w:tc>
        <w:tc>
          <w:tcPr>
            <w:tcW w:w="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6" w:lineRule="exact"/>
              <w:rPr>
                <w:sz w:val="20"/>
                <w:szCs w:val="20"/>
                <w:color w:val="auto"/>
              </w:rPr>
            </w:pPr>
            <w:r>
              <w:rPr>
                <w:rFonts w:ascii="Arial" w:cs="Arial" w:eastAsia="Arial" w:hAnsi="Arial"/>
                <w:sz w:val="18"/>
                <w:szCs w:val="18"/>
                <w:color w:val="auto"/>
              </w:rPr>
              <w:t>7.96</w:t>
            </w:r>
          </w:p>
        </w:tc>
        <w:tc>
          <w:tcPr>
            <w:tcW w:w="62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line="206" w:lineRule="exact"/>
              <w:rPr>
                <w:sz w:val="20"/>
                <w:szCs w:val="20"/>
                <w:color w:val="auto"/>
              </w:rPr>
            </w:pPr>
            <w:r>
              <w:rPr>
                <w:rFonts w:ascii="Arial" w:cs="Arial" w:eastAsia="Arial" w:hAnsi="Arial"/>
                <w:sz w:val="18"/>
                <w:szCs w:val="18"/>
                <w:color w:val="auto"/>
                <w:w w:val="85"/>
              </w:rPr>
              <w:t>2.01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(827,812)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1.50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3,502,947</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5.86</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1.61</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346,984</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$ 17.99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4.36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(272,679)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$ 14.65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3.59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3,577,252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1.72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gridSpan w:val="2"/>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line="206"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center"/>
              <w:ind w:right="240"/>
              <w:spacing w:after="0" w:line="20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Arial" w:cs="Arial" w:eastAsia="Arial" w:hAnsi="Arial"/>
                <w:sz w:val="18"/>
                <w:szCs w:val="18"/>
                <w:color w:val="auto"/>
              </w:rPr>
              <w:t>F-35</w:t>
            </w: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4" w:right="7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162"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189"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The fair value of the time-based stock options granted was estimated using the Black-Scholes option-pricing model with the following weighted-average assumptions used for grants:</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59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6"/>
        </w:trPr>
        <w:tc>
          <w:tcPr>
            <w:tcW w:w="5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Expected Term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5.59 years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5.67 years</w:t>
            </w:r>
          </w:p>
        </w:tc>
        <w:tc>
          <w:tcPr>
            <w:tcW w:w="200" w:type="dxa"/>
            <w:vAlign w:val="bottom"/>
            <w:shd w:val="clear" w:color="auto" w:fill="CCEEFF"/>
          </w:tcPr>
          <w:p>
            <w:pPr>
              <w:spacing w:after="0"/>
              <w:rPr>
                <w:sz w:val="17"/>
                <w:szCs w:val="17"/>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ind w:left="200" w:right="340"/>
        <w:spacing w:after="0" w:line="256" w:lineRule="auto"/>
        <w:rPr>
          <w:sz w:val="20"/>
          <w:szCs w:val="20"/>
          <w:color w:val="auto"/>
        </w:rPr>
      </w:pPr>
      <w:r>
        <w:rPr>
          <w:rFonts w:ascii="Arial" w:cs="Arial" w:eastAsia="Arial" w:hAnsi="Arial"/>
          <w:sz w:val="18"/>
          <w:szCs w:val="18"/>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89"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329" w:lineRule="exact"/>
        <w:rPr>
          <w:sz w:val="20"/>
          <w:szCs w:val="20"/>
          <w:color w:val="auto"/>
        </w:rPr>
      </w:pPr>
    </w:p>
    <w:p>
      <w:pPr>
        <w:ind w:left="620" w:hanging="421"/>
        <w:spacing w:after="0"/>
        <w:tabs>
          <w:tab w:leader="none" w:pos="6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118" w:lineRule="exact"/>
        <w:rPr>
          <w:sz w:val="20"/>
          <w:szCs w:val="20"/>
          <w:color w:val="auto"/>
        </w:rPr>
      </w:pPr>
    </w:p>
    <w:p>
      <w:pPr>
        <w:jc w:val="both"/>
        <w:ind w:left="200" w:right="240"/>
        <w:spacing w:after="0" w:line="256"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8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40"/>
          </w:cols>
          <w:pgMar w:left="320" w:top="454" w:right="5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Derivative Assets (Liabilities) were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6"/>
        </w:trPr>
        <w:tc>
          <w:tcPr>
            <w:tcW w:w="60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Balance—January 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(12,006)</w:t>
            </w:r>
          </w:p>
        </w:tc>
        <w:tc>
          <w:tcPr>
            <w:tcW w:w="120" w:type="dxa"/>
            <w:vAlign w:val="bottom"/>
            <w:shd w:val="clear" w:color="auto" w:fill="CCEEFF"/>
          </w:tcPr>
          <w:p>
            <w:pPr>
              <w:spacing w:after="0"/>
              <w:rPr>
                <w:sz w:val="17"/>
                <w:szCs w:val="17"/>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Non-cash gains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(12,206)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10,791</w:t>
            </w:r>
          </w:p>
        </w:tc>
        <w:tc>
          <w:tcPr>
            <w:tcW w:w="120" w:type="dxa"/>
            <w:vAlign w:val="bottom"/>
          </w:tcPr>
          <w:p>
            <w:pPr>
              <w:spacing w:after="0"/>
              <w:rPr>
                <w:sz w:val="18"/>
                <w:szCs w:val="18"/>
                <w:color w:val="auto"/>
              </w:rPr>
            </w:pP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Contract settlements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shd w:val="clear" w:color="auto" w:fill="CCEEFF"/>
          </w:tcPr>
          <w:p>
            <w:pPr>
              <w:spacing w:after="0"/>
              <w:rPr>
                <w:sz w:val="18"/>
                <w:szCs w:val="18"/>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8"/>
                <w:szCs w:val="18"/>
                <w:color w:val="auto"/>
              </w:rPr>
              <w:t>Balance—December 31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Fuel Derivative Gains (Losses) consisted of the following:</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76"/>
        </w:trPr>
        <w:tc>
          <w:tcPr>
            <w:tcW w:w="514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3"/>
            <w:vMerge w:val="restart"/>
          </w:tcPr>
          <w:p>
            <w:pPr>
              <w:ind w:left="80"/>
              <w:spacing w:after="0" w:line="147" w:lineRule="exact"/>
              <w:rPr>
                <w:sz w:val="20"/>
                <w:szCs w:val="20"/>
                <w:color w:val="auto"/>
              </w:rPr>
            </w:pPr>
            <w:r>
              <w:rPr>
                <w:rFonts w:ascii="Arial" w:cs="Arial" w:eastAsia="Arial" w:hAnsi="Arial"/>
                <w:sz w:val="14"/>
                <w:szCs w:val="14"/>
                <w:b w:val="1"/>
                <w:bCs w:val="1"/>
                <w:color w:val="auto"/>
              </w:rPr>
              <w:t>April 11, 2018 to</w:t>
            </w:r>
          </w:p>
        </w:tc>
        <w:tc>
          <w:tcPr>
            <w:tcW w:w="0" w:type="dxa"/>
            <w:vAlign w:val="bottom"/>
          </w:tcPr>
          <w:p>
            <w:pPr>
              <w:spacing w:after="0"/>
              <w:rPr>
                <w:sz w:val="1"/>
                <w:szCs w:val="1"/>
                <w:color w:val="auto"/>
              </w:rPr>
            </w:pPr>
          </w:p>
        </w:tc>
      </w:tr>
      <w:tr>
        <w:trPr>
          <w:trHeight w:val="50"/>
        </w:trPr>
        <w:tc>
          <w:tcPr>
            <w:tcW w:w="5140" w:type="dxa"/>
            <w:vAlign w:val="bottom"/>
          </w:tcPr>
          <w:p>
            <w:pPr>
              <w:spacing w:after="0"/>
              <w:rPr>
                <w:sz w:val="4"/>
                <w:szCs w:val="4"/>
                <w:color w:val="auto"/>
              </w:rPr>
            </w:pPr>
          </w:p>
        </w:tc>
        <w:tc>
          <w:tcPr>
            <w:tcW w:w="7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Non-cash gains (losses)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(12,206)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10,791</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Cash Premiums Paid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Fuel Derivative gains (losses)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 (14,259)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10,126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60"/>
        <w:spacing w:after="0" w:line="278" w:lineRule="auto"/>
        <w:rPr>
          <w:sz w:val="20"/>
          <w:szCs w:val="20"/>
          <w:color w:val="auto"/>
        </w:rPr>
      </w:pPr>
      <w:r>
        <w:rPr>
          <w:rFonts w:ascii="Arial" w:cs="Arial" w:eastAsia="Arial" w:hAnsi="Arial"/>
          <w:sz w:val="17"/>
          <w:szCs w:val="17"/>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172"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color w:val="auto"/>
        </w:rPr>
        <w:t>As of December 31, 2020, the Company had outstanding fuel derivative contracts covering 21.0 million gallons of crude oil and jet fuel that will settle between January 2021 and September 2021.</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Fuel Consortia</w:t>
      </w:r>
    </w:p>
    <w:p>
      <w:pPr>
        <w:spacing w:after="0" w:line="11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321" w:lineRule="exact"/>
        <w:rPr>
          <w:sz w:val="20"/>
          <w:szCs w:val="20"/>
          <w:color w:val="auto"/>
        </w:rPr>
      </w:pPr>
    </w:p>
    <w:p>
      <w:pPr>
        <w:ind w:left="740" w:hanging="541"/>
        <w:spacing w:after="0"/>
        <w:tabs>
          <w:tab w:leader="none" w:pos="7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–Quoted prices for identical assets or liabilities in active markets.</w:t>
      </w:r>
    </w:p>
    <w:p>
      <w:pPr>
        <w:spacing w:after="0" w:line="125" w:lineRule="exact"/>
        <w:rPr>
          <w:sz w:val="20"/>
          <w:szCs w:val="20"/>
          <w:color w:val="auto"/>
        </w:rPr>
      </w:pPr>
    </w:p>
    <w:p>
      <w:pPr>
        <w:ind w:left="1600" w:right="60" w:hanging="970"/>
        <w:spacing w:after="0" w:line="256" w:lineRule="auto"/>
        <w:tabs>
          <w:tab w:leader="none" w:pos="158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40"/>
          </w:cols>
          <w:pgMar w:left="320" w:top="454" w:right="5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1600" w:right="480" w:hanging="970"/>
        <w:spacing w:after="0" w:line="266" w:lineRule="auto"/>
        <w:tabs>
          <w:tab w:leader="none" w:pos="158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12"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—Derivative instruments are accounted for as either assets or liabilities and are carried at fair value. The fair value for fuel</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options and swaps is determined utilizing an option pricing model that uses inputs that are readily available in active markets or can be derived from information available in active markets and are classified within Level 2.</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2020</w:t>
            </w: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line="140"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tcPr>
          <w:p>
            <w:pPr>
              <w:jc w:val="right"/>
              <w:ind w:right="20"/>
              <w:spacing w:after="0" w:line="140"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Liabilities</w:t>
            </w:r>
          </w:p>
        </w:tc>
        <w:tc>
          <w:tcPr>
            <w:tcW w:w="1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Fuel Derivative Contracts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2019</w:t>
            </w: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line="140"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tcPr>
          <w:p>
            <w:pPr>
              <w:jc w:val="right"/>
              <w:ind w:right="20"/>
              <w:spacing w:after="0" w:line="140"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Assets</w:t>
            </w:r>
          </w:p>
        </w:tc>
        <w:tc>
          <w:tcPr>
            <w:tcW w:w="1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Fuel Derivative Contracts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debt portfolio consists of EETC certificates and notes payable. See Note 9 for debt fair values.</w:t>
      </w:r>
    </w:p>
    <w:p>
      <w:pPr>
        <w:spacing w:after="0" w:line="359" w:lineRule="exact"/>
        <w:rPr>
          <w:sz w:val="20"/>
          <w:szCs w:val="20"/>
          <w:color w:val="auto"/>
        </w:rPr>
      </w:pPr>
    </w:p>
    <w:p>
      <w:pPr>
        <w:ind w:left="620" w:hanging="421"/>
        <w:spacing w:after="0"/>
        <w:tabs>
          <w:tab w:leader="none" w:pos="6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200" w:right="320"/>
        <w:spacing w:after="0" w:line="256" w:lineRule="auto"/>
        <w:rPr>
          <w:sz w:val="20"/>
          <w:szCs w:val="20"/>
          <w:color w:val="auto"/>
        </w:rPr>
      </w:pPr>
      <w:r>
        <w:rPr>
          <w:rFonts w:ascii="Arial" w:cs="Arial" w:eastAsia="Arial" w:hAnsi="Arial"/>
          <w:sz w:val="18"/>
          <w:szCs w:val="18"/>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0900"/>
          </w:cols>
          <w:pgMar w:left="320" w:top="454" w:right="6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Successor</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ind w:left="20"/>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3"/>
            <w:vMerge w:val="restart"/>
          </w:tcPr>
          <w:p>
            <w:pPr>
              <w:ind w:left="80"/>
              <w:spacing w:after="0" w:line="147" w:lineRule="exact"/>
              <w:rPr>
                <w:sz w:val="20"/>
                <w:szCs w:val="20"/>
                <w:color w:val="auto"/>
              </w:rPr>
            </w:pPr>
            <w:r>
              <w:rPr>
                <w:rFonts w:ascii="Arial" w:cs="Arial" w:eastAsia="Arial" w:hAnsi="Arial"/>
                <w:sz w:val="14"/>
                <w:szCs w:val="14"/>
                <w:b w:val="1"/>
                <w:bCs w:val="1"/>
                <w:color w:val="auto"/>
              </w:rPr>
              <w:t>April 11, 2018 to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Current Tax Expense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12,509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Expense / (Benefit)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14,022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14,088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vMerge w:val="restart"/>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0" w:type="dxa"/>
            <w:vAlign w:val="bottom"/>
            <w:tcBorders>
              <w:bottom w:val="single" w:sz="8" w:color="auto"/>
            </w:tcBorders>
            <w:gridSpan w:val="3"/>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40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200" w:type="dxa"/>
            <w:vAlign w:val="bottom"/>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3"/>
                <w:szCs w:val="3"/>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80"/>
        </w:trPr>
        <w:tc>
          <w:tcPr>
            <w:tcW w:w="3920" w:type="dxa"/>
            <w:vAlign w:val="bottom"/>
            <w:tcBorders>
              <w:top w:val="single" w:sz="8" w:color="CCEEFF"/>
            </w:tcBorders>
            <w:shd w:val="clear" w:color="auto" w:fill="CCEEFF"/>
          </w:tcPr>
          <w:p>
            <w:pPr>
              <w:ind w:left="340"/>
              <w:spacing w:after="0" w:line="181" w:lineRule="exact"/>
              <w:rPr>
                <w:sz w:val="20"/>
                <w:szCs w:val="20"/>
                <w:color w:val="auto"/>
              </w:rPr>
            </w:pPr>
            <w:r>
              <w:rPr>
                <w:rFonts w:ascii="Arial" w:cs="Arial" w:eastAsia="Arial" w:hAnsi="Arial"/>
                <w:sz w:val="18"/>
                <w:szCs w:val="18"/>
                <w:color w:val="auto"/>
              </w:rPr>
              <w:t>Expected Provision at Federal Statutory Tax</w:t>
            </w: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Rate</w:t>
            </w:r>
          </w:p>
        </w:tc>
        <w:tc>
          <w:tcPr>
            <w:tcW w:w="21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21.0%</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8"/>
                <w:szCs w:val="18"/>
                <w:color w:val="auto"/>
              </w:rPr>
              <w:t>State Tax, net of Federal Impact</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3.1%</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Parking</w:t>
            </w:r>
          </w:p>
        </w:tc>
        <w:tc>
          <w:tcPr>
            <w:tcW w:w="21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(3.3%)</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8"/>
                <w:szCs w:val="18"/>
                <w:color w:val="auto"/>
              </w:rPr>
              <w:t>Meals and Entertainment</w:t>
            </w:r>
          </w:p>
        </w:tc>
        <w:tc>
          <w:tcPr>
            <w:tcW w:w="2160" w:type="dxa"/>
            <w:vAlign w:val="bottom"/>
            <w:gridSpan w:val="3"/>
          </w:tcPr>
          <w:p>
            <w:pPr>
              <w:jc w:val="right"/>
              <w:ind w:right="760"/>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Adjustments</w:t>
            </w:r>
          </w:p>
        </w:tc>
        <w:tc>
          <w:tcPr>
            <w:tcW w:w="4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16.6%</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920" w:type="dxa"/>
            <w:vAlign w:val="bottom"/>
          </w:tcPr>
          <w:p>
            <w:pPr>
              <w:spacing w:after="0"/>
              <w:rPr>
                <w:sz w:val="24"/>
                <w:szCs w:val="24"/>
                <w:color w:val="auto"/>
              </w:rPr>
            </w:pPr>
          </w:p>
        </w:tc>
        <w:tc>
          <w:tcPr>
            <w:tcW w:w="2160" w:type="dxa"/>
            <w:vAlign w:val="bottom"/>
            <w:gridSpan w:val="3"/>
          </w:tcPr>
          <w:p>
            <w:pPr>
              <w:jc w:val="right"/>
              <w:ind w:right="1360"/>
              <w:spacing w:after="0"/>
              <w:rPr>
                <w:sz w:val="20"/>
                <w:szCs w:val="20"/>
                <w:color w:val="auto"/>
              </w:rPr>
            </w:pPr>
            <w:r>
              <w:rPr>
                <w:rFonts w:ascii="Arial" w:cs="Arial" w:eastAsia="Arial" w:hAnsi="Arial"/>
                <w:sz w:val="18"/>
                <w:szCs w:val="18"/>
                <w:color w:val="auto"/>
              </w:rPr>
              <w:t>F-39</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54" w:right="13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75,389</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154,675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Accelerated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(27,892)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(33,844)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Unrealized Gain on Fuel 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(118,459)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(103,912)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Net Deferred Tax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36,216</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60"/>
        <w:spacing w:after="0" w:line="329" w:lineRule="auto"/>
        <w:rPr>
          <w:sz w:val="20"/>
          <w:szCs w:val="20"/>
          <w:color w:val="auto"/>
        </w:rPr>
      </w:pPr>
      <w:r>
        <w:rPr>
          <w:rFonts w:ascii="Arial" w:cs="Arial" w:eastAsia="Arial" w:hAnsi="Arial"/>
          <w:sz w:val="16"/>
          <w:szCs w:val="16"/>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134"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196"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2020 and 2019, the Company had no liability for unrecognized tax benefits recorded in its Consolidated Balance Sheets.</w:t>
      </w:r>
    </w:p>
    <w:p>
      <w:pPr>
        <w:spacing w:after="0" w:line="230" w:lineRule="exact"/>
        <w:rPr>
          <w:sz w:val="20"/>
          <w:szCs w:val="20"/>
          <w:color w:val="auto"/>
        </w:rPr>
      </w:pPr>
    </w:p>
    <w:p>
      <w:pPr>
        <w:ind w:left="200" w:right="120"/>
        <w:spacing w:after="0" w:line="278" w:lineRule="auto"/>
        <w:rPr>
          <w:sz w:val="20"/>
          <w:szCs w:val="20"/>
          <w:color w:val="auto"/>
        </w:rPr>
      </w:pPr>
      <w:r>
        <w:rPr>
          <w:rFonts w:ascii="Arial" w:cs="Arial" w:eastAsia="Arial" w:hAnsi="Arial"/>
          <w:sz w:val="17"/>
          <w:szCs w:val="17"/>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40"/>
          </w:cols>
          <w:pgMar w:left="320" w:top="454" w:right="5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401(K) PLAN</w:t>
      </w:r>
    </w:p>
    <w:p>
      <w:pPr>
        <w:spacing w:after="0" w:line="118"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made 401(k) contributions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vMerge w:val="restart"/>
          </w:tcPr>
          <w:p>
            <w:pPr>
              <w:jc w:val="right"/>
              <w:ind w:right="836"/>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40" w:type="dxa"/>
            <w:vAlign w:val="bottom"/>
            <w:tcBorders>
              <w:top w:val="single" w:sz="8" w:color="auto"/>
            </w:tcBorders>
            <w:gridSpan w:val="4"/>
          </w:tcPr>
          <w:p>
            <w:pPr>
              <w:jc w:val="right"/>
              <w:ind w:right="138"/>
              <w:spacing w:after="0" w:line="127" w:lineRule="exact"/>
              <w:rPr>
                <w:sz w:val="20"/>
                <w:szCs w:val="20"/>
                <w:color w:val="auto"/>
              </w:rPr>
            </w:pPr>
            <w:r>
              <w:rPr>
                <w:rFonts w:ascii="Arial" w:cs="Arial" w:eastAsia="Arial" w:hAnsi="Arial"/>
                <w:sz w:val="14"/>
                <w:szCs w:val="14"/>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6"/>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0"/>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40" w:type="dxa"/>
            <w:vAlign w:val="bottom"/>
            <w:tcBorders>
              <w:bottom w:val="single" w:sz="8" w:color="auto"/>
            </w:tcBorders>
            <w:gridSpan w:val="4"/>
          </w:tcPr>
          <w:p>
            <w:pPr>
              <w:jc w:val="right"/>
              <w:ind w:right="78"/>
              <w:spacing w:after="0" w:line="15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April 11, 2018 to</w:t>
            </w:r>
          </w:p>
        </w:tc>
        <w:tc>
          <w:tcPr>
            <w:tcW w:w="100" w:type="dxa"/>
            <w:vAlign w:val="bottom"/>
            <w:tcBorders>
              <w:right w:val="single" w:sz="8" w:color="auto"/>
            </w:tcBorders>
          </w:tcPr>
          <w:p>
            <w:pPr>
              <w:spacing w:after="0"/>
              <w:rPr>
                <w:sz w:val="13"/>
                <w:szCs w:val="13"/>
                <w:color w:val="auto"/>
              </w:rPr>
            </w:pPr>
          </w:p>
        </w:tc>
        <w:tc>
          <w:tcPr>
            <w:tcW w:w="1340" w:type="dxa"/>
            <w:vAlign w:val="bottom"/>
            <w:gridSpan w:val="4"/>
          </w:tcPr>
          <w:p>
            <w:pPr>
              <w:jc w:val="center"/>
              <w:ind w:left="20"/>
              <w:spacing w:after="0" w:line="159"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jc w:val="right"/>
              <w:ind w:right="42"/>
              <w:spacing w:after="0" w:line="140"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8"/>
              <w:spacing w:after="0" w:line="140" w:lineRule="exact"/>
              <w:rPr>
                <w:sz w:val="20"/>
                <w:szCs w:val="20"/>
                <w:color w:val="auto"/>
              </w:rPr>
            </w:pPr>
            <w:r>
              <w:rPr>
                <w:rFonts w:ascii="Arial" w:cs="Arial" w:eastAsia="Arial" w:hAnsi="Arial"/>
                <w:sz w:val="14"/>
                <w:szCs w:val="14"/>
                <w:b w:val="1"/>
                <w:bCs w:val="1"/>
                <w:color w:val="auto"/>
                <w:w w:val="89"/>
              </w:rPr>
              <w:t>2019</w:t>
            </w:r>
          </w:p>
        </w:tc>
        <w:tc>
          <w:tcPr>
            <w:tcW w:w="1280" w:type="dxa"/>
            <w:vAlign w:val="bottom"/>
            <w:gridSpan w:val="3"/>
          </w:tcPr>
          <w:p>
            <w:pPr>
              <w:jc w:val="center"/>
              <w:ind w:left="60"/>
              <w:spacing w:after="0" w:line="140" w:lineRule="exact"/>
              <w:rPr>
                <w:sz w:val="20"/>
                <w:szCs w:val="20"/>
                <w:color w:val="auto"/>
              </w:rPr>
            </w:pPr>
            <w:r>
              <w:rPr>
                <w:rFonts w:ascii="Arial" w:cs="Arial" w:eastAsia="Arial" w:hAnsi="Arial"/>
                <w:sz w:val="14"/>
                <w:szCs w:val="14"/>
                <w:b w:val="1"/>
                <w:bCs w:val="1"/>
                <w:color w:val="auto"/>
                <w:w w:val="90"/>
              </w:rPr>
              <w:t>December 31, 2018</w:t>
            </w: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Non-Discretionary</w:t>
            </w:r>
          </w:p>
        </w:tc>
        <w:tc>
          <w:tcPr>
            <w:tcW w:w="1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spacing w:after="0"/>
              <w:rPr>
                <w:sz w:val="20"/>
                <w:szCs w:val="20"/>
                <w:color w:val="auto"/>
              </w:rPr>
            </w:pPr>
            <w:r>
              <w:rPr>
                <w:rFonts w:ascii="Arial" w:cs="Arial" w:eastAsia="Arial" w:hAnsi="Arial"/>
                <w:sz w:val="18"/>
                <w:szCs w:val="18"/>
                <w:color w:val="auto"/>
              </w:rPr>
              <w:t>Discretionary</w:t>
            </w:r>
          </w:p>
        </w:tc>
        <w:tc>
          <w:tcPr>
            <w:tcW w:w="19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4,246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401(k) Contributions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are classified in Salaries, Wages, and Benefits on the Consolidated Statements of Operations.</w:t>
      </w:r>
    </w:p>
    <w:p>
      <w:pPr>
        <w:sectPr>
          <w:pgSz w:w="11900" w:h="16838" w:orient="portrait"/>
          <w:cols w:equalWidth="0" w:num="1">
            <w:col w:w="10980"/>
          </w:cols>
          <w:pgMar w:left="320" w:top="454" w:right="599" w:bottom="1440" w:gutter="0" w:footer="0" w:header="0"/>
        </w:sectPr>
      </w:pPr>
    </w:p>
    <w:p>
      <w:pPr>
        <w:spacing w:after="0" w:line="359" w:lineRule="exact"/>
        <w:rPr>
          <w:sz w:val="20"/>
          <w:szCs w:val="20"/>
          <w:color w:val="auto"/>
        </w:rPr>
      </w:pPr>
    </w:p>
    <w:p>
      <w:pPr>
        <w:ind w:left="620" w:hanging="421"/>
        <w:spacing w:after="0"/>
        <w:tabs>
          <w:tab w:leader="none" w:pos="6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Special Items, net on the Consolidated Statements of Operations consisted of the following: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7"/>
              </w:rPr>
              <w:t>Successor</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6"/>
          </w:tcPr>
          <w:p>
            <w:pPr>
              <w:jc w:val="right"/>
              <w:ind w:right="480"/>
              <w:spacing w:after="0" w:line="127"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3"/>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6"/>
          </w:tcPr>
          <w:p>
            <w:pPr>
              <w:jc w:val="right"/>
              <w:ind w:right="420"/>
              <w:spacing w:after="0" w:line="15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140"/>
        </w:trPr>
        <w:tc>
          <w:tcPr>
            <w:tcW w:w="5820" w:type="dxa"/>
            <w:vAlign w:val="bottom"/>
            <w:vMerge w:val="restart"/>
          </w:tcPr>
          <w:p>
            <w:pPr>
              <w:spacing w:after="0"/>
              <w:rPr>
                <w:sz w:val="20"/>
                <w:szCs w:val="20"/>
                <w:color w:val="auto"/>
              </w:rPr>
            </w:pPr>
            <w:r>
              <w:rPr>
                <w:rFonts w:ascii="Arial" w:cs="Arial" w:eastAsia="Arial" w:hAnsi="Arial"/>
                <w:sz w:val="18"/>
                <w:szCs w:val="18"/>
                <w:color w:val="auto"/>
              </w:rPr>
              <w:t>CARES Act grant recognition</w:t>
            </w: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8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4"/>
        </w:trPr>
        <w:tc>
          <w:tcPr>
            <w:tcW w:w="5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0"/>
              </w:rPr>
              <w:t>$(62,312)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ind w:left="200"/>
              <w:spacing w:after="0" w:line="19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13"/>
              <w:spacing w:after="0" w:line="194"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20"/>
                <w:szCs w:val="20"/>
                <w:color w:val="auto"/>
              </w:rPr>
            </w:pPr>
            <w:r>
              <w:rPr>
                <w:rFonts w:ascii="Arial" w:cs="Arial" w:eastAsia="Arial" w:hAnsi="Arial"/>
                <w:sz w:val="18"/>
                <w:szCs w:val="18"/>
                <w:color w:val="auto"/>
              </w:rPr>
              <w:t>CARES Act employee retention</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180"/>
              <w:spacing w:after="0"/>
              <w:rPr>
                <w:sz w:val="20"/>
                <w:szCs w:val="20"/>
                <w:color w:val="auto"/>
              </w:rPr>
            </w:pPr>
            <w:r>
              <w:rPr>
                <w:rFonts w:ascii="Arial" w:cs="Arial" w:eastAsia="Arial" w:hAnsi="Arial"/>
                <w:sz w:val="18"/>
                <w:szCs w:val="18"/>
                <w:color w:val="auto"/>
              </w:rPr>
              <w:t>credit</w:t>
            </w:r>
            <w:r>
              <w:rPr>
                <w:rFonts w:ascii="Arial" w:cs="Arial" w:eastAsia="Arial" w:hAnsi="Arial"/>
                <w:sz w:val="15"/>
                <w:szCs w:val="15"/>
                <w:color w:val="auto"/>
              </w:rPr>
              <w:t>(2)</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Contractual obligations for retired technology</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Sale of airport slot rights</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Sun Country Rewards program modifications</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Early-out payments and other outsourcing expenses</w:t>
            </w:r>
            <w:r>
              <w:rPr>
                <w:rFonts w:ascii="Arial" w:cs="Arial" w:eastAsia="Arial" w:hAnsi="Arial"/>
                <w:sz w:val="15"/>
                <w:szCs w:val="15"/>
                <w:color w:val="auto"/>
              </w:rPr>
              <w:t>(6)</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(7)</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714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360"/>
              <w:spacing w:after="0"/>
              <w:rPr>
                <w:sz w:val="20"/>
                <w:szCs w:val="20"/>
                <w:color w:val="auto"/>
              </w:rPr>
            </w:pPr>
            <w:r>
              <w:rPr>
                <w:rFonts w:ascii="Arial" w:cs="Arial" w:eastAsia="Arial" w:hAnsi="Arial"/>
                <w:sz w:val="18"/>
                <w:szCs w:val="18"/>
                <w:color w:val="auto"/>
              </w:rPr>
              <w:t>Total Special Items, net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(64,563)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7,092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-1654175</wp:posOffset>
            </wp:positionV>
            <wp:extent cx="6332220" cy="16630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32220" cy="1663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2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April 10, 2018</w:t>
      </w:r>
    </w:p>
    <w:p>
      <w:pPr>
        <w:spacing w:after="0" w:line="7" w:lineRule="exact"/>
        <w:rPr>
          <w:sz w:val="20"/>
          <w:szCs w:val="20"/>
          <w:color w:val="auto"/>
        </w:rPr>
      </w:pPr>
    </w:p>
    <w:p>
      <w:pPr>
        <w:ind w:left="880" w:hanging="873"/>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4"/>
          <w:szCs w:val="14"/>
          <w:color w:val="auto"/>
        </w:rPr>
        <w:t>271</w:t>
      </w:r>
    </w:p>
    <w:p>
      <w:pPr>
        <w:spacing w:after="0" w:line="5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 w:lineRule="exact"/>
        <w:rPr>
          <w:sz w:val="20"/>
          <w:szCs w:val="20"/>
          <w:color w:val="auto"/>
        </w:rPr>
      </w:pPr>
    </w:p>
    <w:p>
      <w:pPr>
        <w:ind w:left="880" w:hanging="873"/>
        <w:spacing w:after="0"/>
        <w:tabs>
          <w:tab w:leader="none" w:pos="8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271</w:t>
      </w:r>
    </w:p>
    <w:p>
      <w:pPr>
        <w:spacing w:after="0" w:line="303" w:lineRule="exact"/>
        <w:rPr>
          <w:sz w:val="20"/>
          <w:szCs w:val="20"/>
          <w:color w:val="auto"/>
        </w:rPr>
      </w:pPr>
    </w:p>
    <w:p>
      <w:pPr>
        <w:sectPr>
          <w:pgSz w:w="11900" w:h="16838" w:orient="portrait"/>
          <w:cols w:equalWidth="0" w:num="2">
            <w:col w:w="9280" w:space="140"/>
            <w:col w:w="1560"/>
          </w:cols>
          <w:pgMar w:left="320" w:top="454" w:right="599" w:bottom="1440" w:gutter="0" w:footer="0" w:header="0"/>
          <w:type w:val="continuous"/>
        </w:sectPr>
      </w:pPr>
    </w:p>
    <w:p>
      <w:pPr>
        <w:spacing w:after="0" w:line="40" w:lineRule="exact"/>
        <w:rPr>
          <w:sz w:val="20"/>
          <w:szCs w:val="20"/>
          <w:color w:val="auto"/>
        </w:rPr>
      </w:pPr>
    </w:p>
    <w:p>
      <w:pPr>
        <w:ind w:left="620" w:hanging="421"/>
        <w:spacing w:after="0" w:line="250" w:lineRule="auto"/>
        <w:tabs>
          <w:tab w:leader="none" w:pos="620" w:val="left"/>
        </w:tabs>
        <w:numPr>
          <w:ilvl w:val="0"/>
          <w:numId w:val="144"/>
        </w:numPr>
        <w:rPr>
          <w:rFonts w:ascii="Arial" w:cs="Arial" w:eastAsia="Arial" w:hAnsi="Arial"/>
          <w:sz w:val="15"/>
          <w:szCs w:val="15"/>
          <w:color w:val="auto"/>
        </w:rPr>
      </w:pPr>
      <w:r>
        <w:rPr>
          <w:rFonts w:ascii="Arial" w:cs="Arial" w:eastAsia="Arial" w:hAnsi="Arial"/>
          <w:sz w:val="18"/>
          <w:szCs w:val="18"/>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2" w:lineRule="exact"/>
        <w:rPr>
          <w:rFonts w:ascii="Arial" w:cs="Arial" w:eastAsia="Arial" w:hAnsi="Arial"/>
          <w:sz w:val="15"/>
          <w:szCs w:val="15"/>
          <w:color w:val="auto"/>
        </w:rPr>
      </w:pPr>
    </w:p>
    <w:p>
      <w:pPr>
        <w:ind w:left="620" w:right="280" w:hanging="421"/>
        <w:spacing w:after="0" w:line="253" w:lineRule="auto"/>
        <w:tabs>
          <w:tab w:leader="none" w:pos="620" w:val="left"/>
        </w:tabs>
        <w:numPr>
          <w:ilvl w:val="0"/>
          <w:numId w:val="144"/>
        </w:numPr>
        <w:rPr>
          <w:rFonts w:ascii="Arial" w:cs="Arial" w:eastAsia="Arial" w:hAnsi="Arial"/>
          <w:sz w:val="15"/>
          <w:szCs w:val="15"/>
          <w:color w:val="auto"/>
        </w:rPr>
      </w:pPr>
      <w:r>
        <w:rPr>
          <w:rFonts w:ascii="Arial" w:cs="Arial" w:eastAsia="Arial" w:hAnsi="Arial"/>
          <w:sz w:val="18"/>
          <w:szCs w:val="18"/>
          <w:color w:val="auto"/>
        </w:rPr>
        <w:t>Relates to the credit recognized under the CARES Act Employee Retention credit which is a refundable tax credit against certain employment taxes (see Note 3 for more information).</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80"/>
          </w:cols>
          <w:pgMar w:left="320" w:top="454" w:right="59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620" w:right="60" w:hanging="421"/>
        <w:spacing w:after="0" w:line="303" w:lineRule="auto"/>
        <w:tabs>
          <w:tab w:leader="none" w:pos="620" w:val="left"/>
        </w:tabs>
        <w:numPr>
          <w:ilvl w:val="0"/>
          <w:numId w:val="145"/>
        </w:numPr>
        <w:rPr>
          <w:rFonts w:ascii="Arial" w:cs="Arial" w:eastAsia="Arial" w:hAnsi="Arial"/>
          <w:sz w:val="13"/>
          <w:szCs w:val="13"/>
          <w:color w:val="auto"/>
        </w:rPr>
      </w:pPr>
      <w:r>
        <w:rPr>
          <w:rFonts w:ascii="Arial" w:cs="Arial" w:eastAsia="Arial" w:hAnsi="Arial"/>
          <w:sz w:val="15"/>
          <w:szCs w:val="15"/>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1" w:lineRule="exact"/>
        <w:rPr>
          <w:rFonts w:ascii="Arial" w:cs="Arial" w:eastAsia="Arial" w:hAnsi="Arial"/>
          <w:sz w:val="13"/>
          <w:szCs w:val="13"/>
          <w:color w:val="auto"/>
        </w:rPr>
      </w:pPr>
    </w:p>
    <w:p>
      <w:pPr>
        <w:ind w:left="620" w:right="40" w:hanging="421"/>
        <w:spacing w:after="0" w:line="246" w:lineRule="auto"/>
        <w:tabs>
          <w:tab w:leader="none" w:pos="620" w:val="left"/>
        </w:tabs>
        <w:numPr>
          <w:ilvl w:val="0"/>
          <w:numId w:val="145"/>
        </w:numPr>
        <w:rPr>
          <w:rFonts w:ascii="Arial" w:cs="Arial" w:eastAsia="Arial" w:hAnsi="Arial"/>
          <w:sz w:val="15"/>
          <w:szCs w:val="15"/>
          <w:color w:val="auto"/>
        </w:rPr>
      </w:pPr>
      <w:r>
        <w:rPr>
          <w:rFonts w:ascii="Arial" w:cs="Arial" w:eastAsia="Arial" w:hAnsi="Arial"/>
          <w:sz w:val="18"/>
          <w:szCs w:val="18"/>
          <w:color w:val="auto"/>
        </w:rPr>
        <w:t>Represents proceeds from the sale of unused airport slot rights. SCA does not hold any other remaining airport slot rights; therefore this gain does not reflect the Company’s continuing operations.</w:t>
      </w:r>
    </w:p>
    <w:p>
      <w:pPr>
        <w:spacing w:after="0" w:line="1" w:lineRule="exact"/>
        <w:rPr>
          <w:rFonts w:ascii="Arial" w:cs="Arial" w:eastAsia="Arial" w:hAnsi="Arial"/>
          <w:sz w:val="15"/>
          <w:szCs w:val="15"/>
          <w:color w:val="auto"/>
        </w:rPr>
      </w:pPr>
    </w:p>
    <w:p>
      <w:pPr>
        <w:ind w:left="620" w:right="160" w:hanging="421"/>
        <w:spacing w:after="0" w:line="296" w:lineRule="auto"/>
        <w:tabs>
          <w:tab w:leader="none" w:pos="620" w:val="left"/>
        </w:tabs>
        <w:numPr>
          <w:ilvl w:val="0"/>
          <w:numId w:val="145"/>
        </w:numPr>
        <w:rPr>
          <w:rFonts w:ascii="Arial" w:cs="Arial" w:eastAsia="Arial" w:hAnsi="Arial"/>
          <w:sz w:val="13"/>
          <w:szCs w:val="13"/>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ind w:left="620" w:right="480" w:hanging="421"/>
        <w:spacing w:after="0" w:line="261" w:lineRule="auto"/>
        <w:tabs>
          <w:tab w:leader="none" w:pos="620" w:val="left"/>
        </w:tabs>
        <w:numPr>
          <w:ilvl w:val="0"/>
          <w:numId w:val="145"/>
        </w:numPr>
        <w:rPr>
          <w:rFonts w:ascii="Arial" w:cs="Arial" w:eastAsia="Arial" w:hAnsi="Arial"/>
          <w:sz w:val="14"/>
          <w:szCs w:val="14"/>
          <w:color w:val="auto"/>
        </w:rPr>
      </w:pPr>
      <w:r>
        <w:rPr>
          <w:rFonts w:ascii="Arial" w:cs="Arial" w:eastAsia="Arial" w:hAnsi="Arial"/>
          <w:sz w:val="17"/>
          <w:szCs w:val="17"/>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ind w:left="620" w:hanging="421"/>
        <w:spacing w:after="0"/>
        <w:tabs>
          <w:tab w:leader="none" w:pos="620" w:val="left"/>
        </w:tabs>
        <w:numPr>
          <w:ilvl w:val="0"/>
          <w:numId w:val="145"/>
        </w:numPr>
        <w:rPr>
          <w:rFonts w:ascii="Arial" w:cs="Arial" w:eastAsia="Arial" w:hAnsi="Arial"/>
          <w:sz w:val="14"/>
          <w:szCs w:val="14"/>
          <w:color w:val="auto"/>
        </w:rPr>
      </w:pPr>
      <w:r>
        <w:rPr>
          <w:rFonts w:ascii="Arial" w:cs="Arial" w:eastAsia="Arial" w:hAnsi="Arial"/>
          <w:sz w:val="17"/>
          <w:szCs w:val="17"/>
          <w:color w:val="auto"/>
        </w:rPr>
        <w:t>Consists of employee relocation costs due to closing flight attendant bases and costs to exit the Company’s prior headquarters building.</w:t>
      </w:r>
    </w:p>
    <w:p>
      <w:pPr>
        <w:spacing w:after="0" w:line="359" w:lineRule="exact"/>
        <w:rPr>
          <w:sz w:val="20"/>
          <w:szCs w:val="20"/>
          <w:color w:val="auto"/>
        </w:rPr>
      </w:pPr>
    </w:p>
    <w:p>
      <w:pPr>
        <w:ind w:left="620" w:hanging="421"/>
        <w:spacing w:after="0"/>
        <w:tabs>
          <w:tab w:leader="none" w:pos="6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color w:val="auto"/>
        </w:rPr>
        <w:t>The Company has contractual obligations and commitments primarily with regard to lease arrangements (see Note 10) and repayment of debt (see Note 9).</w:t>
      </w:r>
    </w:p>
    <w:p>
      <w:pPr>
        <w:spacing w:after="0" w:line="179"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color w:val="auto"/>
        </w:rPr>
        <w:t>The Company is subject to various legal proceedings in the normal course of business and records legal costs as incurred. Management believes these proceedings will not have a materially adverse effect on the Company.</w:t>
      </w:r>
    </w:p>
    <w:p>
      <w:pPr>
        <w:spacing w:after="0" w:line="320" w:lineRule="exact"/>
        <w:rPr>
          <w:sz w:val="20"/>
          <w:szCs w:val="20"/>
          <w:color w:val="auto"/>
        </w:rPr>
      </w:pPr>
    </w:p>
    <w:p>
      <w:pPr>
        <w:ind w:left="620" w:hanging="421"/>
        <w:spacing w:after="0"/>
        <w:tabs>
          <w:tab w:leader="none" w:pos="6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18"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194" w:lineRule="exact"/>
        <w:rPr>
          <w:sz w:val="20"/>
          <w:szCs w:val="20"/>
          <w:color w:val="auto"/>
        </w:rPr>
      </w:pPr>
    </w:p>
    <w:p>
      <w:pPr>
        <w:ind w:left="200" w:right="160"/>
        <w:spacing w:after="0" w:line="268" w:lineRule="auto"/>
        <w:rPr>
          <w:sz w:val="20"/>
          <w:szCs w:val="20"/>
          <w:color w:val="auto"/>
        </w:rPr>
      </w:pPr>
      <w:r>
        <w:rPr>
          <w:rFonts w:ascii="Arial" w:cs="Arial" w:eastAsia="Arial" w:hAnsi="Arial"/>
          <w:sz w:val="17"/>
          <w:szCs w:val="17"/>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17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00"/>
          </w:cols>
          <w:pgMar w:left="320" w:top="454" w:right="5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680"/>
        <w:spacing w:after="0" w:line="266" w:lineRule="auto"/>
        <w:rPr>
          <w:sz w:val="20"/>
          <w:szCs w:val="20"/>
          <w:color w:val="auto"/>
        </w:rPr>
      </w:pPr>
      <w:r>
        <w:rPr>
          <w:rFonts w:ascii="Arial" w:cs="Arial" w:eastAsia="Arial" w:hAnsi="Arial"/>
          <w:sz w:val="18"/>
          <w:szCs w:val="18"/>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96"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Year Ended December 31, 2020</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right"/>
              <w:ind w:right="580"/>
              <w:spacing w:after="0" w:line="140" w:lineRule="exact"/>
              <w:rPr>
                <w:sz w:val="20"/>
                <w:szCs w:val="20"/>
                <w:color w:val="auto"/>
              </w:rPr>
            </w:pPr>
            <w:r>
              <w:rPr>
                <w:rFonts w:ascii="Arial" w:cs="Arial" w:eastAsia="Arial" w:hAnsi="Arial"/>
                <w:sz w:val="14"/>
                <w:szCs w:val="14"/>
                <w:b w:val="1"/>
                <w:bCs w:val="1"/>
                <w:color w:val="auto"/>
                <w:w w:val="87"/>
              </w:rPr>
              <w:t>Passenger</w:t>
            </w:r>
          </w:p>
        </w:tc>
        <w:tc>
          <w:tcPr>
            <w:tcW w:w="1200" w:type="dxa"/>
            <w:vAlign w:val="bottom"/>
            <w:gridSpan w:val="2"/>
          </w:tcPr>
          <w:p>
            <w:pPr>
              <w:jc w:val="right"/>
              <w:ind w:right="680"/>
              <w:spacing w:after="0" w:line="140" w:lineRule="exact"/>
              <w:rPr>
                <w:sz w:val="20"/>
                <w:szCs w:val="20"/>
                <w:color w:val="auto"/>
              </w:rPr>
            </w:pPr>
            <w:r>
              <w:rPr>
                <w:rFonts w:ascii="Arial" w:cs="Arial" w:eastAsia="Arial" w:hAnsi="Arial"/>
                <w:sz w:val="14"/>
                <w:szCs w:val="14"/>
                <w:b w:val="1"/>
                <w:bCs w:val="1"/>
                <w:color w:val="auto"/>
              </w:rPr>
              <w:t>Cargo</w:t>
            </w:r>
          </w:p>
        </w:tc>
        <w:tc>
          <w:tcPr>
            <w:tcW w:w="8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Operating Revenues</w:t>
            </w: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364,677</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$ 36,809</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401,486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Non-Fuel Operating Expenses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332,742</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32,530</w:t>
            </w: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365,272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Aircraft Fuel</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83,392</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Special Items. 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(53,842)</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(10,721)</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(64,563)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362,292</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21,809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384,101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40" w:type="dxa"/>
            <w:vAlign w:val="bottom"/>
            <w:gridSpan w:val="2"/>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2,385</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$ 15,000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(22,073)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Income / (Loss) before Income Tax</w:t>
            </w: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620" w:hanging="421"/>
        <w:spacing w:after="0"/>
        <w:tabs>
          <w:tab w:leader="none" w:pos="6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PARENT COMPANY FINANCIAL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ASSETS</w:t>
            </w:r>
          </w:p>
        </w:tc>
        <w:tc>
          <w:tcPr>
            <w:tcW w:w="4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4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Investment in Subsidiary</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282,569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284,185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Other Assets</w:t>
            </w:r>
          </w:p>
        </w:tc>
        <w:tc>
          <w:tcPr>
            <w:tcW w:w="4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284,185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60" w:type="dxa"/>
            <w:vAlign w:val="bottom"/>
            <w:gridSpan w:val="2"/>
            <w:vMerge w:val="continue"/>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4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239,162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to Stockholders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Additional Paid In Capital</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4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600" w:type="dxa"/>
            <w:vAlign w:val="bottom"/>
            <w:gridSpan w:val="2"/>
          </w:tcPr>
          <w:p>
            <w:pPr>
              <w:jc w:val="right"/>
              <w:ind w:right="3560"/>
              <w:spacing w:after="0"/>
              <w:rPr>
                <w:sz w:val="20"/>
                <w:szCs w:val="20"/>
                <w:color w:val="auto"/>
              </w:rPr>
            </w:pPr>
            <w:r>
              <w:rPr>
                <w:rFonts w:ascii="Arial" w:cs="Arial" w:eastAsia="Arial" w:hAnsi="Arial"/>
                <w:sz w:val="18"/>
                <w:szCs w:val="18"/>
                <w:color w:val="auto"/>
              </w:rPr>
              <w:t>F-43</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Statements of Operations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3"/>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5"/>
          </w:tcPr>
          <w:p>
            <w:pPr>
              <w:jc w:val="center"/>
              <w:ind w:left="98"/>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Expenses:</w:t>
            </w:r>
          </w:p>
        </w:tc>
        <w:tc>
          <w:tcPr>
            <w:tcW w:w="8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179</w:t>
            </w:r>
          </w:p>
        </w:tc>
        <w:tc>
          <w:tcPr>
            <w:tcW w:w="32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179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Equity in Income / (Loss) of Subsidiaries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46,283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tcPr>
          <w:p>
            <w:pPr>
              <w:ind w:left="680"/>
              <w:spacing w:after="0"/>
              <w:rPr>
                <w:sz w:val="20"/>
                <w:szCs w:val="20"/>
                <w:color w:val="auto"/>
              </w:rPr>
            </w:pPr>
            <w:r>
              <w:rPr>
                <w:rFonts w:ascii="Arial" w:cs="Arial" w:eastAsia="Arial" w:hAnsi="Arial"/>
                <w:sz w:val="18"/>
                <w:szCs w:val="18"/>
                <w:color w:val="auto"/>
              </w:rPr>
              <w:t>Total Non-operating Income/ (Expense),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46,511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7"/>
              </w:rPr>
              <w:t>46,072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Income Tax Expense / (Benefit)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(3,904)</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7"/>
              </w:rPr>
              <w:t>46,072</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gridSpan w:val="3"/>
            <w:vMerge w:val="restart"/>
          </w:tcPr>
          <w:p>
            <w:pPr>
              <w:ind w:left="4000"/>
              <w:spacing w:after="0"/>
              <w:rPr>
                <w:sz w:val="20"/>
                <w:szCs w:val="20"/>
                <w:color w:val="auto"/>
              </w:rPr>
            </w:pPr>
            <w:r>
              <w:rPr>
                <w:rFonts w:ascii="Arial" w:cs="Arial" w:eastAsia="Arial" w:hAnsi="Arial"/>
                <w:sz w:val="18"/>
                <w:szCs w:val="18"/>
                <w:b w:val="1"/>
                <w:bCs w:val="1"/>
                <w:color w:val="auto"/>
                <w:w w:val="85"/>
              </w:rPr>
              <w:t>Condensed Statements of Cash Flows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68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3"/>
            <w:vMerge w:val="restart"/>
          </w:tcPr>
          <w:p>
            <w:pPr>
              <w:jc w:val="center"/>
              <w:ind w:right="120"/>
              <w:spacing w:after="0" w:line="13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620"/>
              <w:spacing w:after="0"/>
              <w:rPr>
                <w:sz w:val="20"/>
                <w:szCs w:val="20"/>
                <w:color w:val="auto"/>
              </w:rPr>
            </w:pPr>
            <w:r>
              <w:rPr>
                <w:rFonts w:ascii="Arial" w:cs="Arial" w:eastAsia="Arial" w:hAnsi="Arial"/>
                <w:sz w:val="16"/>
                <w:szCs w:val="16"/>
                <w:b w:val="1"/>
                <w:bCs w:val="1"/>
                <w:color w:val="auto"/>
              </w:rPr>
              <w:t>Net Cash Provided by Operating Activities</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Net Payments to Subsidiary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Net Cash Used in Investing Activities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(47,866)</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Contributions from Stockholders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Net Payments from Subsidiary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Received from Exercise of Apollo Warrants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620"/>
              <w:spacing w:after="0"/>
              <w:rPr>
                <w:sz w:val="20"/>
                <w:szCs w:val="20"/>
                <w:color w:val="auto"/>
              </w:rPr>
            </w:pPr>
            <w:r>
              <w:rPr>
                <w:rFonts w:ascii="Arial" w:cs="Arial" w:eastAsia="Arial" w:hAnsi="Arial"/>
                <w:sz w:val="16"/>
                <w:szCs w:val="16"/>
                <w:b w:val="1"/>
                <w:bCs w:val="1"/>
                <w:color w:val="auto"/>
              </w:rPr>
              <w:t>Net Cash Provided by Financing Activities</w:t>
            </w:r>
          </w:p>
        </w:tc>
        <w:tc>
          <w:tcPr>
            <w:tcW w:w="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 (Decrease) in Cash, Cash Equivalents and Restricted Cash</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Cash—Beginning of the Period</w:t>
            </w:r>
          </w:p>
        </w:tc>
        <w:tc>
          <w:tcPr>
            <w:tcW w:w="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97"/>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Cash—End of the Period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200" w:right="380"/>
        <w:spacing w:after="0" w:line="256" w:lineRule="auto"/>
        <w:rPr>
          <w:sz w:val="20"/>
          <w:szCs w:val="20"/>
          <w:color w:val="auto"/>
        </w:rPr>
      </w:pPr>
      <w:r>
        <w:rPr>
          <w:rFonts w:ascii="Arial" w:cs="Arial" w:eastAsia="Arial" w:hAnsi="Arial"/>
          <w:sz w:val="18"/>
          <w:szCs w:val="18"/>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60"/>
          </w:cols>
          <w:pgMar w:left="320" w:top="454" w:right="5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and Covenants</w:t>
      </w:r>
    </w:p>
    <w:p>
      <w:pPr>
        <w:spacing w:after="0" w:line="118" w:lineRule="exact"/>
        <w:rPr>
          <w:sz w:val="20"/>
          <w:szCs w:val="20"/>
          <w:color w:val="auto"/>
        </w:rPr>
      </w:pPr>
    </w:p>
    <w:p>
      <w:pPr>
        <w:ind w:left="200" w:right="80"/>
        <w:spacing w:after="0" w:line="249"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339" w:lineRule="exact"/>
        <w:rPr>
          <w:sz w:val="20"/>
          <w:szCs w:val="20"/>
          <w:color w:val="auto"/>
        </w:rPr>
      </w:pPr>
    </w:p>
    <w:p>
      <w:pPr>
        <w:ind w:left="620" w:hanging="421"/>
        <w:spacing w:after="0"/>
        <w:tabs>
          <w:tab w:leader="none" w:pos="6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color w:val="auto"/>
        </w:rPr>
        <w:t>The Company evaluated subsequent events for the period from the Balance Sheet date through March 8, 2021, the date that the Consolidated Financial Statements were available to be issued.</w:t>
      </w:r>
    </w:p>
    <w:p>
      <w:pPr>
        <w:spacing w:after="0" w:line="179" w:lineRule="exact"/>
        <w:rPr>
          <w:sz w:val="20"/>
          <w:szCs w:val="20"/>
          <w:color w:val="auto"/>
        </w:rPr>
      </w:pPr>
    </w:p>
    <w:p>
      <w:pPr>
        <w:ind w:left="200" w:right="240"/>
        <w:spacing w:after="0" w:line="272" w:lineRule="auto"/>
        <w:rPr>
          <w:sz w:val="20"/>
          <w:szCs w:val="20"/>
          <w:color w:val="auto"/>
        </w:rPr>
      </w:pPr>
      <w:r>
        <w:rPr>
          <w:rFonts w:ascii="Arial" w:cs="Arial" w:eastAsia="Arial" w:hAnsi="Arial"/>
          <w:sz w:val="17"/>
          <w:szCs w:val="17"/>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178" w:lineRule="exact"/>
        <w:rPr>
          <w:sz w:val="20"/>
          <w:szCs w:val="20"/>
          <w:color w:val="auto"/>
        </w:rPr>
      </w:pPr>
    </w:p>
    <w:p>
      <w:pPr>
        <w:ind w:left="200" w:right="480"/>
        <w:spacing w:after="0" w:line="296" w:lineRule="auto"/>
        <w:rPr>
          <w:sz w:val="20"/>
          <w:szCs w:val="20"/>
          <w:color w:val="auto"/>
        </w:rPr>
      </w:pPr>
      <w:r>
        <w:rPr>
          <w:rFonts w:ascii="Arial" w:cs="Arial" w:eastAsia="Arial" w:hAnsi="Arial"/>
          <w:sz w:val="17"/>
          <w:szCs w:val="17"/>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156" w:lineRule="exact"/>
        <w:rPr>
          <w:sz w:val="20"/>
          <w:szCs w:val="20"/>
          <w:color w:val="auto"/>
        </w:rPr>
      </w:pPr>
    </w:p>
    <w:p>
      <w:pPr>
        <w:ind w:left="200"/>
        <w:spacing w:after="0" w:line="265" w:lineRule="auto"/>
        <w:rPr>
          <w:sz w:val="20"/>
          <w:szCs w:val="20"/>
          <w:color w:val="auto"/>
        </w:rPr>
      </w:pPr>
      <w:r>
        <w:rPr>
          <w:rFonts w:ascii="Arial" w:cs="Arial" w:eastAsia="Arial" w:hAnsi="Arial"/>
          <w:sz w:val="17"/>
          <w:szCs w:val="17"/>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322" w:lineRule="exact"/>
        <w:rPr>
          <w:sz w:val="20"/>
          <w:szCs w:val="20"/>
          <w:color w:val="auto"/>
        </w:rPr>
      </w:pPr>
    </w:p>
    <w:p>
      <w:pPr>
        <w:ind w:left="620" w:hanging="421"/>
        <w:spacing w:after="0"/>
        <w:tabs>
          <w:tab w:leader="none" w:pos="6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Quarterly results of operations for the years ended December 31, 2020 and 2019 are summarized below:</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First</w:t>
            </w:r>
          </w:p>
        </w:tc>
        <w:tc>
          <w:tcPr>
            <w:tcW w:w="46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Second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Fourth</w:t>
            </w: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Quarter</w:t>
            </w:r>
          </w:p>
        </w:tc>
      </w:tr>
      <w:tr>
        <w:trPr>
          <w:trHeight w:val="173"/>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84"/>
              </w:rPr>
              <w:t>2020</w:t>
            </w:r>
          </w:p>
        </w:tc>
        <w:tc>
          <w:tcPr>
            <w:tcW w:w="3040" w:type="dxa"/>
            <w:vAlign w:val="bottom"/>
            <w:tcBorders>
              <w:top w:val="single" w:sz="8" w:color="CCEEFF"/>
              <w:bottom w:val="single" w:sz="8" w:color="CCEEFF"/>
            </w:tcBorders>
            <w:shd w:val="clear" w:color="auto" w:fill="CCEEFF"/>
          </w:tcPr>
          <w:p>
            <w:pPr>
              <w:spacing w:after="0"/>
              <w:rPr>
                <w:sz w:val="15"/>
                <w:szCs w:val="15"/>
                <w:color w:val="auto"/>
              </w:rPr>
            </w:pPr>
          </w:p>
        </w:tc>
        <w:tc>
          <w:tcPr>
            <w:tcW w:w="24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180,330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35,376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77,973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107,807</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 (Loss)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(4,428)</w:t>
            </w:r>
          </w:p>
        </w:tc>
      </w:tr>
      <w:tr>
        <w:trPr>
          <w:trHeight w:val="213"/>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Income / (Loss)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7,251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(6,040)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2,927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(8,042)</w:t>
            </w:r>
          </w:p>
        </w:tc>
      </w:tr>
      <w:tr>
        <w:trPr>
          <w:trHeight w:val="213"/>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 (Loss) Per Share: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r>
      <w:tr>
        <w:trPr>
          <w:trHeight w:val="213"/>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r>
      <w:tr>
        <w:trPr>
          <w:trHeight w:val="35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60" w:type="dxa"/>
            <w:vAlign w:val="bottom"/>
            <w:gridSpan w:val="2"/>
          </w:tcPr>
          <w:p>
            <w:pPr>
              <w:jc w:val="right"/>
              <w:ind w:right="800"/>
              <w:spacing w:after="0"/>
              <w:rPr>
                <w:sz w:val="20"/>
                <w:szCs w:val="20"/>
                <w:color w:val="auto"/>
              </w:rPr>
            </w:pPr>
            <w:r>
              <w:rPr>
                <w:rFonts w:ascii="Arial" w:cs="Arial" w:eastAsia="Arial" w:hAnsi="Arial"/>
                <w:sz w:val="18"/>
                <w:szCs w:val="18"/>
                <w:color w:val="auto"/>
              </w:rPr>
              <w:t>F-45</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20"/>
          </w:cols>
          <w:pgMar w:left="320" w:top="454" w:right="6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Second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Quarter</w:t>
            </w:r>
          </w:p>
        </w:tc>
      </w:tr>
      <w:tr>
        <w:trPr>
          <w:trHeight w:val="173"/>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84"/>
              </w:rPr>
              <w:t>2019</w:t>
            </w:r>
          </w:p>
        </w:tc>
        <w:tc>
          <w:tcPr>
            <w:tcW w:w="3300" w:type="dxa"/>
            <w:vAlign w:val="bottom"/>
            <w:tcBorders>
              <w:top w:val="single" w:sz="8" w:color="CCEEFF"/>
              <w:bottom w:val="single" w:sz="8" w:color="CCEEFF"/>
            </w:tcBorders>
            <w:shd w:val="clear" w:color="auto" w:fill="CCEEFF"/>
          </w:tcPr>
          <w:p>
            <w:pPr>
              <w:spacing w:after="0"/>
              <w:rPr>
                <w:sz w:val="15"/>
                <w:szCs w:val="15"/>
                <w:color w:val="auto"/>
              </w:rPr>
            </w:pPr>
          </w:p>
        </w:tc>
        <w:tc>
          <w:tcPr>
            <w:tcW w:w="2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196,669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169,373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171,478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163,864</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33,368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3,973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5,018</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Basic</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700"/>
          </w:cols>
          <w:pgMar w:left="320" w:top="454" w:right="8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208915</wp:posOffset>
            </wp:positionV>
            <wp:extent cx="68897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251460</wp:posOffset>
            </wp:positionV>
            <wp:extent cx="68897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9,090,909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155575</wp:posOffset>
            </wp:positionV>
            <wp:extent cx="2127885" cy="269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2788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Sun Country Airlines Holdings, Inc.</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1588135</wp:posOffset>
            </wp:positionV>
            <wp:extent cx="68897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178435</wp:posOffset>
            </wp:positionV>
            <wp:extent cx="68897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i w:val="1"/>
          <w:iCs w:val="1"/>
          <w:color w:val="auto"/>
        </w:rPr>
        <w:t>Joint Bookrunners</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323"/>
        </w:trPr>
        <w:tc>
          <w:tcPr>
            <w:tcW w:w="30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1780" w:type="dxa"/>
            <w:vAlign w:val="bottom"/>
          </w:tcPr>
          <w:p>
            <w:pPr>
              <w:spacing w:after="0"/>
              <w:rPr>
                <w:sz w:val="24"/>
                <w:szCs w:val="24"/>
                <w:color w:val="auto"/>
              </w:rPr>
            </w:pPr>
          </w:p>
        </w:tc>
        <w:tc>
          <w:tcPr>
            <w:tcW w:w="3040" w:type="dxa"/>
            <w:vAlign w:val="bottom"/>
          </w:tcPr>
          <w:p>
            <w:pPr>
              <w:ind w:left="40"/>
              <w:spacing w:after="0"/>
              <w:rPr>
                <w:sz w:val="20"/>
                <w:szCs w:val="20"/>
                <w:color w:val="auto"/>
              </w:rPr>
            </w:pPr>
            <w:r>
              <w:rPr>
                <w:rFonts w:ascii="Arial" w:cs="Arial" w:eastAsia="Arial" w:hAnsi="Arial"/>
                <w:sz w:val="25"/>
                <w:szCs w:val="25"/>
                <w:b w:val="1"/>
                <w:bCs w:val="1"/>
                <w:color w:val="auto"/>
              </w:rPr>
              <w:t>Morgan Stanley</w:t>
            </w:r>
          </w:p>
        </w:tc>
        <w:tc>
          <w:tcPr>
            <w:tcW w:w="3000" w:type="dxa"/>
            <w:vAlign w:val="bottom"/>
          </w:tcPr>
          <w:p>
            <w:pPr>
              <w:jc w:val="right"/>
              <w:spacing w:after="0"/>
              <w:rPr>
                <w:sz w:val="20"/>
                <w:szCs w:val="20"/>
                <w:color w:val="auto"/>
              </w:rPr>
            </w:pPr>
            <w:r>
              <w:rPr>
                <w:rFonts w:ascii="Arial" w:cs="Arial" w:eastAsia="Arial" w:hAnsi="Arial"/>
                <w:sz w:val="25"/>
                <w:szCs w:val="25"/>
                <w:b w:val="1"/>
                <w:bCs w:val="1"/>
                <w:color w:val="auto"/>
                <w:w w:val="96"/>
              </w:rPr>
              <w:t>Deutsche Bank Securities</w:t>
            </w:r>
          </w:p>
        </w:tc>
      </w:tr>
      <w:tr>
        <w:trPr>
          <w:trHeight w:val="359"/>
        </w:trPr>
        <w:tc>
          <w:tcPr>
            <w:tcW w:w="3040" w:type="dxa"/>
            <w:vAlign w:val="bottom"/>
          </w:tcPr>
          <w:p>
            <w:pPr>
              <w:spacing w:after="0"/>
              <w:rPr>
                <w:sz w:val="20"/>
                <w:szCs w:val="20"/>
                <w:color w:val="auto"/>
              </w:rPr>
            </w:pPr>
            <w:r>
              <w:rPr>
                <w:rFonts w:ascii="Arial" w:cs="Arial" w:eastAsia="Arial" w:hAnsi="Arial"/>
                <w:sz w:val="25"/>
                <w:szCs w:val="25"/>
                <w:b w:val="1"/>
                <w:bCs w:val="1"/>
                <w:color w:val="auto"/>
                <w:w w:val="95"/>
              </w:rPr>
              <w:t>Goldman Sachs &amp; Co. LLC</w:t>
            </w:r>
          </w:p>
        </w:tc>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25"/>
                <w:szCs w:val="25"/>
                <w:b w:val="1"/>
                <w:bCs w:val="1"/>
                <w:color w:val="auto"/>
              </w:rPr>
              <w:t>Nomura</w:t>
            </w:r>
          </w:p>
        </w:tc>
      </w:tr>
      <w:tr>
        <w:trPr>
          <w:trHeight w:val="417"/>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Co-Managers</w:t>
            </w:r>
          </w:p>
        </w:tc>
        <w:tc>
          <w:tcPr>
            <w:tcW w:w="3000" w:type="dxa"/>
            <w:vAlign w:val="bottom"/>
          </w:tcPr>
          <w:p>
            <w:pPr>
              <w:spacing w:after="0"/>
              <w:rPr>
                <w:sz w:val="24"/>
                <w:szCs w:val="24"/>
                <w:color w:val="auto"/>
              </w:rPr>
            </w:pPr>
          </w:p>
        </w:tc>
      </w:tr>
      <w:tr>
        <w:trPr>
          <w:trHeight w:val="352"/>
        </w:trPr>
        <w:tc>
          <w:tcPr>
            <w:tcW w:w="3040" w:type="dxa"/>
            <w:vAlign w:val="bottom"/>
          </w:tcPr>
          <w:p>
            <w:pPr>
              <w:spacing w:after="0"/>
              <w:rPr>
                <w:sz w:val="20"/>
                <w:szCs w:val="20"/>
                <w:color w:val="auto"/>
              </w:rPr>
            </w:pPr>
            <w:r>
              <w:rPr>
                <w:rFonts w:ascii="Arial" w:cs="Arial" w:eastAsia="Arial" w:hAnsi="Arial"/>
                <w:sz w:val="19"/>
                <w:szCs w:val="19"/>
                <w:b w:val="1"/>
                <w:bCs w:val="1"/>
                <w:color w:val="auto"/>
              </w:rPr>
              <w:t>Apollo Global Securities</w:t>
            </w:r>
          </w:p>
        </w:tc>
        <w:tc>
          <w:tcPr>
            <w:tcW w:w="1780" w:type="dxa"/>
            <w:vAlign w:val="bottom"/>
          </w:tcPr>
          <w:p>
            <w:pPr>
              <w:ind w:left="100"/>
              <w:spacing w:after="0"/>
              <w:rPr>
                <w:sz w:val="20"/>
                <w:szCs w:val="20"/>
                <w:color w:val="auto"/>
              </w:rPr>
            </w:pPr>
            <w:r>
              <w:rPr>
                <w:rFonts w:ascii="Arial" w:cs="Arial" w:eastAsia="Arial" w:hAnsi="Arial"/>
                <w:sz w:val="19"/>
                <w:szCs w:val="19"/>
                <w:b w:val="1"/>
                <w:bCs w:val="1"/>
                <w:color w:val="auto"/>
                <w:w w:val="92"/>
              </w:rPr>
              <w:t>AmeriVet Securities</w:t>
            </w:r>
          </w:p>
        </w:tc>
        <w:tc>
          <w:tcPr>
            <w:tcW w:w="3040" w:type="dxa"/>
            <w:vAlign w:val="bottom"/>
          </w:tcPr>
          <w:p>
            <w:pPr>
              <w:ind w:left="760"/>
              <w:spacing w:after="0"/>
              <w:rPr>
                <w:sz w:val="20"/>
                <w:szCs w:val="20"/>
                <w:color w:val="auto"/>
              </w:rPr>
            </w:pPr>
            <w:r>
              <w:rPr>
                <w:rFonts w:ascii="Arial" w:cs="Arial" w:eastAsia="Arial" w:hAnsi="Arial"/>
                <w:sz w:val="19"/>
                <w:szCs w:val="19"/>
                <w:b w:val="1"/>
                <w:bCs w:val="1"/>
                <w:color w:val="auto"/>
              </w:rPr>
              <w:t>Siebert Williams Shank</w:t>
            </w:r>
          </w:p>
        </w:tc>
        <w:tc>
          <w:tcPr>
            <w:tcW w:w="3000" w:type="dxa"/>
            <w:vAlign w:val="bottom"/>
          </w:tcPr>
          <w:p>
            <w:pPr>
              <w:jc w:val="right"/>
              <w:spacing w:after="0"/>
              <w:rPr>
                <w:sz w:val="20"/>
                <w:szCs w:val="20"/>
                <w:color w:val="auto"/>
              </w:rPr>
            </w:pPr>
            <w:r>
              <w:rPr>
                <w:rFonts w:ascii="Arial" w:cs="Arial" w:eastAsia="Arial" w:hAnsi="Arial"/>
                <w:sz w:val="19"/>
                <w:szCs w:val="19"/>
                <w:b w:val="1"/>
                <w:bCs w:val="1"/>
                <w:color w:val="auto"/>
              </w:rPr>
              <w:t>Tribal Capital Markets, LLC</w:t>
            </w:r>
          </w:p>
        </w:tc>
      </w:tr>
      <w:tr>
        <w:trPr>
          <w:trHeight w:val="1498"/>
        </w:trPr>
        <w:tc>
          <w:tcPr>
            <w:tcW w:w="3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r>
        <w:trPr>
          <w:trHeight w:val="46"/>
        </w:trPr>
        <w:tc>
          <w:tcPr>
            <w:tcW w:w="30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bl>
    <w:p>
      <w:pPr>
        <w:sectPr>
          <w:pgSz w:w="11900" w:h="16838" w:orient="portrait"/>
          <w:cols w:equalWidth="0" w:num="1">
            <w:col w:w="11060"/>
          </w:cols>
          <w:pgMar w:left="320" w:top="454"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8"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195" w:lineRule="exact"/>
        <w:rPr>
          <w:sz w:val="20"/>
          <w:szCs w:val="20"/>
          <w:color w:val="auto"/>
        </w:rPr>
      </w:pPr>
    </w:p>
    <w:tbl>
      <w:tblPr>
        <w:tblLayout w:type="fixed"/>
        <w:tblInd w:w="1940" w:type="dxa"/>
        <w:tblCellMar>
          <w:top w:w="0" w:type="dxa"/>
          <w:left w:w="0" w:type="dxa"/>
          <w:bottom w:w="0" w:type="dxa"/>
          <w:right w:w="0" w:type="dxa"/>
        </w:tblCellMar>
      </w:tblP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26,234</w:t>
            </w:r>
          </w:p>
        </w:tc>
        <w:tc>
          <w:tcPr>
            <w:tcW w:w="8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Stock exchange listing fee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320,000</w:t>
            </w:r>
          </w:p>
        </w:tc>
        <w:tc>
          <w:tcPr>
            <w:tcW w:w="80" w:type="dxa"/>
            <w:vAlign w:val="bottom"/>
          </w:tcPr>
          <w:p>
            <w:pPr>
              <w:spacing w:after="0"/>
              <w:rPr>
                <w:sz w:val="18"/>
                <w:szCs w:val="18"/>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filing fee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8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Printing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900,000</w:t>
            </w:r>
          </w:p>
        </w:tc>
        <w:tc>
          <w:tcPr>
            <w:tcW w:w="80" w:type="dxa"/>
            <w:vAlign w:val="bottom"/>
          </w:tcPr>
          <w:p>
            <w:pPr>
              <w:spacing w:after="0"/>
              <w:rPr>
                <w:sz w:val="18"/>
                <w:szCs w:val="18"/>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4,109,024</w:t>
            </w:r>
          </w:p>
        </w:tc>
        <w:tc>
          <w:tcPr>
            <w:tcW w:w="8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2,305,954</w:t>
            </w:r>
          </w:p>
        </w:tc>
        <w:tc>
          <w:tcPr>
            <w:tcW w:w="80" w:type="dxa"/>
            <w:vAlign w:val="bottom"/>
          </w:tcPr>
          <w:p>
            <w:pPr>
              <w:spacing w:after="0"/>
              <w:rPr>
                <w:sz w:val="18"/>
                <w:szCs w:val="18"/>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9"/>
        </w:trPr>
        <w:tc>
          <w:tcPr>
            <w:tcW w:w="4980" w:type="dxa"/>
            <w:vAlign w:val="bottom"/>
          </w:tcPr>
          <w:p>
            <w:pPr>
              <w:spacing w:after="0"/>
              <w:rPr>
                <w:sz w:val="20"/>
                <w:szCs w:val="20"/>
                <w:color w:val="auto"/>
              </w:rPr>
            </w:pPr>
            <w:r>
              <w:rPr>
                <w:rFonts w:ascii="Arial" w:cs="Arial" w:eastAsia="Arial" w:hAnsi="Arial"/>
                <w:sz w:val="18"/>
                <w:szCs w:val="18"/>
                <w:color w:val="auto"/>
              </w:rPr>
              <w:t>Miscellaneous</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640,465</w:t>
            </w:r>
          </w:p>
        </w:tc>
        <w:tc>
          <w:tcPr>
            <w:tcW w:w="80" w:type="dxa"/>
            <w:vAlign w:val="bottom"/>
          </w:tcPr>
          <w:p>
            <w:pPr>
              <w:spacing w:after="0"/>
              <w:rPr>
                <w:sz w:val="19"/>
                <w:szCs w:val="19"/>
                <w:color w:val="auto"/>
              </w:rPr>
            </w:pPr>
          </w:p>
        </w:tc>
      </w:tr>
      <w:tr>
        <w:trPr>
          <w:trHeight w:val="213"/>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8,342,177</w:t>
            </w:r>
          </w:p>
        </w:tc>
        <w:tc>
          <w:tcPr>
            <w:tcW w:w="80" w:type="dxa"/>
            <w:vAlign w:val="bottom"/>
            <w:shd w:val="clear" w:color="auto" w:fill="CCEEFF"/>
          </w:tcPr>
          <w:p>
            <w:pPr>
              <w:spacing w:after="0"/>
              <w:rPr>
                <w:sz w:val="18"/>
                <w:szCs w:val="18"/>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18"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19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w:t>
      </w:r>
    </w:p>
    <w:p>
      <w:pPr>
        <w:ind w:left="200" w:right="400" w:hanging="1"/>
        <w:spacing w:after="0" w:line="253" w:lineRule="auto"/>
        <w:tabs>
          <w:tab w:leader="none" w:pos="5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provides for such limitation of liability.</w:t>
      </w:r>
    </w:p>
    <w:p>
      <w:pPr>
        <w:spacing w:after="0" w:line="191"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72"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179" w:lineRule="exact"/>
        <w:rPr>
          <w:sz w:val="20"/>
          <w:szCs w:val="20"/>
          <w:color w:val="auto"/>
        </w:rPr>
      </w:pPr>
    </w:p>
    <w:p>
      <w:pPr>
        <w:ind w:left="200" w:right="540" w:firstLine="434"/>
        <w:spacing w:after="0" w:line="266" w:lineRule="auto"/>
        <w:rPr>
          <w:sz w:val="20"/>
          <w:szCs w:val="20"/>
          <w:color w:val="auto"/>
        </w:rPr>
      </w:pPr>
      <w:r>
        <w:rPr>
          <w:rFonts w:ascii="Arial" w:cs="Arial" w:eastAsia="Arial" w:hAnsi="Arial"/>
          <w:sz w:val="18"/>
          <w:szCs w:val="18"/>
          <w:color w:val="auto"/>
        </w:rPr>
        <w:t>We expect to enter into customary indemnification agreements with our executive officers and directors that provide them, in general, with customary indemnification in connection with their service to us or on our behalf.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320" w:top="454" w:right="5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18"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 Securities Act, or rule of the SEC, under which exemption from registration was claimed for such sales and grants. Such information is rounded to the nearest whole number.</w:t>
      </w:r>
    </w:p>
    <w:p>
      <w:pPr>
        <w:spacing w:after="0" w:line="191"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color w:val="auto"/>
        </w:rPr>
        <w:t>On April 11, 2018, SCA Acquisition Holdings, LLC issued 5,326,755 equity interests, which are denominated as shares of common stock (“SCA common stock”), to AP VIII (SCA Stock AIV), LLC, and warrants to purchase 40,005,885 shares of SCA common stock to AP VIII (SCA Warrant AIV), LLC.</w:t>
      </w:r>
    </w:p>
    <w:p>
      <w:pPr>
        <w:spacing w:after="0" w:line="189"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On April 20, 2018, SCA Acquisition Holdings, LLC issued 1,227,759 shares of SCA common stock to an employee at a purchase price of $5.30 per share.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20, 2018, SCA Acquisition Holdings, LLC issued 188,886 shares of SCA common stock to an employee at a purchase price of $5.30 per</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w:t>
      </w:r>
    </w:p>
    <w:p>
      <w:pPr>
        <w:spacing w:after="0" w:line="207"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On November 21, 2018, SCA Acquisition Holdings, LLC issued an aggregate of 5,835,576 options to purchase shares of SCA common stock to certain employees.</w:t>
      </w:r>
    </w:p>
    <w:p>
      <w:pPr>
        <w:spacing w:after="0" w:line="179"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On February 6, 2019, SCA Acquisition Holdings, LLC issued an aggregate of 32,242 options to purchase shares of SCA common stock to certain employees.</w:t>
      </w:r>
    </w:p>
    <w:p>
      <w:pPr>
        <w:spacing w:after="0" w:line="179"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On April 17, 2019, SCA Acquisition Holdings, LLC issued an aggregate of 36,946 options to purchase shares of SCA common stock to certain employees.</w:t>
      </w:r>
    </w:p>
    <w:p>
      <w:pPr>
        <w:spacing w:after="0" w:line="179"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On May 20, 2019, SCA Acquisition Holdings, LLC issued an aggregate of 268,670 options to purchase shares of SCA common stock to certain employees.</w:t>
      </w:r>
    </w:p>
    <w:p>
      <w:pPr>
        <w:spacing w:after="0" w:line="179"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On June 3, 2019, SCA Acquisition Holdings, LLC issued an aggregate of 537,348 options to purchase shares of SCA common stock to certain employees.</w:t>
      </w:r>
    </w:p>
    <w:p>
      <w:pPr>
        <w:spacing w:after="0" w:line="179"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On July 31, 2019, SCA Acquisition Holdings, LLC issued an aggregate of 8,045 options to purchase shares of SCA common stock to certain employees.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August 1, 2019, SCA Acquisition Holdings, LLC issued 56,665 shares of SCA common stock to an employee.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19, 2019, SCA Acquisition Holdings, LLC issued 134,335 options to purchase shares of SCA common stock to an employee.</w:t>
      </w:r>
    </w:p>
    <w:p>
      <w:pPr>
        <w:spacing w:after="0" w:line="241"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On December 13, 2019, SCA Acquisition Holdings, LLC issued warrants to purchase 9,482,606 shares of SCA common stock to Amazon.com NV Investment Holdings LLC.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28, 2020, SCA Acquisition Holdings, LLC issued 193,438 options to purchase shares of SCA common stock to certain employees.</w:t>
      </w:r>
    </w:p>
    <w:p>
      <w:pPr>
        <w:spacing w:after="0" w:line="241"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On January 31, 2020, SCA Acquisition Holdings, LLC issued 40,005,885 shares of SCA common stock to SCA Horus Holdings, LLC upon the exercise of the warrant to purchase 40,005,885 shares at an exercise price of approximately $0.0005 per share.</w:t>
      </w:r>
    </w:p>
    <w:p>
      <w:pPr>
        <w:spacing w:after="0" w:line="179"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On January 31, 2020, upon the conversion of SCA Acquisition Holdings, LLC to Sun Country Airlines Holdings, Inc., all of the outstanding shares of SCA common stock were converted into 46,805,950 shares of common stock of Sun Country Airlines Holdings, Inc., all outstanding options to purchase shares of SCA</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4" w:right="5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color w:val="auto"/>
        </w:rPr>
        <w:t>common stock were converted into options to purchase shares of common stock and all outstanding warrants to purchase common stock were converted into warrants to purchase shares of common stock.</w:t>
      </w:r>
    </w:p>
    <w:p>
      <w:pPr>
        <w:spacing w:after="0" w:line="179"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On August 11, 2020, Sun Country Airlines Holdings, Inc. issued 540,027 options to purchase shares of common stock of Sun Country Airlines Holdings, Inc. to certain employees.</w:t>
      </w:r>
    </w:p>
    <w:p>
      <w:pPr>
        <w:spacing w:after="0" w:line="179"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On December 31, 2020, Sun Country Airlines Holdings, Inc. issued an aggregate of 30,820 shares of common stock of Sun Country Airlines Holdings, Inc. and 24,176 options to purchase shares of common stock of Sun Country Airlines Holdings, Inc. to certain employees and an aggregate of 2,889 shares of common stock of Sun Country Airlines Holdings, Inc. and 4,722 options to purchase shares of common stock of Sun Country Airlines Holdings, Inc. to certain directors.</w:t>
      </w:r>
    </w:p>
    <w:p>
      <w:pPr>
        <w:spacing w:after="0" w:line="191"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Exhibits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976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5"/>
                <w:szCs w:val="15"/>
                <w:color w:val="auto"/>
              </w:rPr>
            </w:pPr>
          </w:p>
        </w:tc>
        <w:tc>
          <w:tcPr>
            <w:tcW w:w="9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5"/>
              </w:rPr>
              <w:t>Membership Interest Purchase Agreement, dated December 13, 2017, by and among Minnesota Aviation, LLC, SCA Acquisition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Holdings, LLC and SCA Acquisition, LLC</w:t>
            </w: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Certificate of Conversion</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3"/>
              </w:rPr>
              <w:t>Form of Amended and Restated Certificate of Incorporation of Sun Country Airlines Holdings, Inc., to become effective immediately</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prior to the completion of this offering</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1"/>
              </w:rPr>
              <w:t>Form of Amended and Restated Bylaws of Sun Country Airlines Holdings, Inc., to become effective immediately prior to the completion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of this offering</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0"/>
              </w:rPr>
              <w:t>Pass Through Trust Agreement, dated as of December 9, 2019, between Sun Country Inc. and Wilmington Trust, National Association,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as trustee</w:t>
            </w: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Form of Pass Through Trust Certificate, Series 2019-1A</w:t>
            </w: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Form of Pass Through Trust Certificate, Series 2019-1B</w:t>
            </w: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Form of Pass Through Trust Certificate, Series 2019-1C</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1"/>
              </w:rPr>
              <w:t>Intercreditor Agreement, dated as of December 9, 2019, among Wilmington Trust, National Association, as trustee of the Sun Country</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Pass Through Trusts, Series 2019-1, and as subordination agent</w:t>
            </w: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4"/>
              </w:rPr>
              <w:t>Asset-based Revolving Credit Agreement, dated December 13, 2017, by and among SCA Acquisition, LLC, MN Airlines, LLC,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lenders party thereto and Barclays Bank PLC</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2"/>
              </w:rPr>
              <w:t>Amendment No. 1 to the Asset-based Revolving Credit Agreement, dated January 7, 2019, by and among SCA Acquisition, LLC,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Airlines, LLC, the lenders party thereto and Barclays Bank PLC</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w w:val="93"/>
              </w:rPr>
              <w:t>Amendment No. 2 to the Asset-based Revolving Credit Agreement, dated May 15, 2020, by and among SCA Acquisition, LLC,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340" w:type="dxa"/>
            <w:vAlign w:val="bottom"/>
            <w:gridSpan w:val="2"/>
          </w:tcPr>
          <w:p>
            <w:pPr>
              <w:ind w:left="560"/>
              <w:spacing w:after="0"/>
              <w:rPr>
                <w:sz w:val="20"/>
                <w:szCs w:val="20"/>
                <w:color w:val="auto"/>
              </w:rPr>
            </w:pPr>
            <w:r>
              <w:rPr>
                <w:rFonts w:ascii="Arial" w:cs="Arial" w:eastAsia="Arial" w:hAnsi="Arial"/>
                <w:sz w:val="18"/>
                <w:szCs w:val="18"/>
                <w:color w:val="auto"/>
              </w:rPr>
              <w:t>Airlines, LLC, the lenders party thereto and Barclays Bank PLC</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4"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660" w:type="dxa"/>
            <w:vAlign w:val="bottom"/>
            <w:vMerge w:val="restart"/>
          </w:tcPr>
          <w:p>
            <w:pPr>
              <w:ind w:left="4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9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3 to the Asset-based Revolving Credit Agreement, dated September 14, 2020, by and among SCA Acquisition, LLC,</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 the lenders party thereto and Barclays Bank PLC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Loan and Guarantee Agreement, dated as of October 26, 2020, among Sun Country, Inc., as Borrower, the Guarantors party thereto</w:t>
            </w: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4"/>
              </w:rPr>
              <w:t>from time to time, the United States Department of the Treasury, and The Bank of New York Mellon, as Administrative Agent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Pledge and Security Agreement, dated as of October 26, 2020, between each of the Grantors party thereto and The Bank of New York</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Mellon, as Collateral Agent</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Payroll Support Program Agreement, dated as of April 16, 2020, by and between Sun Country, Inc. and the Department of the Treasury</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Payroll Support Program Extension Agreement, dated as of January 29, 2021, by and between Sun Country, Inc. and the Department of</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the Treasury</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6"/>
              </w:rPr>
              <w:t>Amended and Restated Airline Operating Agreement and Terminal Building Lease, Minneapolis-St. Paul International Airport,</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between Metropolitan Airports Commission and MN Airlines, LLC d/b/a Sun Country Airlines, effective January 1, 2019</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Air Transportation Services Agreement, dated as of December 13, 2019, by and between Sun Country, Inc. and Amazon.com Services,</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5"/>
              </w:rPr>
              <w:t>Amendment No. 1 to Air Transportation Services Agreement, dated as of June 30, 2020, by and between Sun Country,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Amazon.com Services, Inc.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3"/>
              </w:rPr>
              <w:t>Warrant, dated as of December 13, 2019, issued by SCA Acquisition Holdings, LLC to Amazon.com NV Investment Holdings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Headquarters Facility Lease Agreement, dated as of February 19, 2019, by and between the Metropolitan Airports Commission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 dba Sun Country Airlines</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Amended and Restated Co-Brand Marketing Agreement, dated as of October 17, 2018, between First National Bank of Omaha and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Airlines, LLC dba Sun Country Airlines</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1 to Amended and Restated Co-Brand Marketing Agreement, dated as of November 1, 2018, by and between First</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National Bank of Omaha and MN Airlines, LLC dba Sun Country Airlines</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Inventory Support and Services Agreement, dated as of October 27, 2003, by and between Delta Airlines, Inc. 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 to Inventory Support and Services Agreement, dated as of November 8, 2004, by and between Delta Airlines, Inc.</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2 to Inventory Support and Services Agreement, dated as of March 18, 2005,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3 to Inventory Support and Services Agreement, dated as of July 15, 2007,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4 to Inventory Support and Services Agreement, dated as of May 23, 2008,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5 to Inventory Support and Services Agreement, dated as of June 4, 2008, by and between Delta Airlines, Inc. and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6 to Inventory Support and Services Agreement, dated as of April 1, 2009,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7 to Inventory Support and Services Agreement, dated as of April 7, 2009,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4" w:right="5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Exhibit</w:t>
            </w:r>
          </w:p>
        </w:tc>
        <w:tc>
          <w:tcPr>
            <w:tcW w:w="260" w:type="dxa"/>
            <w:vAlign w:val="bottom"/>
          </w:tcPr>
          <w:p>
            <w:pPr>
              <w:spacing w:after="0"/>
              <w:rPr>
                <w:sz w:val="14"/>
                <w:szCs w:val="14"/>
                <w:color w:val="auto"/>
              </w:rPr>
            </w:pPr>
          </w:p>
        </w:tc>
        <w:tc>
          <w:tcPr>
            <w:tcW w:w="9660" w:type="dxa"/>
            <w:vAlign w:val="bottom"/>
            <w:vMerge w:val="restart"/>
          </w:tcPr>
          <w:p>
            <w:pPr>
              <w:ind w:left="4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5"/>
                <w:szCs w:val="15"/>
                <w:color w:val="auto"/>
              </w:rPr>
            </w:pPr>
          </w:p>
        </w:tc>
        <w:tc>
          <w:tcPr>
            <w:tcW w:w="9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8 to Inventory Support and Services Agreement, dated as of May 1, 2009, by and between Delta Airlines, Inc. and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9 to Inventory Support and Services Agreement, dated as of August 1, 2009,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10 to Inventory Support and Services Agreement, dated as of January 1, 2010,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11 to Inventory Support and Services Agreement, dated as of May 1, 2010,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13 to Inventory Support and Services Agreement, dated as of November 1, 2011, by and between Delta Airlines, Inc.</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14 to Inventory Support and Services Agreement, dated as of May 28, 2013,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15 to Inventory Support and Services Agreement, dated as of July 23, 2014,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16 to Inventory Support and Services Agreement, dated as of March 20, 2015,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17 to Inventory Support and Services Agreement, dated as of April 1, 2018,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18 to Inventory Support and Services Agreement, dated as of May 15, 2019,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2002 Master Agreement, dated as of May 1, 2019 between J. Aron &amp; Company LLC and MN Airlines,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2002 Master Agreement, dated as of April 12, 2018 between Morgan Stanley Capital Services LLC 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Trust Agreement of SCA-1 Intermediate Aircraft Holding Trust, dated as of September 25, 2018, by and among SCA-1 Intermediate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Charitable Trust and Wilmington Trust Company</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8"/>
              </w:rPr>
              <w:t>Form of Third Amended and Restated Stockholders’ Agreement by and among Sun Country Airlines Holdings, Inc. and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stockholders party thereto</w:t>
            </w: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w w:val="97"/>
              </w:rPr>
              <w:t>10.38</w:t>
            </w:r>
          </w:p>
        </w:tc>
        <w:tc>
          <w:tcPr>
            <w:tcW w:w="420" w:type="dxa"/>
            <w:vAlign w:val="bottom"/>
          </w:tcPr>
          <w:p>
            <w:pPr>
              <w:spacing w:after="0"/>
              <w:rPr>
                <w:sz w:val="24"/>
                <w:szCs w:val="24"/>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9"/>
              </w:rPr>
              <w:t>Form of Registration Rights Agreement by and between Sun Country Airlines Holdings, Inc. and the Holders party thereto</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Form of Indemnification Agreement by and between the Registrant and each of its directors and executive officers</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SCA Acquisition Holdings, LLC Amended and Restated Equity Incentive Plan, dated as of July 1, 2019</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Form of Sun Country Airlines Holdings, Inc. 2021 Omnibus Incentive Plan</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Form of Option Award Agreement</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4"/>
              </w:rPr>
              <w:t>Second Amended and Restated Employment Agreement, dated as of November 7, 2018, by and between Jude Bricker and SCA</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Acquisition Holdings,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Employment Agreement, dated as of April 17, 2019, by and between David Davis and MN Airlines,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Employment Agreement, dated as of July 1, 2019, by and between Gregory A. Mays and Sun Country, Inc.</w:t>
            </w:r>
          </w:p>
        </w:tc>
        <w:tc>
          <w:tcPr>
            <w:tcW w:w="0" w:type="dxa"/>
            <w:vAlign w:val="bottom"/>
          </w:tcPr>
          <w:p>
            <w:pPr>
              <w:spacing w:after="0"/>
              <w:rPr>
                <w:sz w:val="1"/>
                <w:szCs w:val="1"/>
                <w:color w:val="auto"/>
              </w:rPr>
            </w:pPr>
          </w:p>
        </w:tc>
      </w:tr>
      <w:tr>
        <w:trPr>
          <w:trHeight w:val="359"/>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tcPr>
          <w:p>
            <w:pPr>
              <w:ind w:left="410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76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9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10.46</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w w:val="94"/>
              </w:rPr>
              <w:t>Form of Income Tax Receivable Agreement, by and among Sun Country Airlines, Inc., Sun Country Airlines Holdings, Inc. and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parties thereto</w:t>
            </w:r>
          </w:p>
        </w:tc>
        <w:tc>
          <w:tcPr>
            <w:tcW w:w="0" w:type="dxa"/>
            <w:vAlign w:val="bottom"/>
          </w:tcPr>
          <w:p>
            <w:pPr>
              <w:spacing w:after="0"/>
              <w:rPr>
                <w:sz w:val="1"/>
                <w:szCs w:val="1"/>
                <w:color w:val="auto"/>
              </w:rPr>
            </w:pPr>
          </w:p>
        </w:tc>
      </w:tr>
      <w:tr>
        <w:trPr>
          <w:trHeight w:val="308"/>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10.47*</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w w:val="90"/>
              </w:rPr>
              <w:t>Credit Agreement, dated as of February 10, 2021, among SCA Acquisition, LLC, Sun Country, Inc., the lenders and issuing banks party</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thereto and Barclays Bank PLC, as administrative agent</w:t>
            </w:r>
          </w:p>
        </w:tc>
        <w:tc>
          <w:tcPr>
            <w:tcW w:w="0" w:type="dxa"/>
            <w:vAlign w:val="bottom"/>
          </w:tcPr>
          <w:p>
            <w:pPr>
              <w:spacing w:after="0"/>
              <w:rPr>
                <w:sz w:val="1"/>
                <w:szCs w:val="1"/>
                <w:color w:val="auto"/>
              </w:rPr>
            </w:pPr>
          </w:p>
        </w:tc>
      </w:tr>
      <w:tr>
        <w:trPr>
          <w:trHeight w:val="308"/>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10.48</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w w:val="91"/>
              </w:rPr>
              <w:t>Securities Purchase Agreement, dated March 7, 2021, among Sun Country Airlines Holdings, Inc., SCA Horus Holdings, LLC and PAR</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Investment Partners, L.P.</w:t>
            </w:r>
          </w:p>
        </w:tc>
        <w:tc>
          <w:tcPr>
            <w:tcW w:w="0" w:type="dxa"/>
            <w:vAlign w:val="bottom"/>
          </w:tcPr>
          <w:p>
            <w:pPr>
              <w:spacing w:after="0"/>
              <w:rPr>
                <w:sz w:val="1"/>
                <w:szCs w:val="1"/>
                <w:color w:val="auto"/>
              </w:rPr>
            </w:pPr>
          </w:p>
        </w:tc>
      </w:tr>
      <w:tr>
        <w:trPr>
          <w:trHeight w:val="308"/>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10.49</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w w:val="92"/>
              </w:rPr>
              <w:t>Securities Purchase Agreement, dated March 7, 2021, among Sun Country Airlines Holdings, Inc., SCA Horus Holdings, LLC and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Blackrock Entities party thereto.</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85090</wp:posOffset>
            </wp:positionV>
            <wp:extent cx="7512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5" w:lineRule="exact"/>
        <w:rPr>
          <w:sz w:val="20"/>
          <w:szCs w:val="20"/>
          <w:color w:val="auto"/>
        </w:rPr>
      </w:pPr>
    </w:p>
    <w:p>
      <w:pPr>
        <w:ind w:left="620" w:hanging="421"/>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 w:lineRule="exact"/>
        <w:rPr>
          <w:sz w:val="20"/>
          <w:szCs w:val="20"/>
          <w:color w:val="auto"/>
        </w:rPr>
      </w:pPr>
    </w:p>
    <w:p>
      <w:pPr>
        <w:ind w:left="620" w:hanging="421"/>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 w:lineRule="exact"/>
        <w:rPr>
          <w:sz w:val="20"/>
          <w:szCs w:val="20"/>
          <w:color w:val="auto"/>
        </w:rPr>
      </w:pPr>
    </w:p>
    <w:p>
      <w:pPr>
        <w:ind w:left="620" w:hanging="421"/>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Financial Statement Schedule</w:t>
      </w:r>
    </w:p>
    <w:p>
      <w:pPr>
        <w:spacing w:after="0" w:line="112" w:lineRule="exact"/>
        <w:rPr>
          <w:sz w:val="20"/>
          <w:szCs w:val="20"/>
          <w:color w:val="auto"/>
        </w:rPr>
      </w:pPr>
    </w:p>
    <w:p>
      <w:pPr>
        <w:ind w:left="200" w:right="360" w:firstLine="434"/>
        <w:spacing w:after="0" w:line="256" w:lineRule="auto"/>
        <w:rPr>
          <w:sz w:val="20"/>
          <w:szCs w:val="20"/>
          <w:color w:val="auto"/>
        </w:rPr>
      </w:pPr>
      <w:r>
        <w:rPr>
          <w:rFonts w:ascii="Arial" w:cs="Arial" w:eastAsia="Arial" w:hAnsi="Arial"/>
          <w:sz w:val="18"/>
          <w:szCs w:val="18"/>
          <w:color w:val="auto"/>
        </w:rPr>
        <w:t>See the Index to the consolidated financial statements included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18" w:lineRule="exact"/>
        <w:rPr>
          <w:sz w:val="20"/>
          <w:szCs w:val="20"/>
          <w:color w:val="auto"/>
        </w:rPr>
      </w:pPr>
    </w:p>
    <w:p>
      <w:pPr>
        <w:ind w:left="200" w:right="140" w:firstLine="434"/>
        <w:spacing w:after="0" w:line="296"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6"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25" w:lineRule="exact"/>
        <w:rPr>
          <w:sz w:val="20"/>
          <w:szCs w:val="20"/>
          <w:color w:val="auto"/>
        </w:rPr>
      </w:pPr>
    </w:p>
    <w:p>
      <w:pPr>
        <w:ind w:left="1160" w:right="60" w:hanging="535"/>
        <w:spacing w:after="0" w:line="303" w:lineRule="auto"/>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60"/>
          </w:cols>
          <w:pgMar w:left="320" w:top="454"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1160" w:hanging="535"/>
        <w:spacing w:after="0" w:line="256" w:lineRule="auto"/>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40"/>
          </w:cols>
          <w:pgMar w:left="320" w:top="454" w:right="6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gridSpan w:val="17"/>
          </w:tcPr>
          <w:p>
            <w:pPr>
              <w:ind w:left="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4"/>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7"/>
            <w:vMerge w:val="restart"/>
          </w:tcPr>
          <w:p>
            <w:pPr>
              <w:ind w:left="10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6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9660" w:type="dxa"/>
            <w:vAlign w:val="bottom"/>
            <w:gridSpan w:val="26"/>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9660" w:type="dxa"/>
            <w:vAlign w:val="bottom"/>
            <w:gridSpan w:val="26"/>
          </w:tcPr>
          <w:p>
            <w:pPr>
              <w:spacing w:after="0"/>
              <w:rPr>
                <w:rFonts w:ascii="Arial" w:cs="Arial" w:eastAsia="Arial" w:hAnsi="Arial"/>
                <w:sz w:val="18"/>
                <w:szCs w:val="18"/>
                <w:color w:val="0000EE"/>
                <w:w w:val="94"/>
              </w:rPr>
            </w:pPr>
            <w:hyperlink r:id="rId330">
              <w:r>
                <w:rPr>
                  <w:rFonts w:ascii="Arial" w:cs="Arial" w:eastAsia="Arial" w:hAnsi="Arial"/>
                  <w:sz w:val="18"/>
                  <w:szCs w:val="18"/>
                  <w:color w:val="0000EE"/>
                  <w:w w:val="94"/>
                </w:rPr>
                <w:t>Membership Interest Purchase Agreement, dated December 13, 2017, by and among Minnesota Aviation, LLC, SCA Acquisition</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3"/>
              </w:rPr>
            </w:pPr>
            <w:hyperlink r:id="rId330">
              <w:r>
                <w:rPr>
                  <w:rFonts w:ascii="Arial" w:cs="Arial" w:eastAsia="Arial" w:hAnsi="Arial"/>
                  <w:sz w:val="18"/>
                  <w:szCs w:val="18"/>
                  <w:color w:val="0000EE"/>
                  <w:w w:val="93"/>
                </w:rPr>
                <w:t>Holdings, LLC and SCA Acquisition, LLC</w:t>
              </w:r>
            </w:hyperlink>
          </w:p>
        </w:tc>
        <w:tc>
          <w:tcPr>
            <w:tcW w:w="6140" w:type="dxa"/>
            <w:vAlign w:val="bottom"/>
            <w:tcBorders>
              <w:top w:val="single" w:sz="8" w:color="0000EE"/>
            </w:tcBorders>
            <w:gridSpan w:val="7"/>
          </w:tcPr>
          <w:p>
            <w:pPr>
              <w:spacing w:after="0"/>
              <w:rPr>
                <w:sz w:val="16"/>
                <w:szCs w:val="16"/>
                <w:color w:val="auto"/>
              </w:rPr>
            </w:pPr>
          </w:p>
        </w:tc>
        <w:tc>
          <w:tcPr>
            <w:tcW w:w="4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9660" w:type="dxa"/>
            <w:vAlign w:val="bottom"/>
            <w:gridSpan w:val="26"/>
          </w:tcPr>
          <w:p>
            <w:pPr>
              <w:spacing w:after="0"/>
              <w:rPr>
                <w:rFonts w:ascii="Arial" w:cs="Arial" w:eastAsia="Arial" w:hAnsi="Arial"/>
                <w:sz w:val="18"/>
                <w:szCs w:val="18"/>
                <w:u w:val="single" w:color="auto"/>
                <w:color w:val="0000EE"/>
              </w:rPr>
            </w:pPr>
            <w:hyperlink r:id="rId331">
              <w:r>
                <w:rPr>
                  <w:rFonts w:ascii="Arial" w:cs="Arial" w:eastAsia="Arial" w:hAnsi="Arial"/>
                  <w:sz w:val="18"/>
                  <w:szCs w:val="18"/>
                  <w:u w:val="single" w:color="auto"/>
                  <w:color w:val="0000EE"/>
                </w:rPr>
                <w:t>Certificate of Conversion</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9480" w:type="dxa"/>
            <w:vAlign w:val="bottom"/>
            <w:tcBorders>
              <w:bottom w:val="single" w:sz="8" w:color="0000EE"/>
            </w:tcBorders>
            <w:gridSpan w:val="20"/>
          </w:tcPr>
          <w:p>
            <w:pPr>
              <w:spacing w:after="0"/>
              <w:rPr>
                <w:rFonts w:ascii="Arial" w:cs="Arial" w:eastAsia="Arial" w:hAnsi="Arial"/>
                <w:sz w:val="18"/>
                <w:szCs w:val="18"/>
                <w:color w:val="0000EE"/>
                <w:w w:val="90"/>
              </w:rPr>
            </w:pPr>
            <w:hyperlink r:id="rId332">
              <w:r>
                <w:rPr>
                  <w:rFonts w:ascii="Arial" w:cs="Arial" w:eastAsia="Arial" w:hAnsi="Arial"/>
                  <w:sz w:val="18"/>
                  <w:szCs w:val="18"/>
                  <w:color w:val="0000EE"/>
                  <w:w w:val="90"/>
                </w:rPr>
                <w:t>Form of Amended and Restated Certificate of Incorporation of Sun Country Airlines Holdings, Inc., to become effective immediately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32">
              <w:r>
                <w:rPr>
                  <w:rFonts w:ascii="Arial" w:cs="Arial" w:eastAsia="Arial" w:hAnsi="Arial"/>
                  <w:sz w:val="18"/>
                  <w:szCs w:val="18"/>
                  <w:color w:val="0000EE"/>
                </w:rPr>
                <w:t>prior to the completion of this offering</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9660" w:type="dxa"/>
            <w:vAlign w:val="bottom"/>
            <w:gridSpan w:val="26"/>
          </w:tcPr>
          <w:p>
            <w:pPr>
              <w:spacing w:after="0"/>
              <w:rPr>
                <w:rFonts w:ascii="Arial" w:cs="Arial" w:eastAsia="Arial" w:hAnsi="Arial"/>
                <w:sz w:val="18"/>
                <w:szCs w:val="18"/>
                <w:color w:val="0000EE"/>
                <w:w w:val="98"/>
              </w:rPr>
            </w:pPr>
            <w:hyperlink r:id="rId333">
              <w:r>
                <w:rPr>
                  <w:rFonts w:ascii="Arial" w:cs="Arial" w:eastAsia="Arial" w:hAnsi="Arial"/>
                  <w:sz w:val="18"/>
                  <w:szCs w:val="18"/>
                  <w:color w:val="0000EE"/>
                  <w:w w:val="98"/>
                </w:rPr>
                <w:t>Form of Amended and Restated Bylaws of Sun Country Airlines Holdings, Inc., to become effective immediately prior to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91"/>
              </w:rPr>
            </w:pPr>
            <w:hyperlink r:id="rId333">
              <w:r>
                <w:rPr>
                  <w:rFonts w:ascii="Arial" w:cs="Arial" w:eastAsia="Arial" w:hAnsi="Arial"/>
                  <w:sz w:val="18"/>
                  <w:szCs w:val="18"/>
                  <w:color w:val="0000EE"/>
                  <w:w w:val="91"/>
                </w:rPr>
                <w:t>completion of this offering</w:t>
              </w:r>
            </w:hyperlink>
          </w:p>
        </w:tc>
        <w:tc>
          <w:tcPr>
            <w:tcW w:w="6980" w:type="dxa"/>
            <w:vAlign w:val="bottom"/>
            <w:tcBorders>
              <w:top w:val="single" w:sz="8" w:color="0000EE"/>
            </w:tcBorders>
            <w:gridSpan w:val="8"/>
          </w:tcPr>
          <w:p>
            <w:pPr>
              <w:spacing w:after="0"/>
              <w:rPr>
                <w:sz w:val="16"/>
                <w:szCs w:val="16"/>
                <w:color w:val="auto"/>
              </w:rPr>
            </w:pPr>
          </w:p>
        </w:tc>
        <w:tc>
          <w:tcPr>
            <w:tcW w:w="7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4.1*</w:t>
            </w:r>
          </w:p>
        </w:tc>
        <w:tc>
          <w:tcPr>
            <w:tcW w:w="9660" w:type="dxa"/>
            <w:vAlign w:val="bottom"/>
            <w:gridSpan w:val="26"/>
          </w:tcPr>
          <w:p>
            <w:pPr>
              <w:spacing w:after="0"/>
              <w:rPr>
                <w:rFonts w:ascii="Arial" w:cs="Arial" w:eastAsia="Arial" w:hAnsi="Arial"/>
                <w:sz w:val="18"/>
                <w:szCs w:val="18"/>
                <w:color w:val="0000EE"/>
                <w:w w:val="89"/>
              </w:rPr>
            </w:pPr>
            <w:hyperlink r:id="rId334">
              <w:r>
                <w:rPr>
                  <w:rFonts w:ascii="Arial" w:cs="Arial" w:eastAsia="Arial" w:hAnsi="Arial"/>
                  <w:sz w:val="18"/>
                  <w:szCs w:val="18"/>
                  <w:color w:val="0000EE"/>
                  <w:w w:val="89"/>
                </w:rPr>
                <w:t>Pass Through Trust Agreement, dated as of December 9, 2019, between Sun Country Inc. and Wilmington Trust, National Association,</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20" w:type="dxa"/>
            <w:vAlign w:val="bottom"/>
            <w:tcBorders>
              <w:top w:val="single" w:sz="8" w:color="0000EE"/>
            </w:tcBorders>
            <w:gridSpan w:val="25"/>
          </w:tcPr>
          <w:p>
            <w:pPr>
              <w:spacing w:after="0" w:line="193" w:lineRule="exact"/>
              <w:rPr>
                <w:rFonts w:ascii="Arial" w:cs="Arial" w:eastAsia="Arial" w:hAnsi="Arial"/>
                <w:sz w:val="18"/>
                <w:szCs w:val="18"/>
                <w:color w:val="0000EE"/>
              </w:rPr>
            </w:pPr>
            <w:hyperlink r:id="rId334">
              <w:r>
                <w:rPr>
                  <w:rFonts w:ascii="Arial" w:cs="Arial" w:eastAsia="Arial" w:hAnsi="Arial"/>
                  <w:sz w:val="18"/>
                  <w:szCs w:val="18"/>
                  <w:color w:val="0000EE"/>
                </w:rPr>
                <w:t>as trustee</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9660" w:type="dxa"/>
            <w:vAlign w:val="bottom"/>
            <w:gridSpan w:val="26"/>
          </w:tcPr>
          <w:p>
            <w:pPr>
              <w:spacing w:after="0"/>
              <w:rPr>
                <w:rFonts w:ascii="Arial" w:cs="Arial" w:eastAsia="Arial" w:hAnsi="Arial"/>
                <w:sz w:val="18"/>
                <w:szCs w:val="18"/>
                <w:u w:val="single" w:color="auto"/>
                <w:color w:val="0000EE"/>
              </w:rPr>
            </w:pPr>
            <w:hyperlink r:id="rId335">
              <w:r>
                <w:rPr>
                  <w:rFonts w:ascii="Arial" w:cs="Arial" w:eastAsia="Arial" w:hAnsi="Arial"/>
                  <w:sz w:val="18"/>
                  <w:szCs w:val="18"/>
                  <w:u w:val="single" w:color="auto"/>
                  <w:color w:val="0000EE"/>
                </w:rPr>
                <w:t>Form of Pass Through Trust Certificate, Series 2019-1A</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9660" w:type="dxa"/>
            <w:vAlign w:val="bottom"/>
            <w:gridSpan w:val="26"/>
          </w:tcPr>
          <w:p>
            <w:pPr>
              <w:spacing w:after="0"/>
              <w:rPr>
                <w:rFonts w:ascii="Arial" w:cs="Arial" w:eastAsia="Arial" w:hAnsi="Arial"/>
                <w:sz w:val="18"/>
                <w:szCs w:val="18"/>
                <w:u w:val="single" w:color="auto"/>
                <w:color w:val="0000EE"/>
              </w:rPr>
            </w:pPr>
            <w:hyperlink r:id="rId336">
              <w:r>
                <w:rPr>
                  <w:rFonts w:ascii="Arial" w:cs="Arial" w:eastAsia="Arial" w:hAnsi="Arial"/>
                  <w:sz w:val="18"/>
                  <w:szCs w:val="18"/>
                  <w:u w:val="single" w:color="auto"/>
                  <w:color w:val="0000EE"/>
                </w:rPr>
                <w:t>Form of Pass Through Trust Certificate, Series 2019-1B</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4.4*</w:t>
            </w:r>
          </w:p>
        </w:tc>
        <w:tc>
          <w:tcPr>
            <w:tcW w:w="9660" w:type="dxa"/>
            <w:vAlign w:val="bottom"/>
            <w:gridSpan w:val="26"/>
          </w:tcPr>
          <w:p>
            <w:pPr>
              <w:spacing w:after="0"/>
              <w:rPr>
                <w:rFonts w:ascii="Arial" w:cs="Arial" w:eastAsia="Arial" w:hAnsi="Arial"/>
                <w:sz w:val="18"/>
                <w:szCs w:val="18"/>
                <w:u w:val="single" w:color="auto"/>
                <w:color w:val="0000EE"/>
              </w:rPr>
            </w:pPr>
            <w:hyperlink r:id="rId337">
              <w:r>
                <w:rPr>
                  <w:rFonts w:ascii="Arial" w:cs="Arial" w:eastAsia="Arial" w:hAnsi="Arial"/>
                  <w:sz w:val="18"/>
                  <w:szCs w:val="18"/>
                  <w:u w:val="single" w:color="auto"/>
                  <w:color w:val="0000EE"/>
                </w:rPr>
                <w:t>Form of Pass Through Trust Certificate, Series 2019-1C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4.5*</w:t>
            </w:r>
          </w:p>
        </w:tc>
        <w:tc>
          <w:tcPr>
            <w:tcW w:w="9660" w:type="dxa"/>
            <w:vAlign w:val="bottom"/>
            <w:gridSpan w:val="26"/>
          </w:tcPr>
          <w:p>
            <w:pPr>
              <w:spacing w:after="0"/>
              <w:rPr>
                <w:rFonts w:ascii="Arial" w:cs="Arial" w:eastAsia="Arial" w:hAnsi="Arial"/>
                <w:sz w:val="18"/>
                <w:szCs w:val="18"/>
                <w:color w:val="0000EE"/>
                <w:w w:val="90"/>
              </w:rPr>
            </w:pPr>
            <w:hyperlink r:id="rId338">
              <w:r>
                <w:rPr>
                  <w:rFonts w:ascii="Arial" w:cs="Arial" w:eastAsia="Arial" w:hAnsi="Arial"/>
                  <w:sz w:val="18"/>
                  <w:szCs w:val="18"/>
                  <w:color w:val="0000EE"/>
                  <w:w w:val="90"/>
                </w:rPr>
                <w:t>Intercreditor Agreement, dated as of December 9, 2019, among Wilmington Trust, National Association, as trustee of the Sun Country</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10"/>
          </w:tcPr>
          <w:p>
            <w:pPr>
              <w:spacing w:after="0" w:line="193" w:lineRule="exact"/>
              <w:rPr>
                <w:rFonts w:ascii="Arial" w:cs="Arial" w:eastAsia="Arial" w:hAnsi="Arial"/>
                <w:sz w:val="18"/>
                <w:szCs w:val="18"/>
                <w:color w:val="0000EE"/>
                <w:w w:val="86"/>
              </w:rPr>
            </w:pPr>
            <w:hyperlink r:id="rId338">
              <w:r>
                <w:rPr>
                  <w:rFonts w:ascii="Arial" w:cs="Arial" w:eastAsia="Arial" w:hAnsi="Arial"/>
                  <w:sz w:val="18"/>
                  <w:szCs w:val="18"/>
                  <w:color w:val="0000EE"/>
                  <w:w w:val="86"/>
                </w:rPr>
                <w:t>Pass Through Trusts, Series 2019-1, and as subordination agent</w:t>
              </w:r>
            </w:hyperlink>
          </w:p>
        </w:tc>
        <w:tc>
          <w:tcPr>
            <w:tcW w:w="5060" w:type="dxa"/>
            <w:vAlign w:val="bottom"/>
            <w:tcBorders>
              <w:top w:val="single" w:sz="8" w:color="0000EE"/>
            </w:tcBorders>
            <w:gridSpan w:val="13"/>
          </w:tcPr>
          <w:p>
            <w:pPr>
              <w:spacing w:after="0"/>
              <w:rPr>
                <w:sz w:val="16"/>
                <w:szCs w:val="16"/>
                <w:color w:val="auto"/>
              </w:rPr>
            </w:pP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9660" w:type="dxa"/>
            <w:vAlign w:val="bottom"/>
            <w:gridSpan w:val="26"/>
          </w:tcPr>
          <w:p>
            <w:pPr>
              <w:spacing w:after="0"/>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Opinion of Paul, Weiss, Rifkind, Wharton &amp; Garrison LLP as to the validity of the securities being offered</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9660" w:type="dxa"/>
            <w:vAlign w:val="bottom"/>
            <w:gridSpan w:val="26"/>
          </w:tcPr>
          <w:p>
            <w:pPr>
              <w:spacing w:after="0"/>
              <w:rPr>
                <w:rFonts w:ascii="Arial" w:cs="Arial" w:eastAsia="Arial" w:hAnsi="Arial"/>
                <w:sz w:val="18"/>
                <w:szCs w:val="18"/>
                <w:color w:val="0000EE"/>
                <w:w w:val="93"/>
              </w:rPr>
            </w:pPr>
            <w:hyperlink r:id="rId339">
              <w:r>
                <w:rPr>
                  <w:rFonts w:ascii="Arial" w:cs="Arial" w:eastAsia="Arial" w:hAnsi="Arial"/>
                  <w:sz w:val="18"/>
                  <w:szCs w:val="18"/>
                  <w:color w:val="0000EE"/>
                  <w:w w:val="93"/>
                </w:rPr>
                <w:t>Asset-based Revolving Credit Agreement, dated December 13, 2017, by and among SCA Acquisition, LLC, MN Airlines, LLC,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0" w:type="dxa"/>
            <w:vAlign w:val="bottom"/>
            <w:tcBorders>
              <w:top w:val="single" w:sz="8" w:color="0000EE"/>
            </w:tcBorders>
            <w:gridSpan w:val="18"/>
          </w:tcPr>
          <w:p>
            <w:pPr>
              <w:spacing w:after="0" w:line="193" w:lineRule="exact"/>
              <w:rPr>
                <w:rFonts w:ascii="Arial" w:cs="Arial" w:eastAsia="Arial" w:hAnsi="Arial"/>
                <w:sz w:val="18"/>
                <w:szCs w:val="18"/>
                <w:color w:val="0000EE"/>
              </w:rPr>
            </w:pPr>
            <w:hyperlink r:id="rId339">
              <w:r>
                <w:rPr>
                  <w:rFonts w:ascii="Arial" w:cs="Arial" w:eastAsia="Arial" w:hAnsi="Arial"/>
                  <w:sz w:val="18"/>
                  <w:szCs w:val="18"/>
                  <w:color w:val="0000EE"/>
                </w:rPr>
                <w:t>lenders party thereto and Barclays Bank PLC</w:t>
              </w:r>
            </w:hyperlink>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340">
              <w:r>
                <w:rPr>
                  <w:rFonts w:ascii="Arial" w:cs="Arial" w:eastAsia="Arial" w:hAnsi="Arial"/>
                  <w:sz w:val="18"/>
                  <w:szCs w:val="18"/>
                  <w:color w:val="0000EE"/>
                  <w:w w:val="90"/>
                </w:rPr>
                <w:t>Amendment No. 1 to the Asset-based Revolving Credit Agreement, dated January 7, 2019, by and among SCA Acquisition, LLC, MN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40">
              <w:r>
                <w:rPr>
                  <w:rFonts w:ascii="Arial" w:cs="Arial" w:eastAsia="Arial" w:hAnsi="Arial"/>
                  <w:sz w:val="18"/>
                  <w:szCs w:val="18"/>
                  <w:color w:val="0000EE"/>
                </w:rPr>
                <w:t>Airlines, LLC, the lenders party thereto and Barclays Bank PLC</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w:t>
            </w:r>
          </w:p>
        </w:tc>
        <w:tc>
          <w:tcPr>
            <w:tcW w:w="9460" w:type="dxa"/>
            <w:vAlign w:val="bottom"/>
            <w:tcBorders>
              <w:bottom w:val="single" w:sz="8" w:color="0000EE"/>
            </w:tcBorders>
            <w:gridSpan w:val="19"/>
          </w:tcPr>
          <w:p>
            <w:pPr>
              <w:spacing w:after="0"/>
              <w:rPr>
                <w:rFonts w:ascii="Arial" w:cs="Arial" w:eastAsia="Arial" w:hAnsi="Arial"/>
                <w:sz w:val="18"/>
                <w:szCs w:val="18"/>
                <w:color w:val="0000EE"/>
                <w:w w:val="90"/>
              </w:rPr>
            </w:pPr>
            <w:hyperlink r:id="rId341">
              <w:r>
                <w:rPr>
                  <w:rFonts w:ascii="Arial" w:cs="Arial" w:eastAsia="Arial" w:hAnsi="Arial"/>
                  <w:sz w:val="18"/>
                  <w:szCs w:val="18"/>
                  <w:color w:val="0000EE"/>
                  <w:w w:val="90"/>
                </w:rPr>
                <w:t>Amendment No. 2 to the Asset-based Revolving Credit Agreement, dated May 15, 2020, by and among SCA Acquisition, LLC, MN</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41">
              <w:r>
                <w:rPr>
                  <w:rFonts w:ascii="Arial" w:cs="Arial" w:eastAsia="Arial" w:hAnsi="Arial"/>
                  <w:sz w:val="18"/>
                  <w:szCs w:val="18"/>
                  <w:color w:val="0000EE"/>
                </w:rPr>
                <w:t>Airlines, LLC, the lenders party thereto and Barclays Bank PLC</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w:t>
            </w:r>
          </w:p>
        </w:tc>
        <w:tc>
          <w:tcPr>
            <w:tcW w:w="9520" w:type="dxa"/>
            <w:vAlign w:val="bottom"/>
            <w:tcBorders>
              <w:bottom w:val="single" w:sz="8" w:color="0000EE"/>
            </w:tcBorders>
            <w:gridSpan w:val="21"/>
          </w:tcPr>
          <w:p>
            <w:pPr>
              <w:spacing w:after="0"/>
              <w:rPr>
                <w:rFonts w:ascii="Arial" w:cs="Arial" w:eastAsia="Arial" w:hAnsi="Arial"/>
                <w:sz w:val="18"/>
                <w:szCs w:val="18"/>
                <w:color w:val="0000EE"/>
                <w:w w:val="89"/>
              </w:rPr>
            </w:pPr>
            <w:hyperlink r:id="rId342">
              <w:r>
                <w:rPr>
                  <w:rFonts w:ascii="Arial" w:cs="Arial" w:eastAsia="Arial" w:hAnsi="Arial"/>
                  <w:sz w:val="18"/>
                  <w:szCs w:val="18"/>
                  <w:color w:val="0000EE"/>
                  <w:w w:val="89"/>
                </w:rPr>
                <w:t>Amendment No. 3 to the Asset-based Revolving Credit Agreement, dated September 14, 2020, by and among SCA Acquisition, LLC,</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80" w:type="dxa"/>
            <w:vAlign w:val="bottom"/>
            <w:tcBorders>
              <w:bottom w:val="single" w:sz="8" w:color="0000EE"/>
            </w:tcBorders>
            <w:gridSpan w:val="12"/>
          </w:tcPr>
          <w:p>
            <w:pPr>
              <w:spacing w:after="0" w:line="193" w:lineRule="exact"/>
              <w:rPr>
                <w:rFonts w:ascii="Arial" w:cs="Arial" w:eastAsia="Arial" w:hAnsi="Arial"/>
                <w:sz w:val="18"/>
                <w:szCs w:val="18"/>
                <w:color w:val="0000EE"/>
                <w:w w:val="90"/>
              </w:rPr>
            </w:pPr>
            <w:hyperlink r:id="rId342">
              <w:r>
                <w:rPr>
                  <w:rFonts w:ascii="Arial" w:cs="Arial" w:eastAsia="Arial" w:hAnsi="Arial"/>
                  <w:sz w:val="18"/>
                  <w:szCs w:val="18"/>
                  <w:color w:val="0000EE"/>
                  <w:w w:val="90"/>
                </w:rPr>
                <w:t>MN Airlines, LLC, the lenders party thereto and Barclays Bank PLC</w:t>
              </w:r>
            </w:hyperlink>
          </w:p>
        </w:tc>
        <w:tc>
          <w:tcPr>
            <w:tcW w:w="478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9660" w:type="dxa"/>
            <w:vAlign w:val="bottom"/>
            <w:gridSpan w:val="26"/>
          </w:tcPr>
          <w:p>
            <w:pPr>
              <w:spacing w:after="0"/>
              <w:rPr>
                <w:rFonts w:ascii="Arial" w:cs="Arial" w:eastAsia="Arial" w:hAnsi="Arial"/>
                <w:sz w:val="18"/>
                <w:szCs w:val="18"/>
                <w:color w:val="0000EE"/>
                <w:w w:val="91"/>
              </w:rPr>
            </w:pPr>
            <w:hyperlink r:id="rId343">
              <w:r>
                <w:rPr>
                  <w:rFonts w:ascii="Arial" w:cs="Arial" w:eastAsia="Arial" w:hAnsi="Arial"/>
                  <w:sz w:val="18"/>
                  <w:szCs w:val="18"/>
                  <w:color w:val="0000EE"/>
                  <w:w w:val="91"/>
                </w:rPr>
                <w:t>Loan and Guarantee Agreement, dated as of October 26, 2020, among Sun Country, Inc., as Borrower, the Guarantors party thereto</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60" w:type="dxa"/>
            <w:vAlign w:val="bottom"/>
            <w:tcBorders>
              <w:top w:val="single" w:sz="8" w:color="0000EE"/>
              <w:bottom w:val="single" w:sz="8" w:color="0000EE"/>
            </w:tcBorders>
            <w:gridSpan w:val="16"/>
          </w:tcPr>
          <w:p>
            <w:pPr>
              <w:spacing w:after="0" w:line="193" w:lineRule="exact"/>
              <w:rPr>
                <w:rFonts w:ascii="Arial" w:cs="Arial" w:eastAsia="Arial" w:hAnsi="Arial"/>
                <w:sz w:val="18"/>
                <w:szCs w:val="18"/>
                <w:color w:val="0000EE"/>
                <w:w w:val="90"/>
              </w:rPr>
            </w:pPr>
            <w:hyperlink r:id="rId343">
              <w:r>
                <w:rPr>
                  <w:rFonts w:ascii="Arial" w:cs="Arial" w:eastAsia="Arial" w:hAnsi="Arial"/>
                  <w:sz w:val="18"/>
                  <w:szCs w:val="18"/>
                  <w:color w:val="0000EE"/>
                  <w:w w:val="90"/>
                </w:rPr>
                <w:t>from time to time, the United States Department of the Treasury, and The Bank of New York Mellon, as Administrative Agent and</w:t>
              </w:r>
            </w:hyperlink>
          </w:p>
        </w:tc>
        <w:tc>
          <w:tcPr>
            <w:tcW w:w="80" w:type="dxa"/>
            <w:vAlign w:val="bottom"/>
            <w:tcBorders>
              <w:top w:val="single" w:sz="8" w:color="0000EE"/>
            </w:tcBorders>
          </w:tcPr>
          <w:p>
            <w:pPr>
              <w:spacing w:after="0"/>
              <w:rPr>
                <w:sz w:val="16"/>
                <w:szCs w:val="16"/>
                <w:color w:val="auto"/>
              </w:rPr>
            </w:pPr>
          </w:p>
        </w:tc>
        <w:tc>
          <w:tcPr>
            <w:tcW w:w="3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Borders>
              <w:bottom w:val="single" w:sz="8" w:color="0000EE"/>
            </w:tcBorders>
            <w:gridSpan w:val="4"/>
          </w:tcPr>
          <w:p>
            <w:pPr>
              <w:spacing w:after="0" w:line="193" w:lineRule="exact"/>
              <w:rPr>
                <w:rFonts w:ascii="Arial" w:cs="Arial" w:eastAsia="Arial" w:hAnsi="Arial"/>
                <w:sz w:val="18"/>
                <w:szCs w:val="18"/>
                <w:color w:val="0000EE"/>
                <w:w w:val="90"/>
              </w:rPr>
            </w:pPr>
            <w:hyperlink r:id="rId343">
              <w:r>
                <w:rPr>
                  <w:rFonts w:ascii="Arial" w:cs="Arial" w:eastAsia="Arial" w:hAnsi="Arial"/>
                  <w:sz w:val="18"/>
                  <w:szCs w:val="18"/>
                  <w:color w:val="0000EE"/>
                  <w:w w:val="90"/>
                </w:rPr>
                <w:t>Collateral Agent</w:t>
              </w:r>
            </w:hyperlink>
          </w:p>
        </w:tc>
        <w:tc>
          <w:tcPr>
            <w:tcW w:w="848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10.6*</w:t>
            </w:r>
          </w:p>
        </w:tc>
        <w:tc>
          <w:tcPr>
            <w:tcW w:w="9540" w:type="dxa"/>
            <w:vAlign w:val="bottom"/>
            <w:tcBorders>
              <w:bottom w:val="single" w:sz="8" w:color="0000EE"/>
            </w:tcBorders>
            <w:gridSpan w:val="22"/>
          </w:tcPr>
          <w:p>
            <w:pPr>
              <w:spacing w:after="0"/>
              <w:rPr>
                <w:rFonts w:ascii="Arial" w:cs="Arial" w:eastAsia="Arial" w:hAnsi="Arial"/>
                <w:sz w:val="18"/>
                <w:szCs w:val="18"/>
                <w:color w:val="0000EE"/>
                <w:w w:val="88"/>
              </w:rPr>
            </w:pPr>
            <w:hyperlink r:id="rId344">
              <w:r>
                <w:rPr>
                  <w:rFonts w:ascii="Arial" w:cs="Arial" w:eastAsia="Arial" w:hAnsi="Arial"/>
                  <w:sz w:val="18"/>
                  <w:szCs w:val="18"/>
                  <w:color w:val="0000EE"/>
                  <w:w w:val="88"/>
                </w:rPr>
                <w:t>Pledge and Security Agreement, dated as of October 26, 2020, between each of the Grantors party thereto and The Bank of New York</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44">
              <w:r>
                <w:rPr>
                  <w:rFonts w:ascii="Arial" w:cs="Arial" w:eastAsia="Arial" w:hAnsi="Arial"/>
                  <w:sz w:val="18"/>
                  <w:szCs w:val="18"/>
                  <w:color w:val="0000EE"/>
                </w:rPr>
                <w:t>Mellon, as Collateral Agent</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10.7*</w:t>
            </w:r>
          </w:p>
        </w:tc>
        <w:tc>
          <w:tcPr>
            <w:tcW w:w="9660" w:type="dxa"/>
            <w:vAlign w:val="bottom"/>
            <w:gridSpan w:val="26"/>
          </w:tcPr>
          <w:p>
            <w:pPr>
              <w:spacing w:after="0"/>
              <w:rPr>
                <w:rFonts w:ascii="Arial" w:cs="Arial" w:eastAsia="Arial" w:hAnsi="Arial"/>
                <w:sz w:val="18"/>
                <w:szCs w:val="18"/>
                <w:u w:val="single" w:color="auto"/>
                <w:color w:val="0000EE"/>
                <w:w w:val="89"/>
              </w:rPr>
            </w:pPr>
            <w:hyperlink r:id="rId345">
              <w:r>
                <w:rPr>
                  <w:rFonts w:ascii="Arial" w:cs="Arial" w:eastAsia="Arial" w:hAnsi="Arial"/>
                  <w:sz w:val="18"/>
                  <w:szCs w:val="18"/>
                  <w:u w:val="single" w:color="auto"/>
                  <w:color w:val="0000EE"/>
                  <w:w w:val="89"/>
                </w:rPr>
                <w:t>Payroll Support Program Agreement, dated as of April 16, 2020, by and between Sun Country, Inc. and the Department of the Treasury</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10.8*</w:t>
            </w:r>
          </w:p>
        </w:tc>
        <w:tc>
          <w:tcPr>
            <w:tcW w:w="9600" w:type="dxa"/>
            <w:vAlign w:val="bottom"/>
            <w:tcBorders>
              <w:bottom w:val="single" w:sz="8" w:color="0000EE"/>
            </w:tcBorders>
            <w:gridSpan w:val="24"/>
          </w:tcPr>
          <w:p>
            <w:pPr>
              <w:spacing w:after="0"/>
              <w:rPr>
                <w:rFonts w:ascii="Arial" w:cs="Arial" w:eastAsia="Arial" w:hAnsi="Arial"/>
                <w:sz w:val="18"/>
                <w:szCs w:val="18"/>
                <w:color w:val="0000EE"/>
                <w:w w:val="88"/>
              </w:rPr>
            </w:pPr>
            <w:hyperlink r:id="rId346">
              <w:r>
                <w:rPr>
                  <w:rFonts w:ascii="Arial" w:cs="Arial" w:eastAsia="Arial" w:hAnsi="Arial"/>
                  <w:sz w:val="18"/>
                  <w:szCs w:val="18"/>
                  <w:color w:val="0000EE"/>
                  <w:w w:val="88"/>
                </w:rPr>
                <w:t>Payroll Support Program Extension Agreement, dated as of January 29, 2021, by and between Sun Country, Inc. and the Department of</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46">
              <w:r>
                <w:rPr>
                  <w:rFonts w:ascii="Arial" w:cs="Arial" w:eastAsia="Arial" w:hAnsi="Arial"/>
                  <w:sz w:val="18"/>
                  <w:szCs w:val="18"/>
                  <w:color w:val="0000EE"/>
                </w:rPr>
                <w:t>the Treasury</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9020" w:type="dxa"/>
            <w:vAlign w:val="bottom"/>
            <w:tcBorders>
              <w:bottom w:val="single" w:sz="8" w:color="0000EE"/>
            </w:tcBorders>
            <w:gridSpan w:val="14"/>
          </w:tcPr>
          <w:p>
            <w:pPr>
              <w:spacing w:after="0"/>
              <w:rPr>
                <w:rFonts w:ascii="Arial" w:cs="Arial" w:eastAsia="Arial" w:hAnsi="Arial"/>
                <w:sz w:val="18"/>
                <w:szCs w:val="18"/>
                <w:color w:val="0000EE"/>
                <w:w w:val="90"/>
              </w:rPr>
            </w:pPr>
            <w:hyperlink r:id="rId347">
              <w:r>
                <w:rPr>
                  <w:rFonts w:ascii="Arial" w:cs="Arial" w:eastAsia="Arial" w:hAnsi="Arial"/>
                  <w:sz w:val="18"/>
                  <w:szCs w:val="18"/>
                  <w:color w:val="0000EE"/>
                  <w:w w:val="90"/>
                </w:rPr>
                <w:t>Amended and Restated Airline Operating Agreement and Terminal Building Lease, Minneapolis-St. Paul International Airport,</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60" w:type="dxa"/>
            <w:vAlign w:val="bottom"/>
            <w:gridSpan w:val="26"/>
          </w:tcPr>
          <w:p>
            <w:pPr>
              <w:spacing w:after="0"/>
              <w:rPr>
                <w:rFonts w:ascii="Arial" w:cs="Arial" w:eastAsia="Arial" w:hAnsi="Arial"/>
                <w:sz w:val="18"/>
                <w:szCs w:val="18"/>
                <w:u w:val="single" w:color="auto"/>
                <w:color w:val="0000EE"/>
              </w:rPr>
            </w:pPr>
            <w:hyperlink r:id="rId347">
              <w:r>
                <w:rPr>
                  <w:rFonts w:ascii="Arial" w:cs="Arial" w:eastAsia="Arial" w:hAnsi="Arial"/>
                  <w:sz w:val="18"/>
                  <w:szCs w:val="18"/>
                  <w:u w:val="single" w:color="auto"/>
                  <w:color w:val="0000EE"/>
                </w:rPr>
                <w:t>between Metropolitan Airports Commission and MN Airlines, LLC d/b/a Sun Country Airlines, effective January 1, 2019</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10.10#*</w:t>
            </w:r>
          </w:p>
        </w:tc>
        <w:tc>
          <w:tcPr>
            <w:tcW w:w="9660" w:type="dxa"/>
            <w:vAlign w:val="bottom"/>
            <w:gridSpan w:val="26"/>
          </w:tcPr>
          <w:p>
            <w:pPr>
              <w:spacing w:after="0"/>
              <w:rPr>
                <w:rFonts w:ascii="Arial" w:cs="Arial" w:eastAsia="Arial" w:hAnsi="Arial"/>
                <w:sz w:val="18"/>
                <w:szCs w:val="18"/>
                <w:color w:val="0000EE"/>
                <w:w w:val="89"/>
              </w:rPr>
            </w:pPr>
            <w:hyperlink r:id="rId348">
              <w:r>
                <w:rPr>
                  <w:rFonts w:ascii="Arial" w:cs="Arial" w:eastAsia="Arial" w:hAnsi="Arial"/>
                  <w:sz w:val="18"/>
                  <w:szCs w:val="18"/>
                  <w:color w:val="0000EE"/>
                  <w:w w:val="89"/>
                </w:rPr>
                <w:t>Air Transportation Services Agreement, dated as of December 13, 2019, by and between Sun Country, Inc. and Amazon.com Services,</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0" w:type="dxa"/>
            <w:vAlign w:val="bottom"/>
            <w:tcBorders>
              <w:top w:val="single" w:sz="8" w:color="0000EE"/>
            </w:tcBorders>
            <w:gridSpan w:val="24"/>
          </w:tcPr>
          <w:p>
            <w:pPr>
              <w:spacing w:after="0" w:line="193" w:lineRule="exact"/>
              <w:rPr>
                <w:rFonts w:ascii="Arial" w:cs="Arial" w:eastAsia="Arial" w:hAnsi="Arial"/>
                <w:sz w:val="18"/>
                <w:szCs w:val="18"/>
                <w:color w:val="0000EE"/>
              </w:rPr>
            </w:pPr>
            <w:hyperlink r:id="rId348">
              <w:r>
                <w:rPr>
                  <w:rFonts w:ascii="Arial" w:cs="Arial" w:eastAsia="Arial" w:hAnsi="Arial"/>
                  <w:sz w:val="18"/>
                  <w:szCs w:val="18"/>
                  <w:color w:val="0000EE"/>
                </w:rPr>
                <w:t>Inc.</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454" w:right="5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10.11#*</w:t>
            </w:r>
          </w:p>
        </w:tc>
        <w:tc>
          <w:tcPr>
            <w:tcW w:w="9660" w:type="dxa"/>
            <w:vAlign w:val="bottom"/>
            <w:gridSpan w:val="19"/>
          </w:tcPr>
          <w:p>
            <w:pPr>
              <w:spacing w:after="0"/>
              <w:rPr>
                <w:rFonts w:ascii="Arial" w:cs="Arial" w:eastAsia="Arial" w:hAnsi="Arial"/>
                <w:sz w:val="18"/>
                <w:szCs w:val="18"/>
                <w:color w:val="0000EE"/>
                <w:w w:val="95"/>
              </w:rPr>
            </w:pPr>
            <w:hyperlink r:id="rId350">
              <w:r>
                <w:rPr>
                  <w:rFonts w:ascii="Arial" w:cs="Arial" w:eastAsia="Arial" w:hAnsi="Arial"/>
                  <w:sz w:val="18"/>
                  <w:szCs w:val="18"/>
                  <w:color w:val="0000EE"/>
                  <w:w w:val="95"/>
                </w:rPr>
                <w:t>Amendment No. 1 to Air Transportation Services Agreement, dated as of June 30, 2020, by and between Sun Country,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50">
              <w:r>
                <w:rPr>
                  <w:rFonts w:ascii="Arial" w:cs="Arial" w:eastAsia="Arial" w:hAnsi="Arial"/>
                  <w:sz w:val="18"/>
                  <w:szCs w:val="18"/>
                  <w:color w:val="0000EE"/>
                </w:rPr>
                <w:t>Amazon.com Services, Inc.</w:t>
              </w:r>
            </w:hyperlink>
          </w:p>
        </w:tc>
        <w:tc>
          <w:tcPr>
            <w:tcW w:w="31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10.12#*</w:t>
            </w:r>
          </w:p>
        </w:tc>
        <w:tc>
          <w:tcPr>
            <w:tcW w:w="9660" w:type="dxa"/>
            <w:vAlign w:val="bottom"/>
            <w:gridSpan w:val="19"/>
          </w:tcPr>
          <w:p>
            <w:pPr>
              <w:spacing w:after="0"/>
              <w:rPr>
                <w:rFonts w:ascii="Arial" w:cs="Arial" w:eastAsia="Arial" w:hAnsi="Arial"/>
                <w:sz w:val="18"/>
                <w:szCs w:val="18"/>
                <w:u w:val="single" w:color="auto"/>
                <w:color w:val="0000EE"/>
                <w:w w:val="93"/>
              </w:rPr>
            </w:pPr>
            <w:hyperlink r:id="rId351">
              <w:r>
                <w:rPr>
                  <w:rFonts w:ascii="Arial" w:cs="Arial" w:eastAsia="Arial" w:hAnsi="Arial"/>
                  <w:sz w:val="18"/>
                  <w:szCs w:val="18"/>
                  <w:u w:val="single" w:color="auto"/>
                  <w:color w:val="0000EE"/>
                  <w:w w:val="93"/>
                </w:rPr>
                <w:t>Warrant, dated as of December 13, 2019, issued by SCA Acquisition Holdings, LLC to Amazon.com NV Investment Holdings LLC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10.13*</w:t>
            </w:r>
          </w:p>
        </w:tc>
        <w:tc>
          <w:tcPr>
            <w:tcW w:w="9660" w:type="dxa"/>
            <w:vAlign w:val="bottom"/>
            <w:gridSpan w:val="19"/>
          </w:tcPr>
          <w:p>
            <w:pPr>
              <w:spacing w:after="0"/>
              <w:rPr>
                <w:rFonts w:ascii="Arial" w:cs="Arial" w:eastAsia="Arial" w:hAnsi="Arial"/>
                <w:sz w:val="18"/>
                <w:szCs w:val="18"/>
                <w:color w:val="0000EE"/>
                <w:w w:val="92"/>
              </w:rPr>
            </w:pPr>
            <w:hyperlink r:id="rId352">
              <w:r>
                <w:rPr>
                  <w:rFonts w:ascii="Arial" w:cs="Arial" w:eastAsia="Arial" w:hAnsi="Arial"/>
                  <w:sz w:val="18"/>
                  <w:szCs w:val="18"/>
                  <w:color w:val="0000EE"/>
                  <w:w w:val="92"/>
                </w:rPr>
                <w:t>Headquarters Facility Lease Agreement, dated as of February 19, 2019, by and between the Metropolitan Airports Commission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52">
              <w:r>
                <w:rPr>
                  <w:rFonts w:ascii="Arial" w:cs="Arial" w:eastAsia="Arial" w:hAnsi="Arial"/>
                  <w:sz w:val="18"/>
                  <w:szCs w:val="18"/>
                  <w:color w:val="0000EE"/>
                </w:rPr>
                <w:t>MN Airlines, LLC dba Sun Country Airlines</w:t>
              </w:r>
            </w:hyperlink>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10.14*</w:t>
            </w:r>
          </w:p>
        </w:tc>
        <w:tc>
          <w:tcPr>
            <w:tcW w:w="9660" w:type="dxa"/>
            <w:vAlign w:val="bottom"/>
            <w:gridSpan w:val="19"/>
          </w:tcPr>
          <w:p>
            <w:pPr>
              <w:spacing w:after="0"/>
              <w:rPr>
                <w:rFonts w:ascii="Arial" w:cs="Arial" w:eastAsia="Arial" w:hAnsi="Arial"/>
                <w:sz w:val="18"/>
                <w:szCs w:val="18"/>
                <w:color w:val="0000EE"/>
                <w:w w:val="92"/>
              </w:rPr>
            </w:pPr>
            <w:hyperlink r:id="rId353">
              <w:r>
                <w:rPr>
                  <w:rFonts w:ascii="Arial" w:cs="Arial" w:eastAsia="Arial" w:hAnsi="Arial"/>
                  <w:sz w:val="18"/>
                  <w:szCs w:val="18"/>
                  <w:color w:val="0000EE"/>
                  <w:w w:val="92"/>
                </w:rPr>
                <w:t>Amended and Restated Co-Brand Marketing Agreement, dated as of October 17, 2018, between First National Bank of Omaha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53">
              <w:r>
                <w:rPr>
                  <w:rFonts w:ascii="Arial" w:cs="Arial" w:eastAsia="Arial" w:hAnsi="Arial"/>
                  <w:sz w:val="18"/>
                  <w:szCs w:val="18"/>
                  <w:color w:val="0000EE"/>
                </w:rPr>
                <w:t>MN Airlines, LLC dba Sun Country Airlines</w:t>
              </w:r>
            </w:hyperlink>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10.15*</w:t>
            </w:r>
          </w:p>
        </w:tc>
        <w:tc>
          <w:tcPr>
            <w:tcW w:w="9660" w:type="dxa"/>
            <w:vAlign w:val="bottom"/>
            <w:gridSpan w:val="19"/>
          </w:tcPr>
          <w:p>
            <w:pPr>
              <w:spacing w:after="0"/>
              <w:rPr>
                <w:rFonts w:ascii="Arial" w:cs="Arial" w:eastAsia="Arial" w:hAnsi="Arial"/>
                <w:sz w:val="18"/>
                <w:szCs w:val="18"/>
                <w:color w:val="0000EE"/>
                <w:w w:val="92"/>
              </w:rPr>
            </w:pPr>
            <w:hyperlink r:id="rId354">
              <w:r>
                <w:rPr>
                  <w:rFonts w:ascii="Arial" w:cs="Arial" w:eastAsia="Arial" w:hAnsi="Arial"/>
                  <w:sz w:val="18"/>
                  <w:szCs w:val="18"/>
                  <w:color w:val="0000EE"/>
                  <w:w w:val="92"/>
                </w:rPr>
                <w:t>Amendment No. 1 to Amended and Restated Co-Brand Marketing Agreement, dated as of November 1, 2018, by and between First</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54">
              <w:r>
                <w:rPr>
                  <w:rFonts w:ascii="Arial" w:cs="Arial" w:eastAsia="Arial" w:hAnsi="Arial"/>
                  <w:sz w:val="18"/>
                  <w:szCs w:val="18"/>
                  <w:color w:val="0000EE"/>
                </w:rPr>
                <w:t>National Bank of Omaha and MN Airlines, LLC dba Sun Country Airlines</w:t>
              </w:r>
            </w:hyperlink>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10.16*</w:t>
            </w:r>
          </w:p>
        </w:tc>
        <w:tc>
          <w:tcPr>
            <w:tcW w:w="9660" w:type="dxa"/>
            <w:vAlign w:val="bottom"/>
            <w:gridSpan w:val="19"/>
          </w:tcPr>
          <w:p>
            <w:pPr>
              <w:spacing w:after="0"/>
              <w:rPr>
                <w:rFonts w:ascii="Arial" w:cs="Arial" w:eastAsia="Arial" w:hAnsi="Arial"/>
                <w:sz w:val="18"/>
                <w:szCs w:val="18"/>
                <w:u w:val="single" w:color="auto"/>
                <w:color w:val="0000EE"/>
                <w:w w:val="91"/>
              </w:rPr>
            </w:pPr>
            <w:hyperlink r:id="rId355">
              <w:r>
                <w:rPr>
                  <w:rFonts w:ascii="Arial" w:cs="Arial" w:eastAsia="Arial" w:hAnsi="Arial"/>
                  <w:sz w:val="18"/>
                  <w:szCs w:val="18"/>
                  <w:u w:val="single" w:color="auto"/>
                  <w:color w:val="0000EE"/>
                  <w:w w:val="91"/>
                </w:rPr>
                <w:t>Inventory Support and Services Agreement, dated as of October 27, 2003, by and between Delta Airlines, Inc. and MN Airlines, LLC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10.17*</w:t>
            </w:r>
          </w:p>
        </w:tc>
        <w:tc>
          <w:tcPr>
            <w:tcW w:w="9660" w:type="dxa"/>
            <w:vAlign w:val="bottom"/>
            <w:gridSpan w:val="19"/>
          </w:tcPr>
          <w:p>
            <w:pPr>
              <w:spacing w:after="0"/>
              <w:rPr>
                <w:rFonts w:ascii="Arial" w:cs="Arial" w:eastAsia="Arial" w:hAnsi="Arial"/>
                <w:sz w:val="18"/>
                <w:szCs w:val="18"/>
                <w:color w:val="0000EE"/>
                <w:w w:val="91"/>
              </w:rPr>
            </w:pPr>
            <w:hyperlink r:id="rId356">
              <w:r>
                <w:rPr>
                  <w:rFonts w:ascii="Arial" w:cs="Arial" w:eastAsia="Arial" w:hAnsi="Arial"/>
                  <w:sz w:val="18"/>
                  <w:szCs w:val="18"/>
                  <w:color w:val="0000EE"/>
                  <w:w w:val="91"/>
                </w:rPr>
                <w:t>Amendment No. 1 to Inventory Support and Services Agreement, dated as of November 8, 2004,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4"/>
              </w:rPr>
            </w:pPr>
            <w:hyperlink r:id="rId356">
              <w:r>
                <w:rPr>
                  <w:rFonts w:ascii="Arial" w:cs="Arial" w:eastAsia="Arial" w:hAnsi="Arial"/>
                  <w:sz w:val="18"/>
                  <w:szCs w:val="18"/>
                  <w:color w:val="0000EE"/>
                  <w:w w:val="94"/>
                </w:rPr>
                <w:t>and MN Airlines, LLC</w:t>
              </w:r>
            </w:hyperlink>
          </w:p>
        </w:tc>
        <w:tc>
          <w:tcPr>
            <w:tcW w:w="4280" w:type="dxa"/>
            <w:vAlign w:val="bottom"/>
            <w:tcBorders>
              <w:top w:val="single" w:sz="8" w:color="0000EE"/>
            </w:tcBorders>
            <w:gridSpan w:val="4"/>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10.18*</w:t>
            </w:r>
          </w:p>
        </w:tc>
        <w:tc>
          <w:tcPr>
            <w:tcW w:w="9660" w:type="dxa"/>
            <w:vAlign w:val="bottom"/>
            <w:gridSpan w:val="19"/>
          </w:tcPr>
          <w:p>
            <w:pPr>
              <w:spacing w:after="0"/>
              <w:rPr>
                <w:rFonts w:ascii="Arial" w:cs="Arial" w:eastAsia="Arial" w:hAnsi="Arial"/>
                <w:sz w:val="18"/>
                <w:szCs w:val="18"/>
                <w:color w:val="0000EE"/>
                <w:w w:val="90"/>
              </w:rPr>
            </w:pPr>
            <w:hyperlink r:id="rId357">
              <w:r>
                <w:rPr>
                  <w:rFonts w:ascii="Arial" w:cs="Arial" w:eastAsia="Arial" w:hAnsi="Arial"/>
                  <w:sz w:val="18"/>
                  <w:szCs w:val="18"/>
                  <w:color w:val="0000EE"/>
                  <w:w w:val="90"/>
                </w:rPr>
                <w:t>Amendment No. 2 to Inventory Support and Services Agreement, dated as of March 18, 2005,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57">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10.19*</w:t>
            </w:r>
          </w:p>
        </w:tc>
        <w:tc>
          <w:tcPr>
            <w:tcW w:w="5900" w:type="dxa"/>
            <w:vAlign w:val="bottom"/>
            <w:gridSpan w:val="6"/>
          </w:tcPr>
          <w:p>
            <w:pPr>
              <w:spacing w:after="0"/>
              <w:rPr>
                <w:rFonts w:ascii="Arial" w:cs="Arial" w:eastAsia="Arial" w:hAnsi="Arial"/>
                <w:sz w:val="18"/>
                <w:szCs w:val="18"/>
                <w:color w:val="0000EE"/>
                <w:w w:val="90"/>
              </w:rPr>
            </w:pPr>
            <w:hyperlink r:id="rId358">
              <w:r>
                <w:rPr>
                  <w:rFonts w:ascii="Arial" w:cs="Arial" w:eastAsia="Arial" w:hAnsi="Arial"/>
                  <w:sz w:val="18"/>
                  <w:szCs w:val="18"/>
                  <w:color w:val="0000EE"/>
                  <w:w w:val="90"/>
                </w:rPr>
                <w:t>Amendment No. 3 to Inventory Support and Services Agreement, dated as of July</w:t>
              </w:r>
            </w:hyperlink>
          </w:p>
        </w:tc>
        <w:tc>
          <w:tcPr>
            <w:tcW w:w="3760" w:type="dxa"/>
            <w:vAlign w:val="bottom"/>
            <w:gridSpan w:val="13"/>
          </w:tcPr>
          <w:p>
            <w:pPr>
              <w:spacing w:after="0"/>
              <w:rPr>
                <w:rFonts w:ascii="Arial" w:cs="Arial" w:eastAsia="Arial" w:hAnsi="Arial"/>
                <w:sz w:val="18"/>
                <w:szCs w:val="18"/>
                <w:color w:val="0000EE"/>
                <w:w w:val="95"/>
              </w:rPr>
            </w:pPr>
            <w:hyperlink r:id="rId358">
              <w:r>
                <w:rPr>
                  <w:rFonts w:ascii="Arial" w:cs="Arial" w:eastAsia="Arial" w:hAnsi="Arial"/>
                  <w:sz w:val="18"/>
                  <w:szCs w:val="18"/>
                  <w:color w:val="0000EE"/>
                  <w:w w:val="95"/>
                </w:rPr>
                <w:t>15, 2007,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58">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10.20*</w:t>
            </w:r>
          </w:p>
        </w:tc>
        <w:tc>
          <w:tcPr>
            <w:tcW w:w="9660" w:type="dxa"/>
            <w:vAlign w:val="bottom"/>
            <w:gridSpan w:val="19"/>
          </w:tcPr>
          <w:p>
            <w:pPr>
              <w:spacing w:after="0"/>
              <w:rPr>
                <w:rFonts w:ascii="Arial" w:cs="Arial" w:eastAsia="Arial" w:hAnsi="Arial"/>
                <w:sz w:val="18"/>
                <w:szCs w:val="18"/>
                <w:color w:val="0000EE"/>
                <w:w w:val="91"/>
              </w:rPr>
            </w:pPr>
            <w:hyperlink r:id="rId359">
              <w:r>
                <w:rPr>
                  <w:rFonts w:ascii="Arial" w:cs="Arial" w:eastAsia="Arial" w:hAnsi="Arial"/>
                  <w:sz w:val="18"/>
                  <w:szCs w:val="18"/>
                  <w:color w:val="0000EE"/>
                  <w:w w:val="91"/>
                </w:rPr>
                <w:t>Amendment No. 4 to Inventory Support and Services Agreement, dated as of May 23, 2008,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59">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10.21*</w:t>
            </w:r>
          </w:p>
        </w:tc>
        <w:tc>
          <w:tcPr>
            <w:tcW w:w="5900" w:type="dxa"/>
            <w:vAlign w:val="bottom"/>
            <w:gridSpan w:val="6"/>
          </w:tcPr>
          <w:p>
            <w:pPr>
              <w:spacing w:after="0"/>
              <w:rPr>
                <w:rFonts w:ascii="Arial" w:cs="Arial" w:eastAsia="Arial" w:hAnsi="Arial"/>
                <w:sz w:val="18"/>
                <w:szCs w:val="18"/>
                <w:color w:val="0000EE"/>
                <w:w w:val="89"/>
              </w:rPr>
            </w:pPr>
            <w:hyperlink r:id="rId360">
              <w:r>
                <w:rPr>
                  <w:rFonts w:ascii="Arial" w:cs="Arial" w:eastAsia="Arial" w:hAnsi="Arial"/>
                  <w:sz w:val="18"/>
                  <w:szCs w:val="18"/>
                  <w:color w:val="0000EE"/>
                  <w:w w:val="89"/>
                </w:rPr>
                <w:t>Amendment No. 5 to Inventory Support and Services Agreement, dated as of June</w:t>
              </w:r>
            </w:hyperlink>
          </w:p>
        </w:tc>
        <w:tc>
          <w:tcPr>
            <w:tcW w:w="3760" w:type="dxa"/>
            <w:vAlign w:val="bottom"/>
            <w:gridSpan w:val="13"/>
          </w:tcPr>
          <w:p>
            <w:pPr>
              <w:ind w:left="20"/>
              <w:spacing w:after="0"/>
              <w:rPr>
                <w:rFonts w:ascii="Arial" w:cs="Arial" w:eastAsia="Arial" w:hAnsi="Arial"/>
                <w:sz w:val="18"/>
                <w:szCs w:val="18"/>
                <w:color w:val="0000EE"/>
                <w:w w:val="97"/>
              </w:rPr>
            </w:pPr>
            <w:hyperlink r:id="rId360">
              <w:r>
                <w:rPr>
                  <w:rFonts w:ascii="Arial" w:cs="Arial" w:eastAsia="Arial" w:hAnsi="Arial"/>
                  <w:sz w:val="18"/>
                  <w:szCs w:val="18"/>
                  <w:color w:val="0000EE"/>
                  <w:w w:val="97"/>
                </w:rPr>
                <w:t>4, 2008,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0">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10.22*</w:t>
            </w:r>
          </w:p>
        </w:tc>
        <w:tc>
          <w:tcPr>
            <w:tcW w:w="5900" w:type="dxa"/>
            <w:vAlign w:val="bottom"/>
            <w:gridSpan w:val="6"/>
          </w:tcPr>
          <w:p>
            <w:pPr>
              <w:spacing w:after="0"/>
              <w:rPr>
                <w:rFonts w:ascii="Arial" w:cs="Arial" w:eastAsia="Arial" w:hAnsi="Arial"/>
                <w:sz w:val="18"/>
                <w:szCs w:val="18"/>
                <w:color w:val="0000EE"/>
                <w:w w:val="89"/>
              </w:rPr>
            </w:pPr>
            <w:hyperlink r:id="rId361">
              <w:r>
                <w:rPr>
                  <w:rFonts w:ascii="Arial" w:cs="Arial" w:eastAsia="Arial" w:hAnsi="Arial"/>
                  <w:sz w:val="18"/>
                  <w:szCs w:val="18"/>
                  <w:color w:val="0000EE"/>
                  <w:w w:val="89"/>
                </w:rPr>
                <w:t>Amendment No. 6 to Inventory Support and Services Agreement, dated as of April</w:t>
              </w:r>
            </w:hyperlink>
          </w:p>
        </w:tc>
        <w:tc>
          <w:tcPr>
            <w:tcW w:w="3760" w:type="dxa"/>
            <w:vAlign w:val="bottom"/>
            <w:gridSpan w:val="13"/>
          </w:tcPr>
          <w:p>
            <w:pPr>
              <w:ind w:left="80"/>
              <w:spacing w:after="0"/>
              <w:rPr>
                <w:rFonts w:ascii="Arial" w:cs="Arial" w:eastAsia="Arial" w:hAnsi="Arial"/>
                <w:sz w:val="18"/>
                <w:szCs w:val="18"/>
                <w:color w:val="0000EE"/>
                <w:w w:val="95"/>
              </w:rPr>
            </w:pPr>
            <w:hyperlink r:id="rId361">
              <w:r>
                <w:rPr>
                  <w:rFonts w:ascii="Arial" w:cs="Arial" w:eastAsia="Arial" w:hAnsi="Arial"/>
                  <w:sz w:val="18"/>
                  <w:szCs w:val="18"/>
                  <w:color w:val="0000EE"/>
                  <w:w w:val="95"/>
                </w:rPr>
                <w:t>1,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1">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10.23*</w:t>
            </w:r>
          </w:p>
        </w:tc>
        <w:tc>
          <w:tcPr>
            <w:tcW w:w="5900" w:type="dxa"/>
            <w:vAlign w:val="bottom"/>
            <w:gridSpan w:val="6"/>
          </w:tcPr>
          <w:p>
            <w:pPr>
              <w:spacing w:after="0"/>
              <w:rPr>
                <w:rFonts w:ascii="Arial" w:cs="Arial" w:eastAsia="Arial" w:hAnsi="Arial"/>
                <w:sz w:val="18"/>
                <w:szCs w:val="18"/>
                <w:color w:val="0000EE"/>
                <w:w w:val="89"/>
              </w:rPr>
            </w:pPr>
            <w:hyperlink r:id="rId362">
              <w:r>
                <w:rPr>
                  <w:rFonts w:ascii="Arial" w:cs="Arial" w:eastAsia="Arial" w:hAnsi="Arial"/>
                  <w:sz w:val="18"/>
                  <w:szCs w:val="18"/>
                  <w:color w:val="0000EE"/>
                  <w:w w:val="89"/>
                </w:rPr>
                <w:t>Amendment No. 7 to Inventory Support and Services Agreement, dated as of April</w:t>
              </w:r>
            </w:hyperlink>
          </w:p>
        </w:tc>
        <w:tc>
          <w:tcPr>
            <w:tcW w:w="3760" w:type="dxa"/>
            <w:vAlign w:val="bottom"/>
            <w:gridSpan w:val="13"/>
          </w:tcPr>
          <w:p>
            <w:pPr>
              <w:ind w:left="80"/>
              <w:spacing w:after="0"/>
              <w:rPr>
                <w:rFonts w:ascii="Arial" w:cs="Arial" w:eastAsia="Arial" w:hAnsi="Arial"/>
                <w:sz w:val="18"/>
                <w:szCs w:val="18"/>
                <w:color w:val="0000EE"/>
                <w:w w:val="95"/>
              </w:rPr>
            </w:pPr>
            <w:hyperlink r:id="rId362">
              <w:r>
                <w:rPr>
                  <w:rFonts w:ascii="Arial" w:cs="Arial" w:eastAsia="Arial" w:hAnsi="Arial"/>
                  <w:sz w:val="18"/>
                  <w:szCs w:val="18"/>
                  <w:color w:val="0000EE"/>
                  <w:w w:val="95"/>
                </w:rPr>
                <w:t>7,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2">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10.24*</w:t>
            </w:r>
          </w:p>
        </w:tc>
        <w:tc>
          <w:tcPr>
            <w:tcW w:w="9660" w:type="dxa"/>
            <w:vAlign w:val="bottom"/>
            <w:gridSpan w:val="19"/>
          </w:tcPr>
          <w:p>
            <w:pPr>
              <w:spacing w:after="0"/>
              <w:rPr>
                <w:rFonts w:ascii="Arial" w:cs="Arial" w:eastAsia="Arial" w:hAnsi="Arial"/>
                <w:sz w:val="18"/>
                <w:szCs w:val="18"/>
                <w:color w:val="0000EE"/>
                <w:w w:val="92"/>
              </w:rPr>
            </w:pPr>
            <w:hyperlink r:id="rId363">
              <w:r>
                <w:rPr>
                  <w:rFonts w:ascii="Arial" w:cs="Arial" w:eastAsia="Arial" w:hAnsi="Arial"/>
                  <w:sz w:val="18"/>
                  <w:szCs w:val="18"/>
                  <w:color w:val="0000EE"/>
                  <w:w w:val="92"/>
                </w:rPr>
                <w:t>Amendment No. 8 to Inventory Support and Services Agreement, dated as of May 1,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3">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10.25*</w:t>
            </w:r>
          </w:p>
        </w:tc>
        <w:tc>
          <w:tcPr>
            <w:tcW w:w="9660" w:type="dxa"/>
            <w:vAlign w:val="bottom"/>
            <w:gridSpan w:val="19"/>
          </w:tcPr>
          <w:p>
            <w:pPr>
              <w:spacing w:after="0"/>
              <w:rPr>
                <w:rFonts w:ascii="Arial" w:cs="Arial" w:eastAsia="Arial" w:hAnsi="Arial"/>
                <w:sz w:val="18"/>
                <w:szCs w:val="18"/>
                <w:color w:val="0000EE"/>
                <w:w w:val="90"/>
              </w:rPr>
            </w:pPr>
            <w:hyperlink r:id="rId364">
              <w:r>
                <w:rPr>
                  <w:rFonts w:ascii="Arial" w:cs="Arial" w:eastAsia="Arial" w:hAnsi="Arial"/>
                  <w:sz w:val="18"/>
                  <w:szCs w:val="18"/>
                  <w:color w:val="0000EE"/>
                  <w:w w:val="90"/>
                </w:rPr>
                <w:t>Amendment No. 9 to Inventory Support and Services Agreement, dated as of August 1,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4">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10.26*</w:t>
            </w:r>
          </w:p>
        </w:tc>
        <w:tc>
          <w:tcPr>
            <w:tcW w:w="9660" w:type="dxa"/>
            <w:vAlign w:val="bottom"/>
            <w:gridSpan w:val="19"/>
          </w:tcPr>
          <w:p>
            <w:pPr>
              <w:spacing w:after="0"/>
              <w:rPr>
                <w:rFonts w:ascii="Arial" w:cs="Arial" w:eastAsia="Arial" w:hAnsi="Arial"/>
                <w:sz w:val="18"/>
                <w:szCs w:val="18"/>
                <w:color w:val="0000EE"/>
                <w:w w:val="92"/>
              </w:rPr>
            </w:pPr>
            <w:hyperlink r:id="rId365">
              <w:r>
                <w:rPr>
                  <w:rFonts w:ascii="Arial" w:cs="Arial" w:eastAsia="Arial" w:hAnsi="Arial"/>
                  <w:sz w:val="18"/>
                  <w:szCs w:val="18"/>
                  <w:color w:val="0000EE"/>
                  <w:w w:val="92"/>
                </w:rPr>
                <w:t>Amendment No. 10 to Inventory Support and Services Agreement, dated as of January 1, 2010,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4"/>
              </w:rPr>
            </w:pPr>
            <w:hyperlink r:id="rId365">
              <w:r>
                <w:rPr>
                  <w:rFonts w:ascii="Arial" w:cs="Arial" w:eastAsia="Arial" w:hAnsi="Arial"/>
                  <w:sz w:val="18"/>
                  <w:szCs w:val="18"/>
                  <w:color w:val="0000EE"/>
                  <w:w w:val="94"/>
                </w:rPr>
                <w:t>and MN Airlines, LLC</w:t>
              </w:r>
            </w:hyperlink>
          </w:p>
        </w:tc>
        <w:tc>
          <w:tcPr>
            <w:tcW w:w="4280" w:type="dxa"/>
            <w:vAlign w:val="bottom"/>
            <w:tcBorders>
              <w:top w:val="single" w:sz="8" w:color="0000EE"/>
            </w:tcBorders>
            <w:gridSpan w:val="4"/>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10.27*</w:t>
            </w:r>
          </w:p>
        </w:tc>
        <w:tc>
          <w:tcPr>
            <w:tcW w:w="9660" w:type="dxa"/>
            <w:vAlign w:val="bottom"/>
            <w:gridSpan w:val="19"/>
          </w:tcPr>
          <w:p>
            <w:pPr>
              <w:spacing w:after="0"/>
              <w:rPr>
                <w:rFonts w:ascii="Arial" w:cs="Arial" w:eastAsia="Arial" w:hAnsi="Arial"/>
                <w:sz w:val="18"/>
                <w:szCs w:val="18"/>
                <w:color w:val="0000EE"/>
                <w:w w:val="91"/>
              </w:rPr>
            </w:pPr>
            <w:hyperlink r:id="rId366">
              <w:r>
                <w:rPr>
                  <w:rFonts w:ascii="Arial" w:cs="Arial" w:eastAsia="Arial" w:hAnsi="Arial"/>
                  <w:sz w:val="18"/>
                  <w:szCs w:val="18"/>
                  <w:color w:val="0000EE"/>
                  <w:w w:val="91"/>
                </w:rPr>
                <w:t>Amendment No. 11 to Inventory Support and Services Agreement, dated as of May 1, 2010,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6">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10.28*</w:t>
            </w:r>
          </w:p>
        </w:tc>
        <w:tc>
          <w:tcPr>
            <w:tcW w:w="9660" w:type="dxa"/>
            <w:vAlign w:val="bottom"/>
            <w:gridSpan w:val="19"/>
          </w:tcPr>
          <w:p>
            <w:pPr>
              <w:spacing w:after="0"/>
              <w:rPr>
                <w:rFonts w:ascii="Arial" w:cs="Arial" w:eastAsia="Arial" w:hAnsi="Arial"/>
                <w:sz w:val="18"/>
                <w:szCs w:val="18"/>
                <w:color w:val="0000EE"/>
                <w:w w:val="90"/>
              </w:rPr>
            </w:pPr>
            <w:hyperlink r:id="rId367">
              <w:r>
                <w:rPr>
                  <w:rFonts w:ascii="Arial" w:cs="Arial" w:eastAsia="Arial" w:hAnsi="Arial"/>
                  <w:sz w:val="18"/>
                  <w:szCs w:val="18"/>
                  <w:color w:val="0000EE"/>
                  <w:w w:val="90"/>
                </w:rPr>
                <w:t>Amendment No. 13 to Inventory Support and Services Agreement, dated as of November 1, 2011,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4"/>
              </w:rPr>
            </w:pPr>
            <w:hyperlink r:id="rId367">
              <w:r>
                <w:rPr>
                  <w:rFonts w:ascii="Arial" w:cs="Arial" w:eastAsia="Arial" w:hAnsi="Arial"/>
                  <w:sz w:val="18"/>
                  <w:szCs w:val="18"/>
                  <w:color w:val="0000EE"/>
                  <w:w w:val="94"/>
                </w:rPr>
                <w:t>and MN Airlines, LLC</w:t>
              </w:r>
            </w:hyperlink>
          </w:p>
        </w:tc>
        <w:tc>
          <w:tcPr>
            <w:tcW w:w="4280" w:type="dxa"/>
            <w:vAlign w:val="bottom"/>
            <w:tcBorders>
              <w:top w:val="single" w:sz="8" w:color="0000EE"/>
            </w:tcBorders>
            <w:gridSpan w:val="4"/>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10.29*</w:t>
            </w:r>
          </w:p>
        </w:tc>
        <w:tc>
          <w:tcPr>
            <w:tcW w:w="9660" w:type="dxa"/>
            <w:vAlign w:val="bottom"/>
            <w:gridSpan w:val="19"/>
          </w:tcPr>
          <w:p>
            <w:pPr>
              <w:spacing w:after="0"/>
              <w:rPr>
                <w:rFonts w:ascii="Arial" w:cs="Arial" w:eastAsia="Arial" w:hAnsi="Arial"/>
                <w:sz w:val="18"/>
                <w:szCs w:val="18"/>
                <w:color w:val="0000EE"/>
                <w:w w:val="90"/>
              </w:rPr>
            </w:pPr>
            <w:hyperlink r:id="rId368">
              <w:r>
                <w:rPr>
                  <w:rFonts w:ascii="Arial" w:cs="Arial" w:eastAsia="Arial" w:hAnsi="Arial"/>
                  <w:sz w:val="18"/>
                  <w:szCs w:val="18"/>
                  <w:color w:val="0000EE"/>
                  <w:w w:val="90"/>
                </w:rPr>
                <w:t>Amendment No. 14 to Inventory Support and Services Agreement, dated as of May 28, 2013,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8">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10.30*</w:t>
            </w:r>
          </w:p>
        </w:tc>
        <w:tc>
          <w:tcPr>
            <w:tcW w:w="5900" w:type="dxa"/>
            <w:vAlign w:val="bottom"/>
            <w:gridSpan w:val="6"/>
          </w:tcPr>
          <w:p>
            <w:pPr>
              <w:spacing w:after="0"/>
              <w:rPr>
                <w:rFonts w:ascii="Arial" w:cs="Arial" w:eastAsia="Arial" w:hAnsi="Arial"/>
                <w:sz w:val="18"/>
                <w:szCs w:val="18"/>
                <w:color w:val="0000EE"/>
                <w:w w:val="89"/>
              </w:rPr>
            </w:pPr>
            <w:hyperlink r:id="rId369">
              <w:r>
                <w:rPr>
                  <w:rFonts w:ascii="Arial" w:cs="Arial" w:eastAsia="Arial" w:hAnsi="Arial"/>
                  <w:sz w:val="18"/>
                  <w:szCs w:val="18"/>
                  <w:color w:val="0000EE"/>
                  <w:w w:val="89"/>
                </w:rPr>
                <w:t>Amendment No. 15 to Inventory Support and Services Agreement, dated as of July</w:t>
              </w:r>
            </w:hyperlink>
          </w:p>
        </w:tc>
        <w:tc>
          <w:tcPr>
            <w:tcW w:w="3760" w:type="dxa"/>
            <w:vAlign w:val="bottom"/>
            <w:gridSpan w:val="13"/>
          </w:tcPr>
          <w:p>
            <w:pPr>
              <w:ind w:left="80"/>
              <w:spacing w:after="0"/>
              <w:rPr>
                <w:rFonts w:ascii="Arial" w:cs="Arial" w:eastAsia="Arial" w:hAnsi="Arial"/>
                <w:sz w:val="18"/>
                <w:szCs w:val="18"/>
                <w:color w:val="0000EE"/>
                <w:w w:val="93"/>
              </w:rPr>
            </w:pPr>
            <w:hyperlink r:id="rId369">
              <w:r>
                <w:rPr>
                  <w:rFonts w:ascii="Arial" w:cs="Arial" w:eastAsia="Arial" w:hAnsi="Arial"/>
                  <w:sz w:val="18"/>
                  <w:szCs w:val="18"/>
                  <w:color w:val="0000EE"/>
                  <w:w w:val="93"/>
                </w:rPr>
                <w:t>23, 2014,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9">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10.31*</w:t>
            </w:r>
          </w:p>
        </w:tc>
        <w:tc>
          <w:tcPr>
            <w:tcW w:w="6060" w:type="dxa"/>
            <w:vAlign w:val="bottom"/>
            <w:gridSpan w:val="10"/>
          </w:tcPr>
          <w:p>
            <w:pPr>
              <w:spacing w:after="0"/>
              <w:rPr>
                <w:rFonts w:ascii="Arial" w:cs="Arial" w:eastAsia="Arial" w:hAnsi="Arial"/>
                <w:sz w:val="18"/>
                <w:szCs w:val="18"/>
                <w:color w:val="0000EE"/>
                <w:w w:val="89"/>
              </w:rPr>
            </w:pPr>
            <w:hyperlink r:id="rId371">
              <w:r>
                <w:rPr>
                  <w:rFonts w:ascii="Arial" w:cs="Arial" w:eastAsia="Arial" w:hAnsi="Arial"/>
                  <w:sz w:val="18"/>
                  <w:szCs w:val="18"/>
                  <w:color w:val="0000EE"/>
                  <w:w w:val="89"/>
                </w:rPr>
                <w:t>Amendment No. 16 to Inventory Support and Services Agreement, dated as of March</w:t>
              </w:r>
            </w:hyperlink>
          </w:p>
        </w:tc>
        <w:tc>
          <w:tcPr>
            <w:tcW w:w="3600" w:type="dxa"/>
            <w:vAlign w:val="bottom"/>
            <w:gridSpan w:val="10"/>
          </w:tcPr>
          <w:p>
            <w:pPr>
              <w:jc w:val="center"/>
              <w:ind w:right="200"/>
              <w:spacing w:after="0"/>
              <w:rPr>
                <w:rFonts w:ascii="Arial" w:cs="Arial" w:eastAsia="Arial" w:hAnsi="Arial"/>
                <w:sz w:val="18"/>
                <w:szCs w:val="18"/>
                <w:color w:val="0000EE"/>
                <w:w w:val="90"/>
              </w:rPr>
            </w:pPr>
            <w:hyperlink r:id="rId371">
              <w:r>
                <w:rPr>
                  <w:rFonts w:ascii="Arial" w:cs="Arial" w:eastAsia="Arial" w:hAnsi="Arial"/>
                  <w:sz w:val="18"/>
                  <w:szCs w:val="18"/>
                  <w:color w:val="0000EE"/>
                  <w:w w:val="90"/>
                </w:rPr>
                <w:t>20, 2015,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94"/>
              </w:rPr>
            </w:pPr>
            <w:hyperlink r:id="rId371">
              <w:r>
                <w:rPr>
                  <w:rFonts w:ascii="Arial" w:cs="Arial" w:eastAsia="Arial" w:hAnsi="Arial"/>
                  <w:sz w:val="18"/>
                  <w:szCs w:val="18"/>
                  <w:color w:val="0000EE"/>
                  <w:w w:val="94"/>
                </w:rPr>
                <w:t>and MN Airlines, LLC</w:t>
              </w:r>
            </w:hyperlink>
          </w:p>
        </w:tc>
        <w:tc>
          <w:tcPr>
            <w:tcW w:w="4440" w:type="dxa"/>
            <w:vAlign w:val="bottom"/>
            <w:tcBorders>
              <w:top w:val="single" w:sz="8" w:color="0000EE"/>
            </w:tcBorders>
            <w:gridSpan w:val="7"/>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10.32*</w:t>
            </w:r>
          </w:p>
        </w:tc>
        <w:tc>
          <w:tcPr>
            <w:tcW w:w="6060" w:type="dxa"/>
            <w:vAlign w:val="bottom"/>
            <w:gridSpan w:val="10"/>
          </w:tcPr>
          <w:p>
            <w:pPr>
              <w:spacing w:after="0"/>
              <w:rPr>
                <w:rFonts w:ascii="Arial" w:cs="Arial" w:eastAsia="Arial" w:hAnsi="Arial"/>
                <w:sz w:val="18"/>
                <w:szCs w:val="18"/>
                <w:color w:val="0000EE"/>
                <w:w w:val="90"/>
              </w:rPr>
            </w:pPr>
            <w:hyperlink r:id="rId372">
              <w:r>
                <w:rPr>
                  <w:rFonts w:ascii="Arial" w:cs="Arial" w:eastAsia="Arial" w:hAnsi="Arial"/>
                  <w:sz w:val="18"/>
                  <w:szCs w:val="18"/>
                  <w:color w:val="0000EE"/>
                  <w:w w:val="90"/>
                </w:rPr>
                <w:t>Amendment No. 17 to Inventory Support and Services Agreement, dated as of April</w:t>
              </w:r>
            </w:hyperlink>
          </w:p>
        </w:tc>
        <w:tc>
          <w:tcPr>
            <w:tcW w:w="3600" w:type="dxa"/>
            <w:vAlign w:val="bottom"/>
            <w:gridSpan w:val="10"/>
          </w:tcPr>
          <w:p>
            <w:pPr>
              <w:jc w:val="center"/>
              <w:ind w:right="160"/>
              <w:spacing w:after="0"/>
              <w:rPr>
                <w:rFonts w:ascii="Arial" w:cs="Arial" w:eastAsia="Arial" w:hAnsi="Arial"/>
                <w:sz w:val="18"/>
                <w:szCs w:val="18"/>
                <w:color w:val="0000EE"/>
                <w:w w:val="89"/>
              </w:rPr>
            </w:pPr>
            <w:hyperlink r:id="rId372">
              <w:r>
                <w:rPr>
                  <w:rFonts w:ascii="Arial" w:cs="Arial" w:eastAsia="Arial" w:hAnsi="Arial"/>
                  <w:sz w:val="18"/>
                  <w:szCs w:val="18"/>
                  <w:color w:val="0000EE"/>
                  <w:w w:val="89"/>
                </w:rPr>
                <w:t>1, 2018,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2">
              <w:r>
                <w:rPr>
                  <w:rFonts w:ascii="Arial" w:cs="Arial" w:eastAsia="Arial" w:hAnsi="Arial"/>
                  <w:sz w:val="18"/>
                  <w:szCs w:val="18"/>
                  <w:color w:val="0000EE"/>
                  <w:w w:val="96"/>
                </w:rPr>
                <w:t>MN Airlines, LLC</w:t>
              </w:r>
            </w:hyperlink>
          </w:p>
        </w:tc>
        <w:tc>
          <w:tcPr>
            <w:tcW w:w="4740" w:type="dxa"/>
            <w:vAlign w:val="bottom"/>
            <w:tcBorders>
              <w:top w:val="single" w:sz="8" w:color="0000EE"/>
            </w:tcBorders>
            <w:gridSpan w:val="9"/>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10.33*</w:t>
            </w:r>
          </w:p>
        </w:tc>
        <w:tc>
          <w:tcPr>
            <w:tcW w:w="9660" w:type="dxa"/>
            <w:vAlign w:val="bottom"/>
            <w:gridSpan w:val="20"/>
          </w:tcPr>
          <w:p>
            <w:pPr>
              <w:spacing w:after="0"/>
              <w:rPr>
                <w:rFonts w:ascii="Arial" w:cs="Arial" w:eastAsia="Arial" w:hAnsi="Arial"/>
                <w:sz w:val="18"/>
                <w:szCs w:val="18"/>
                <w:color w:val="0000EE"/>
                <w:w w:val="90"/>
              </w:rPr>
            </w:pPr>
            <w:hyperlink r:id="rId373">
              <w:r>
                <w:rPr>
                  <w:rFonts w:ascii="Arial" w:cs="Arial" w:eastAsia="Arial" w:hAnsi="Arial"/>
                  <w:sz w:val="18"/>
                  <w:szCs w:val="18"/>
                  <w:color w:val="0000EE"/>
                  <w:w w:val="90"/>
                </w:rPr>
                <w:t>Amendment No. 18 to Inventory Support and Services Agreement, dated as of May 15, 2019,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3">
              <w:r>
                <w:rPr>
                  <w:rFonts w:ascii="Arial" w:cs="Arial" w:eastAsia="Arial" w:hAnsi="Arial"/>
                  <w:sz w:val="18"/>
                  <w:szCs w:val="18"/>
                  <w:color w:val="0000EE"/>
                  <w:w w:val="96"/>
                </w:rPr>
                <w:t>MN Airlines, LLC</w:t>
              </w:r>
            </w:hyperlink>
          </w:p>
        </w:tc>
        <w:tc>
          <w:tcPr>
            <w:tcW w:w="4740" w:type="dxa"/>
            <w:vAlign w:val="bottom"/>
            <w:tcBorders>
              <w:top w:val="single" w:sz="8" w:color="0000EE"/>
            </w:tcBorders>
            <w:gridSpan w:val="9"/>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10.34*</w:t>
            </w:r>
          </w:p>
        </w:tc>
        <w:tc>
          <w:tcPr>
            <w:tcW w:w="9660" w:type="dxa"/>
            <w:vAlign w:val="bottom"/>
            <w:gridSpan w:val="20"/>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2002 Master Agreement, dated as of May 1, 2019 between J. Aron &amp; Company LLC and MN Airlines, LLC</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10.35*</w:t>
            </w:r>
          </w:p>
        </w:tc>
        <w:tc>
          <w:tcPr>
            <w:tcW w:w="9660" w:type="dxa"/>
            <w:vAlign w:val="bottom"/>
            <w:gridSpan w:val="20"/>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2002 Master Agreement, dated as of April 12, 2018 between Morgan Stanley Capital Services LLC and MN Airlines, LLC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10.36*</w:t>
            </w:r>
          </w:p>
        </w:tc>
        <w:tc>
          <w:tcPr>
            <w:tcW w:w="9660" w:type="dxa"/>
            <w:vAlign w:val="bottom"/>
            <w:gridSpan w:val="20"/>
          </w:tcPr>
          <w:p>
            <w:pPr>
              <w:spacing w:after="0"/>
              <w:rPr>
                <w:rFonts w:ascii="Arial" w:cs="Arial" w:eastAsia="Arial" w:hAnsi="Arial"/>
                <w:sz w:val="18"/>
                <w:szCs w:val="18"/>
                <w:color w:val="0000EE"/>
                <w:w w:val="92"/>
              </w:rPr>
            </w:pPr>
            <w:hyperlink r:id="rId376">
              <w:r>
                <w:rPr>
                  <w:rFonts w:ascii="Arial" w:cs="Arial" w:eastAsia="Arial" w:hAnsi="Arial"/>
                  <w:sz w:val="18"/>
                  <w:szCs w:val="18"/>
                  <w:color w:val="0000EE"/>
                  <w:w w:val="92"/>
                </w:rPr>
                <w:t>Trust Agreement of SCA-1 Intermediate Aircraft Holding Trust, dated as of September 25, 2018, by and among SCA-1 Intermediate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10"/>
          </w:tcPr>
          <w:p>
            <w:pPr>
              <w:spacing w:after="0" w:line="193" w:lineRule="exact"/>
              <w:rPr>
                <w:rFonts w:ascii="Arial" w:cs="Arial" w:eastAsia="Arial" w:hAnsi="Arial"/>
                <w:sz w:val="18"/>
                <w:szCs w:val="18"/>
                <w:color w:val="0000EE"/>
              </w:rPr>
            </w:pPr>
            <w:hyperlink r:id="rId376">
              <w:r>
                <w:rPr>
                  <w:rFonts w:ascii="Arial" w:cs="Arial" w:eastAsia="Arial" w:hAnsi="Arial"/>
                  <w:sz w:val="18"/>
                  <w:szCs w:val="18"/>
                  <w:color w:val="0000EE"/>
                </w:rPr>
                <w:t>Charitable Trust and Wilmington Trust Company</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10.37*</w:t>
            </w:r>
          </w:p>
        </w:tc>
        <w:tc>
          <w:tcPr>
            <w:tcW w:w="9660" w:type="dxa"/>
            <w:vAlign w:val="bottom"/>
            <w:gridSpan w:val="20"/>
          </w:tcPr>
          <w:p>
            <w:pPr>
              <w:spacing w:after="0"/>
              <w:rPr>
                <w:rFonts w:ascii="Arial" w:cs="Arial" w:eastAsia="Arial" w:hAnsi="Arial"/>
                <w:sz w:val="18"/>
                <w:szCs w:val="18"/>
                <w:color w:val="0000EE"/>
                <w:w w:val="98"/>
              </w:rPr>
            </w:pPr>
            <w:hyperlink r:id="rId377">
              <w:r>
                <w:rPr>
                  <w:rFonts w:ascii="Arial" w:cs="Arial" w:eastAsia="Arial" w:hAnsi="Arial"/>
                  <w:sz w:val="18"/>
                  <w:szCs w:val="18"/>
                  <w:color w:val="0000EE"/>
                  <w:w w:val="98"/>
                </w:rPr>
                <w:t>Form of Third Amended and Restated Stockholders’ Agreement by and among Sun Country Airlines Holdings, Inc. and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7"/>
              </w:rPr>
            </w:pPr>
            <w:hyperlink r:id="rId377">
              <w:r>
                <w:rPr>
                  <w:rFonts w:ascii="Arial" w:cs="Arial" w:eastAsia="Arial" w:hAnsi="Arial"/>
                  <w:sz w:val="18"/>
                  <w:szCs w:val="18"/>
                  <w:color w:val="0000EE"/>
                  <w:w w:val="87"/>
                </w:rPr>
                <w:t>stockholders party thereto</w:t>
              </w:r>
            </w:hyperlink>
          </w:p>
        </w:tc>
        <w:tc>
          <w:tcPr>
            <w:tcW w:w="4220" w:type="dxa"/>
            <w:vAlign w:val="bottom"/>
            <w:tcBorders>
              <w:top w:val="single" w:sz="8" w:color="0000EE"/>
            </w:tcBorders>
            <w:gridSpan w:val="6"/>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68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8"/>
                <w:szCs w:val="18"/>
                <w:u w:val="single" w:color="auto"/>
                <w:color w:val="0000EE"/>
                <w:w w:val="99"/>
              </w:rPr>
            </w:pPr>
            <w:hyperlink w:anchor="page306">
              <w:r>
                <w:rPr>
                  <w:rFonts w:ascii="Arial" w:cs="Arial" w:eastAsia="Arial" w:hAnsi="Arial"/>
                  <w:sz w:val="18"/>
                  <w:szCs w:val="18"/>
                  <w:u w:val="single" w:color="auto"/>
                  <w:color w:val="0000EE"/>
                  <w:w w:val="99"/>
                </w:rPr>
                <w:t>Form of Registration Rights Agreement by and between Sun Country Airlines Holdings, Inc. and the Holders party thereto</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10.39†*</w:t>
            </w:r>
          </w:p>
        </w:tc>
        <w:tc>
          <w:tcPr>
            <w:tcW w:w="9660" w:type="dxa"/>
            <w:vAlign w:val="bottom"/>
            <w:gridSpan w:val="20"/>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Form of Indemnification Agreement by and between the Registrant and each of its directors and executive officers</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10.40†*</w:t>
            </w:r>
          </w:p>
        </w:tc>
        <w:tc>
          <w:tcPr>
            <w:tcW w:w="9660" w:type="dxa"/>
            <w:vAlign w:val="bottom"/>
            <w:gridSpan w:val="20"/>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SCA Acquisition Holdings, LLC Amended and Restated Equity Incentive Plan, dated as of July 1, 2019</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10.41†*</w:t>
            </w:r>
          </w:p>
        </w:tc>
        <w:tc>
          <w:tcPr>
            <w:tcW w:w="6060" w:type="dxa"/>
            <w:vAlign w:val="bottom"/>
            <w:gridSpan w:val="10"/>
          </w:tcPr>
          <w:p>
            <w:pPr>
              <w:spacing w:after="0"/>
              <w:rPr>
                <w:rFonts w:ascii="Arial" w:cs="Arial" w:eastAsia="Arial" w:hAnsi="Arial"/>
                <w:sz w:val="18"/>
                <w:szCs w:val="18"/>
                <w:u w:val="single" w:color="auto"/>
                <w:color w:val="0000EE"/>
              </w:rPr>
            </w:pPr>
            <w:hyperlink r:id="rId380">
              <w:r>
                <w:rPr>
                  <w:rFonts w:ascii="Arial" w:cs="Arial" w:eastAsia="Arial" w:hAnsi="Arial"/>
                  <w:sz w:val="18"/>
                  <w:szCs w:val="18"/>
                  <w:u w:val="single" w:color="auto"/>
                  <w:color w:val="0000EE"/>
                </w:rPr>
                <w:t>Form of Sun Country Airlines Holdings, Inc. 2021 Omnibus Incentive Plan</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10.42†*</w:t>
            </w:r>
          </w:p>
        </w:tc>
        <w:tc>
          <w:tcPr>
            <w:tcW w:w="6060" w:type="dxa"/>
            <w:vAlign w:val="bottom"/>
            <w:gridSpan w:val="10"/>
          </w:tcPr>
          <w:p>
            <w:pPr>
              <w:spacing w:after="0"/>
              <w:rPr>
                <w:rFonts w:ascii="Arial" w:cs="Arial" w:eastAsia="Arial" w:hAnsi="Arial"/>
                <w:sz w:val="18"/>
                <w:szCs w:val="18"/>
                <w:u w:val="single" w:color="auto"/>
                <w:color w:val="0000EE"/>
              </w:rPr>
            </w:pPr>
            <w:hyperlink r:id="rId381">
              <w:r>
                <w:rPr>
                  <w:rFonts w:ascii="Arial" w:cs="Arial" w:eastAsia="Arial" w:hAnsi="Arial"/>
                  <w:sz w:val="18"/>
                  <w:szCs w:val="18"/>
                  <w:u w:val="single" w:color="auto"/>
                  <w:color w:val="0000EE"/>
                </w:rPr>
                <w:t>Form of Option Award Agreement</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10.43†*</w:t>
            </w:r>
          </w:p>
        </w:tc>
        <w:tc>
          <w:tcPr>
            <w:tcW w:w="9660" w:type="dxa"/>
            <w:vAlign w:val="bottom"/>
            <w:gridSpan w:val="20"/>
          </w:tcPr>
          <w:p>
            <w:pPr>
              <w:spacing w:after="0"/>
              <w:rPr>
                <w:rFonts w:ascii="Arial" w:cs="Arial" w:eastAsia="Arial" w:hAnsi="Arial"/>
                <w:sz w:val="18"/>
                <w:szCs w:val="18"/>
                <w:color w:val="0000EE"/>
                <w:w w:val="94"/>
              </w:rPr>
            </w:pPr>
            <w:hyperlink r:id="rId382">
              <w:r>
                <w:rPr>
                  <w:rFonts w:ascii="Arial" w:cs="Arial" w:eastAsia="Arial" w:hAnsi="Arial"/>
                  <w:sz w:val="18"/>
                  <w:szCs w:val="18"/>
                  <w:color w:val="0000EE"/>
                  <w:w w:val="94"/>
                </w:rPr>
                <w:t>Second Amended and Restated Employment Agreement, dated as of November 7, 2018, by and between Jude Bricker and SCA</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10"/>
          </w:tcPr>
          <w:p>
            <w:pPr>
              <w:spacing w:after="0" w:line="193" w:lineRule="exact"/>
              <w:rPr>
                <w:rFonts w:ascii="Arial" w:cs="Arial" w:eastAsia="Arial" w:hAnsi="Arial"/>
                <w:sz w:val="18"/>
                <w:szCs w:val="18"/>
                <w:color w:val="0000EE"/>
              </w:rPr>
            </w:pPr>
            <w:hyperlink r:id="rId382">
              <w:r>
                <w:rPr>
                  <w:rFonts w:ascii="Arial" w:cs="Arial" w:eastAsia="Arial" w:hAnsi="Arial"/>
                  <w:sz w:val="18"/>
                  <w:szCs w:val="18"/>
                  <w:color w:val="0000EE"/>
                </w:rPr>
                <w:t>Acquisition Holdings, LLC.</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10.44†*</w:t>
            </w:r>
          </w:p>
        </w:tc>
        <w:tc>
          <w:tcPr>
            <w:tcW w:w="9660" w:type="dxa"/>
            <w:vAlign w:val="bottom"/>
            <w:gridSpan w:val="20"/>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Employment Agreement, dated as of April 17, 2019, by and between David Davis and MN Airlines, LLC</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10.45†*</w:t>
            </w:r>
          </w:p>
        </w:tc>
        <w:tc>
          <w:tcPr>
            <w:tcW w:w="9660" w:type="dxa"/>
            <w:vAlign w:val="bottom"/>
            <w:gridSpan w:val="20"/>
          </w:tcPr>
          <w:p>
            <w:pPr>
              <w:spacing w:after="0"/>
              <w:rPr>
                <w:rFonts w:ascii="Arial" w:cs="Arial" w:eastAsia="Arial" w:hAnsi="Arial"/>
                <w:sz w:val="18"/>
                <w:szCs w:val="18"/>
                <w:u w:val="single" w:color="auto"/>
                <w:color w:val="0000EE"/>
              </w:rPr>
            </w:pPr>
            <w:hyperlink r:id="rId384">
              <w:r>
                <w:rPr>
                  <w:rFonts w:ascii="Arial" w:cs="Arial" w:eastAsia="Arial" w:hAnsi="Arial"/>
                  <w:sz w:val="18"/>
                  <w:szCs w:val="18"/>
                  <w:u w:val="single" w:color="auto"/>
                  <w:color w:val="0000EE"/>
                </w:rPr>
                <w:t>Employment Agreement, dated as of July 1, 2019, by and between Gregory A. Mays and Sun Country, Inc.</w:t>
              </w:r>
            </w:hyperlink>
          </w:p>
        </w:tc>
        <w:tc>
          <w:tcPr>
            <w:tcW w:w="0" w:type="dxa"/>
            <w:vAlign w:val="bottom"/>
          </w:tcPr>
          <w:p>
            <w:pPr>
              <w:spacing w:after="0"/>
              <w:rPr>
                <w:sz w:val="1"/>
                <w:szCs w:val="1"/>
                <w:color w:val="auto"/>
              </w:rPr>
            </w:pPr>
          </w:p>
        </w:tc>
      </w:tr>
      <w:tr>
        <w:trPr>
          <w:trHeight w:val="28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68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8"/>
                <w:szCs w:val="18"/>
                <w:color w:val="0000EE"/>
                <w:w w:val="93"/>
              </w:rPr>
            </w:pPr>
            <w:hyperlink w:anchor="page346">
              <w:r>
                <w:rPr>
                  <w:rFonts w:ascii="Arial" w:cs="Arial" w:eastAsia="Arial" w:hAnsi="Arial"/>
                  <w:sz w:val="18"/>
                  <w:szCs w:val="18"/>
                  <w:color w:val="0000EE"/>
                  <w:w w:val="93"/>
                </w:rPr>
                <w:t>Form of Income Tax Receivable Agreement, by and among Sun Country Airlines, Inc., Sun Country Airlines Holdings, Inc. and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86"/>
              </w:rPr>
            </w:pPr>
            <w:hyperlink w:anchor="page346">
              <w:r>
                <w:rPr>
                  <w:rFonts w:ascii="Arial" w:cs="Arial" w:eastAsia="Arial" w:hAnsi="Arial"/>
                  <w:sz w:val="18"/>
                  <w:szCs w:val="18"/>
                  <w:color w:val="0000EE"/>
                  <w:w w:val="86"/>
                </w:rPr>
                <w:t>other parties thereto</w:t>
              </w:r>
            </w:hyperlink>
          </w:p>
        </w:tc>
        <w:tc>
          <w:tcPr>
            <w:tcW w:w="4640" w:type="dxa"/>
            <w:vAlign w:val="bottom"/>
            <w:tcBorders>
              <w:top w:val="single" w:sz="8" w:color="0000EE"/>
            </w:tcBorders>
            <w:gridSpan w:val="8"/>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10.47*</w:t>
            </w:r>
          </w:p>
        </w:tc>
        <w:tc>
          <w:tcPr>
            <w:tcW w:w="9660" w:type="dxa"/>
            <w:vAlign w:val="bottom"/>
            <w:gridSpan w:val="20"/>
          </w:tcPr>
          <w:p>
            <w:pPr>
              <w:spacing w:after="0"/>
              <w:rPr>
                <w:rFonts w:ascii="Arial" w:cs="Arial" w:eastAsia="Arial" w:hAnsi="Arial"/>
                <w:sz w:val="18"/>
                <w:szCs w:val="18"/>
                <w:color w:val="0000EE"/>
                <w:w w:val="89"/>
              </w:rPr>
            </w:pPr>
            <w:hyperlink r:id="rId385">
              <w:r>
                <w:rPr>
                  <w:rFonts w:ascii="Arial" w:cs="Arial" w:eastAsia="Arial" w:hAnsi="Arial"/>
                  <w:sz w:val="18"/>
                  <w:szCs w:val="18"/>
                  <w:color w:val="0000EE"/>
                  <w:w w:val="89"/>
                </w:rPr>
                <w:t>Credit Agreement, dated as of February 10, 2021, among SCA Acquisition, LLC, Sun Country, Inc., the lenders and issuing banks party</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10"/>
          </w:tcPr>
          <w:p>
            <w:pPr>
              <w:spacing w:after="0" w:line="193" w:lineRule="exact"/>
              <w:rPr>
                <w:rFonts w:ascii="Arial" w:cs="Arial" w:eastAsia="Arial" w:hAnsi="Arial"/>
                <w:sz w:val="18"/>
                <w:szCs w:val="18"/>
                <w:color w:val="0000EE"/>
              </w:rPr>
            </w:pPr>
            <w:hyperlink r:id="rId385">
              <w:r>
                <w:rPr>
                  <w:rFonts w:ascii="Arial" w:cs="Arial" w:eastAsia="Arial" w:hAnsi="Arial"/>
                  <w:sz w:val="18"/>
                  <w:szCs w:val="18"/>
                  <w:color w:val="0000EE"/>
                </w:rPr>
                <w:t>thereto and Barclays Bank PLC, as administrative agent</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68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8"/>
                <w:szCs w:val="18"/>
                <w:color w:val="0000EE"/>
                <w:w w:val="93"/>
              </w:rPr>
            </w:pPr>
            <w:hyperlink w:anchor="page374">
              <w:r>
                <w:rPr>
                  <w:rFonts w:ascii="Arial" w:cs="Arial" w:eastAsia="Arial" w:hAnsi="Arial"/>
                  <w:sz w:val="18"/>
                  <w:szCs w:val="18"/>
                  <w:color w:val="0000EE"/>
                  <w:w w:val="93"/>
                </w:rPr>
                <w:t>Securities Purchase Agreement, dated March 7, 2021, among Sun Country Airlines Holdings, Inc., SCA Horus Holdings, LLC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10"/>
          </w:tcPr>
          <w:p>
            <w:pPr>
              <w:spacing w:after="0" w:line="193" w:lineRule="exact"/>
              <w:rPr>
                <w:rFonts w:ascii="Arial" w:cs="Arial" w:eastAsia="Arial" w:hAnsi="Arial"/>
                <w:sz w:val="18"/>
                <w:szCs w:val="18"/>
                <w:color w:val="0000EE"/>
              </w:rPr>
            </w:pPr>
            <w:hyperlink w:anchor="page374">
              <w:r>
                <w:rPr>
                  <w:rFonts w:ascii="Arial" w:cs="Arial" w:eastAsia="Arial" w:hAnsi="Arial"/>
                  <w:sz w:val="18"/>
                  <w:szCs w:val="18"/>
                  <w:color w:val="0000EE"/>
                </w:rPr>
                <w:t>PAR Investment Partners, L.P.</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68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8"/>
                <w:szCs w:val="18"/>
                <w:color w:val="0000EE"/>
                <w:w w:val="90"/>
              </w:rPr>
            </w:pPr>
            <w:hyperlink w:anchor="page397">
              <w:r>
                <w:rPr>
                  <w:rFonts w:ascii="Arial" w:cs="Arial" w:eastAsia="Arial" w:hAnsi="Arial"/>
                  <w:sz w:val="18"/>
                  <w:szCs w:val="18"/>
                  <w:color w:val="0000EE"/>
                  <w:w w:val="90"/>
                </w:rPr>
                <w:t>Securities Purchase Agreement, dated March 7, 2021, among Sun Country Airlines Holdings, Inc., SCA Horus Holdings, LLC and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tcBorders>
              <w:top w:val="single" w:sz="8" w:color="0000EE"/>
              <w:bottom w:val="single" w:sz="8" w:color="0000EE"/>
            </w:tcBorders>
            <w:gridSpan w:val="7"/>
          </w:tcPr>
          <w:p>
            <w:pPr>
              <w:spacing w:after="0" w:line="193" w:lineRule="exact"/>
              <w:rPr>
                <w:rFonts w:ascii="Arial" w:cs="Arial" w:eastAsia="Arial" w:hAnsi="Arial"/>
                <w:sz w:val="18"/>
                <w:szCs w:val="18"/>
                <w:color w:val="0000EE"/>
                <w:w w:val="90"/>
              </w:rPr>
            </w:pPr>
            <w:hyperlink w:anchor="page397">
              <w:r>
                <w:rPr>
                  <w:rFonts w:ascii="Arial" w:cs="Arial" w:eastAsia="Arial" w:hAnsi="Arial"/>
                  <w:sz w:val="18"/>
                  <w:szCs w:val="18"/>
                  <w:color w:val="0000EE"/>
                  <w:w w:val="90"/>
                </w:rPr>
                <w:t>Blackrock Entities party thereto.</w:t>
              </w:r>
            </w:hyperlink>
          </w:p>
        </w:tc>
        <w:tc>
          <w:tcPr>
            <w:tcW w:w="3760" w:type="dxa"/>
            <w:vAlign w:val="bottom"/>
            <w:tcBorders>
              <w:top w:val="single" w:sz="8" w:color="0000EE"/>
            </w:tcBorders>
            <w:gridSpan w:val="3"/>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6060" w:type="dxa"/>
            <w:vAlign w:val="bottom"/>
            <w:gridSpan w:val="10"/>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Subsidiaries of the registrant</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680" w:type="dxa"/>
            <w:vAlign w:val="bottom"/>
          </w:tcPr>
          <w:p>
            <w:pPr>
              <w:spacing w:after="0"/>
              <w:rPr>
                <w:sz w:val="24"/>
                <w:szCs w:val="24"/>
                <w:color w:val="auto"/>
              </w:rPr>
            </w:pPr>
          </w:p>
        </w:tc>
        <w:tc>
          <w:tcPr>
            <w:tcW w:w="6060" w:type="dxa"/>
            <w:vAlign w:val="bottom"/>
            <w:gridSpan w:val="10"/>
          </w:tcPr>
          <w:p>
            <w:pPr>
              <w:spacing w:after="0"/>
              <w:rPr>
                <w:rFonts w:ascii="Arial" w:cs="Arial" w:eastAsia="Arial" w:hAnsi="Arial"/>
                <w:sz w:val="18"/>
                <w:szCs w:val="18"/>
                <w:u w:val="single" w:color="auto"/>
                <w:color w:val="0000EE"/>
              </w:rPr>
            </w:pPr>
            <w:hyperlink w:anchor="page421">
              <w:r>
                <w:rPr>
                  <w:rFonts w:ascii="Arial" w:cs="Arial" w:eastAsia="Arial" w:hAnsi="Arial"/>
                  <w:sz w:val="18"/>
                  <w:szCs w:val="18"/>
                  <w:u w:val="single" w:color="auto"/>
                  <w:color w:val="0000EE"/>
                </w:rPr>
                <w:t>Consent of KPMG LLP, independent registered public accounting firm</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680" w:type="dxa"/>
            <w:vAlign w:val="bottom"/>
          </w:tcPr>
          <w:p>
            <w:pPr>
              <w:spacing w:after="0"/>
              <w:rPr>
                <w:sz w:val="24"/>
                <w:szCs w:val="24"/>
                <w:color w:val="auto"/>
              </w:rPr>
            </w:pPr>
          </w:p>
        </w:tc>
        <w:tc>
          <w:tcPr>
            <w:tcW w:w="6060" w:type="dxa"/>
            <w:vAlign w:val="bottom"/>
            <w:gridSpan w:val="10"/>
          </w:tcPr>
          <w:p>
            <w:pPr>
              <w:spacing w:after="0"/>
              <w:rPr>
                <w:rFonts w:ascii="Arial" w:cs="Arial" w:eastAsia="Arial" w:hAnsi="Arial"/>
                <w:sz w:val="18"/>
                <w:szCs w:val="18"/>
                <w:u w:val="single" w:color="auto"/>
                <w:color w:val="0000EE"/>
                <w:w w:val="92"/>
              </w:rPr>
            </w:pPr>
            <w:hyperlink w:anchor="page302">
              <w:r>
                <w:rPr>
                  <w:rFonts w:ascii="Arial" w:cs="Arial" w:eastAsia="Arial" w:hAnsi="Arial"/>
                  <w:sz w:val="18"/>
                  <w:szCs w:val="18"/>
                  <w:u w:val="single" w:color="auto"/>
                  <w:color w:val="0000EE"/>
                  <w:w w:val="92"/>
                </w:rPr>
                <w:t>Consent of Paul, Weiss, Rifkind, Wharton &amp; Garrison LLP (included in Exhibit 5.1)</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680" w:type="dxa"/>
            <w:vAlign w:val="bottom"/>
          </w:tcPr>
          <w:p>
            <w:pPr>
              <w:spacing w:after="0"/>
              <w:rPr>
                <w:sz w:val="24"/>
                <w:szCs w:val="24"/>
                <w:color w:val="auto"/>
              </w:rPr>
            </w:pPr>
          </w:p>
        </w:tc>
        <w:tc>
          <w:tcPr>
            <w:tcW w:w="6060" w:type="dxa"/>
            <w:vAlign w:val="bottom"/>
            <w:gridSpan w:val="10"/>
          </w:tcPr>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Powers of Attorney (included in signature page)</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85090</wp:posOffset>
            </wp:positionV>
            <wp:extent cx="7512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5" w:lineRule="exact"/>
        <w:rPr>
          <w:sz w:val="20"/>
          <w:szCs w:val="20"/>
          <w:color w:val="auto"/>
        </w:rPr>
      </w:pPr>
    </w:p>
    <w:p>
      <w:pPr>
        <w:ind w:left="620" w:hanging="421"/>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 w:lineRule="exact"/>
        <w:rPr>
          <w:sz w:val="20"/>
          <w:szCs w:val="20"/>
          <w:color w:val="auto"/>
        </w:rPr>
      </w:pPr>
    </w:p>
    <w:p>
      <w:pPr>
        <w:ind w:left="620" w:hanging="421"/>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 w:lineRule="exact"/>
        <w:rPr>
          <w:sz w:val="20"/>
          <w:szCs w:val="20"/>
          <w:color w:val="auto"/>
        </w:rPr>
      </w:pPr>
    </w:p>
    <w:p>
      <w:pPr>
        <w:ind w:left="620" w:hanging="421"/>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ectPr>
          <w:pgSz w:w="11900" w:h="16838" w:orient="portrait"/>
          <w:cols w:equalWidth="0" w:num="1">
            <w:col w:w="11060"/>
          </w:cols>
          <w:pgMar w:left="320" w:top="454"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Minneapolis, Minnesota, on the 8th day of March, 2021.</w:t>
      </w:r>
    </w:p>
    <w:p>
      <w:pPr>
        <w:spacing w:after="0" w:line="20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11430</wp:posOffset>
            </wp:positionV>
            <wp:extent cx="25247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9">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Dave Davis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President and 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4" w:lineRule="exact"/>
        <w:rPr>
          <w:sz w:val="20"/>
          <w:szCs w:val="20"/>
          <w:color w:val="auto"/>
        </w:rPr>
      </w:pPr>
    </w:p>
    <w:p>
      <w:pPr>
        <w:ind w:left="200" w:right="80" w:firstLine="434"/>
        <w:spacing w:after="0" w:line="264"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Eric Levenhagen and Dave Davis,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185"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5"/>
                <w:szCs w:val="15"/>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r>
      <w:tr>
        <w:trPr>
          <w:trHeight w:val="405"/>
        </w:trPr>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90"/>
              </w:rPr>
              <w:t>/s/ Jude Bricker</w:t>
            </w:r>
          </w:p>
        </w:tc>
        <w:tc>
          <w:tcPr>
            <w:tcW w:w="120" w:type="dxa"/>
            <w:vAlign w:val="bottom"/>
          </w:tcPr>
          <w:p>
            <w:pPr>
              <w:spacing w:after="0"/>
              <w:rPr>
                <w:sz w:val="24"/>
                <w:szCs w:val="24"/>
                <w:color w:val="auto"/>
              </w:rPr>
            </w:pPr>
          </w:p>
        </w:tc>
        <w:tc>
          <w:tcPr>
            <w:tcW w:w="558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Chief Executive Officer; Director (Principal Executive Officer)</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52"/>
              <w:spacing w:after="0"/>
              <w:rPr>
                <w:sz w:val="20"/>
                <w:szCs w:val="20"/>
                <w:color w:val="auto"/>
              </w:rPr>
            </w:pPr>
            <w:r>
              <w:rPr>
                <w:rFonts w:ascii="Arial" w:cs="Arial" w:eastAsia="Arial" w:hAnsi="Arial"/>
                <w:sz w:val="18"/>
                <w:szCs w:val="18"/>
                <w:color w:val="auto"/>
                <w:w w:val="89"/>
              </w:rPr>
              <w:t>Jude Bricker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6"/>
        </w:trPr>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/s/ Dave Davis</w:t>
            </w:r>
          </w:p>
        </w:tc>
        <w:tc>
          <w:tcPr>
            <w:tcW w:w="120" w:type="dxa"/>
            <w:vAlign w:val="bottom"/>
          </w:tcPr>
          <w:p>
            <w:pPr>
              <w:spacing w:after="0"/>
              <w:rPr>
                <w:sz w:val="24"/>
                <w:szCs w:val="24"/>
                <w:color w:val="auto"/>
              </w:rPr>
            </w:pPr>
          </w:p>
        </w:tc>
        <w:tc>
          <w:tcPr>
            <w:tcW w:w="55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President and Chief Financial Officer; Director (Principal Financial and</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1"/>
              </w:rPr>
              <w:t>Dave Davis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40" w:type="dxa"/>
            <w:vAlign w:val="bottom"/>
            <w:gridSpan w:val="2"/>
          </w:tcPr>
          <w:p>
            <w:pPr>
              <w:jc w:val="center"/>
              <w:ind w:right="760"/>
              <w:spacing w:after="0" w:line="204" w:lineRule="exact"/>
              <w:rPr>
                <w:sz w:val="20"/>
                <w:szCs w:val="20"/>
                <w:color w:val="auto"/>
              </w:rPr>
            </w:pPr>
            <w:r>
              <w:rPr>
                <w:rFonts w:ascii="Arial" w:cs="Arial" w:eastAsia="Arial" w:hAnsi="Arial"/>
                <w:sz w:val="18"/>
                <w:szCs w:val="18"/>
                <w:color w:val="auto"/>
                <w:w w:val="94"/>
              </w:rPr>
              <w:t>Accounting Officer)</w:t>
            </w:r>
          </w:p>
        </w:tc>
        <w:tc>
          <w:tcPr>
            <w:tcW w:w="148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90"/>
              </w:rPr>
              <w:t>/s/ Patrick Kearney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Director</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1"/>
              </w:rPr>
              <w:t>Patrick Kearney</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Director</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4"/>
              </w:rPr>
              <w:t>Antoine Munfakh</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Director</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4"/>
              </w:rPr>
              <w:t>Kerry Philipovitch</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Director</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1"/>
              </w:rPr>
              <w:t>David Siegel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Director</w:t>
            </w:r>
          </w:p>
        </w:tc>
        <w:tc>
          <w:tcPr>
            <w:tcW w:w="1480" w:type="dxa"/>
            <w:vAlign w:val="bottom"/>
          </w:tcPr>
          <w:p>
            <w:pPr>
              <w:ind w:left="440"/>
              <w:spacing w:after="0"/>
              <w:rPr>
                <w:sz w:val="20"/>
                <w:szCs w:val="20"/>
                <w:color w:val="auto"/>
              </w:rPr>
            </w:pPr>
            <w:r>
              <w:rPr>
                <w:rFonts w:ascii="Arial" w:cs="Arial" w:eastAsia="Arial" w:hAnsi="Arial"/>
                <w:sz w:val="18"/>
                <w:szCs w:val="18"/>
                <w:color w:val="auto"/>
                <w:w w:val="88"/>
              </w:rPr>
              <w:t>March 8,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86"/>
              </w:rPr>
              <w:t>Juan Carlos Zuazua</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7"/>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89"/>
              </w:rPr>
              <w:t>/s/ Dave Davis</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tcPr>
          <w:p>
            <w:pPr>
              <w:jc w:val="center"/>
              <w:ind w:left="612"/>
              <w:spacing w:after="0" w:line="195" w:lineRule="exact"/>
              <w:rPr>
                <w:sz w:val="20"/>
                <w:szCs w:val="20"/>
                <w:color w:val="auto"/>
              </w:rPr>
            </w:pPr>
            <w:r>
              <w:rPr>
                <w:rFonts w:ascii="Arial" w:cs="Arial" w:eastAsia="Arial" w:hAnsi="Arial"/>
                <w:sz w:val="18"/>
                <w:szCs w:val="18"/>
                <w:color w:val="auto"/>
                <w:w w:val="89"/>
              </w:rPr>
              <w:t>Dave Davis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4"/>
        </w:trPr>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20" w:type="dxa"/>
            <w:vAlign w:val="bottom"/>
          </w:tcPr>
          <w:p>
            <w:pPr>
              <w:jc w:val="center"/>
              <w:ind w:left="612"/>
              <w:spacing w:after="0"/>
              <w:rPr>
                <w:sz w:val="20"/>
                <w:szCs w:val="20"/>
                <w:color w:val="auto"/>
              </w:rPr>
            </w:pPr>
            <w:r>
              <w:rPr>
                <w:rFonts w:ascii="Arial" w:cs="Arial" w:eastAsia="Arial" w:hAnsi="Arial"/>
                <w:sz w:val="18"/>
                <w:szCs w:val="18"/>
                <w:color w:val="auto"/>
                <w:w w:val="92"/>
              </w:rPr>
              <w:t>Attorney-in-Fact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ectPr>
          <w:pgSz w:w="11900" w:h="16838" w:orient="portrait"/>
          <w:cols w:equalWidth="0" w:num="1">
            <w:col w:w="11060"/>
          </w:cols>
          <w:pgMar w:left="320" w:top="454" w:right="5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Shares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4"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ARCLAYS</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TANLEY</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attached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1585 Broadway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2" w:lineRule="exact"/>
        <w:rPr>
          <w:sz w:val="20"/>
          <w:szCs w:val="20"/>
          <w:color w:val="auto"/>
        </w:rPr>
      </w:pPr>
    </w:p>
    <w:p>
      <w:pPr>
        <w:ind w:right="60" w:firstLine="976"/>
        <w:spacing w:after="0" w:line="250" w:lineRule="auto"/>
        <w:rPr>
          <w:sz w:val="20"/>
          <w:szCs w:val="20"/>
          <w:color w:val="auto"/>
        </w:rPr>
      </w:pPr>
      <w:r>
        <w:rPr>
          <w:rFonts w:ascii="Arial" w:cs="Arial" w:eastAsia="Arial" w:hAnsi="Arial"/>
          <w:sz w:val="18"/>
          <w:szCs w:val="18"/>
          <w:color w:val="auto"/>
        </w:rPr>
        <w:t>Sun Country Airlines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sell an aggregate of [•] shares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of the Company’s common stock, par value $[•]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 addition, the Company proposes to grant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named in Schedule I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attached to this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 option to purchase up to an aggregate of [•] additional shares of the Common Stock on the terms set forth in Section 2 (the “</w:t>
      </w:r>
      <w:r>
        <w:rPr>
          <w:rFonts w:ascii="Arial" w:cs="Arial" w:eastAsia="Arial" w:hAnsi="Arial"/>
          <w:sz w:val="18"/>
          <w:szCs w:val="18"/>
          <w:b w:val="1"/>
          <w:bCs w:val="1"/>
          <w:i w:val="1"/>
          <w:iCs w:val="1"/>
          <w:color w:val="auto"/>
        </w:rPr>
        <w:t>Option Stock</w:t>
      </w:r>
      <w:r>
        <w:rPr>
          <w:rFonts w:ascii="Arial" w:cs="Arial" w:eastAsia="Arial" w:hAnsi="Arial"/>
          <w:sz w:val="18"/>
          <w:szCs w:val="18"/>
          <w:color w:val="auto"/>
        </w:rPr>
        <w:t>”). The Firm Stock and the Option Stock, if purchased, are hereinafter collectively called the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This Agreement is to confirm the agreement concerning the purchase of the Stock from the Company by the Underwriters.</w:t>
      </w:r>
    </w:p>
    <w:p>
      <w:pPr>
        <w:spacing w:after="0" w:line="196" w:lineRule="exact"/>
        <w:rPr>
          <w:sz w:val="20"/>
          <w:szCs w:val="20"/>
          <w:color w:val="auto"/>
        </w:rPr>
      </w:pPr>
    </w:p>
    <w:p>
      <w:pPr>
        <w:ind w:left="1160" w:hanging="184"/>
        <w:spacing w:after="0"/>
        <w:tabs>
          <w:tab w:leader="none" w:pos="1160"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112" w:lineRule="exact"/>
        <w:rPr>
          <w:rFonts w:ascii="Arial" w:cs="Arial" w:eastAsia="Arial" w:hAnsi="Arial"/>
          <w:sz w:val="18"/>
          <w:szCs w:val="18"/>
          <w:color w:val="auto"/>
        </w:rPr>
      </w:pPr>
    </w:p>
    <w:p>
      <w:pPr>
        <w:jc w:val="both"/>
        <w:ind w:right="20" w:firstLine="433"/>
        <w:spacing w:after="0" w:line="322" w:lineRule="auto"/>
        <w:tabs>
          <w:tab w:leader="none" w:pos="675"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 registration statement on Form S-1 (File No. 333-252858) relating to the Stock has (i) been prepared by the Company in conformity with the requirements of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and the rules and regulations of the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thereunder; (ii) been filed with the Commission under the Securities Act; and (iii) become effective under the Securities Act.</w:t>
      </w:r>
    </w:p>
    <w:p>
      <w:pPr>
        <w:spacing w:after="0" w:line="1" w:lineRule="exact"/>
        <w:rPr>
          <w:rFonts w:ascii="Arial" w:cs="Arial" w:eastAsia="Arial" w:hAnsi="Arial"/>
          <w:sz w:val="14"/>
          <w:szCs w:val="14"/>
          <w:color w:val="auto"/>
        </w:rPr>
      </w:pPr>
    </w:p>
    <w:p>
      <w:pPr>
        <w:ind w:right="1160"/>
        <w:spacing w:after="0" w:line="253" w:lineRule="auto"/>
        <w:rPr>
          <w:rFonts w:ascii="Arial" w:cs="Arial" w:eastAsia="Arial" w:hAnsi="Arial"/>
          <w:sz w:val="14"/>
          <w:szCs w:val="14"/>
          <w:color w:val="auto"/>
        </w:rPr>
      </w:pPr>
      <w:r>
        <w:rPr>
          <w:rFonts w:ascii="Arial" w:cs="Arial" w:eastAsia="Arial" w:hAnsi="Arial"/>
          <w:sz w:val="18"/>
          <w:szCs w:val="18"/>
          <w:color w:val="auto"/>
        </w:rPr>
        <w:t>Copies of such registration statement and any amendment thereto have been delivered by the Company to you as the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of the Underwriters. As used in this Agreement:</w:t>
      </w:r>
    </w:p>
    <w:p>
      <w:pPr>
        <w:sectPr>
          <w:pgSz w:w="11900" w:h="16838" w:orient="portrait"/>
          <w:cols w:equalWidth="0" w:num="1">
            <w:col w:w="10840"/>
          </w:cols>
          <w:pgMar w:left="520" w:top="121" w:right="539" w:bottom="1440" w:gutter="0" w:footer="0" w:header="0"/>
        </w:sectPr>
      </w:pPr>
    </w:p>
    <w:bookmarkStart w:id="255" w:name="page256"/>
    <w:bookmarkEnd w:id="255"/>
    <w:p>
      <w:pPr>
        <w:ind w:left="1140" w:hanging="210"/>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 [A.M.][P.M.] (New York City time) on [•];</w:t>
      </w:r>
    </w:p>
    <w:p>
      <w:pPr>
        <w:spacing w:after="0" w:line="112" w:lineRule="exact"/>
        <w:rPr>
          <w:rFonts w:ascii="Arial" w:cs="Arial" w:eastAsia="Arial" w:hAnsi="Arial"/>
          <w:sz w:val="18"/>
          <w:szCs w:val="18"/>
          <w:color w:val="auto"/>
        </w:rPr>
      </w:pPr>
    </w:p>
    <w:p>
      <w:pPr>
        <w:ind w:left="1200" w:hanging="270"/>
        <w:spacing w:after="0"/>
        <w:tabs>
          <w:tab w:leader="none" w:pos="12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135" w:lineRule="exact"/>
        <w:rPr>
          <w:rFonts w:ascii="Arial" w:cs="Arial" w:eastAsia="Arial" w:hAnsi="Arial"/>
          <w:sz w:val="16"/>
          <w:szCs w:val="16"/>
          <w:color w:val="auto"/>
        </w:rPr>
      </w:pPr>
    </w:p>
    <w:p>
      <w:pPr>
        <w:ind w:left="540" w:right="60" w:firstLine="390"/>
        <w:spacing w:after="0" w:line="266" w:lineRule="auto"/>
        <w:tabs>
          <w:tab w:leader="none" w:pos="1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 Free Writing Prospectus</w:t>
      </w:r>
      <w:r>
        <w:rPr>
          <w:rFonts w:ascii="Arial" w:cs="Arial" w:eastAsia="Arial" w:hAnsi="Arial"/>
          <w:sz w:val="18"/>
          <w:szCs w:val="18"/>
          <w:color w:val="auto"/>
        </w:rPr>
        <w:t>” means each “issuer free writing prospectus” (as defined in Rule 433 under the Securities Act) relating to the Stock;</w:t>
      </w:r>
    </w:p>
    <w:p>
      <w:pPr>
        <w:spacing w:after="0" w:line="73" w:lineRule="exact"/>
        <w:rPr>
          <w:rFonts w:ascii="Arial" w:cs="Arial" w:eastAsia="Arial" w:hAnsi="Arial"/>
          <w:sz w:val="18"/>
          <w:szCs w:val="18"/>
          <w:color w:val="auto"/>
        </w:rPr>
      </w:pPr>
    </w:p>
    <w:p>
      <w:pPr>
        <w:ind w:left="540" w:firstLine="390"/>
        <w:spacing w:after="0" w:line="266" w:lineRule="auto"/>
        <w:tabs>
          <w:tab w:leader="none" w:pos="12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 means any preliminary prospectus relating to the Stock included in such registration statement or filed with the Commission pursuant to Rule 424(b) under the Securities Act;</w:t>
      </w:r>
    </w:p>
    <w:p>
      <w:pPr>
        <w:spacing w:after="0" w:line="73" w:lineRule="exact"/>
        <w:rPr>
          <w:rFonts w:ascii="Arial" w:cs="Arial" w:eastAsia="Arial" w:hAnsi="Arial"/>
          <w:sz w:val="18"/>
          <w:szCs w:val="18"/>
          <w:color w:val="auto"/>
        </w:rPr>
      </w:pPr>
    </w:p>
    <w:p>
      <w:pPr>
        <w:ind w:left="540" w:right="80" w:firstLine="390"/>
        <w:spacing w:after="0" w:line="253" w:lineRule="auto"/>
        <w:tabs>
          <w:tab w:leader="none" w:pos="118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Pricing Disclosure Package</w:t>
      </w:r>
      <w:r>
        <w:rPr>
          <w:rFonts w:ascii="Arial" w:cs="Arial" w:eastAsia="Arial" w:hAnsi="Arial"/>
          <w:sz w:val="18"/>
          <w:szCs w:val="18"/>
          <w:color w:val="auto"/>
        </w:rPr>
        <w:t>” means, as of the Applicable Time, the most recent Preliminary Prospectus, together with the information included in Schedule III hereto, if any, and each Issuer Free Writing Prospectus filed or used by the Company at or before the Applicable Time, other than a road show, that is an Issuer Free Writing Prospectus but is not required to be filed under Rule 433 under the Securities Act;</w:t>
      </w:r>
    </w:p>
    <w:p>
      <w:pPr>
        <w:spacing w:after="0" w:line="84" w:lineRule="exact"/>
        <w:rPr>
          <w:rFonts w:ascii="Arial" w:cs="Arial" w:eastAsia="Arial" w:hAnsi="Arial"/>
          <w:sz w:val="18"/>
          <w:szCs w:val="18"/>
          <w:color w:val="auto"/>
        </w:rPr>
      </w:pPr>
    </w:p>
    <w:p>
      <w:pPr>
        <w:ind w:left="540" w:right="200" w:firstLine="390"/>
        <w:spacing w:after="0" w:line="266" w:lineRule="auto"/>
        <w:tabs>
          <w:tab w:leader="none" w:pos="12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final prospectus relating to the Stock, as filed with the Commission pursuant to Rule 424(b) under the Securities Act;</w:t>
      </w:r>
    </w:p>
    <w:p>
      <w:pPr>
        <w:spacing w:after="0" w:line="73" w:lineRule="exact"/>
        <w:rPr>
          <w:rFonts w:ascii="Arial" w:cs="Arial" w:eastAsia="Arial" w:hAnsi="Arial"/>
          <w:sz w:val="18"/>
          <w:szCs w:val="18"/>
          <w:color w:val="auto"/>
        </w:rPr>
      </w:pPr>
    </w:p>
    <w:p>
      <w:pPr>
        <w:jc w:val="both"/>
        <w:ind w:left="540" w:right="520" w:firstLine="390"/>
        <w:spacing w:after="0" w:line="253" w:lineRule="auto"/>
        <w:tabs>
          <w:tab w:leader="none" w:pos="128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collectively, the various parts of such registration statement, each as amended as of the Effective Date for such part,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84" w:lineRule="exact"/>
        <w:rPr>
          <w:rFonts w:ascii="Arial" w:cs="Arial" w:eastAsia="Arial" w:hAnsi="Arial"/>
          <w:sz w:val="18"/>
          <w:szCs w:val="18"/>
          <w:color w:val="auto"/>
        </w:rPr>
      </w:pPr>
    </w:p>
    <w:p>
      <w:pPr>
        <w:ind w:left="540" w:right="600" w:firstLine="390"/>
        <w:spacing w:after="0" w:line="266" w:lineRule="auto"/>
        <w:tabs>
          <w:tab w:leader="none" w:pos="133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or Rule 163B under the Securities Act; and</w:t>
      </w:r>
    </w:p>
    <w:p>
      <w:pPr>
        <w:spacing w:after="0" w:line="73" w:lineRule="exact"/>
        <w:rPr>
          <w:rFonts w:ascii="Arial" w:cs="Arial" w:eastAsia="Arial" w:hAnsi="Arial"/>
          <w:sz w:val="18"/>
          <w:szCs w:val="18"/>
          <w:color w:val="auto"/>
        </w:rPr>
      </w:pPr>
    </w:p>
    <w:p>
      <w:pPr>
        <w:ind w:left="540" w:right="180" w:firstLine="390"/>
        <w:spacing w:after="0" w:line="266" w:lineRule="auto"/>
        <w:tabs>
          <w:tab w:leader="none" w:pos="12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Any reference to the “most recent Preliminary Prospectus” shall be deemed to refer to the latest Preliminary Prospectus included in the Registration Statement or filed pursuant to Rule 424(b) under the Securities Act prior to or on the date hereof.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has been instituted or threatened by the Commission.</w:t>
      </w:r>
    </w:p>
    <w:p>
      <w:pPr>
        <w:spacing w:after="0" w:line="12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00"/>
          </w:cols>
          <w:pgMar w:left="960" w:top="273" w:right="539" w:bottom="1440" w:gutter="0" w:footer="0" w:header="0"/>
        </w:sectPr>
      </w:pPr>
    </w:p>
    <w:bookmarkStart w:id="256" w:name="page257"/>
    <w:bookmarkEnd w:id="256"/>
    <w:p>
      <w:pPr>
        <w:ind w:right="80" w:firstLine="433"/>
        <w:spacing w:after="0" w:line="303" w:lineRule="auto"/>
        <w:tabs>
          <w:tab w:leader="none" w:pos="685"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i w:val="1"/>
          <w:iCs w:val="1"/>
          <w:color w:val="auto"/>
        </w:rPr>
        <w:t>Emerging Growth Company</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firstLine="433"/>
        <w:spacing w:after="0" w:line="250" w:lineRule="auto"/>
        <w:tabs>
          <w:tab w:leader="none" w:pos="6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other than Testing-the-Waters Communications with the consent of the Representatives, with entities that are qualified institutional buyers within the meaning of Rule 144A under the Securities Act, or with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Schedule VI hereto.</w:t>
      </w:r>
    </w:p>
    <w:p>
      <w:pPr>
        <w:spacing w:after="0" w:line="89" w:lineRule="exact"/>
        <w:rPr>
          <w:rFonts w:ascii="Arial" w:cs="Arial" w:eastAsia="Arial" w:hAnsi="Arial"/>
          <w:sz w:val="18"/>
          <w:szCs w:val="18"/>
          <w:color w:val="auto"/>
        </w:rPr>
      </w:pPr>
    </w:p>
    <w:p>
      <w:pPr>
        <w:jc w:val="both"/>
        <w:ind w:right="440" w:firstLine="433"/>
        <w:spacing w:after="0" w:line="303" w:lineRule="auto"/>
        <w:tabs>
          <w:tab w:leader="none" w:pos="68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The Company was not at the time of the initial filing of the Registration Statement and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Stock, is not on the date hereof and will not be on the applicable Delivery Date (as defined below), an “ineligible issuer” (as defined in Rule 405 under the Securities Act).</w:t>
      </w:r>
    </w:p>
    <w:p>
      <w:pPr>
        <w:spacing w:after="0" w:line="47" w:lineRule="exact"/>
        <w:rPr>
          <w:rFonts w:ascii="Arial" w:cs="Arial" w:eastAsia="Arial" w:hAnsi="Arial"/>
          <w:sz w:val="16"/>
          <w:szCs w:val="16"/>
          <w:color w:val="auto"/>
        </w:rPr>
      </w:pPr>
    </w:p>
    <w:p>
      <w:pPr>
        <w:ind w:right="20" w:firstLine="433"/>
        <w:spacing w:after="0" w:line="251" w:lineRule="auto"/>
        <w:tabs>
          <w:tab w:leader="none" w:pos="6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w:t>
      </w:r>
    </w:p>
    <w:p>
      <w:pPr>
        <w:spacing w:after="0" w:line="87" w:lineRule="exact"/>
        <w:rPr>
          <w:rFonts w:ascii="Arial" w:cs="Arial" w:eastAsia="Arial" w:hAnsi="Arial"/>
          <w:sz w:val="18"/>
          <w:szCs w:val="18"/>
          <w:color w:val="auto"/>
        </w:rPr>
      </w:pPr>
    </w:p>
    <w:p>
      <w:pPr>
        <w:ind w:right="480" w:firstLine="433"/>
        <w:spacing w:after="0" w:line="251"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8(f).</w:t>
      </w:r>
    </w:p>
    <w:p>
      <w:pPr>
        <w:spacing w:after="0" w:line="87" w:lineRule="exact"/>
        <w:rPr>
          <w:rFonts w:ascii="Arial" w:cs="Arial" w:eastAsia="Arial" w:hAnsi="Arial"/>
          <w:sz w:val="18"/>
          <w:szCs w:val="18"/>
          <w:color w:val="auto"/>
        </w:rPr>
      </w:pPr>
    </w:p>
    <w:p>
      <w:pPr>
        <w:ind w:right="40" w:firstLine="433"/>
        <w:spacing w:after="0" w:line="251"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applicable Delivery Date,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8(f).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73" w:right="539" w:bottom="1440" w:gutter="0" w:footer="0" w:header="0"/>
        </w:sectPr>
      </w:pPr>
    </w:p>
    <w:bookmarkStart w:id="257" w:name="page258"/>
    <w:bookmarkEnd w:id="257"/>
    <w:p>
      <w:pPr>
        <w:ind w:right="20" w:firstLine="433"/>
        <w:spacing w:after="0" w:line="251" w:lineRule="auto"/>
        <w:tabs>
          <w:tab w:leader="none" w:pos="6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 which information is specified in Section 8(f).</w:t>
      </w:r>
    </w:p>
    <w:p>
      <w:pPr>
        <w:spacing w:after="0" w:line="87" w:lineRule="exact"/>
        <w:rPr>
          <w:rFonts w:ascii="Arial" w:cs="Arial" w:eastAsia="Arial" w:hAnsi="Arial"/>
          <w:sz w:val="18"/>
          <w:szCs w:val="18"/>
          <w:color w:val="auto"/>
        </w:rPr>
      </w:pPr>
    </w:p>
    <w:p>
      <w:pPr>
        <w:ind w:right="100" w:firstLine="433"/>
        <w:spacing w:after="0" w:line="250" w:lineRule="auto"/>
        <w:tabs>
          <w:tab w:leader="none" w:pos="64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8(f).</w:t>
      </w:r>
    </w:p>
    <w:p>
      <w:pPr>
        <w:spacing w:after="0" w:line="89" w:lineRule="exact"/>
        <w:rPr>
          <w:rFonts w:ascii="Arial" w:cs="Arial" w:eastAsia="Arial" w:hAnsi="Arial"/>
          <w:sz w:val="18"/>
          <w:szCs w:val="18"/>
          <w:color w:val="auto"/>
        </w:rPr>
      </w:pPr>
    </w:p>
    <w:p>
      <w:pPr>
        <w:ind w:firstLine="433"/>
        <w:spacing w:after="0" w:line="283" w:lineRule="auto"/>
        <w:tabs>
          <w:tab w:leader="none" w:pos="64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No Written Testing-the-Waters Communication, as of the Applicable Time, when taken together with the Pricing Disclosure Package, contained an untrue statement of a material fact or omitted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Written Testing-the-Waters Communication listed on Schedule VI hereto in reliance upon and in conformity with written information furnished to the Company through the Representatives by or on behalf of any Underwriter specifically for inclusion therein, which information is specified in Section 8(f); and the Company has filed publicly on the Commission’s Electronic Data Gathering, Analysis, and Retrieval system (“EDGAR”) at least 15 calendar days prior to any “road show” (as defined in Rule 433 under the Securities Act), any confidentially submitted registration statement and registration statement amendments relating to the offer and sale of the Stock. Each Written Testing-the-Waters Communications did not, as of the Applicable Time, and at all times through the completion of the public offer and sale of the Stock will not, include any information that conflicted, conflicts or will conflict with the information contained in the Registration Statement, the Pricing Disclosure Package or the Prospectus.</w:t>
      </w:r>
    </w:p>
    <w:p>
      <w:pPr>
        <w:spacing w:after="0" w:line="64" w:lineRule="exact"/>
        <w:rPr>
          <w:rFonts w:ascii="Arial" w:cs="Arial" w:eastAsia="Arial" w:hAnsi="Arial"/>
          <w:sz w:val="16"/>
          <w:szCs w:val="16"/>
          <w:color w:val="auto"/>
        </w:rPr>
      </w:pPr>
    </w:p>
    <w:p>
      <w:pPr>
        <w:ind w:firstLine="433"/>
        <w:spacing w:after="0" w:line="284" w:lineRule="auto"/>
        <w:tabs>
          <w:tab w:leader="none" w:pos="68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Representatives, except as set forth on Schedule V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Stock will not be required to be filed pursuant to the Securities Act and the rules and regulations thereunder.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520" w:top="273" w:right="539" w:bottom="1440" w:gutter="0" w:footer="0" w:header="0"/>
        </w:sectPr>
      </w:pPr>
    </w:p>
    <w:bookmarkStart w:id="258" w:name="page259"/>
    <w:bookmarkEnd w:id="258"/>
    <w:p>
      <w:pPr>
        <w:ind w:left="-20" w:right="100" w:firstLine="433"/>
        <w:spacing w:after="0" w:line="265" w:lineRule="auto"/>
        <w:tabs>
          <w:tab w:leader="none" w:pos="625" w:val="left"/>
        </w:tabs>
        <w:numPr>
          <w:ilvl w:val="0"/>
          <w:numId w:val="1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have a material adverse effect or result in a development involving a prospective material adverse effect on the condition (financial or otherwise), results of operations, stockholders’ equity, properties, management or business of the Company and its subsidiaries taken as a whole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The Company and each of its subsidiaries has all power and authority necessary to own or hold its properties and to conduct the businesses in which it is engaged as described in the most recent Preliminary Prospectus. None of the subsidiaries of the Company (other than any subsidiaries listed in Exhibit 21 to the Registration Statement) is a “significant subsidiary” (as defined in Rule 405 under the Securities Act).</w:t>
      </w:r>
    </w:p>
    <w:p>
      <w:pPr>
        <w:spacing w:after="0" w:line="75" w:lineRule="exact"/>
        <w:rPr>
          <w:rFonts w:ascii="Arial" w:cs="Arial" w:eastAsia="Arial" w:hAnsi="Arial"/>
          <w:sz w:val="17"/>
          <w:szCs w:val="17"/>
          <w:color w:val="auto"/>
        </w:rPr>
      </w:pPr>
    </w:p>
    <w:p>
      <w:pPr>
        <w:ind w:left="-20" w:firstLine="433"/>
        <w:spacing w:after="0" w:line="264" w:lineRule="auto"/>
        <w:tabs>
          <w:tab w:leader="none" w:pos="71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under the heading “Capitalization” in each of the most recent Preliminary Prospectus and the Prospectus as of the date or dates set forth therein, and 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w:t>
      </w:r>
    </w:p>
    <w:p>
      <w:pPr>
        <w:spacing w:after="0" w:line="81" w:lineRule="exact"/>
        <w:rPr>
          <w:rFonts w:ascii="Arial" w:cs="Arial" w:eastAsia="Arial" w:hAnsi="Arial"/>
          <w:sz w:val="17"/>
          <w:szCs w:val="17"/>
          <w:color w:val="auto"/>
        </w:rPr>
      </w:pPr>
    </w:p>
    <w:p>
      <w:pPr>
        <w:ind w:left="-20" w:right="180" w:firstLine="433"/>
        <w:spacing w:after="0" w:line="272" w:lineRule="auto"/>
        <w:tabs>
          <w:tab w:leader="none" w:pos="66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shares of the Stock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most recent Preliminary Prospectus, will be issued in compliance with federal and state securities laws and will be free of statutory and contractual preemptive rights, rights of first refusal and similar rights.</w:t>
      </w:r>
    </w:p>
    <w:p>
      <w:pPr>
        <w:spacing w:after="0" w:line="71" w:lineRule="exact"/>
        <w:rPr>
          <w:rFonts w:ascii="Arial" w:cs="Arial" w:eastAsia="Arial" w:hAnsi="Arial"/>
          <w:sz w:val="17"/>
          <w:szCs w:val="17"/>
          <w:color w:val="auto"/>
        </w:rPr>
      </w:pPr>
    </w:p>
    <w:p>
      <w:pPr>
        <w:ind w:left="-20" w:right="520" w:firstLine="433"/>
        <w:spacing w:after="0" w:line="266" w:lineRule="auto"/>
        <w:tabs>
          <w:tab w:leader="none" w:pos="6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73" w:lineRule="exact"/>
        <w:rPr>
          <w:rFonts w:ascii="Arial" w:cs="Arial" w:eastAsia="Arial" w:hAnsi="Arial"/>
          <w:sz w:val="18"/>
          <w:szCs w:val="18"/>
          <w:color w:val="auto"/>
        </w:rPr>
      </w:pPr>
    </w:p>
    <w:p>
      <w:pPr>
        <w:ind w:left="-20" w:right="460" w:firstLine="433"/>
        <w:spacing w:after="0" w:line="253" w:lineRule="auto"/>
        <w:tabs>
          <w:tab w:leader="none" w:pos="6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issuance and sale of the Stock by the Company, the execution, delivery and performance of this Agreement by the Company, the consummation of the transactions contemplated hereby and the application of the proceeds from the sale of the Stock as described under “Use of Proceeds” in the most recent Preliminary Prospectus will not (i) conflict with or result in a breach or violation of any of the terms or provisions of, impose any lien, charge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540" w:top="273" w:right="539" w:bottom="1440" w:gutter="0" w:footer="0" w:header="0"/>
        </w:sectPr>
      </w:pPr>
    </w:p>
    <w:bookmarkStart w:id="259" w:name="page260"/>
    <w:bookmarkEnd w:id="25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73" w:lineRule="exact"/>
        <w:rPr>
          <w:sz w:val="20"/>
          <w:szCs w:val="20"/>
          <w:color w:val="auto"/>
        </w:rPr>
      </w:pPr>
    </w:p>
    <w:p>
      <w:pPr>
        <w:ind w:right="20" w:firstLine="433"/>
        <w:spacing w:after="0" w:line="286"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Stock by the Company, the execution, delivery and performance of this Agreement by the Company, the consummation of the transactions contemplated hereby and the application of the proceeds from the sale of the Stock as described under “Use of Proceeds” in the most recent Preliminary Prospectus, except for the registration of the Stock under the Securities Act and such consents, approvals, authorizations, orders, filings, registrations or qualifications as may be required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applicable state securities laws and/or the bylaws and rules of the Financial Industry Regulatory Authority, Inc. (the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in connection with the purchase and sale of the Stock by the Underwriters.</w:t>
      </w:r>
    </w:p>
    <w:p>
      <w:pPr>
        <w:spacing w:after="0" w:line="60" w:lineRule="exact"/>
        <w:rPr>
          <w:rFonts w:ascii="Arial" w:cs="Arial" w:eastAsia="Arial" w:hAnsi="Arial"/>
          <w:sz w:val="16"/>
          <w:szCs w:val="16"/>
          <w:color w:val="auto"/>
        </w:rPr>
      </w:pPr>
    </w:p>
    <w:p>
      <w:pPr>
        <w:ind w:firstLine="433"/>
        <w:spacing w:after="0" w:line="265" w:lineRule="auto"/>
        <w:tabs>
          <w:tab w:leader="none" w:pos="6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(“GAAP”)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75" w:lineRule="exact"/>
        <w:rPr>
          <w:rFonts w:ascii="Arial" w:cs="Arial" w:eastAsia="Arial" w:hAnsi="Arial"/>
          <w:sz w:val="17"/>
          <w:szCs w:val="17"/>
          <w:color w:val="auto"/>
        </w:rPr>
      </w:pPr>
    </w:p>
    <w:p>
      <w:pPr>
        <w:ind w:left="660" w:hanging="2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jc w:val="both"/>
        <w:ind w:right="60" w:firstLine="433"/>
        <w:spacing w:after="0" w:line="256" w:lineRule="auto"/>
        <w:tabs>
          <w:tab w:leader="none" w:pos="6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KPMG LLP, who have audited certain financial statements of the Company and its consolidated subsidiaries, whose report appears in the most recent Preliminary Prospectus and who have delivered the initial letter referred to in Section 7(g) hereof, are independent public accountants as required by the Securities Act and the rules and regulations thereunder.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520" w:top="273" w:right="539" w:bottom="1440" w:gutter="0" w:footer="0" w:header="0"/>
        </w:sectPr>
      </w:pPr>
    </w:p>
    <w:bookmarkStart w:id="260" w:name="page261"/>
    <w:bookmarkEnd w:id="260"/>
    <w:p>
      <w:pPr>
        <w:ind w:right="60" w:firstLine="433"/>
        <w:spacing w:after="0" w:line="280" w:lineRule="auto"/>
        <w:tabs>
          <w:tab w:leader="none" w:pos="685"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As of the date of the most recent balance sheet of the Company and its consolidated subsidiaries reviewed or audited by KPMG LLP, there were no material weaknesses in the Company’s internal controls.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75" w:lineRule="exact"/>
        <w:rPr>
          <w:rFonts w:ascii="Arial" w:cs="Arial" w:eastAsia="Arial" w:hAnsi="Arial"/>
          <w:sz w:val="16"/>
          <w:szCs w:val="16"/>
          <w:color w:val="auto"/>
        </w:rPr>
      </w:pPr>
    </w:p>
    <w:p>
      <w:pPr>
        <w:ind w:right="60" w:firstLine="433"/>
        <w:spacing w:after="0" w:line="269" w:lineRule="auto"/>
        <w:tabs>
          <w:tab w:leader="none" w:pos="68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such disclosure controls and procedures are effective in all material respects to perform the functions for which they were established.</w:t>
      </w:r>
    </w:p>
    <w:p>
      <w:pPr>
        <w:spacing w:after="0" w:line="74" w:lineRule="exact"/>
        <w:rPr>
          <w:rFonts w:ascii="Arial" w:cs="Arial" w:eastAsia="Arial" w:hAnsi="Arial"/>
          <w:sz w:val="17"/>
          <w:szCs w:val="17"/>
          <w:color w:val="auto"/>
        </w:rPr>
      </w:pPr>
    </w:p>
    <w:p>
      <w:pPr>
        <w:ind w:left="720" w:hanging="287"/>
        <w:spacing w:after="0"/>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680" w:hanging="247"/>
        <w:spacing w:after="0"/>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680" w:hanging="247"/>
        <w:spacing w:after="0"/>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firstLine="433"/>
        <w:spacing w:after="0" w:line="272" w:lineRule="auto"/>
        <w:tabs>
          <w:tab w:leader="none" w:pos="67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or as would not, individually or in the aggregate, reasonably be expected to have a Material Adverse Effect, 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3" w:right="539" w:bottom="1440" w:gutter="0" w:footer="0" w:header="0"/>
        </w:sectPr>
      </w:pPr>
    </w:p>
    <w:bookmarkStart w:id="261" w:name="page262"/>
    <w:bookmarkEnd w:id="261"/>
    <w:p>
      <w:pPr>
        <w:ind w:left="1"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domestic or foreign), (ii) incurred any liability or obligation, direct or contingent, other than liabilities and obligations that were incurred in the ordinary course of business, (iii) 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61" w:lineRule="exact"/>
        <w:rPr>
          <w:sz w:val="20"/>
          <w:szCs w:val="20"/>
          <w:color w:val="auto"/>
        </w:rPr>
      </w:pPr>
    </w:p>
    <w:p>
      <w:pPr>
        <w:ind w:left="1" w:firstLine="433"/>
        <w:spacing w:after="0" w:line="284" w:lineRule="auto"/>
        <w:tabs>
          <w:tab w:leader="none" w:pos="75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w:t>
      </w:r>
    </w:p>
    <w:p>
      <w:pPr>
        <w:spacing w:after="0" w:line="1" w:lineRule="exact"/>
        <w:rPr>
          <w:rFonts w:ascii="Arial" w:cs="Arial" w:eastAsia="Arial" w:hAnsi="Arial"/>
          <w:sz w:val="16"/>
          <w:szCs w:val="16"/>
          <w:color w:val="auto"/>
        </w:rPr>
      </w:pPr>
    </w:p>
    <w:p>
      <w:pPr>
        <w:ind w:left="1" w:right="80" w:hanging="1"/>
        <w:spacing w:after="0" w:line="296" w:lineRule="auto"/>
        <w:tabs>
          <w:tab w:leader="none" w:pos="21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52" w:lineRule="exact"/>
        <w:rPr>
          <w:rFonts w:ascii="Arial" w:cs="Arial" w:eastAsia="Arial" w:hAnsi="Arial"/>
          <w:sz w:val="16"/>
          <w:szCs w:val="16"/>
          <w:color w:val="auto"/>
        </w:rPr>
      </w:pPr>
    </w:p>
    <w:p>
      <w:pPr>
        <w:ind w:left="1" w:firstLine="433"/>
        <w:spacing w:after="0" w:line="284" w:lineRule="auto"/>
        <w:tabs>
          <w:tab w:leader="none" w:pos="77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Company and each of its subsidiaries have, and are operating in compliance with, such permits, licenses, patents, franchises, certificates of need and other approvals or authorizations of governmental or regulatory authorities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61" w:lineRule="exact"/>
        <w:rPr>
          <w:rFonts w:ascii="Arial" w:cs="Arial" w:eastAsia="Arial" w:hAnsi="Arial"/>
          <w:sz w:val="16"/>
          <w:szCs w:val="16"/>
          <w:color w:val="auto"/>
        </w:rPr>
      </w:pPr>
    </w:p>
    <w:p>
      <w:pPr>
        <w:ind w:left="1" w:right="20" w:firstLine="433"/>
        <w:spacing w:after="0" w:line="249" w:lineRule="auto"/>
        <w:tabs>
          <w:tab w:leader="none" w:pos="75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Arial" w:cs="Arial" w:eastAsia="Arial" w:hAnsi="Arial"/>
          <w:sz w:val="18"/>
          <w:szCs w:val="18"/>
          <w:b w:val="1"/>
          <w:bCs w:val="1"/>
          <w:i w:val="1"/>
          <w:iCs w:val="1"/>
          <w:color w:val="auto"/>
        </w:rPr>
        <w:t>Intellectual Property Rights</w:t>
      </w:r>
      <w:r>
        <w:rPr>
          <w:rFonts w:ascii="Arial" w:cs="Arial" w:eastAsia="Arial" w:hAnsi="Arial"/>
          <w:sz w:val="18"/>
          <w:szCs w:val="18"/>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1"/>
          </w:cols>
          <w:pgMar w:left="519" w:top="273" w:right="559" w:bottom="1440" w:gutter="0" w:footer="0" w:header="0"/>
        </w:sectPr>
      </w:pPr>
    </w:p>
    <w:bookmarkStart w:id="262" w:name="page263"/>
    <w:bookmarkEnd w:id="262"/>
    <w:p>
      <w:pPr>
        <w:ind w:right="10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88" w:lineRule="exact"/>
        <w:rPr>
          <w:sz w:val="20"/>
          <w:szCs w:val="20"/>
          <w:color w:val="auto"/>
        </w:rPr>
      </w:pPr>
    </w:p>
    <w:p>
      <w:pPr>
        <w:ind w:right="140" w:firstLine="433"/>
        <w:spacing w:after="0" w:line="290" w:lineRule="auto"/>
        <w:tabs>
          <w:tab w:leader="none" w:pos="77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and to the Company’s knowledge, no such proceedings are threatened by governmental authorities or others.</w:t>
      </w:r>
    </w:p>
    <w:p>
      <w:pPr>
        <w:spacing w:after="0" w:line="58" w:lineRule="exact"/>
        <w:rPr>
          <w:rFonts w:ascii="Arial" w:cs="Arial" w:eastAsia="Arial" w:hAnsi="Arial"/>
          <w:sz w:val="16"/>
          <w:szCs w:val="16"/>
          <w:color w:val="auto"/>
        </w:rPr>
      </w:pPr>
    </w:p>
    <w:p>
      <w:pPr>
        <w:ind w:firstLine="433"/>
        <w:spacing w:after="0" w:line="253" w:lineRule="auto"/>
        <w:tabs>
          <w:tab w:leader="none" w:pos="75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84" w:lineRule="exact"/>
        <w:rPr>
          <w:rFonts w:ascii="Arial" w:cs="Arial" w:eastAsia="Arial" w:hAnsi="Arial"/>
          <w:sz w:val="18"/>
          <w:szCs w:val="18"/>
          <w:color w:val="auto"/>
        </w:rPr>
      </w:pPr>
    </w:p>
    <w:p>
      <w:pPr>
        <w:ind w:right="60" w:firstLine="433"/>
        <w:spacing w:after="0" w:line="294" w:lineRule="auto"/>
        <w:tabs>
          <w:tab w:leader="none" w:pos="71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statements made in the most recent Preliminary Prospectus and Prospectus under the captions “Risk Factors — Risks Related to Our Industry”, “Risk Factors — Risks Related to Our Business” and “Business — 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55" w:lineRule="exact"/>
        <w:rPr>
          <w:rFonts w:ascii="Arial" w:cs="Arial" w:eastAsia="Arial" w:hAnsi="Arial"/>
          <w:sz w:val="16"/>
          <w:szCs w:val="16"/>
          <w:color w:val="auto"/>
        </w:rPr>
      </w:pPr>
    </w:p>
    <w:p>
      <w:pPr>
        <w:ind w:firstLine="433"/>
        <w:spacing w:after="0" w:line="283" w:lineRule="auto"/>
        <w:tabs>
          <w:tab w:leader="none" w:pos="77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520" w:top="274" w:right="579" w:bottom="1440" w:gutter="0" w:footer="0" w:header="0"/>
        </w:sectPr>
      </w:pPr>
    </w:p>
    <w:bookmarkStart w:id="263" w:name="page264"/>
    <w:bookmarkEnd w:id="263"/>
    <w:p>
      <w:pPr>
        <w:ind w:left="1" w:right="360" w:firstLine="433"/>
        <w:spacing w:after="0" w:line="256" w:lineRule="auto"/>
        <w:tabs>
          <w:tab w:leader="none" w:pos="774" w:val="left"/>
        </w:tabs>
        <w:numPr>
          <w:ilvl w:val="1"/>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82" w:lineRule="exact"/>
        <w:rPr>
          <w:rFonts w:ascii="Arial" w:cs="Arial" w:eastAsia="Arial" w:hAnsi="Arial"/>
          <w:sz w:val="18"/>
          <w:szCs w:val="18"/>
          <w:color w:val="auto"/>
        </w:rPr>
      </w:pPr>
    </w:p>
    <w:p>
      <w:pPr>
        <w:ind w:left="1" w:right="140" w:firstLine="433"/>
        <w:spacing w:after="0" w:line="266" w:lineRule="auto"/>
        <w:tabs>
          <w:tab w:leader="none" w:pos="69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73" w:lineRule="exact"/>
        <w:rPr>
          <w:rFonts w:ascii="Arial" w:cs="Arial" w:eastAsia="Arial" w:hAnsi="Arial"/>
          <w:sz w:val="18"/>
          <w:szCs w:val="18"/>
          <w:color w:val="auto"/>
        </w:rPr>
      </w:pPr>
    </w:p>
    <w:p>
      <w:pPr>
        <w:ind w:left="1" w:right="40" w:firstLine="433"/>
        <w:spacing w:after="0" w:line="280" w:lineRule="auto"/>
        <w:tabs>
          <w:tab w:leader="none" w:pos="6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w:t>
      </w:r>
    </w:p>
    <w:p>
      <w:pPr>
        <w:spacing w:after="0" w:line="1" w:lineRule="exact"/>
        <w:rPr>
          <w:rFonts w:ascii="Arial" w:cs="Arial" w:eastAsia="Arial" w:hAnsi="Arial"/>
          <w:sz w:val="16"/>
          <w:szCs w:val="16"/>
          <w:color w:val="auto"/>
        </w:rPr>
      </w:pPr>
    </w:p>
    <w:p>
      <w:pPr>
        <w:ind w:left="1" w:right="240" w:hanging="1"/>
        <w:spacing w:after="0" w:line="248" w:lineRule="auto"/>
        <w:tabs>
          <w:tab w:leader="none" w:pos="30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90" w:lineRule="exact"/>
        <w:rPr>
          <w:rFonts w:ascii="Arial" w:cs="Arial" w:eastAsia="Arial" w:hAnsi="Arial"/>
          <w:sz w:val="18"/>
          <w:szCs w:val="18"/>
          <w:color w:val="auto"/>
        </w:rPr>
      </w:pPr>
    </w:p>
    <w:p>
      <w:pPr>
        <w:ind w:left="1" w:firstLine="433"/>
        <w:spacing w:after="0" w:line="280" w:lineRule="auto"/>
        <w:tabs>
          <w:tab w:leader="none" w:pos="77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1"/>
          </w:cols>
          <w:pgMar w:left="519" w:top="273" w:right="539" w:bottom="1440" w:gutter="0" w:footer="0" w:header="0"/>
        </w:sectPr>
      </w:pPr>
    </w:p>
    <w:bookmarkStart w:id="264" w:name="page265"/>
    <w:bookmarkEnd w:id="264"/>
    <w:p>
      <w:pPr>
        <w:ind w:right="200" w:firstLine="433"/>
        <w:spacing w:after="0" w:line="335" w:lineRule="auto"/>
        <w:tabs>
          <w:tab w:leader="none" w:pos="695" w:val="left"/>
        </w:tabs>
        <w:numPr>
          <w:ilvl w:val="0"/>
          <w:numId w:val="17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34" w:lineRule="exact"/>
        <w:rPr>
          <w:rFonts w:ascii="Arial" w:cs="Arial" w:eastAsia="Arial" w:hAnsi="Arial"/>
          <w:sz w:val="14"/>
          <w:szCs w:val="14"/>
          <w:color w:val="auto"/>
        </w:rPr>
      </w:pPr>
    </w:p>
    <w:p>
      <w:pPr>
        <w:ind w:firstLine="433"/>
        <w:spacing w:after="0" w:line="280" w:lineRule="auto"/>
        <w:tabs>
          <w:tab w:leader="none" w:pos="87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would have any liability (each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 (D) 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Arial" w:cs="Arial" w:eastAsia="Arial" w:hAnsi="Arial"/>
          <w:sz w:val="16"/>
          <w:szCs w:val="16"/>
          <w:b w:val="1"/>
          <w:bCs w:val="1"/>
          <w:i w:val="1"/>
          <w:iCs w:val="1"/>
          <w:color w:val="auto"/>
        </w:rPr>
        <w:t>Multiemployer Plan</w:t>
      </w:r>
      <w:r>
        <w:rPr>
          <w:rFonts w:ascii="Arial" w:cs="Arial" w:eastAsia="Arial" w:hAnsi="Arial"/>
          <w:sz w:val="16"/>
          <w:szCs w:val="16"/>
          <w:color w:val="auto"/>
        </w:rPr>
        <w:t>”); (iv) no Multiemployer Plan is, or is expected to be, “insolvent” (within the meaning of Section 4245 of 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274" w:right="539" w:bottom="1440" w:gutter="0" w:footer="0" w:header="0"/>
        </w:sectPr>
      </w:pPr>
    </w:p>
    <w:bookmarkStart w:id="265" w:name="page266"/>
    <w:bookmarkEnd w:id="265"/>
    <w:p>
      <w:pPr>
        <w:ind w:right="460" w:firstLine="433"/>
        <w:spacing w:after="0" w:line="266" w:lineRule="auto"/>
        <w:tabs>
          <w:tab w:leader="none" w:pos="773"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statistical and market-related data included in the most recent Preliminary Prospectus are based on or derived from sources that the Company reasonably believes to be reliable in all material respects.</w:t>
      </w:r>
    </w:p>
    <w:p>
      <w:pPr>
        <w:spacing w:after="0" w:line="73" w:lineRule="exact"/>
        <w:rPr>
          <w:rFonts w:ascii="Arial" w:cs="Arial" w:eastAsia="Arial" w:hAnsi="Arial"/>
          <w:sz w:val="18"/>
          <w:szCs w:val="18"/>
          <w:color w:val="auto"/>
        </w:rPr>
      </w:pPr>
    </w:p>
    <w:p>
      <w:pPr>
        <w:ind w:right="20" w:firstLine="433"/>
        <w:spacing w:after="0" w:line="269" w:lineRule="auto"/>
        <w:tabs>
          <w:tab w:leader="none" w:pos="77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and as of the applicable Delivery Date and, after giving effect to the offer and sale of the Stock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7"/>
          <w:szCs w:val="17"/>
          <w:b w:val="1"/>
          <w:bCs w:val="1"/>
          <w:i w:val="1"/>
          <w:iCs w:val="1"/>
          <w:color w:val="auto"/>
        </w:rPr>
        <w:t>Investment Company Act</w:t>
      </w:r>
      <w:r>
        <w:rPr>
          <w:rFonts w:ascii="Arial" w:cs="Arial" w:eastAsia="Arial" w:hAnsi="Arial"/>
          <w:sz w:val="17"/>
          <w:szCs w:val="17"/>
          <w:color w:val="auto"/>
        </w:rPr>
        <w:t>”), and the rules and regulations of the Commission thereunder, or (ii) a “business development company” (as defined in Section 2(a)(48) of the Investment Company Act).</w:t>
      </w:r>
    </w:p>
    <w:p>
      <w:pPr>
        <w:spacing w:after="0" w:line="74" w:lineRule="exact"/>
        <w:rPr>
          <w:rFonts w:ascii="Arial" w:cs="Arial" w:eastAsia="Arial" w:hAnsi="Arial"/>
          <w:sz w:val="17"/>
          <w:szCs w:val="17"/>
          <w:color w:val="auto"/>
        </w:rPr>
      </w:pPr>
    </w:p>
    <w:p>
      <w:pPr>
        <w:ind w:right="40" w:firstLine="433"/>
        <w:spacing w:after="0" w:line="256" w:lineRule="auto"/>
        <w:tabs>
          <w:tab w:leader="none" w:pos="77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82" w:lineRule="exact"/>
        <w:rPr>
          <w:rFonts w:ascii="Arial" w:cs="Arial" w:eastAsia="Arial" w:hAnsi="Arial"/>
          <w:sz w:val="18"/>
          <w:szCs w:val="18"/>
          <w:color w:val="auto"/>
        </w:rPr>
      </w:pPr>
    </w:p>
    <w:p>
      <w:pPr>
        <w:ind w:right="120" w:firstLine="433"/>
        <w:spacing w:after="0" w:line="251" w:lineRule="auto"/>
        <w:tabs>
          <w:tab w:leader="none" w:pos="77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87" w:lineRule="exact"/>
        <w:rPr>
          <w:rFonts w:ascii="Arial" w:cs="Arial" w:eastAsia="Arial" w:hAnsi="Arial"/>
          <w:sz w:val="18"/>
          <w:szCs w:val="18"/>
          <w:color w:val="auto"/>
        </w:rPr>
      </w:pPr>
    </w:p>
    <w:p>
      <w:pPr>
        <w:ind w:right="260" w:firstLine="433"/>
        <w:spacing w:after="0" w:line="256" w:lineRule="auto"/>
        <w:tabs>
          <w:tab w:leader="none" w:pos="71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Stock.</w:t>
      </w:r>
    </w:p>
    <w:p>
      <w:pPr>
        <w:spacing w:after="0" w:line="82" w:lineRule="exact"/>
        <w:rPr>
          <w:rFonts w:ascii="Arial" w:cs="Arial" w:eastAsia="Arial" w:hAnsi="Arial"/>
          <w:sz w:val="18"/>
          <w:szCs w:val="18"/>
          <w:color w:val="auto"/>
        </w:rPr>
      </w:pPr>
    </w:p>
    <w:p>
      <w:pPr>
        <w:ind w:right="240" w:firstLine="433"/>
        <w:spacing w:after="0" w:line="266" w:lineRule="auto"/>
        <w:tabs>
          <w:tab w:leader="none" w:pos="73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73" w:lineRule="exact"/>
        <w:rPr>
          <w:rFonts w:ascii="Arial" w:cs="Arial" w:eastAsia="Arial" w:hAnsi="Arial"/>
          <w:sz w:val="18"/>
          <w:szCs w:val="18"/>
          <w:color w:val="auto"/>
        </w:rPr>
      </w:pPr>
    </w:p>
    <w:p>
      <w:pPr>
        <w:ind w:right="20" w:firstLine="433"/>
        <w:spacing w:after="0" w:line="256"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constitute, or that has constituted, or that could reasonably be expected to cause or result in the stabilization or manipulation of the price of any security of the Company in connection with the offering of the shares of the Stock.</w:t>
      </w:r>
    </w:p>
    <w:p>
      <w:pPr>
        <w:spacing w:after="0" w:line="82" w:lineRule="exact"/>
        <w:rPr>
          <w:rFonts w:ascii="Arial" w:cs="Arial" w:eastAsia="Arial" w:hAnsi="Arial"/>
          <w:sz w:val="18"/>
          <w:szCs w:val="18"/>
          <w:color w:val="auto"/>
        </w:rPr>
      </w:pPr>
    </w:p>
    <w:p>
      <w:pPr>
        <w:ind w:left="780" w:hanging="347"/>
        <w:spacing w:after="0"/>
        <w:tabs>
          <w:tab w:leader="none" w:pos="7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Stock has been approved for listing, subject to official notice of issuance and evidence of satisfactory distribution on the New York Stock</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w:t>
      </w:r>
    </w:p>
    <w:p>
      <w:pPr>
        <w:spacing w:after="0" w:line="100" w:lineRule="exact"/>
        <w:rPr>
          <w:rFonts w:ascii="Arial" w:cs="Arial" w:eastAsia="Arial" w:hAnsi="Arial"/>
          <w:sz w:val="16"/>
          <w:szCs w:val="16"/>
          <w:color w:val="auto"/>
        </w:rPr>
      </w:pPr>
    </w:p>
    <w:p>
      <w:pPr>
        <w:ind w:firstLine="433"/>
        <w:spacing w:after="0" w:line="269" w:lineRule="auto"/>
        <w:tabs>
          <w:tab w:leader="none" w:pos="77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Company has not distributed and, prior to the later to occur of any Delivery Date and completion of the distribution of the Stock, will not distribute any offering material in connection with the offering and sale of the Stock other than any Preliminary Prospectus, the Prospectus, any Issuer Free Writing Prospectus to which the Representatives have consented in accordance with Section 1(l) or 5(a)(vi) and any Issuer Free Writing Prospectus set forth on Schedule VI hereto and, in connection with the Directed Share Program described in Section 3, the enrollment materials prepared by Morgan Stanley Co. LLC (“</w:t>
      </w:r>
      <w:r>
        <w:rPr>
          <w:rFonts w:ascii="Arial" w:cs="Arial" w:eastAsia="Arial" w:hAnsi="Arial"/>
          <w:sz w:val="17"/>
          <w:szCs w:val="17"/>
          <w:b w:val="1"/>
          <w:bCs w:val="1"/>
          <w:color w:val="auto"/>
        </w:rPr>
        <w:t>Morgan Stanley</w:t>
      </w:r>
      <w:r>
        <w:rPr>
          <w:rFonts w:ascii="Arial" w:cs="Arial" w:eastAsia="Arial" w:hAnsi="Arial"/>
          <w:sz w:val="17"/>
          <w:szCs w:val="17"/>
          <w:color w:val="auto"/>
        </w:rPr>
        <w:t>”) on behalf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520" w:top="274" w:right="559" w:bottom="1440" w:gutter="0" w:footer="0" w:header="0"/>
        </w:sectPr>
      </w:pPr>
    </w:p>
    <w:bookmarkStart w:id="266" w:name="page267"/>
    <w:bookmarkEnd w:id="266"/>
    <w:p>
      <w:pPr>
        <w:ind w:left="860" w:hanging="427"/>
        <w:spacing w:after="0"/>
        <w:tabs>
          <w:tab w:leader="none" w:pos="8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[Reserved]</w:t>
      </w:r>
    </w:p>
    <w:p>
      <w:pPr>
        <w:spacing w:after="0" w:line="112" w:lineRule="exact"/>
        <w:rPr>
          <w:rFonts w:ascii="Arial" w:cs="Arial" w:eastAsia="Arial" w:hAnsi="Arial"/>
          <w:sz w:val="18"/>
          <w:szCs w:val="18"/>
          <w:color w:val="auto"/>
        </w:rPr>
      </w:pPr>
    </w:p>
    <w:p>
      <w:pPr>
        <w:ind w:firstLine="433"/>
        <w:spacing w:after="0" w:line="282" w:lineRule="auto"/>
        <w:tabs>
          <w:tab w:leader="none" w:pos="77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or domestic government official; or (iii) violated or is in violation of any provision of the FCPA, the Bribery Act 2010 of the United Kingdom, as amended (the “</w:t>
      </w:r>
      <w:r>
        <w:rPr>
          <w:rFonts w:ascii="Arial" w:cs="Arial" w:eastAsia="Arial" w:hAnsi="Arial"/>
          <w:sz w:val="16"/>
          <w:szCs w:val="16"/>
          <w:b w:val="1"/>
          <w:bCs w:val="1"/>
          <w:i w:val="1"/>
          <w:iCs w:val="1"/>
          <w:color w:val="auto"/>
        </w:rPr>
        <w:t>Bribery Act 2010</w:t>
      </w:r>
      <w:r>
        <w:rPr>
          <w:rFonts w:ascii="Arial" w:cs="Arial" w:eastAsia="Arial" w:hAnsi="Arial"/>
          <w:sz w:val="16"/>
          <w:szCs w:val="16"/>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65" w:lineRule="exact"/>
        <w:rPr>
          <w:rFonts w:ascii="Arial" w:cs="Arial" w:eastAsia="Arial" w:hAnsi="Arial"/>
          <w:sz w:val="16"/>
          <w:szCs w:val="16"/>
          <w:color w:val="auto"/>
        </w:rPr>
      </w:pPr>
    </w:p>
    <w:p>
      <w:pPr>
        <w:ind w:right="100" w:firstLine="433"/>
        <w:spacing w:after="0" w:line="267" w:lineRule="auto"/>
        <w:tabs>
          <w:tab w:leader="none" w:pos="77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73" w:lineRule="exact"/>
        <w:rPr>
          <w:rFonts w:ascii="Arial" w:cs="Arial" w:eastAsia="Arial" w:hAnsi="Arial"/>
          <w:sz w:val="17"/>
          <w:szCs w:val="17"/>
          <w:color w:val="auto"/>
        </w:rPr>
      </w:pPr>
    </w:p>
    <w:p>
      <w:pPr>
        <w:ind w:firstLine="433"/>
        <w:spacing w:after="0" w:line="267" w:lineRule="auto"/>
        <w:tabs>
          <w:tab w:leader="none" w:pos="75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(“Person”)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or (ii) located, organized or resident in a country or territory that is the subject or target of Sanctions (including, without limitation, Cuba, Iran, North Korea, Syria and Crimea); and the Company will not directly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520" w:top="273" w:right="539" w:bottom="1440" w:gutter="0" w:footer="0" w:header="0"/>
        </w:sectPr>
      </w:pPr>
    </w:p>
    <w:bookmarkStart w:id="267" w:name="page268"/>
    <w:bookmarkEnd w:id="267"/>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63" w:lineRule="exact"/>
        <w:rPr>
          <w:sz w:val="20"/>
          <w:szCs w:val="20"/>
          <w:color w:val="auto"/>
        </w:rPr>
      </w:pPr>
    </w:p>
    <w:p>
      <w:pPr>
        <w:ind w:right="60" w:firstLine="433"/>
        <w:spacing w:after="0" w:line="272" w:lineRule="auto"/>
        <w:tabs>
          <w:tab w:leader="none" w:pos="83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Registration Statement, the Preliminary Prospectus, the Prospectus and any Issuer Free Writing Prospectus comply, and any amendments or supplements thereto will comply, with any applicable laws or regulations of foreign jurisdictions in which the Preliminary Prospectus, the Prospectus or any Issuer Free Writing Prospectus, as amended or supplemented, if applicable, are distributed in connection with the Directed Share Program (as defined in Section 3).</w:t>
      </w:r>
    </w:p>
    <w:p>
      <w:pPr>
        <w:spacing w:after="0" w:line="71" w:lineRule="exact"/>
        <w:rPr>
          <w:rFonts w:ascii="Arial" w:cs="Arial" w:eastAsia="Arial" w:hAnsi="Arial"/>
          <w:sz w:val="17"/>
          <w:szCs w:val="17"/>
          <w:color w:val="auto"/>
        </w:rPr>
      </w:pPr>
    </w:p>
    <w:p>
      <w:pPr>
        <w:ind w:firstLine="433"/>
        <w:spacing w:after="0" w:line="329" w:lineRule="auto"/>
        <w:tabs>
          <w:tab w:leader="none" w:pos="8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 consent, approval, authorization or order of, or qualification with, any governmental body or agency, other than those obtained, is required in connection with the offering of the Directed Shares (as defined in Section 3) in any jurisdiction where the Directed Shares are being offered.</w:t>
      </w:r>
    </w:p>
    <w:p>
      <w:pPr>
        <w:spacing w:after="0" w:line="27" w:lineRule="exact"/>
        <w:rPr>
          <w:rFonts w:ascii="Arial" w:cs="Arial" w:eastAsia="Arial" w:hAnsi="Arial"/>
          <w:sz w:val="16"/>
          <w:szCs w:val="16"/>
          <w:color w:val="auto"/>
        </w:rPr>
      </w:pPr>
    </w:p>
    <w:p>
      <w:pPr>
        <w:ind w:right="240" w:firstLine="433"/>
        <w:spacing w:after="0" w:line="253" w:lineRule="auto"/>
        <w:tabs>
          <w:tab w:leader="none" w:pos="83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has not offered, or caused Morgan Stanley or any Morgan Stanley Entity (as defined in Section 9) to offer, Stock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its business or its products.</w:t>
      </w:r>
    </w:p>
    <w:p>
      <w:pPr>
        <w:spacing w:after="0" w:line="84" w:lineRule="exact"/>
        <w:rPr>
          <w:rFonts w:ascii="Arial" w:cs="Arial" w:eastAsia="Arial" w:hAnsi="Arial"/>
          <w:sz w:val="18"/>
          <w:szCs w:val="18"/>
          <w:color w:val="auto"/>
        </w:rPr>
      </w:pPr>
    </w:p>
    <w:p>
      <w:pPr>
        <w:ind w:firstLine="433"/>
        <w:spacing w:after="0" w:line="282" w:lineRule="auto"/>
        <w:tabs>
          <w:tab w:leader="none" w:pos="8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 are adequate for the operation of the business of the Company or its subsidiaries as currently conducted, free and clear, to the knowledge of the Company,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and, except as would not, individually or in the aggregate, reasonably be expected to have a Material Adverse Effect, there has been no breach, violation, outage, disablement, loss, destruction or unauthorized use, access, distribution or modification of or to any IT System or Personal Data of the Company or its subsidiaries.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520" w:top="274" w:right="619" w:bottom="1440" w:gutter="0" w:footer="0" w:header="0"/>
        </w:sectPr>
      </w:pPr>
    </w:p>
    <w:bookmarkStart w:id="268" w:name="page269"/>
    <w:bookmarkEnd w:id="268"/>
    <w:p>
      <w:pPr>
        <w:ind w:right="40" w:firstLine="433"/>
        <w:spacing w:after="0" w:line="265" w:lineRule="auto"/>
        <w:tabs>
          <w:tab w:leader="none" w:pos="832" w:val="left"/>
        </w:tabs>
        <w:numPr>
          <w:ilvl w:val="0"/>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and each of its subsidiaries are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Arial" w:cs="Arial" w:eastAsia="Arial" w:hAnsi="Arial"/>
          <w:sz w:val="17"/>
          <w:szCs w:val="17"/>
          <w:b w:val="1"/>
          <w:bCs w:val="1"/>
          <w:i w:val="1"/>
          <w:iCs w:val="1"/>
          <w:color w:val="auto"/>
        </w:rPr>
        <w:t>Privacy Obligations</w:t>
      </w:r>
      <w:r>
        <w:rPr>
          <w:rFonts w:ascii="Arial" w:cs="Arial" w:eastAsia="Arial" w:hAnsi="Arial"/>
          <w:sz w:val="17"/>
          <w:szCs w:val="17"/>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Since January 1, 2018,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78" w:lineRule="exact"/>
        <w:rPr>
          <w:rFonts w:ascii="Arial" w:cs="Arial" w:eastAsia="Arial" w:hAnsi="Arial"/>
          <w:sz w:val="17"/>
          <w:szCs w:val="17"/>
          <w:color w:val="auto"/>
        </w:rPr>
      </w:pPr>
    </w:p>
    <w:p>
      <w:pPr>
        <w:ind w:left="760" w:hanging="327"/>
        <w:spacing w:after="0"/>
        <w:tabs>
          <w:tab w:leader="none" w:pos="7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40" w:firstLine="433"/>
        <w:spacing w:after="0" w:line="251" w:lineRule="auto"/>
        <w:tabs>
          <w:tab w:leader="none" w:pos="8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There are no affiliations or associations between (i) any member of FINRA and (ii) the Company or, to the knowledge of the Company, any of the Company’s officers, directors or 5% or greater security holders or any beneficial owner of the Company’s unregistered equity securities that were acquired at any time on or after the 180</w:t>
      </w:r>
      <w:r>
        <w:rPr>
          <w:rFonts w:ascii="Arial" w:cs="Arial" w:eastAsia="Arial" w:hAnsi="Arial"/>
          <w:sz w:val="15"/>
          <w:szCs w:val="15"/>
          <w:color w:val="auto"/>
        </w:rPr>
        <w:t>th</w:t>
      </w:r>
      <w:r>
        <w:rPr>
          <w:rFonts w:ascii="Arial" w:cs="Arial" w:eastAsia="Arial" w:hAnsi="Arial"/>
          <w:sz w:val="18"/>
          <w:szCs w:val="18"/>
          <w:color w:val="auto"/>
        </w:rPr>
        <w:t xml:space="preserve"> day immediately preceding the date the Registration Statement was initially filed with the Commission, except as disclosed in the Registration Statement (excluding the exhibits thereto), the Pricing Disclosure Package and the Prospectus or as otherwise disclosed to the Underwriters.</w:t>
      </w:r>
    </w:p>
    <w:p>
      <w:pPr>
        <w:spacing w:after="0" w:line="87" w:lineRule="exact"/>
        <w:rPr>
          <w:rFonts w:ascii="Arial" w:cs="Arial" w:eastAsia="Arial" w:hAnsi="Arial"/>
          <w:sz w:val="18"/>
          <w:szCs w:val="18"/>
          <w:color w:val="auto"/>
        </w:rPr>
      </w:pPr>
    </w:p>
    <w:p>
      <w:pPr>
        <w:ind w:firstLine="433"/>
        <w:spacing w:after="0" w:line="264" w:lineRule="auto"/>
        <w:tabs>
          <w:tab w:leader="none" w:pos="86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Arial" w:cs="Arial" w:eastAsia="Arial" w:hAnsi="Arial"/>
          <w:sz w:val="17"/>
          <w:szCs w:val="17"/>
          <w:b w:val="1"/>
          <w:bCs w:val="1"/>
          <w:i w:val="1"/>
          <w:iCs w:val="1"/>
          <w:color w:val="auto"/>
        </w:rPr>
        <w:t>FAA</w:t>
      </w:r>
      <w:r>
        <w:rPr>
          <w:rFonts w:ascii="Arial" w:cs="Arial" w:eastAsia="Arial" w:hAnsi="Arial"/>
          <w:sz w:val="17"/>
          <w:szCs w:val="17"/>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Disclosure Package and the Prospectus (exclusive of any supplement thereto).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520" w:top="273" w:right="539" w:bottom="1440" w:gutter="0" w:footer="0" w:header="0"/>
        </w:sectPr>
      </w:pPr>
    </w:p>
    <w:bookmarkStart w:id="269" w:name="page270"/>
    <w:bookmarkEnd w:id="269"/>
    <w:p>
      <w:pPr>
        <w:ind w:right="160" w:firstLine="433"/>
        <w:spacing w:after="0" w:line="284" w:lineRule="auto"/>
        <w:tabs>
          <w:tab w:leader="none" w:pos="744"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“Governmental Licenses”),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 (x) 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66" w:lineRule="exact"/>
        <w:rPr>
          <w:rFonts w:ascii="Arial" w:cs="Arial" w:eastAsia="Arial" w:hAnsi="Arial"/>
          <w:sz w:val="16"/>
          <w:szCs w:val="16"/>
          <w:color w:val="auto"/>
        </w:rPr>
      </w:pPr>
    </w:p>
    <w:p>
      <w:pPr>
        <w:ind w:right="40" w:firstLine="433"/>
        <w:spacing w:after="0" w:line="296" w:lineRule="auto"/>
        <w:tabs>
          <w:tab w:leader="none" w:pos="74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50" w:lineRule="exact"/>
        <w:rPr>
          <w:sz w:val="20"/>
          <w:szCs w:val="20"/>
          <w:color w:val="auto"/>
        </w:rPr>
      </w:pPr>
    </w:p>
    <w:p>
      <w:pPr>
        <w:ind w:right="520"/>
        <w:spacing w:after="0" w:line="329"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Stock shall be deemed a representation and warranty by the Company, as to matters covered thereby, to each Underwriter.</w:t>
      </w:r>
    </w:p>
    <w:p>
      <w:pPr>
        <w:spacing w:after="0" w:line="134" w:lineRule="exact"/>
        <w:rPr>
          <w:sz w:val="20"/>
          <w:szCs w:val="20"/>
          <w:color w:val="auto"/>
        </w:rPr>
      </w:pPr>
    </w:p>
    <w:p>
      <w:pPr>
        <w:ind w:firstLine="976"/>
        <w:spacing w:after="0" w:line="266" w:lineRule="auto"/>
        <w:tabs>
          <w:tab w:leader="none" w:pos="1154"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Purchase of the Stock by the Underwriters</w:t>
      </w:r>
      <w:r>
        <w:rPr>
          <w:rFonts w:ascii="Arial" w:cs="Arial" w:eastAsia="Arial" w:hAnsi="Arial"/>
          <w:sz w:val="17"/>
          <w:szCs w:val="17"/>
          <w:color w:val="auto"/>
        </w:rPr>
        <w:t>. On the basis of the representations, warranties and covenants contained in,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of, this Agreement, the Company agrees to issue and sell [•] shares of the Firm Stock to the several Underwriters, and each of the Underwriters, severally and not jointly, agrees to purchase the number of shares of the Firm Stock set forth opposite that Underwriter’s name in Schedule I hereto. Each Underwriter shall be obligated to purchase from the Company that number of shares of the Firm Stock that represents the same proportion of the number of shares of the Firm Stock to be sold by the Company as the number of shares of the Firm Stock set forth opposite the name of such Underwriter in Schedule I represents to the total number of shares of the Firm Stock to be purchased by all of the Underwriters pursuant to this Agreement. The respective purchase obligations of the Underwriters with respect to the Firm Stock shall be rounded among the Underwriters to avoid fractional shares, as the Representatives may determine.</w:t>
      </w:r>
    </w:p>
    <w:p>
      <w:pPr>
        <w:spacing w:after="0" w:line="181" w:lineRule="exact"/>
        <w:rPr>
          <w:sz w:val="20"/>
          <w:szCs w:val="20"/>
          <w:color w:val="auto"/>
        </w:rPr>
      </w:pPr>
    </w:p>
    <w:p>
      <w:pPr>
        <w:ind w:firstLine="976"/>
        <w:spacing w:after="0" w:line="286" w:lineRule="auto"/>
        <w:rPr>
          <w:sz w:val="20"/>
          <w:szCs w:val="20"/>
          <w:color w:val="auto"/>
        </w:rPr>
      </w:pPr>
      <w:r>
        <w:rPr>
          <w:rFonts w:ascii="Arial" w:cs="Arial" w:eastAsia="Arial" w:hAnsi="Arial"/>
          <w:sz w:val="16"/>
          <w:szCs w:val="16"/>
          <w:color w:val="auto"/>
        </w:rPr>
        <w:t xml:space="preserve">In addition, the Company grants to the Underwriters an option to purchase up to [•] additional shares of Option Stock. Such option is exercisable in the event that the Underwriters sell more shares of Common Stock than the number of shares of Firm Stock in the offering and as set forth in Section 4 hereof. Each Underwriter agrees, severally and not jointly, to purchase the number of shares of Option Stock (subject to such adjustments to eliminate fractional shares as the Representatives may determine) that bears the same proportion to the total number of shares of Option Stock to be sold on such Delivery Date as the number of shares of Firm Stock set forth in Schedule I hereto opposite the name of such Underwriter bears to the total number of shares of Firm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amount paid by the Underwriters for any Option Stock shall be reduced by an amount per share equal to any dividends declared by the Company and payable on the Firm Shares but not payable on such Option Stock.</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purchase price payable by the Underwriters for both the Firm Stock and any Option Stock is $[•] per share.</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0"/>
          </w:cols>
          <w:pgMar w:left="520" w:top="274" w:right="559" w:bottom="1440" w:gutter="0" w:footer="0" w:header="0"/>
        </w:sectPr>
      </w:pPr>
    </w:p>
    <w:bookmarkStart w:id="270" w:name="page271"/>
    <w:bookmarkEnd w:id="270"/>
    <w:p>
      <w:pPr>
        <w:ind w:right="28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is not obligated to deliver any of the Firm Stock or Option Stock to be delivered on the applicable Delivery Date, except upon payment for all such Stock to be purchased on such Delivery Date as provided herein.</w:t>
      </w:r>
    </w:p>
    <w:p>
      <w:pPr>
        <w:spacing w:after="0" w:line="179" w:lineRule="exact"/>
        <w:rPr>
          <w:sz w:val="20"/>
          <w:szCs w:val="20"/>
          <w:color w:val="auto"/>
        </w:rPr>
      </w:pPr>
    </w:p>
    <w:p>
      <w:pPr>
        <w:ind w:right="760" w:firstLine="976"/>
        <w:spacing w:after="0" w:line="296" w:lineRule="auto"/>
        <w:tabs>
          <w:tab w:leader="none" w:pos="1154"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Offering of Stock by the Underwriters</w:t>
      </w:r>
      <w:r>
        <w:rPr>
          <w:rFonts w:ascii="Arial" w:cs="Arial" w:eastAsia="Arial" w:hAnsi="Arial"/>
          <w:sz w:val="17"/>
          <w:szCs w:val="17"/>
          <w:color w:val="auto"/>
        </w:rPr>
        <w:t>. Upon authorization by the Representatives of the release of the Firm Stock,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propose to offer the Firm Stock for sale upon the terms and conditions to be set forth in the Prospectus.</w:t>
      </w:r>
    </w:p>
    <w:p>
      <w:pPr>
        <w:spacing w:after="0" w:line="156" w:lineRule="exact"/>
        <w:rPr>
          <w:sz w:val="20"/>
          <w:szCs w:val="20"/>
          <w:color w:val="auto"/>
        </w:rPr>
      </w:pPr>
    </w:p>
    <w:p>
      <w:pPr>
        <w:ind w:firstLine="976"/>
        <w:spacing w:after="0" w:line="265" w:lineRule="auto"/>
        <w:rPr>
          <w:sz w:val="20"/>
          <w:szCs w:val="20"/>
          <w:color w:val="auto"/>
        </w:rPr>
      </w:pPr>
      <w:r>
        <w:rPr>
          <w:rFonts w:ascii="Arial" w:cs="Arial" w:eastAsia="Arial" w:hAnsi="Arial"/>
          <w:sz w:val="17"/>
          <w:szCs w:val="17"/>
          <w:color w:val="auto"/>
        </w:rPr>
        <w:t>It is understood that approximately [•] shares of the Firm Stock (the “</w:t>
      </w:r>
      <w:r>
        <w:rPr>
          <w:rFonts w:ascii="Arial" w:cs="Arial" w:eastAsia="Arial" w:hAnsi="Arial"/>
          <w:sz w:val="17"/>
          <w:szCs w:val="17"/>
          <w:b w:val="1"/>
          <w:bCs w:val="1"/>
          <w:i w:val="1"/>
          <w:iCs w:val="1"/>
          <w:color w:val="auto"/>
        </w:rPr>
        <w:t>Directed Shares</w:t>
      </w:r>
      <w:r>
        <w:rPr>
          <w:rFonts w:ascii="Arial" w:cs="Arial" w:eastAsia="Arial" w:hAnsi="Arial"/>
          <w:sz w:val="17"/>
          <w:szCs w:val="17"/>
          <w:color w:val="auto"/>
        </w:rPr>
        <w:t>”) will initially be reserved by the several Underwriters for offer and sale upon the terms and conditions to be set forth in the most recent Preliminary Prospectus and in accordance with the rules and regulations of FINRA to the Company’s directors, officers, employees and business associates and other parties related to the Company (collectively, “</w:t>
      </w:r>
      <w:r>
        <w:rPr>
          <w:rFonts w:ascii="Arial" w:cs="Arial" w:eastAsia="Arial" w:hAnsi="Arial"/>
          <w:sz w:val="17"/>
          <w:szCs w:val="17"/>
          <w:b w:val="1"/>
          <w:bCs w:val="1"/>
          <w:color w:val="auto"/>
        </w:rPr>
        <w:t>Participants</w:t>
      </w:r>
      <w:r>
        <w:rPr>
          <w:rFonts w:ascii="Arial" w:cs="Arial" w:eastAsia="Arial" w:hAnsi="Arial"/>
          <w:sz w:val="17"/>
          <w:szCs w:val="17"/>
          <w:color w:val="auto"/>
        </w:rPr>
        <w:t>”) who have heretofore delivered to Morgan Stanley offers [or indications of interest] to purchase shares of Firm Stock in form satisfactory to Morgan Stanley (such program, the “</w:t>
      </w:r>
      <w:r>
        <w:rPr>
          <w:rFonts w:ascii="Arial" w:cs="Arial" w:eastAsia="Arial" w:hAnsi="Arial"/>
          <w:sz w:val="17"/>
          <w:szCs w:val="17"/>
          <w:b w:val="1"/>
          <w:bCs w:val="1"/>
          <w:i w:val="1"/>
          <w:iCs w:val="1"/>
          <w:color w:val="auto"/>
        </w:rPr>
        <w:t>Directed Share Program</w:t>
      </w:r>
      <w:r>
        <w:rPr>
          <w:rFonts w:ascii="Arial" w:cs="Arial" w:eastAsia="Arial" w:hAnsi="Arial"/>
          <w:sz w:val="17"/>
          <w:szCs w:val="17"/>
          <w:color w:val="auto"/>
        </w:rPr>
        <w:t xml:space="preserve">”) and that any allocation of such Firm Stock among such persons will be made in accordance with timely directions received by Morgan Stanley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under no circumstances will Morgan Stanley or any Underwriter be liable to the Company or to any such person for any action taken or omitted in good faith in connection with such Directed Share Program. Any Directed Shares not affirmatively confirmed for purchase by any Participant by the end of the business day on which this Agreement is executed will be offered to the public by the Underwriters as set forth in the Prospectus.</w:t>
      </w:r>
    </w:p>
    <w:p>
      <w:pPr>
        <w:spacing w:after="0" w:line="185" w:lineRule="exact"/>
        <w:rPr>
          <w:sz w:val="20"/>
          <w:szCs w:val="20"/>
          <w:color w:val="auto"/>
        </w:rPr>
      </w:pPr>
    </w:p>
    <w:p>
      <w:pPr>
        <w:ind w:right="180" w:firstLine="976"/>
        <w:spacing w:after="0" w:line="266" w:lineRule="auto"/>
        <w:rPr>
          <w:sz w:val="20"/>
          <w:szCs w:val="20"/>
          <w:color w:val="auto"/>
        </w:rPr>
      </w:pPr>
      <w:r>
        <w:rPr>
          <w:rFonts w:ascii="Arial" w:cs="Arial" w:eastAsia="Arial" w:hAnsi="Arial"/>
          <w:sz w:val="18"/>
          <w:szCs w:val="18"/>
          <w:color w:val="auto"/>
        </w:rPr>
        <w:t>The Company agrees to pay all fees and disbursements incurred by the Underwriters in connection with the Directed Share Program and any stamp duties or other taxes incurred by the Underwriters in connection with the Directed Share Program.</w:t>
      </w:r>
    </w:p>
    <w:p>
      <w:pPr>
        <w:spacing w:after="0" w:line="179" w:lineRule="exact"/>
        <w:rPr>
          <w:sz w:val="20"/>
          <w:szCs w:val="20"/>
          <w:color w:val="auto"/>
        </w:rPr>
      </w:pPr>
    </w:p>
    <w:p>
      <w:pPr>
        <w:ind w:right="20" w:firstLine="976"/>
        <w:spacing w:after="0" w:line="266" w:lineRule="auto"/>
        <w:tabs>
          <w:tab w:leader="none" w:pos="1154"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Delivery of and Payment for the Stock. </w:t>
      </w:r>
      <w:r>
        <w:rPr>
          <w:rFonts w:ascii="Arial" w:cs="Arial" w:eastAsia="Arial" w:hAnsi="Arial"/>
          <w:sz w:val="17"/>
          <w:szCs w:val="17"/>
          <w:color w:val="auto"/>
        </w:rPr>
        <w:t>Delivery of and payment for the Firm Stock shall be made at [10:00] A.M., New York City time,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second 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7"/>
          <w:szCs w:val="17"/>
          <w:b w:val="1"/>
          <w:bCs w:val="1"/>
          <w:i w:val="1"/>
          <w:iCs w:val="1"/>
          <w:color w:val="auto"/>
        </w:rPr>
        <w:t>Initial Delivery Date</w:t>
      </w:r>
      <w:r>
        <w:rPr>
          <w:rFonts w:ascii="Arial" w:cs="Arial" w:eastAsia="Arial" w:hAnsi="Arial"/>
          <w:sz w:val="17"/>
          <w:szCs w:val="17"/>
          <w:color w:val="auto"/>
        </w:rPr>
        <w:t>”. Delivery of the Firm Stock shall be made to the Representatives for the account of each Underwriter against payment by the several Underwriters through the Representatives and of the respective aggregate purchase prices of the Firm Stock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Stock through the facilities of DTC unless the Representatives shall otherwise instruct.</w:t>
      </w:r>
    </w:p>
    <w:p>
      <w:pPr>
        <w:spacing w:after="0" w:line="181" w:lineRule="exact"/>
        <w:rPr>
          <w:sz w:val="20"/>
          <w:szCs w:val="20"/>
          <w:color w:val="auto"/>
        </w:rPr>
      </w:pPr>
    </w:p>
    <w:p>
      <w:pPr>
        <w:ind w:right="20" w:firstLine="976"/>
        <w:spacing w:after="0" w:line="269" w:lineRule="auto"/>
        <w:rPr>
          <w:sz w:val="20"/>
          <w:szCs w:val="20"/>
          <w:color w:val="auto"/>
        </w:rPr>
      </w:pPr>
      <w:r>
        <w:rPr>
          <w:rFonts w:ascii="Arial" w:cs="Arial" w:eastAsia="Arial" w:hAnsi="Arial"/>
          <w:sz w:val="17"/>
          <w:szCs w:val="17"/>
          <w:color w:val="auto"/>
        </w:rPr>
        <w:t xml:space="preserve">The option granted in Section 2 will expire 30 days after the date of this Agreement and may be exercised in whole or from time to time in part by written notice being given to the Company by the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date falls on a day that is not a business day, the options granted in Section 2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520" w:top="273" w:right="539" w:bottom="1440" w:gutter="0" w:footer="0" w:header="0"/>
        </w:sectPr>
      </w:pPr>
    </w:p>
    <w:bookmarkStart w:id="271" w:name="page272"/>
    <w:bookmarkEnd w:id="271"/>
    <w:p>
      <w:pPr>
        <w:ind w:right="100"/>
        <w:spacing w:after="0" w:line="34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Representatives, when the shares of Option Stock are to be delivered; </w:t>
      </w:r>
      <w:r>
        <w:rPr>
          <w:rFonts w:ascii="Arial" w:cs="Arial" w:eastAsia="Arial" w:hAnsi="Arial"/>
          <w:sz w:val="14"/>
          <w:szCs w:val="14"/>
          <w:i w:val="1"/>
          <w:iCs w:val="1"/>
          <w:color w:val="auto"/>
        </w:rPr>
        <w:t>provided, however</w:t>
      </w:r>
      <w:r>
        <w:rPr>
          <w:rFonts w:ascii="Arial" w:cs="Arial" w:eastAsia="Arial" w:hAnsi="Arial"/>
          <w:sz w:val="14"/>
          <w:szCs w:val="14"/>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shares of Option Stock are delivered is sometimes referred to as an “</w:t>
      </w:r>
      <w:r>
        <w:rPr>
          <w:rFonts w:ascii="Arial" w:cs="Arial" w:eastAsia="Arial" w:hAnsi="Arial"/>
          <w:sz w:val="14"/>
          <w:szCs w:val="14"/>
          <w:b w:val="1"/>
          <w:bCs w:val="1"/>
          <w:i w:val="1"/>
          <w:iCs w:val="1"/>
          <w:color w:val="auto"/>
        </w:rPr>
        <w:t>Option Stock Delivery Date</w:t>
      </w:r>
      <w:r>
        <w:rPr>
          <w:rFonts w:ascii="Arial" w:cs="Arial" w:eastAsia="Arial" w:hAnsi="Arial"/>
          <w:sz w:val="14"/>
          <w:szCs w:val="14"/>
          <w:color w:val="auto"/>
        </w:rPr>
        <w:t>”, and the Initial Delivery Date and any Option Stock Delivery Date are sometimes each referred to as a “</w:t>
      </w:r>
      <w:r>
        <w:rPr>
          <w:rFonts w:ascii="Arial" w:cs="Arial" w:eastAsia="Arial" w:hAnsi="Arial"/>
          <w:sz w:val="14"/>
          <w:szCs w:val="14"/>
          <w:b w:val="1"/>
          <w:bCs w:val="1"/>
          <w:i w:val="1"/>
          <w:iCs w:val="1"/>
          <w:color w:val="auto"/>
        </w:rPr>
        <w:t>Delivery Date</w:t>
      </w:r>
      <w:r>
        <w:rPr>
          <w:rFonts w:ascii="Arial" w:cs="Arial" w:eastAsia="Arial" w:hAnsi="Arial"/>
          <w:sz w:val="14"/>
          <w:szCs w:val="14"/>
          <w:color w:val="auto"/>
        </w:rPr>
        <w:t>”.</w:t>
      </w:r>
    </w:p>
    <w:p>
      <w:pPr>
        <w:spacing w:after="0" w:line="130" w:lineRule="exact"/>
        <w:rPr>
          <w:sz w:val="20"/>
          <w:szCs w:val="20"/>
          <w:color w:val="auto"/>
        </w:rPr>
      </w:pPr>
    </w:p>
    <w:p>
      <w:pPr>
        <w:ind w:right="100" w:firstLine="976"/>
        <w:spacing w:after="0" w:line="284" w:lineRule="auto"/>
        <w:rPr>
          <w:sz w:val="20"/>
          <w:szCs w:val="20"/>
          <w:color w:val="auto"/>
        </w:rPr>
      </w:pPr>
      <w:r>
        <w:rPr>
          <w:rFonts w:ascii="Arial" w:cs="Arial" w:eastAsia="Arial" w:hAnsi="Arial"/>
          <w:sz w:val="16"/>
          <w:szCs w:val="16"/>
          <w:color w:val="auto"/>
        </w:rPr>
        <w:t>Delivery of the Option Stock by the Company and payment for the Option Stock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Stock Delivery Date, the Company shall deliver, or cause to be delivered, the Option Stock, to the Representatives for the account of each Underwriter, against payment by the several Underwriters through the Representatives and of the respective aggregate purchase prices of the Option Stock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Stock through the facilities of DTC unless the Representatives shall otherwise instruct.</w:t>
      </w:r>
    </w:p>
    <w:p>
      <w:pPr>
        <w:spacing w:after="0" w:line="173" w:lineRule="exact"/>
        <w:rPr>
          <w:sz w:val="20"/>
          <w:szCs w:val="20"/>
          <w:color w:val="auto"/>
        </w:rPr>
      </w:pPr>
    </w:p>
    <w:p>
      <w:pPr>
        <w:ind w:left="1160" w:hanging="184"/>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112" w:lineRule="exact"/>
        <w:rPr>
          <w:sz w:val="20"/>
          <w:szCs w:val="20"/>
          <w:color w:val="auto"/>
        </w:rPr>
      </w:pPr>
    </w:p>
    <w:p>
      <w:pPr>
        <w:ind w:left="440" w:firstLine="514"/>
        <w:spacing w:after="0" w:line="281" w:lineRule="auto"/>
        <w:tabs>
          <w:tab w:leader="none" w:pos="117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upon reasonable written request; to advise the Representatives, promptly after it receives notice thereof, of the issuance by the Commission of any stop order or of any order preventing or suspending the use of the Registration Statement, the Prospectus or any Issuer Free Writing Prospectus, of the suspension of the qualification of the Stock for offering or sale in any jurisdiction, of the initiation or threatening of any proceeding or examination for any such purpose or pursuant to Section 8A of the Securities Act,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Registration Statement, the Prospectus or any Issuer Free Writing Prospectus or suspending any such qualification, to use promptly its reasonable best efforts to obtain its withdrawal of such order.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0"/>
          </w:cols>
          <w:pgMar w:left="520" w:top="274" w:right="559" w:bottom="1440" w:gutter="0" w:footer="0" w:header="0"/>
        </w:sectPr>
      </w:pPr>
    </w:p>
    <w:bookmarkStart w:id="272" w:name="page273"/>
    <w:bookmarkEnd w:id="272"/>
    <w:p>
      <w:pPr>
        <w:ind w:right="240" w:firstLine="514"/>
        <w:spacing w:after="0" w:line="256" w:lineRule="auto"/>
        <w:tabs>
          <w:tab w:leader="none" w:pos="781"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Upon written request, 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82" w:lineRule="exact"/>
        <w:rPr>
          <w:rFonts w:ascii="Arial" w:cs="Arial" w:eastAsia="Arial" w:hAnsi="Arial"/>
          <w:sz w:val="18"/>
          <w:szCs w:val="18"/>
          <w:color w:val="auto"/>
        </w:rPr>
      </w:pPr>
    </w:p>
    <w:p>
      <w:pPr>
        <w:ind w:right="20" w:firstLine="514"/>
        <w:spacing w:after="0" w:line="282" w:lineRule="auto"/>
        <w:tabs>
          <w:tab w:leader="none" w:pos="83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deliver, upon written request,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required at any time after the date hereof in connection with the offering or sale of the Stock and if at such time any events shall have occurred as a result of which the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68" w:lineRule="exact"/>
        <w:rPr>
          <w:rFonts w:ascii="Arial" w:cs="Arial" w:eastAsia="Arial" w:hAnsi="Arial"/>
          <w:sz w:val="16"/>
          <w:szCs w:val="16"/>
          <w:color w:val="auto"/>
        </w:rPr>
      </w:pPr>
    </w:p>
    <w:p>
      <w:pPr>
        <w:ind w:right="60" w:firstLine="514"/>
        <w:spacing w:after="0" w:line="256" w:lineRule="auto"/>
        <w:tabs>
          <w:tab w:leader="none" w:pos="82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file as promptly as practicable with the Commission any amendment or supplement to the Registration Statement or the Prospectus that may, in the judgment of the Company, be required by the Securities Act or requested by the Commission in connection with the offering or sale of the Stock.</w:t>
      </w:r>
    </w:p>
    <w:p>
      <w:pPr>
        <w:spacing w:after="0" w:line="82" w:lineRule="exact"/>
        <w:rPr>
          <w:rFonts w:ascii="Arial" w:cs="Arial" w:eastAsia="Arial" w:hAnsi="Arial"/>
          <w:sz w:val="18"/>
          <w:szCs w:val="18"/>
          <w:color w:val="auto"/>
        </w:rPr>
      </w:pPr>
    </w:p>
    <w:p>
      <w:pPr>
        <w:ind w:right="120" w:firstLine="514"/>
        <w:spacing w:after="0" w:line="256" w:lineRule="auto"/>
        <w:tabs>
          <w:tab w:leader="none" w:pos="77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or the Prospectus, to furnish a copy thereof to the Representatives and counsel for the Underwriters and obtain the consent of the Representatives to the filing (such consent not to be unreasonably withheld, conditioned or delayed).</w:t>
      </w:r>
    </w:p>
    <w:p>
      <w:pPr>
        <w:spacing w:after="0" w:line="82" w:lineRule="exact"/>
        <w:rPr>
          <w:rFonts w:ascii="Arial" w:cs="Arial" w:eastAsia="Arial" w:hAnsi="Arial"/>
          <w:sz w:val="18"/>
          <w:szCs w:val="18"/>
          <w:color w:val="auto"/>
        </w:rPr>
      </w:pPr>
    </w:p>
    <w:p>
      <w:pPr>
        <w:ind w:right="20" w:firstLine="514"/>
        <w:spacing w:after="0" w:line="266" w:lineRule="auto"/>
        <w:tabs>
          <w:tab w:leader="none" w:pos="82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Not to make any offer relating to the Stock that would constitute an Issuer Free Writing Prospectus without the prior written consent of the Representatives (such consent not to be unreasonably withheld, conditioned or delayed).</w:t>
      </w:r>
    </w:p>
    <w:p>
      <w:pPr>
        <w:spacing w:after="0" w:line="73" w:lineRule="exact"/>
        <w:rPr>
          <w:rFonts w:ascii="Arial" w:cs="Arial" w:eastAsia="Arial" w:hAnsi="Arial"/>
          <w:sz w:val="18"/>
          <w:szCs w:val="18"/>
          <w:color w:val="auto"/>
        </w:rPr>
      </w:pPr>
    </w:p>
    <w:p>
      <w:pPr>
        <w:ind w:firstLine="514"/>
        <w:spacing w:after="0" w:line="284" w:lineRule="auto"/>
        <w:tabs>
          <w:tab w:leader="none" w:pos="87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00"/>
          </w:cols>
          <w:pgMar w:left="960" w:top="274" w:right="539" w:bottom="1440" w:gutter="0" w:footer="0" w:header="0"/>
        </w:sectPr>
      </w:pPr>
    </w:p>
    <w:bookmarkStart w:id="273" w:name="page274"/>
    <w:bookmarkEnd w:id="273"/>
    <w:p>
      <w:pPr>
        <w:ind w:firstLine="514"/>
        <w:spacing w:after="0" w:line="268" w:lineRule="auto"/>
        <w:tabs>
          <w:tab w:leader="none" w:pos="919" w:val="left"/>
        </w:tabs>
        <w:numPr>
          <w:ilvl w:val="0"/>
          <w:numId w:val="1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 which may be satisfied by filing on the Commission’s Electronic Data Gathering Analysis and Retrieval (“</w:t>
      </w:r>
      <w:r>
        <w:rPr>
          <w:rFonts w:ascii="Arial" w:cs="Arial" w:eastAsia="Arial" w:hAnsi="Arial"/>
          <w:sz w:val="17"/>
          <w:szCs w:val="17"/>
          <w:b w:val="1"/>
          <w:bCs w:val="1"/>
          <w:i w:val="1"/>
          <w:iCs w:val="1"/>
          <w:color w:val="auto"/>
        </w:rPr>
        <w:t>EDGAR</w:t>
      </w:r>
      <w:r>
        <w:rPr>
          <w:rFonts w:ascii="Arial" w:cs="Arial" w:eastAsia="Arial" w:hAnsi="Arial"/>
          <w:sz w:val="17"/>
          <w:szCs w:val="17"/>
          <w:color w:val="auto"/>
        </w:rPr>
        <w:t>”) system.</w:t>
      </w:r>
    </w:p>
    <w:p>
      <w:pPr>
        <w:spacing w:after="0" w:line="73" w:lineRule="exact"/>
        <w:rPr>
          <w:rFonts w:ascii="Arial" w:cs="Arial" w:eastAsia="Arial" w:hAnsi="Arial"/>
          <w:sz w:val="17"/>
          <w:szCs w:val="17"/>
          <w:color w:val="auto"/>
        </w:rPr>
      </w:pPr>
    </w:p>
    <w:p>
      <w:pPr>
        <w:ind w:firstLine="514"/>
        <w:spacing w:after="0" w:line="287" w:lineRule="auto"/>
        <w:tabs>
          <w:tab w:leader="none" w:pos="82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Promptly from time to time to take such action as the Representatives may reasonably request to use reasonable best efforts to qualify the Stock for offering and sale under the securities or Blue Sky laws of such other jurisdictions as the Representatives may reasonably request and to comply with such laws so as to permit the continuance of sales and dealings therein in such jurisdictions for as long as may be necessary to complete the distribution of the Stock; </w:t>
      </w:r>
      <w:r>
        <w:rPr>
          <w:rFonts w:ascii="Arial" w:cs="Arial" w:eastAsia="Arial" w:hAnsi="Arial"/>
          <w:sz w:val="16"/>
          <w:szCs w:val="16"/>
          <w:i w:val="1"/>
          <w:iCs w:val="1"/>
          <w:color w:val="auto"/>
        </w:rPr>
        <w:t>provided</w:t>
      </w:r>
      <w:r>
        <w:rPr>
          <w:rFonts w:ascii="Arial" w:cs="Arial" w:eastAsia="Arial" w:hAnsi="Arial"/>
          <w:sz w:val="16"/>
          <w:szCs w:val="16"/>
          <w:color w:val="auto"/>
        </w:rPr>
        <w:t>,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62" w:lineRule="exact"/>
        <w:rPr>
          <w:rFonts w:ascii="Arial" w:cs="Arial" w:eastAsia="Arial" w:hAnsi="Arial"/>
          <w:sz w:val="16"/>
          <w:szCs w:val="16"/>
          <w:color w:val="auto"/>
        </w:rPr>
      </w:pPr>
    </w:p>
    <w:p>
      <w:pPr>
        <w:ind w:right="40" w:firstLine="514"/>
        <w:spacing w:after="0" w:line="325" w:lineRule="auto"/>
        <w:tabs>
          <w:tab w:leader="none" w:pos="77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For a period commencing on the date hereof and ending on the 180th day after the date of the Prospectus (the “</w:t>
      </w:r>
      <w:r>
        <w:rPr>
          <w:rFonts w:ascii="Arial" w:cs="Arial" w:eastAsia="Arial" w:hAnsi="Arial"/>
          <w:sz w:val="14"/>
          <w:szCs w:val="14"/>
          <w:b w:val="1"/>
          <w:bCs w:val="1"/>
          <w:i w:val="1"/>
          <w:iCs w:val="1"/>
          <w:color w:val="auto"/>
        </w:rPr>
        <w:t>Lock-Up Period</w:t>
      </w:r>
      <w:r>
        <w:rPr>
          <w:rFonts w:ascii="Arial" w:cs="Arial" w:eastAsia="Arial" w:hAnsi="Arial"/>
          <w:sz w:val="14"/>
          <w:szCs w:val="14"/>
          <w:color w:val="auto"/>
        </w:rPr>
        <w:t>”), not to, directly or indirectly, (A) offer for sale, sell, pledge, lend or otherwise dispose of (or enter into any transaction or device that is designed to, or could be reasonably expected to, result in the disposition by any person of) any shares of Common Stock or securities convertible into or exercisable or exchangeable for Common Stock (other than (i) the Stock to be sold hereunder, (ii) Common Stock, options to purchase Common Stock, restricted stock, restricted stock units and any other equity incentive compensation issued pursuant to employee benefit plans, qualified stock option plans or other employee compensation plans described in the Registration Statement, the Preliminary Prospectus and the Prospectus,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the issuance by the Company of shares of Common Stock upon the conversion or exchange of convertible or exchangeable securities outstanding as of the date hereof, including any shares of Common Stock issued upon the exercise of any warrants issued by the Company and any transfers of shares of Common Stock to the Company upon a “net” or “cashless” exercise of any warrants issued by the Company and (iv) the issuance by the Company of shares of Common Stock or securities convertible into shares of Common Stock in connection with an acquisition or business combination, provided that the</w:t>
      </w:r>
    </w:p>
    <w:p>
      <w:pPr>
        <w:spacing w:after="0" w:line="29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40"/>
          </w:cols>
          <w:pgMar w:left="960" w:top="273" w:right="599" w:bottom="1440" w:gutter="0" w:footer="0" w:header="0"/>
        </w:sectPr>
      </w:pPr>
    </w:p>
    <w:bookmarkStart w:id="274" w:name="page275"/>
    <w:bookmarkEnd w:id="274"/>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aggregate number of shares of Common Stock issued pursuant to this clause (v) during the Lock-Up Period shall not exceed 5% of the total number of shares of Common Stock issued and outstanding on the closing date of the offering, and provided further that, in the case of any issuance pursuant to this clause (v), any recipient of shares of Common Stock shall have executed and delivered to the Representatives a lock-up letter, (B) enter into any swap or other derivatives transaction that transfers to another, in whole or in part, any of the economic benefits or risks of ownership of such shares of Common Stock, whether any such transaction described in clause (A) or (B) above is to be settled by delivery of Common Stock or other securities, in cash or otherwise, (C) publicly file or cause to be publicly filed a registration statement, including any amendments thereto, with respect to the registration of any shares of Common Stock or securities convertible, exercisable or exchangeable into Common Stock or any other securities of the Company (other than any registration statement on Form S-8), or (D) publicly disclose the intention to do any of the foregoing, in each case, without the prior written consent of Barclays Capital Inc. and Morgan Stanley on behalf of the Underwriters, and to cause each officer, director and stockholder of the Company set forth on Schedule II hereto to furnish to the Representatives, prior to the Initial Delivery Date, a letter or letters, substantially in the form of </w:t>
      </w:r>
      <w:r>
        <w:rPr>
          <w:rFonts w:ascii="Arial" w:cs="Arial" w:eastAsia="Arial" w:hAnsi="Arial"/>
          <w:sz w:val="16"/>
          <w:szCs w:val="16"/>
          <w:u w:val="single" w:color="auto"/>
          <w:color w:val="0000EE"/>
        </w:rPr>
        <w:t>Exhibit A hereto (the “</w:t>
      </w:r>
      <w:r>
        <w:rPr>
          <w:rFonts w:ascii="Arial" w:cs="Arial" w:eastAsia="Arial" w:hAnsi="Arial"/>
          <w:sz w:val="16"/>
          <w:szCs w:val="16"/>
          <w:b w:val="1"/>
          <w:bCs w:val="1"/>
          <w:i w:val="1"/>
          <w:iCs w:val="1"/>
          <w:u w:val="single" w:color="auto"/>
          <w:color w:val="0000EE"/>
        </w:rPr>
        <w:t>Lock-Up Agreements</w:t>
      </w:r>
      <w:r>
        <w:rPr>
          <w:rFonts w:ascii="Arial" w:cs="Arial" w:eastAsia="Arial" w:hAnsi="Arial"/>
          <w:sz w:val="16"/>
          <w:szCs w:val="16"/>
          <w:color w:val="auto"/>
        </w:rPr>
        <w:t>”).</w:t>
      </w:r>
    </w:p>
    <w:p>
      <w:pPr>
        <w:spacing w:after="0" w:line="68" w:lineRule="exact"/>
        <w:rPr>
          <w:sz w:val="20"/>
          <w:szCs w:val="20"/>
          <w:color w:val="auto"/>
        </w:rPr>
      </w:pPr>
    </w:p>
    <w:p>
      <w:pPr>
        <w:ind w:left="820" w:hanging="306"/>
        <w:spacing w:after="0"/>
        <w:tabs>
          <w:tab w:leader="none" w:pos="8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firstLine="514"/>
        <w:spacing w:after="0" w:line="287" w:lineRule="auto"/>
        <w:tabs>
          <w:tab w:leader="none" w:pos="87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Barclays Capital Inc. and Morgan Stanley, in their sole discretion, agree to release or waive the restrictions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in accordance with FINRA Rule 5131 (which may include by issuing a press release substantially in the form of Exhibit B hereto), and containing such other information as Barclays Capital Inc. and Morgan Stanley may require with respect to the circumstances of the release or waiver and/or the identity of the officer(s) and/or director(s) with respect to which the release or waiver applies, in accordance with FINRA Rule 5131.</w:t>
      </w:r>
    </w:p>
    <w:p>
      <w:pPr>
        <w:spacing w:after="0" w:line="62" w:lineRule="exact"/>
        <w:rPr>
          <w:rFonts w:ascii="Arial" w:cs="Arial" w:eastAsia="Arial" w:hAnsi="Arial"/>
          <w:sz w:val="16"/>
          <w:szCs w:val="16"/>
          <w:color w:val="auto"/>
        </w:rPr>
      </w:pPr>
    </w:p>
    <w:p>
      <w:pPr>
        <w:ind w:right="180" w:firstLine="514"/>
        <w:spacing w:after="0" w:line="266" w:lineRule="auto"/>
        <w:tabs>
          <w:tab w:leader="none" w:pos="9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apply the net proceeds from the sale of the Stock being sold by the Company substantially in accordance with the description as set forth in the Prospectus under the caption “Use of Proceeds.”</w:t>
      </w:r>
    </w:p>
    <w:p>
      <w:pPr>
        <w:spacing w:after="0" w:line="73" w:lineRule="exact"/>
        <w:rPr>
          <w:rFonts w:ascii="Arial" w:cs="Arial" w:eastAsia="Arial" w:hAnsi="Arial"/>
          <w:sz w:val="18"/>
          <w:szCs w:val="18"/>
          <w:color w:val="auto"/>
        </w:rPr>
      </w:pPr>
    </w:p>
    <w:p>
      <w:pPr>
        <w:ind w:left="900" w:hanging="386"/>
        <w:spacing w:after="0"/>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file with the Commission such information on Form 10-Q or Form 10-K as may be required by Rule 463 under the Securities Act.</w:t>
      </w:r>
    </w:p>
    <w:p>
      <w:pPr>
        <w:spacing w:after="0" w:line="135" w:lineRule="exact"/>
        <w:rPr>
          <w:rFonts w:ascii="Arial" w:cs="Arial" w:eastAsia="Arial" w:hAnsi="Arial"/>
          <w:sz w:val="16"/>
          <w:szCs w:val="16"/>
          <w:color w:val="auto"/>
        </w:rPr>
      </w:pPr>
    </w:p>
    <w:p>
      <w:pPr>
        <w:ind w:right="40" w:firstLine="514"/>
        <w:spacing w:after="0" w:line="294" w:lineRule="auto"/>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give irrevocable instructions for the payment of such fee pursuant to Rule 3a(c) of the Commission’s Informal and Other Procedures (16 CFR 202.3a).</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380"/>
          </w:cols>
          <w:pgMar w:left="960" w:top="274" w:right="559" w:bottom="1440" w:gutter="0" w:footer="0" w:header="0"/>
        </w:sectPr>
      </w:pPr>
    </w:p>
    <w:bookmarkStart w:id="275" w:name="page276"/>
    <w:bookmarkEnd w:id="275"/>
    <w:p>
      <w:pPr>
        <w:ind w:right="60" w:firstLine="514"/>
        <w:spacing w:after="0" w:line="251" w:lineRule="auto"/>
        <w:tabs>
          <w:tab w:leader="none" w:pos="909"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connection with the Directed Share Program, to ensure that the Directed Shares will be restricted from sale, transfer, assignment, pledge or hypothecation to the same extent as sales and dispositions of Common Stock by the Company are restricted pursuant to Section 5(a)(x), and Morgan Stanley will notify the Company as to which Directed Share Participants will need to be so restricted. At the request of Morgan Stanley, the Company will direct the transfer agent to place stop transfer restrictions upon such securities for such period of time as is consistent with Section 5(a)(x).</w:t>
      </w:r>
    </w:p>
    <w:p>
      <w:pPr>
        <w:spacing w:after="0" w:line="87" w:lineRule="exact"/>
        <w:rPr>
          <w:rFonts w:ascii="Arial" w:cs="Arial" w:eastAsia="Arial" w:hAnsi="Arial"/>
          <w:sz w:val="18"/>
          <w:szCs w:val="18"/>
          <w:color w:val="auto"/>
        </w:rPr>
      </w:pPr>
    </w:p>
    <w:p>
      <w:pPr>
        <w:ind w:right="300" w:firstLine="514"/>
        <w:spacing w:after="0" w:line="266" w:lineRule="auto"/>
        <w:tabs>
          <w:tab w:leader="none" w:pos="95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applicable laws, rules and regulations in each foreign jurisdiction in which the Directed Shares are offered in connection with the Directed Share Program.</w:t>
      </w:r>
    </w:p>
    <w:p>
      <w:pPr>
        <w:spacing w:after="0" w:line="73" w:lineRule="exact"/>
        <w:rPr>
          <w:rFonts w:ascii="Arial" w:cs="Arial" w:eastAsia="Arial" w:hAnsi="Arial"/>
          <w:sz w:val="18"/>
          <w:szCs w:val="18"/>
          <w:color w:val="auto"/>
        </w:rPr>
      </w:pPr>
    </w:p>
    <w:p>
      <w:pPr>
        <w:ind w:right="20" w:firstLine="514"/>
        <w:spacing w:after="0" w:line="303" w:lineRule="auto"/>
        <w:tabs>
          <w:tab w:leader="none" w:pos="100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will promptly notify the Representatives if the Company ceases to be an Emerging Growth Company at any time prior to the later of (A) the time when a prospectus relating to the offering or sale of the Stock is not required by the Securities Act to be delivered (whether physically or through compliance with Rule 172 under the Securities Act or any similar rule) and (B) completion of the Lock-Up Period.</w:t>
      </w:r>
    </w:p>
    <w:p>
      <w:pPr>
        <w:spacing w:after="0" w:line="47" w:lineRule="exact"/>
        <w:rPr>
          <w:rFonts w:ascii="Arial" w:cs="Arial" w:eastAsia="Arial" w:hAnsi="Arial"/>
          <w:sz w:val="16"/>
          <w:szCs w:val="16"/>
          <w:color w:val="auto"/>
        </w:rPr>
      </w:pPr>
    </w:p>
    <w:p>
      <w:pPr>
        <w:ind w:firstLine="514"/>
        <w:spacing w:after="0" w:line="286" w:lineRule="auto"/>
        <w:tabs>
          <w:tab w:leader="none" w:pos="90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requested by the Representatives, will promptly amend or supplement, at its own expense, such Written Testing-the-Waters Communication to eliminate or correct such untrue statement or omission. The Company will promptly notify the Representatives of (A) any distribution by the Company of Written Testing-the-Waters Communications and (B) any request by the Commission for information concerning the Written Testing-the-Waters Communications.</w:t>
      </w:r>
    </w:p>
    <w:p>
      <w:pPr>
        <w:spacing w:after="0" w:line="60" w:lineRule="exact"/>
        <w:rPr>
          <w:rFonts w:ascii="Arial" w:cs="Arial" w:eastAsia="Arial" w:hAnsi="Arial"/>
          <w:sz w:val="16"/>
          <w:szCs w:val="16"/>
          <w:color w:val="auto"/>
        </w:rPr>
      </w:pPr>
    </w:p>
    <w:p>
      <w:pPr>
        <w:ind w:right="280" w:firstLine="514"/>
        <w:spacing w:after="0" w:line="256" w:lineRule="auto"/>
        <w:tabs>
          <w:tab w:leader="none" w:pos="8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82" w:lineRule="exact"/>
        <w:rPr>
          <w:rFonts w:ascii="Arial" w:cs="Arial" w:eastAsia="Arial" w:hAnsi="Arial"/>
          <w:sz w:val="18"/>
          <w:szCs w:val="18"/>
          <w:color w:val="auto"/>
        </w:rPr>
      </w:pPr>
    </w:p>
    <w:p>
      <w:pPr>
        <w:ind w:right="80" w:firstLine="514"/>
        <w:spacing w:after="0" w:line="294" w:lineRule="auto"/>
        <w:tabs>
          <w:tab w:leader="none" w:pos="90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will deliver to each Underwriter (or its agent), on or prior to the date of execution of this Agreement, a properly completed and executed Certification Regarding Beneficial Owners of Legal Entity Customers or applicable exemption certificate (the “</w:t>
      </w:r>
      <w:r>
        <w:rPr>
          <w:rFonts w:ascii="Arial" w:cs="Arial" w:eastAsia="Arial" w:hAnsi="Arial"/>
          <w:sz w:val="16"/>
          <w:szCs w:val="16"/>
          <w:b w:val="1"/>
          <w:bCs w:val="1"/>
          <w:i w:val="1"/>
          <w:iCs w:val="1"/>
          <w:color w:val="auto"/>
        </w:rPr>
        <w:t>FinCEN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Certification</w:t>
      </w:r>
      <w:r>
        <w:rPr>
          <w:rFonts w:ascii="Arial" w:cs="Arial" w:eastAsia="Arial" w:hAnsi="Arial"/>
          <w:sz w:val="16"/>
          <w:szCs w:val="16"/>
          <w:color w:val="auto"/>
        </w:rPr>
        <w:t>”), together with copies of identifying documentation, of the Company and the Company undertakes to provide such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supporting documentation as each Underwriter may reasonably request in connection with the verification of the FinCEN Certification.</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80"/>
          </w:cols>
          <w:pgMar w:left="960" w:top="273" w:right="559" w:bottom="1440" w:gutter="0" w:footer="0" w:header="0"/>
        </w:sectPr>
      </w:pPr>
    </w:p>
    <w:bookmarkStart w:id="276" w:name="page277"/>
    <w:bookmarkEnd w:id="276"/>
    <w:p>
      <w:pPr>
        <w:ind w:left="1" w:right="160" w:firstLine="976"/>
        <w:spacing w:after="0" w:line="287" w:lineRule="auto"/>
        <w:tabs>
          <w:tab w:leader="none" w:pos="1228" w:val="left"/>
        </w:tabs>
        <w:numPr>
          <w:ilvl w:val="0"/>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i w:val="1"/>
          <w:i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69" w:lineRule="exact"/>
        <w:rPr>
          <w:sz w:val="20"/>
          <w:szCs w:val="20"/>
          <w:color w:val="auto"/>
        </w:rPr>
      </w:pPr>
    </w:p>
    <w:p>
      <w:pPr>
        <w:ind w:left="1" w:firstLine="976"/>
        <w:spacing w:after="0" w:line="278" w:lineRule="auto"/>
        <w:tabs>
          <w:tab w:leader="none" w:pos="1154" w:val="left"/>
        </w:tabs>
        <w:numPr>
          <w:ilvl w:val="1"/>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agrees, whether or not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to pay all expenses, costs, fees and taxes incident to and in connection with (a) the authorization, issuance,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all as provided in this Agreement; (d) the production and distribution of this Agreement, any supplemental agreement among Underwriters, and any other related documents in connection with the offering, purchase, sale and delivery of the Stock; (e) any required review by the FINRA of the terms of sale of the Stock (including related reasonable and documented fees and expenses of counsel to the Underwriters in an amount that is not greater than $[•]); (f) the listing of the Stock on the New York Stock Exchange and/or any other exchange; (g) the qualification of the Stock under the securities laws of the several jurisdictions as provided in Section 5(a)(ix) and the preparation, printing and distribution of a Blue Sky Memorandum (including related reasonable and documented fees and expenses of counsel to the Underwriters); (h) the preparation, printing and distribution of one or more versions of the Preliminary Prospectus and the Prospectus for distribution in Canada, including in the form of a Canadian “wrapper” (including related reasonable and documented fees and expenses of Canadian counsel to the Underwriters); (i) the offer and sale of shares of the Stock by the Underwriters in connection with the Directed Share Program, including the reasonable and documented fees and disbursements of counsel to the Underwriters related thereto, the costs and expenses of preparation, printing and distribution of the Directed Share Program material and all stamp duties or other taxes incurred by the Underwriters in connection with the Directed Share Program;</w:t>
      </w:r>
    </w:p>
    <w:p>
      <w:pPr>
        <w:spacing w:after="0" w:line="4" w:lineRule="exact"/>
        <w:rPr>
          <w:rFonts w:ascii="Arial" w:cs="Arial" w:eastAsia="Arial" w:hAnsi="Arial"/>
          <w:sz w:val="16"/>
          <w:szCs w:val="16"/>
          <w:color w:val="auto"/>
        </w:rPr>
      </w:pPr>
    </w:p>
    <w:p>
      <w:pPr>
        <w:ind w:left="1" w:right="20" w:hanging="1"/>
        <w:spacing w:after="0" w:line="285" w:lineRule="auto"/>
        <w:tabs>
          <w:tab w:leader="none" w:pos="21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the investor presentations on any “road show” or any Testing-the-Waters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the road show (the remaining half of the cost to be borne by the Underwriters); and (k) all other costs and expenses incident to the performance of the obligations of the Company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provided in this Section 6 and in Section 12, the Underwriters shall pay their own costs and expenses, including the costs and expenses of their counsel, any transfer taxes on the Stock which they may sell and the expenses of advertising any offering of the Stock made by the Underwriters.</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41"/>
          </w:cols>
          <w:pgMar w:left="519" w:top="273" w:right="539" w:bottom="1440" w:gutter="0" w:footer="0" w:header="0"/>
        </w:sectPr>
      </w:pPr>
    </w:p>
    <w:bookmarkStart w:id="277" w:name="page278"/>
    <w:bookmarkEnd w:id="277"/>
    <w:p>
      <w:pPr>
        <w:ind w:left="-40" w:right="220" w:firstLine="976"/>
        <w:spacing w:after="0" w:line="256" w:lineRule="auto"/>
        <w:tabs>
          <w:tab w:leader="none" w:pos="1114"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Conditions of Underwriters’ Obligations</w:t>
      </w:r>
      <w:r>
        <w:rPr>
          <w:rFonts w:ascii="Arial" w:cs="Arial" w:eastAsia="Arial" w:hAnsi="Arial"/>
          <w:sz w:val="18"/>
          <w:szCs w:val="18"/>
          <w:color w:val="auto"/>
        </w:rPr>
        <w:t>. The respective obligations of the Underwriters hereunder are subject to the accuracy, when</w:t>
      </w:r>
      <w:r>
        <w:rPr>
          <w:rFonts w:ascii="Arial" w:cs="Arial" w:eastAsia="Arial" w:hAnsi="Arial"/>
          <w:sz w:val="18"/>
          <w:szCs w:val="18"/>
          <w:i w:val="1"/>
          <w:iCs w:val="1"/>
          <w:color w:val="auto"/>
        </w:rPr>
        <w:t xml:space="preserve"> </w:t>
      </w:r>
      <w:r>
        <w:rPr>
          <w:rFonts w:ascii="Arial" w:cs="Arial" w:eastAsia="Arial" w:hAnsi="Arial"/>
          <w:sz w:val="18"/>
          <w:szCs w:val="18"/>
          <w:color w:val="auto"/>
        </w:rPr>
        <w:t>made and on each Delivery Date, of the representations and warranties of the Company contained herein, to the performance by the Company of its obligations hereunder, and to each of the following additional terms and conditions:</w:t>
      </w:r>
    </w:p>
    <w:p>
      <w:pPr>
        <w:spacing w:after="0" w:line="82" w:lineRule="exact"/>
        <w:rPr>
          <w:sz w:val="20"/>
          <w:szCs w:val="20"/>
          <w:color w:val="auto"/>
        </w:rPr>
      </w:pPr>
    </w:p>
    <w:p>
      <w:pPr>
        <w:ind w:left="400" w:firstLine="514"/>
        <w:spacing w:after="0" w:line="286" w:lineRule="auto"/>
        <w:tabs>
          <w:tab w:leader="none" w:pos="11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60" w:lineRule="exact"/>
        <w:rPr>
          <w:rFonts w:ascii="Arial" w:cs="Arial" w:eastAsia="Arial" w:hAnsi="Arial"/>
          <w:sz w:val="16"/>
          <w:szCs w:val="16"/>
          <w:color w:val="auto"/>
        </w:rPr>
      </w:pPr>
    </w:p>
    <w:p>
      <w:pPr>
        <w:ind w:left="1160" w:hanging="246"/>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400" w:right="360" w:firstLine="514"/>
        <w:spacing w:after="0" w:line="396" w:lineRule="auto"/>
        <w:tabs>
          <w:tab w:leader="none" w:pos="1162" w:val="left"/>
        </w:tabs>
        <w:numPr>
          <w:ilvl w:val="0"/>
          <w:numId w:val="192"/>
        </w:numPr>
        <w:rPr>
          <w:rFonts w:ascii="Arial" w:cs="Arial" w:eastAsia="Arial" w:hAnsi="Arial"/>
          <w:sz w:val="14"/>
          <w:szCs w:val="14"/>
          <w:color w:val="auto"/>
        </w:rPr>
      </w:pPr>
      <w:r>
        <w:rPr>
          <w:rFonts w:ascii="Arial" w:cs="Arial" w:eastAsia="Arial" w:hAnsi="Arial"/>
          <w:sz w:val="14"/>
          <w:szCs w:val="14"/>
          <w:color w:val="auto"/>
        </w:rPr>
        <w:t>Paul, Weiss, Rifkind, Wharton &amp; Garrison LLP shall have furnished to the Representatives its written opinion, as counsel to the Company, addressed to the Underwriters and dated such Delivery Date, in form and substance reasonably satisfactory to the Representatives.</w:t>
      </w:r>
    </w:p>
    <w:p>
      <w:pPr>
        <w:ind w:left="400" w:right="440" w:firstLine="514"/>
        <w:spacing w:after="0" w:line="256" w:lineRule="auto"/>
        <w:tabs>
          <w:tab w:leader="none" w:pos="117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Hogan Lovells US LLP shall have furnished to the Representatives its written opinion, as special U.S. federal aviation regulatory counsel to the Company, addressed to the Underwriters and dated such Delivery Date, in form and substance reasonably satisfactory to the Representatives.</w:t>
      </w:r>
    </w:p>
    <w:p>
      <w:pPr>
        <w:spacing w:after="0" w:line="82" w:lineRule="exact"/>
        <w:rPr>
          <w:rFonts w:ascii="Arial" w:cs="Arial" w:eastAsia="Arial" w:hAnsi="Arial"/>
          <w:sz w:val="18"/>
          <w:szCs w:val="18"/>
          <w:color w:val="auto"/>
        </w:rPr>
      </w:pPr>
    </w:p>
    <w:p>
      <w:pPr>
        <w:ind w:left="1160" w:hanging="246"/>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400" w:right="180" w:firstLine="514"/>
        <w:spacing w:after="0" w:line="294" w:lineRule="auto"/>
        <w:tabs>
          <w:tab w:leader="none" w:pos="114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Representatives shall have received from Davis Polk &amp; Wardwell LLP, counsel for the Underwriters, such opinion and negative assurance letter, dated such Delivery Date, with respect to the issuance and sale of the Stock,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0"/>
          </w:cols>
          <w:pgMar w:left="560" w:top="273" w:right="579" w:bottom="1440" w:gutter="0" w:footer="0" w:header="0"/>
        </w:sectPr>
      </w:pPr>
    </w:p>
    <w:bookmarkStart w:id="278" w:name="page279"/>
    <w:bookmarkEnd w:id="278"/>
    <w:p>
      <w:pPr>
        <w:ind w:right="20" w:firstLine="514"/>
        <w:spacing w:after="0" w:line="286" w:lineRule="auto"/>
        <w:tabs>
          <w:tab w:leader="none" w:pos="772"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At the time of execution of this Agreement, the Representatives shall have received from KPMG LLP a letter, in form and substance reasonably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60" w:lineRule="exact"/>
        <w:rPr>
          <w:rFonts w:ascii="Arial" w:cs="Arial" w:eastAsia="Arial" w:hAnsi="Arial"/>
          <w:sz w:val="16"/>
          <w:szCs w:val="16"/>
          <w:color w:val="auto"/>
        </w:rPr>
      </w:pPr>
    </w:p>
    <w:p>
      <w:pPr>
        <w:ind w:right="20" w:firstLine="514"/>
        <w:spacing w:after="0" w:line="284" w:lineRule="auto"/>
        <w:tabs>
          <w:tab w:leader="none" w:pos="77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With respect to the letter of KPMG LLP referred to in the preceding paragraph and delivered to the Representatives concurrently with the execution of this Agreement (the “</w:t>
      </w:r>
      <w:r>
        <w:rPr>
          <w:rFonts w:ascii="Arial" w:cs="Arial" w:eastAsia="Arial" w:hAnsi="Arial"/>
          <w:sz w:val="16"/>
          <w:szCs w:val="16"/>
          <w:b w:val="1"/>
          <w:bCs w:val="1"/>
          <w:i w:val="1"/>
          <w:iCs w:val="1"/>
          <w:color w:val="auto"/>
        </w:rPr>
        <w:t>initial letter</w:t>
      </w:r>
      <w:r>
        <w:rPr>
          <w:rFonts w:ascii="Arial" w:cs="Arial" w:eastAsia="Arial" w:hAnsi="Arial"/>
          <w:sz w:val="16"/>
          <w:szCs w:val="16"/>
          <w:color w:val="auto"/>
        </w:rPr>
        <w:t>”), the Representatives shall have received from KPMG LLP a letter (the “</w:t>
      </w:r>
      <w:r>
        <w:rPr>
          <w:rFonts w:ascii="Arial" w:cs="Arial" w:eastAsia="Arial" w:hAnsi="Arial"/>
          <w:sz w:val="16"/>
          <w:szCs w:val="16"/>
          <w:b w:val="1"/>
          <w:bCs w:val="1"/>
          <w:i w:val="1"/>
          <w:iCs w:val="1"/>
          <w:color w:val="auto"/>
        </w:rPr>
        <w:t>bring-down letter</w:t>
      </w:r>
      <w:r>
        <w:rPr>
          <w:rFonts w:ascii="Arial" w:cs="Arial" w:eastAsia="Arial" w:hAnsi="Arial"/>
          <w:sz w:val="16"/>
          <w:szCs w:val="16"/>
          <w:color w:val="auto"/>
        </w:rPr>
        <w:t>”),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66" w:lineRule="exact"/>
        <w:rPr>
          <w:rFonts w:ascii="Arial" w:cs="Arial" w:eastAsia="Arial" w:hAnsi="Arial"/>
          <w:sz w:val="16"/>
          <w:szCs w:val="16"/>
          <w:color w:val="auto"/>
        </w:rPr>
      </w:pPr>
    </w:p>
    <w:p>
      <w:pPr>
        <w:jc w:val="both"/>
        <w:ind w:right="200" w:firstLine="514"/>
        <w:spacing w:after="0" w:line="256" w:lineRule="auto"/>
        <w:tabs>
          <w:tab w:leader="none" w:pos="73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dated such Delivery Date, of its Chief Executive Officer or its Chief Financial Officer (solely in their capacities as such) as to such matters as the Representatives may reasonably request, including, without limitation, a statement:</w:t>
      </w:r>
    </w:p>
    <w:p>
      <w:pPr>
        <w:spacing w:after="0" w:line="82" w:lineRule="exact"/>
        <w:rPr>
          <w:rFonts w:ascii="Arial" w:cs="Arial" w:eastAsia="Arial" w:hAnsi="Arial"/>
          <w:sz w:val="18"/>
          <w:szCs w:val="18"/>
          <w:color w:val="auto"/>
        </w:rPr>
      </w:pPr>
    </w:p>
    <w:p>
      <w:pPr>
        <w:ind w:left="540" w:firstLine="390"/>
        <w:spacing w:after="0" w:line="256" w:lineRule="auto"/>
        <w:tabs>
          <w:tab w:leader="none" w:pos="114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82" w:lineRule="exact"/>
        <w:rPr>
          <w:rFonts w:ascii="Arial" w:cs="Arial" w:eastAsia="Arial" w:hAnsi="Arial"/>
          <w:sz w:val="18"/>
          <w:szCs w:val="18"/>
          <w:color w:val="auto"/>
        </w:rPr>
      </w:pPr>
    </w:p>
    <w:p>
      <w:pPr>
        <w:ind w:left="540" w:right="300" w:firstLine="390"/>
        <w:spacing w:after="0" w:line="256" w:lineRule="auto"/>
        <w:tabs>
          <w:tab w:leader="none" w:pos="119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That no stop order suspending the effectiveness of the Registration Statement has been issued; and no proceedings or examination for that purpose or pursuant to Section 8A of the Securities Act have been instituted or, to the knowledge of such officers, threatened;</w:t>
      </w:r>
    </w:p>
    <w:p>
      <w:pPr>
        <w:spacing w:after="0" w:line="82" w:lineRule="exact"/>
        <w:rPr>
          <w:rFonts w:ascii="Arial" w:cs="Arial" w:eastAsia="Arial" w:hAnsi="Arial"/>
          <w:sz w:val="18"/>
          <w:szCs w:val="18"/>
          <w:color w:val="auto"/>
        </w:rPr>
      </w:pPr>
    </w:p>
    <w:p>
      <w:pPr>
        <w:ind w:left="1240" w:hanging="310"/>
        <w:spacing w:after="0"/>
        <w:tabs>
          <w:tab w:leader="none" w:pos="12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To the effect of Section 7(l)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with respect to the judgment of the Representatives need be made).</w:t>
      </w:r>
    </w:p>
    <w:p>
      <w:pPr>
        <w:spacing w:after="0" w:line="135" w:lineRule="exact"/>
        <w:rPr>
          <w:rFonts w:ascii="Arial" w:cs="Arial" w:eastAsia="Arial" w:hAnsi="Arial"/>
          <w:sz w:val="16"/>
          <w:szCs w:val="16"/>
          <w:color w:val="auto"/>
        </w:rPr>
      </w:pPr>
    </w:p>
    <w:p>
      <w:pPr>
        <w:ind w:left="720" w:hanging="206"/>
        <w:spacing w:after="0"/>
        <w:tabs>
          <w:tab w:leader="none" w:pos="7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760" w:hanging="246"/>
        <w:spacing w:after="0"/>
        <w:tabs>
          <w:tab w:leader="none" w:pos="7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[Reserved]</w:t>
      </w:r>
    </w:p>
    <w:p>
      <w:pPr>
        <w:spacing w:after="0" w:line="15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380"/>
          </w:cols>
          <w:pgMar w:left="960" w:top="273" w:right="559" w:bottom="1440" w:gutter="0" w:footer="0" w:header="0"/>
        </w:sectPr>
      </w:pPr>
    </w:p>
    <w:bookmarkStart w:id="279" w:name="page280"/>
    <w:bookmarkEnd w:id="279"/>
    <w:p>
      <w:pPr>
        <w:ind w:right="20" w:firstLine="514"/>
        <w:spacing w:after="0" w:line="282" w:lineRule="auto"/>
        <w:tabs>
          <w:tab w:leader="none" w:pos="732" w:val="left"/>
        </w:tabs>
        <w:numPr>
          <w:ilvl w:val="1"/>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 Except as described in the most recent Preliminary Prospectus, (i) neither the Company nor any of its subsidiaries shall have sustained, since the date of the latest audited financial statements included in the most recent Preliminary Prospectus, any loss or interference with its business, taken as a whole, from fire, explosion, flood or other calamity, whether or not covered by insurance, or from any labor dispute or court or governmental action, order or decree, or (ii) since such date there shall not have been any change in the capital stock (other than as a result of the exercise or settlement (including any “net” or “cashless” exercises or settlements), if any, of stock options or restricted stock units or the award, if any, of stock options, restricted stock units or restricted stock, pursuant to the Company’s equity plans) or long-term debt of the Company or any of its subsidiaries, taken as a whole, or any change or effect, or any development involving a prospective change or effect, in or affecting the condition (financial or otherwise), results of operations, stockholders’ equity, properties, management or business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Stock being delivered on such Delivery Date on the terms and in the manner contemplated in the Prospectus;</w:t>
      </w:r>
    </w:p>
    <w:p>
      <w:pPr>
        <w:spacing w:after="0" w:line="68" w:lineRule="exact"/>
        <w:rPr>
          <w:rFonts w:ascii="Arial" w:cs="Arial" w:eastAsia="Arial" w:hAnsi="Arial"/>
          <w:sz w:val="16"/>
          <w:szCs w:val="16"/>
          <w:color w:val="auto"/>
        </w:rPr>
      </w:pPr>
    </w:p>
    <w:p>
      <w:pPr>
        <w:ind w:left="820" w:hanging="306"/>
        <w:spacing w:after="0"/>
        <w:tabs>
          <w:tab w:leader="none" w:pos="8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firstLine="514"/>
        <w:spacing w:after="0" w:line="281" w:lineRule="auto"/>
        <w:tabs>
          <w:tab w:leader="none" w:pos="77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Representatives, impracticable or inadvisable to proceed with the public offering or delivery of the Stock being delivered on such Delivery Date on the terms and in the manner contemplated in the Prospectus.</w:t>
      </w:r>
    </w:p>
    <w:p>
      <w:pPr>
        <w:spacing w:after="0" w:line="71" w:lineRule="exact"/>
        <w:rPr>
          <w:rFonts w:ascii="Arial" w:cs="Arial" w:eastAsia="Arial" w:hAnsi="Arial"/>
          <w:sz w:val="16"/>
          <w:szCs w:val="16"/>
          <w:color w:val="auto"/>
        </w:rPr>
      </w:pPr>
    </w:p>
    <w:p>
      <w:pPr>
        <w:ind w:left="660" w:hanging="251"/>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New York Stock Exchange shall have approved the Stock for listing, subject to official notice of issuance.</w:t>
      </w:r>
    </w:p>
    <w:p>
      <w:pPr>
        <w:spacing w:after="0" w:line="15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80"/>
          </w:cols>
          <w:pgMar w:left="960" w:top="273" w:right="559" w:bottom="1440" w:gutter="0" w:footer="0" w:header="0"/>
        </w:sectPr>
      </w:pPr>
    </w:p>
    <w:bookmarkStart w:id="280" w:name="page281"/>
    <w:bookmarkEnd w:id="280"/>
    <w:p>
      <w:pPr>
        <w:ind w:left="440" w:right="440" w:firstLine="514"/>
        <w:spacing w:after="0" w:line="329" w:lineRule="auto"/>
        <w:tabs>
          <w:tab w:leader="none" w:pos="1212"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Lock-Up Agreements between the Representatives and the officers, directors and stockholders of the Company set forth on Schedule II, delivered to the Representatives on or before the date of this Agreement, shall be in full force and effect on such Delivery Date.</w:t>
      </w:r>
    </w:p>
    <w:p>
      <w:pPr>
        <w:spacing w:after="0" w:line="27" w:lineRule="exact"/>
        <w:rPr>
          <w:rFonts w:ascii="Arial" w:cs="Arial" w:eastAsia="Arial" w:hAnsi="Arial"/>
          <w:sz w:val="16"/>
          <w:szCs w:val="16"/>
          <w:color w:val="auto"/>
        </w:rPr>
      </w:pPr>
    </w:p>
    <w:p>
      <w:pPr>
        <w:ind w:left="440" w:right="440" w:firstLine="514"/>
        <w:spacing w:after="0" w:line="266" w:lineRule="auto"/>
        <w:tabs>
          <w:tab w:leader="none" w:pos="12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[On the date hereof and on each Delivery Date, the Company shall have delivered to the Representatives a certificate of the Chief Financial Officer of the Company, in form and substance satisfactory to the Representatives.]</w:t>
      </w:r>
      <w:r>
        <w:rPr>
          <w:rFonts w:ascii="Arial" w:cs="Arial" w:eastAsia="Arial" w:hAnsi="Arial"/>
          <w:sz w:val="15"/>
          <w:szCs w:val="15"/>
          <w:color w:val="auto"/>
        </w:rPr>
        <w:t>1</w:t>
      </w:r>
    </w:p>
    <w:p>
      <w:pPr>
        <w:spacing w:after="0" w:line="179" w:lineRule="exact"/>
        <w:rPr>
          <w:sz w:val="20"/>
          <w:szCs w:val="20"/>
          <w:color w:val="auto"/>
        </w:rPr>
      </w:pPr>
    </w:p>
    <w:p>
      <w:pPr>
        <w:ind w:left="1160" w:hanging="184"/>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112" w:lineRule="exact"/>
        <w:rPr>
          <w:sz w:val="20"/>
          <w:szCs w:val="20"/>
          <w:color w:val="auto"/>
        </w:rPr>
      </w:pPr>
    </w:p>
    <w:p>
      <w:pPr>
        <w:ind w:left="440" w:firstLine="521"/>
        <w:spacing w:after="0" w:line="280" w:lineRule="auto"/>
        <w:rPr>
          <w:sz w:val="20"/>
          <w:szCs w:val="20"/>
          <w:color w:val="auto"/>
        </w:rPr>
      </w:pPr>
      <w:r>
        <w:rPr>
          <w:rFonts w:ascii="Arial" w:cs="Arial" w:eastAsia="Arial" w:hAnsi="Arial"/>
          <w:sz w:val="16"/>
          <w:szCs w:val="16"/>
          <w:color w:val="auto"/>
        </w:rPr>
        <w:t>(a) 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w:t>
      </w:r>
    </w:p>
    <w:p>
      <w:pPr>
        <w:spacing w:after="0" w:line="2" w:lineRule="exact"/>
        <w:rPr>
          <w:sz w:val="20"/>
          <w:szCs w:val="20"/>
          <w:color w:val="auto"/>
        </w:rPr>
      </w:pPr>
    </w:p>
    <w:p>
      <w:pPr>
        <w:ind w:left="440"/>
        <w:spacing w:after="0" w:line="277" w:lineRule="auto"/>
        <w:rPr>
          <w:sz w:val="20"/>
          <w:szCs w:val="20"/>
          <w:color w:val="auto"/>
        </w:rPr>
      </w:pPr>
      <w:r>
        <w:rPr>
          <w:rFonts w:ascii="Arial" w:cs="Arial" w:eastAsia="Arial" w:hAnsi="Arial"/>
          <w:sz w:val="16"/>
          <w:szCs w:val="16"/>
          <w:color w:val="auto"/>
        </w:rPr>
        <w:t>(i) any untrue statement or alleged untrue statement of a material fact contained in (A) any Preliminary Prospectus, the Registration Statement, the Prospectus or in any amendment or supplement thereto, (B) any Issuer Free Writing Prospectus or in any amendment or supplement thereto,</w:t>
      </w:r>
    </w:p>
    <w:p>
      <w:pPr>
        <w:spacing w:after="0" w:line="1" w:lineRule="exact"/>
        <w:rPr>
          <w:sz w:val="20"/>
          <w:szCs w:val="20"/>
          <w:color w:val="auto"/>
        </w:rPr>
      </w:pPr>
    </w:p>
    <w:p>
      <w:pPr>
        <w:ind w:left="440" w:right="20"/>
        <w:spacing w:after="0" w:line="280" w:lineRule="auto"/>
        <w:rPr>
          <w:sz w:val="20"/>
          <w:szCs w:val="20"/>
          <w:color w:val="auto"/>
        </w:rPr>
      </w:pPr>
      <w:r>
        <w:rPr>
          <w:rFonts w:ascii="Arial" w:cs="Arial" w:eastAsia="Arial" w:hAnsi="Arial"/>
          <w:sz w:val="16"/>
          <w:szCs w:val="16"/>
          <w:color w:val="auto"/>
        </w:rPr>
        <w:t>(C) any Permitted Issuer Information used or referred to in any “free writing prospectus” (as defined in Rule 405 under the Securities Act) used or referred to by any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Testing-the-Waters Communication (“</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xml:space="preserve">”) or (ii) the omission or alleged omission to state in any Preliminary Prospectus, the Registration Statement, the Prospectus, any Issuer Free Writing Prospectus or in any amendment or supplement thereto or in any Permitted Issuer Information or any Marketing Materials, any material fact required to be stated therein or necessary to make the statements therein not misleading, and shall reimburse each Underwriter and each such affiliate, director, officer, employee or controlling person promptly upon demand for any legal or other documented out of pocket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512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NTD: TBD if CFO cert will be required. If so, we will provide a draft and circle-ups for review.</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520" w:top="273" w:right="559" w:bottom="1440" w:gutter="0" w:footer="0" w:header="0"/>
        </w:sectPr>
      </w:pPr>
    </w:p>
    <w:bookmarkStart w:id="281" w:name="page282"/>
    <w:bookmarkEnd w:id="281"/>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Issuer Information or any Marketing Materials,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8(f).</w:t>
      </w:r>
    </w:p>
    <w:p>
      <w:pPr>
        <w:spacing w:after="0" w:line="82" w:lineRule="exact"/>
        <w:rPr>
          <w:sz w:val="20"/>
          <w:szCs w:val="20"/>
          <w:color w:val="auto"/>
        </w:rPr>
      </w:pPr>
    </w:p>
    <w:p>
      <w:pPr>
        <w:ind w:left="760" w:hanging="246"/>
        <w:spacing w:after="0"/>
        <w:tabs>
          <w:tab w:leader="none" w:pos="7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firstLine="514"/>
        <w:spacing w:after="0" w:line="264" w:lineRule="auto"/>
        <w:tabs>
          <w:tab w:leader="none" w:pos="76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directors and officers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(ii) the omission or alleged omission to state in any Preliminary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8(f).</w:t>
      </w:r>
    </w:p>
    <w:p>
      <w:pPr>
        <w:spacing w:after="0" w:line="78" w:lineRule="exact"/>
        <w:rPr>
          <w:rFonts w:ascii="Arial" w:cs="Arial" w:eastAsia="Arial" w:hAnsi="Arial"/>
          <w:sz w:val="17"/>
          <w:szCs w:val="17"/>
          <w:color w:val="auto"/>
        </w:rPr>
      </w:pPr>
    </w:p>
    <w:p>
      <w:pPr>
        <w:ind w:right="20" w:firstLine="514"/>
        <w:spacing w:after="0" w:line="264" w:lineRule="auto"/>
        <w:tabs>
          <w:tab w:leader="none" w:pos="77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failure to notify the indemnifying party shall not relieve it from any liability which it may have under this Section 8 except to the extent it has been materially prejudiced (through the forfeiture of substantive rights and defenses) by such failure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and documented out of pocket costs of investigation;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indemnified party shall have the right to employ counsel to represent jointly the indemnified party and those other indemnified parties and</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00"/>
          </w:cols>
          <w:pgMar w:left="960" w:top="274" w:right="539" w:bottom="1440" w:gutter="0" w:footer="0" w:header="0"/>
        </w:sectPr>
      </w:pPr>
    </w:p>
    <w:bookmarkStart w:id="282" w:name="page283"/>
    <w:bookmarkEnd w:id="282"/>
    <w:p>
      <w:pPr>
        <w:ind w:left="7"/>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reasonable and documented fees and expenses of such separate counsel shall be paid by the indemnifying party. It is understood and agreed that the indemnifying party shall not, in connection with any action or claim or related action or claim in the same jurisdiction, be liable for the fees and expenses of more than one separate firm (in addition to any local counsel) for all indemnified parties, except as provided for in this Section 8. No indemnifying party shall (x) without the prior written consent of the indemnified parties (which consent shall not be unreasonably withheld, conditioned or delayed),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w:t>
      </w:r>
    </w:p>
    <w:p>
      <w:pPr>
        <w:spacing w:after="0" w:line="279" w:lineRule="exact"/>
        <w:rPr>
          <w:sz w:val="20"/>
          <w:szCs w:val="20"/>
          <w:color w:val="auto"/>
        </w:rPr>
      </w:pPr>
    </w:p>
    <w:p>
      <w:pPr>
        <w:ind w:left="7" w:right="100" w:firstLine="514"/>
        <w:spacing w:after="0" w:line="280" w:lineRule="auto"/>
        <w:tabs>
          <w:tab w:leader="none" w:pos="76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shall for any reason be unavailable to or insufficient to hold harmless an indemnified party under Section 8(a), 8(b) or 8(c)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hand, from the offering of the Stock, or</w:t>
      </w:r>
    </w:p>
    <w:p>
      <w:pPr>
        <w:spacing w:after="0" w:line="1" w:lineRule="exact"/>
        <w:rPr>
          <w:rFonts w:ascii="Arial" w:cs="Arial" w:eastAsia="Arial" w:hAnsi="Arial"/>
          <w:sz w:val="16"/>
          <w:szCs w:val="16"/>
          <w:color w:val="auto"/>
        </w:rPr>
      </w:pPr>
    </w:p>
    <w:p>
      <w:pPr>
        <w:ind w:left="7" w:right="360" w:hanging="7"/>
        <w:spacing w:after="0" w:line="315" w:lineRule="auto"/>
        <w:tabs>
          <w:tab w:leader="none" w:pos="26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Underwriters,</w:t>
      </w:r>
    </w:p>
    <w:p>
      <w:pPr>
        <w:spacing w:after="0" w:line="78" w:lineRule="exact"/>
        <w:rPr>
          <w:sz w:val="20"/>
          <w:szCs w:val="20"/>
          <w:color w:val="auto"/>
        </w:rPr>
      </w:pPr>
    </w:p>
    <w:p>
      <w:pPr>
        <w:jc w:val="center"/>
        <w:ind w:right="41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07"/>
          </w:cols>
          <w:pgMar w:left="953" w:top="273" w:right="539" w:bottom="1440" w:gutter="0" w:footer="0" w:header="0"/>
        </w:sectPr>
      </w:pPr>
    </w:p>
    <w:bookmarkStart w:id="283" w:name="page284"/>
    <w:bookmarkEnd w:id="283"/>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on the other hand, with respect to the statements or omissions that resulted in such loss, claim, damage or liability, or action in respect thereof, as well as any other relevant equitable considerations. The relative benefits received by the Company, on the one hand, and the Underwriters, on the other hand, with respect to such offering shall be deemed to be in the same proportion as the total net proceeds from the offering of the Stock purchased under this Agreement (before deducting expenses) received by the Company, as set forth in the table on the cover page of the Prospectus, on the one hand, and the total underwriting discounts and commissions received by the Underwriters with respect to the shares of the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on the one hand, or the Underwriters, on the other hand, the intent of the parties and their relative knowledge, access to information and opportunity to correct or prevent such statement or omission. The Company and the Underwriters agree that it would not be just and equitable if contributions pursuant to this Section 8(e)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8(e) shall be deemed to include, for purposes of this Section 8(e), any documented out of pocket legal or other expenses reasonably incurred by such indemnified party in connection with investigating or defending any such action or claim. Notwithstanding the provisions of this Section 8(e), in no event shall an Underwriter be required to contribute any amount in excess of the amount by which the total underwriting discounts and commissions received by such Underwriter with respect to the offering of the Stock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8(e) are several in proportion to their respective underwriting obligations and not joint.</w:t>
      </w:r>
    </w:p>
    <w:p>
      <w:pPr>
        <w:spacing w:after="0" w:line="68" w:lineRule="exact"/>
        <w:rPr>
          <w:sz w:val="20"/>
          <w:szCs w:val="20"/>
          <w:color w:val="auto"/>
        </w:rPr>
      </w:pPr>
    </w:p>
    <w:p>
      <w:pPr>
        <w:ind w:right="20" w:firstLine="514"/>
        <w:spacing w:after="0" w:line="269" w:lineRule="auto"/>
        <w:tabs>
          <w:tab w:leader="none" w:pos="74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It is understood and agreed upon that the statements regarding the concession and reallowance figures and the paragraph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81" w:lineRule="exact"/>
        <w:rPr>
          <w:sz w:val="20"/>
          <w:szCs w:val="20"/>
          <w:color w:val="auto"/>
        </w:rPr>
      </w:pPr>
    </w:p>
    <w:p>
      <w:pPr>
        <w:ind w:left="720" w:hanging="184"/>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Directed Share Program Indemnification.</w:t>
      </w:r>
    </w:p>
    <w:p>
      <w:pPr>
        <w:spacing w:after="0" w:line="1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00"/>
          </w:cols>
          <w:pgMar w:left="960" w:top="273" w:right="539" w:bottom="1440" w:gutter="0" w:footer="0" w:header="0"/>
        </w:sectPr>
      </w:pPr>
    </w:p>
    <w:bookmarkStart w:id="284" w:name="page285"/>
    <w:bookmarkEnd w:id="284"/>
    <w:p>
      <w:pPr>
        <w:ind w:right="40" w:firstLine="514"/>
        <w:spacing w:after="0" w:line="264" w:lineRule="auto"/>
        <w:tabs>
          <w:tab w:leader="none" w:pos="762" w:val="left"/>
        </w:tabs>
        <w:numPr>
          <w:ilvl w:val="0"/>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agrees to indemnify and hold harmless Morgan Stanley, each person, if any, who controls Morgan Stanley within the meaning of either Section 15 of the Securities Act or Section 20 of the Exchange Act and each affiliate of Morgan Stanley within the meaning of Rule 405 of the Securities Act (“</w:t>
      </w:r>
      <w:r>
        <w:rPr>
          <w:rFonts w:ascii="Arial" w:cs="Arial" w:eastAsia="Arial" w:hAnsi="Arial"/>
          <w:sz w:val="17"/>
          <w:szCs w:val="17"/>
          <w:b w:val="1"/>
          <w:bCs w:val="1"/>
          <w:color w:val="auto"/>
        </w:rPr>
        <w:t>Morgan Stanley Entities</w:t>
      </w:r>
      <w:r>
        <w:rPr>
          <w:rFonts w:ascii="Arial" w:cs="Arial" w:eastAsia="Arial" w:hAnsi="Arial"/>
          <w:sz w:val="17"/>
          <w:szCs w:val="17"/>
          <w:color w:val="auto"/>
        </w:rPr>
        <w:t>”) from and against any and all losses, claims, damages and liabilities (including, without limitation, any legal or other expenses reasonably incurred and documented in connection with defending or investigating any such action or claim) (i) that arise out of, or are based upon, any untrue statement or alleged untrue statement of a material fact 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to make the statements therein not misleading; (ii) 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81" w:lineRule="exact"/>
        <w:rPr>
          <w:rFonts w:ascii="Arial" w:cs="Arial" w:eastAsia="Arial" w:hAnsi="Arial"/>
          <w:sz w:val="17"/>
          <w:szCs w:val="17"/>
          <w:color w:val="auto"/>
        </w:rPr>
      </w:pPr>
    </w:p>
    <w:p>
      <w:pPr>
        <w:ind w:firstLine="514"/>
        <w:spacing w:after="0" w:line="278" w:lineRule="auto"/>
        <w:tabs>
          <w:tab w:leader="none" w:pos="77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Morgan Stanley Entity in respect of which indemnity may be sought pursuant to Section 9(a),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reasonably incurred and documented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reasonably incurred and documented fees and expenses of more than one separate firm (in addition to any local counsel) for all Morgan Stanley Entities. Any such separate firm for</w:t>
      </w:r>
    </w:p>
    <w:p>
      <w:pPr>
        <w:spacing w:after="0" w:line="7" w:lineRule="exact"/>
        <w:rPr>
          <w:rFonts w:ascii="Arial" w:cs="Arial" w:eastAsia="Arial" w:hAnsi="Arial"/>
          <w:sz w:val="16"/>
          <w:szCs w:val="16"/>
          <w:color w:val="auto"/>
        </w:rPr>
      </w:pPr>
    </w:p>
    <w:p>
      <w:pPr>
        <w:ind w:right="120"/>
        <w:spacing w:after="0" w:line="247" w:lineRule="auto"/>
        <w:rPr>
          <w:rFonts w:ascii="Arial" w:cs="Arial" w:eastAsia="Arial" w:hAnsi="Arial"/>
          <w:sz w:val="16"/>
          <w:szCs w:val="16"/>
          <w:color w:val="auto"/>
        </w:rPr>
      </w:pPr>
      <w:r>
        <w:rPr>
          <w:rFonts w:ascii="Arial" w:cs="Arial" w:eastAsia="Arial" w:hAnsi="Arial"/>
          <w:sz w:val="18"/>
          <w:szCs w:val="18"/>
          <w:color w:val="auto"/>
        </w:rPr>
        <w:t>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1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00"/>
          </w:cols>
          <w:pgMar w:left="960" w:top="273" w:right="539" w:bottom="1440" w:gutter="0" w:footer="0" w:header="0"/>
        </w:sectPr>
      </w:pPr>
    </w:p>
    <w:bookmarkStart w:id="285" w:name="page286"/>
    <w:bookmarkEnd w:id="285"/>
    <w:p>
      <w:pPr>
        <w:ind w:left="7" w:firstLine="514"/>
        <w:spacing w:after="0" w:line="280" w:lineRule="auto"/>
        <w:tabs>
          <w:tab w:leader="none" w:pos="769" w:val="left"/>
        </w:tabs>
        <w:numPr>
          <w:ilvl w:val="1"/>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To the extent the indemnification provided for in Section 9(a)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9(c)(i) above is not permitted by applicable law, in such proportion as is appropriate to reflect not only the relative benefits referred to in clause 9(c)(i)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75" w:lineRule="exact"/>
        <w:rPr>
          <w:rFonts w:ascii="Arial" w:cs="Arial" w:eastAsia="Arial" w:hAnsi="Arial"/>
          <w:sz w:val="16"/>
          <w:szCs w:val="16"/>
          <w:color w:val="auto"/>
        </w:rPr>
      </w:pPr>
    </w:p>
    <w:p>
      <w:pPr>
        <w:ind w:left="7" w:firstLine="514"/>
        <w:spacing w:after="0" w:line="282" w:lineRule="auto"/>
        <w:tabs>
          <w:tab w:leader="none" w:pos="779"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Company and the Morgan Stanley Entities agree that it would not be just or equitable if contribution pursuant to this Section 9 were determined by pro rata allocation (even if the Morgan Stanley Entities were treated as one entity for such purpose) or by any other method of allocation that does not take account of the equitable considerations referred to in Section 9(c). The amount paid or payable by</w:t>
      </w:r>
    </w:p>
    <w:p>
      <w:pPr>
        <w:ind w:left="7" w:right="80"/>
        <w:spacing w:after="0" w:line="264" w:lineRule="auto"/>
        <w:rPr>
          <w:rFonts w:ascii="Arial" w:cs="Arial" w:eastAsia="Arial" w:hAnsi="Arial"/>
          <w:sz w:val="16"/>
          <w:szCs w:val="16"/>
          <w:color w:val="auto"/>
        </w:rPr>
      </w:pPr>
      <w:r>
        <w:rPr>
          <w:rFonts w:ascii="Arial" w:cs="Arial" w:eastAsia="Arial" w:hAnsi="Arial"/>
          <w:sz w:val="17"/>
          <w:szCs w:val="17"/>
          <w:color w:val="auto"/>
        </w:rPr>
        <w:t>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9,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9 are not exclusive and shall not limit any rights or remedies which may otherwise be available to any indemnified party at law or in equity.</w:t>
      </w:r>
    </w:p>
    <w:p>
      <w:pPr>
        <w:spacing w:after="0" w:line="79" w:lineRule="exact"/>
        <w:rPr>
          <w:rFonts w:ascii="Arial" w:cs="Arial" w:eastAsia="Arial" w:hAnsi="Arial"/>
          <w:sz w:val="16"/>
          <w:szCs w:val="16"/>
          <w:color w:val="auto"/>
        </w:rPr>
      </w:pPr>
    </w:p>
    <w:p>
      <w:pPr>
        <w:ind w:left="767" w:hanging="246"/>
        <w:spacing w:after="0"/>
        <w:tabs>
          <w:tab w:leader="none" w:pos="767"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9 shall remain operative and in full force and effect regardless of</w:t>
      </w:r>
    </w:p>
    <w:p>
      <w:pPr>
        <w:spacing w:after="0" w:line="39" w:lineRule="exact"/>
        <w:rPr>
          <w:rFonts w:ascii="Arial" w:cs="Arial" w:eastAsia="Arial" w:hAnsi="Arial"/>
          <w:sz w:val="16"/>
          <w:szCs w:val="16"/>
          <w:color w:val="auto"/>
        </w:rPr>
      </w:pPr>
    </w:p>
    <w:p>
      <w:pPr>
        <w:ind w:left="7" w:right="260" w:hanging="7"/>
        <w:spacing w:after="0" w:line="282" w:lineRule="auto"/>
        <w:tabs>
          <w:tab w:leader="none" w:pos="21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01"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387"/>
          </w:cols>
          <w:pgMar w:left="953" w:top="273" w:right="559" w:bottom="1440" w:gutter="0" w:footer="0" w:header="0"/>
        </w:sectPr>
      </w:pPr>
    </w:p>
    <w:bookmarkStart w:id="286" w:name="page287"/>
    <w:bookmarkEnd w:id="286"/>
    <w:p>
      <w:pPr>
        <w:ind w:left="807" w:hanging="264"/>
        <w:spacing w:after="0"/>
        <w:tabs>
          <w:tab w:leader="none" w:pos="807"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Defaulting Underwriters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7" w:firstLine="514"/>
        <w:spacing w:after="0" w:line="281" w:lineRule="auto"/>
        <w:tabs>
          <w:tab w:leader="none" w:pos="76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on any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that they have so arranged for the purchase of such Stock, or the Company notifies the non-defaulting Underwriters that it has so arranged for the purchase of such Stock,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unless the context requires otherwise, includes any party not listed in Schedule I hereto that, pursuant to this Section 10, purchases Stock that a defaulting Underwriter agreed but failed to purchase.</w:t>
      </w:r>
    </w:p>
    <w:p>
      <w:pPr>
        <w:spacing w:after="0" w:line="71" w:lineRule="exact"/>
        <w:rPr>
          <w:rFonts w:ascii="Arial" w:cs="Arial" w:eastAsia="Arial" w:hAnsi="Arial"/>
          <w:sz w:val="16"/>
          <w:szCs w:val="16"/>
          <w:color w:val="auto"/>
        </w:rPr>
      </w:pPr>
    </w:p>
    <w:p>
      <w:pPr>
        <w:ind w:left="767" w:hanging="246"/>
        <w:spacing w:after="0"/>
        <w:tabs>
          <w:tab w:leader="none" w:pos="76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Stock of a defaulting Underwriter or Underwriters by the</w:t>
      </w:r>
    </w:p>
    <w:p>
      <w:pPr>
        <w:spacing w:after="0" w:line="28" w:lineRule="exact"/>
        <w:rPr>
          <w:sz w:val="20"/>
          <w:szCs w:val="20"/>
          <w:color w:val="auto"/>
        </w:rPr>
      </w:pPr>
    </w:p>
    <w:p>
      <w:pPr>
        <w:ind w:left="7" w:right="240"/>
        <w:spacing w:after="0" w:line="283" w:lineRule="auto"/>
        <w:rPr>
          <w:sz w:val="20"/>
          <w:szCs w:val="20"/>
          <w:color w:val="auto"/>
        </w:rPr>
      </w:pPr>
      <w:r>
        <w:rPr>
          <w:rFonts w:ascii="Arial" w:cs="Arial" w:eastAsia="Arial" w:hAnsi="Arial"/>
          <w:sz w:val="16"/>
          <w:szCs w:val="16"/>
          <w:color w:val="auto"/>
        </w:rPr>
        <w:t xml:space="preserve">non-defaulting Underwriters and the Company as provided in paragraph (a) above, the total number of shares of the Stock that remains unpurchased does not exceed one-eleventh of the total number of shares of all the Stock, then the Company shall have the right to require each non-defaulting Underwriter to purchase the total number of shares of Stock that such Underwriter agreed to purchase hereunder plus such Underwriter’s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(based on the total number of shares of Stock that such Underwriter agreed to purchase hereunder) of the Stock of such defaulting Underwriter or Underwriters for which such arrangements have not been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non-defaulting Underwriters shall not be obligated to purchase more than 110% of the total number of shares of Stock that it agreed to purchase on such Delivery Date pursuant to the terms of Section 2. Nothing herein shall relieve a defaulting Underwriter from liability for its default.</w:t>
      </w:r>
    </w:p>
    <w:p>
      <w:pPr>
        <w:spacing w:after="0" w:line="66" w:lineRule="exact"/>
        <w:rPr>
          <w:sz w:val="20"/>
          <w:szCs w:val="20"/>
          <w:color w:val="auto"/>
        </w:rPr>
      </w:pPr>
    </w:p>
    <w:p>
      <w:pPr>
        <w:ind w:left="7" w:right="120" w:firstLine="521"/>
        <w:spacing w:after="0" w:line="282" w:lineRule="auto"/>
        <w:rPr>
          <w:sz w:val="20"/>
          <w:szCs w:val="20"/>
          <w:color w:val="auto"/>
        </w:rPr>
      </w:pPr>
      <w:r>
        <w:rPr>
          <w:rFonts w:ascii="Arial" w:cs="Arial" w:eastAsia="Arial" w:hAnsi="Arial"/>
          <w:sz w:val="16"/>
          <w:szCs w:val="16"/>
          <w:color w:val="auto"/>
        </w:rPr>
        <w:t>(c) If, after giving effect to any arrangements for the purchase of the Stock of a defaulting Underwriter or Underwriters by the non-defaulting Underwriters and the Company as provided in paragraph (a) above, the total number of shares of Stock that remains unpurchased exceeds one-eleventh of the total number of shares of all the Stock, or if the Company shall not exercise the right described in paragraph</w:t>
      </w:r>
    </w:p>
    <w:p>
      <w:pPr>
        <w:spacing w:after="0" w:line="1" w:lineRule="exact"/>
        <w:rPr>
          <w:sz w:val="20"/>
          <w:szCs w:val="20"/>
          <w:color w:val="auto"/>
        </w:rPr>
      </w:pPr>
    </w:p>
    <w:p>
      <w:pPr>
        <w:ind w:left="7" w:hanging="7"/>
        <w:spacing w:after="0" w:line="296" w:lineRule="auto"/>
        <w:tabs>
          <w:tab w:leader="none" w:pos="24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6 and 12 and except that the provisions of Section 8 shall not terminate and shall remain in effect.</w:t>
      </w:r>
    </w:p>
    <w:p>
      <w:pPr>
        <w:spacing w:after="0" w:line="93"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367"/>
          </w:cols>
          <w:pgMar w:left="953" w:top="274" w:right="579" w:bottom="1440" w:gutter="0" w:footer="0" w:header="0"/>
        </w:sectPr>
      </w:pPr>
    </w:p>
    <w:bookmarkStart w:id="287" w:name="page288"/>
    <w:bookmarkEnd w:id="287"/>
    <w:p>
      <w:pPr>
        <w:ind w:left="440" w:right="420" w:firstLine="514"/>
        <w:spacing w:after="0" w:line="266" w:lineRule="auto"/>
        <w:tabs>
          <w:tab w:leader="none" w:pos="12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79" w:lineRule="exact"/>
        <w:rPr>
          <w:rFonts w:ascii="Arial" w:cs="Arial" w:eastAsia="Arial" w:hAnsi="Arial"/>
          <w:sz w:val="18"/>
          <w:szCs w:val="18"/>
          <w:color w:val="auto"/>
        </w:rPr>
      </w:pPr>
    </w:p>
    <w:p>
      <w:pPr>
        <w:jc w:val="both"/>
        <w:ind w:right="60" w:firstLine="976"/>
        <w:spacing w:after="0" w:line="278" w:lineRule="auto"/>
        <w:tabs>
          <w:tab w:leader="none" w:pos="1235" w:val="left"/>
        </w:tabs>
        <w:numPr>
          <w:ilvl w:val="1"/>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obligations of the Underwriters hereunder may be terminated by the Representatives by notice given to and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Company prior to delivery of and payment for the Firm Stock if, prior to that time, any of the events described in Section 7(l) and 7(n) shall have occurred or if the Underwriters shall decline to purchase the Stock for any reason permitted under this Agreement.</w:t>
      </w:r>
    </w:p>
    <w:p>
      <w:pPr>
        <w:spacing w:after="0" w:line="171" w:lineRule="exact"/>
        <w:rPr>
          <w:rFonts w:ascii="Arial" w:cs="Arial" w:eastAsia="Arial" w:hAnsi="Arial"/>
          <w:sz w:val="17"/>
          <w:szCs w:val="17"/>
          <w:color w:val="auto"/>
        </w:rPr>
      </w:pPr>
    </w:p>
    <w:p>
      <w:pPr>
        <w:ind w:right="80" w:firstLine="976"/>
        <w:spacing w:after="0" w:line="287" w:lineRule="auto"/>
        <w:tabs>
          <w:tab w:leader="none" w:pos="1242" w:val="left"/>
        </w:tabs>
        <w:numPr>
          <w:ilvl w:val="1"/>
          <w:numId w:val="209"/>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Underwriters’ Expenses. </w:t>
      </w:r>
      <w:r>
        <w:rPr>
          <w:rFonts w:ascii="Arial" w:cs="Arial" w:eastAsia="Arial" w:hAnsi="Arial"/>
          <w:sz w:val="16"/>
          <w:szCs w:val="16"/>
          <w:color w:val="auto"/>
        </w:rPr>
        <w:t>If (a) the Company shall fail to tender the Stock for delivery to the Underwriters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or (b) the Underwriters shall decline to purchase the Stock for any reason permitted under this Agreement, the Company will reimburse the Underwriters for all reasonable and documented out-of-pocket expenses (including fees and disbursements of counsel for the Underwriters) incurred by the Underwriters in connection with this Agreement and the proposed purchase of the Stock, and upon demand the Company shall pay the full amount thereof to the Representatives. If this Agreement is terminated pursuant to Section 10 by reason of the default of one or more Underwriters, the Company shall not be obligated to reimburse any defaulting Underwriter on account of those expenses.</w:t>
      </w:r>
    </w:p>
    <w:p>
      <w:pPr>
        <w:spacing w:after="0" w:line="169" w:lineRule="exact"/>
        <w:rPr>
          <w:rFonts w:ascii="Arial" w:cs="Arial" w:eastAsia="Arial" w:hAnsi="Arial"/>
          <w:sz w:val="16"/>
          <w:szCs w:val="16"/>
          <w:color w:val="auto"/>
        </w:rPr>
      </w:pPr>
    </w:p>
    <w:p>
      <w:pPr>
        <w:ind w:firstLine="976"/>
        <w:spacing w:after="0" w:line="265" w:lineRule="auto"/>
        <w:tabs>
          <w:tab w:leader="none" w:pos="1242" w:val="left"/>
        </w:tabs>
        <w:numPr>
          <w:ilvl w:val="1"/>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Research Analyst Independence. </w:t>
      </w:r>
      <w:r>
        <w:rPr>
          <w:rFonts w:ascii="Arial" w:cs="Arial" w:eastAsia="Arial" w:hAnsi="Arial"/>
          <w:sz w:val="17"/>
          <w:szCs w:val="17"/>
          <w:color w:val="auto"/>
        </w:rPr>
        <w:t>The Company acknowledges that the Underwriters’ research analysts and research departments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1" w:lineRule="exact"/>
        <w:rPr>
          <w:rFonts w:ascii="Arial" w:cs="Arial" w:eastAsia="Arial" w:hAnsi="Arial"/>
          <w:sz w:val="17"/>
          <w:szCs w:val="17"/>
          <w:color w:val="auto"/>
        </w:rPr>
      </w:pPr>
    </w:p>
    <w:p>
      <w:pPr>
        <w:ind w:firstLine="976"/>
        <w:spacing w:after="0" w:line="290" w:lineRule="auto"/>
        <w:tabs>
          <w:tab w:leader="none" w:pos="1242" w:val="left"/>
        </w:tabs>
        <w:numPr>
          <w:ilvl w:val="1"/>
          <w:numId w:val="209"/>
        </w:numPr>
        <w:rPr>
          <w:rFonts w:ascii="Arial" w:cs="Arial" w:eastAsia="Arial" w:hAnsi="Arial"/>
          <w:sz w:val="16"/>
          <w:szCs w:val="16"/>
          <w:color w:val="auto"/>
        </w:rPr>
      </w:pPr>
      <w:r>
        <w:rPr>
          <w:rFonts w:ascii="Arial" w:cs="Arial" w:eastAsia="Arial" w:hAnsi="Arial"/>
          <w:sz w:val="16"/>
          <w:szCs w:val="16"/>
          <w:i w:val="1"/>
          <w:iCs w:val="1"/>
          <w:color w:val="auto"/>
        </w:rPr>
        <w:t>No Fiduciary Duty</w:t>
      </w:r>
      <w:r>
        <w:rPr>
          <w:rFonts w:ascii="Arial" w:cs="Arial" w:eastAsia="Arial" w:hAnsi="Arial"/>
          <w:sz w:val="16"/>
          <w:szCs w:val="16"/>
          <w:color w:val="auto"/>
        </w:rPr>
        <w:t>. The Company acknowledges and agrees that in connection with this offering, sale of the Stock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Underwriters may be deemed to be providing hereunder, notwithstanding any preexisting relationship, advisory or otherwise and are not providing a recommendation or investment advice, between the parties or any oral representations or assurances previously or subsequently made by the Underwriters: (a) no fiduciary or agency relationship between the Company and any other person, on the one hand, and the Underwriters, on the other hand, exists; (b) the Underwriters are not acting as advisors, expert or otherwise, to either the Company, including, without limitation, with respect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40"/>
          </w:cols>
          <w:pgMar w:left="520" w:top="273" w:right="539" w:bottom="1440" w:gutter="0" w:footer="0" w:header="0"/>
        </w:sectPr>
      </w:pPr>
    </w:p>
    <w:bookmarkStart w:id="288" w:name="page289"/>
    <w:bookmarkEnd w:id="288"/>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determination of the public offering price of the Stock, and such relationship between the Company, on the one hand, and the Underwriters, on the other hand, is entirely and solely commercial, based on arms-length negotiations and, as such, not intended for use by any individual for personal, family or household purposes; (c) any duties and obligations that the Underwriters may have to the Company shall be limited to those duties and obligations specifically stated herein; (d) the Underwriters and their respective affiliates may have interests that differ from those of the Company; (e) the purchase and sale of the Stock pursuant to this Agreement does not constitute a recommendation, investment advice, or solicitation of any action by the Underwriters and (f) none of the activities of the Underwriters in connection with the transactions contemplated herein constitutes a recommendation, investment advice or solicitation of any action by the Underwriters with respect to any entity or natural person.. The Company hereby (x) waives any claims that the Company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has consulted their own legal, accounting, financial, regulatory and tax advisors to the extent deemed appropriate.</w:t>
      </w:r>
    </w:p>
    <w:p>
      <w:pPr>
        <w:spacing w:after="0" w:line="175" w:lineRule="exact"/>
        <w:rPr>
          <w:sz w:val="20"/>
          <w:szCs w:val="20"/>
          <w:color w:val="auto"/>
        </w:rPr>
      </w:pPr>
    </w:p>
    <w:p>
      <w:pPr>
        <w:ind w:left="1240" w:hanging="264"/>
        <w:spacing w:after="0"/>
        <w:tabs>
          <w:tab w:leader="none" w:pos="1240" w:val="left"/>
        </w:tabs>
        <w:numPr>
          <w:ilvl w:val="1"/>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p>
    <w:p>
      <w:pPr>
        <w:spacing w:after="0" w:line="112" w:lineRule="exact"/>
        <w:rPr>
          <w:rFonts w:ascii="Arial" w:cs="Arial" w:eastAsia="Arial" w:hAnsi="Arial"/>
          <w:sz w:val="18"/>
          <w:szCs w:val="18"/>
          <w:color w:val="auto"/>
        </w:rPr>
      </w:pPr>
    </w:p>
    <w:p>
      <w:pPr>
        <w:ind w:left="440" w:firstLine="514"/>
        <w:spacing w:after="0" w:line="251" w:lineRule="auto"/>
        <w:tabs>
          <w:tab w:leader="none" w:pos="120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to the Underwriters, shall be delivered or sent by mail or facsimile transmission to Barclays Capital Inc., 745 Seventh Avenue, New York, New York 10019, Attention: Syndicate Registration (Fax: (646) 834-8133) with a copy, in the case of any notice pursuant to Section 8(d), to the Director of Litigation, Office of the General Counsel, Barclays Capital Inc., 745 Seventh Avenue, New York, New York 10019, and Morgan Stanley &amp; Co. LLC, 1585 Broadway, 29th Floor, New York, New York 10036, Attention: Investment Banking Division (Fax: (212) 507-8999), with a copy to the Legal Department;</w:t>
      </w:r>
    </w:p>
    <w:p>
      <w:pPr>
        <w:spacing w:after="0" w:line="87" w:lineRule="exact"/>
        <w:rPr>
          <w:rFonts w:ascii="Arial" w:cs="Arial" w:eastAsia="Arial" w:hAnsi="Arial"/>
          <w:sz w:val="18"/>
          <w:szCs w:val="18"/>
          <w:color w:val="auto"/>
        </w:rPr>
      </w:pPr>
    </w:p>
    <w:p>
      <w:pPr>
        <w:ind w:left="1200" w:hanging="246"/>
        <w:spacing w:after="0"/>
        <w:tabs>
          <w:tab w:leader="none" w:pos="12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if to the Company, shall be delivered or sent by mail or facsimile transmission to the address of the Company set forth in the</w:t>
      </w:r>
    </w:p>
    <w:p>
      <w:pPr>
        <w:spacing w:after="0" w:line="28"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6"/>
          <w:szCs w:val="16"/>
          <w:color w:val="auto"/>
        </w:rPr>
        <w:t>Registration Statement, Attention: Secretary, with a copy for informational purposes only to Paul, Weiss, Rifkind, Wharton &amp; Garrison LLP, 1285</w:t>
      </w:r>
    </w:p>
    <w:p>
      <w:pPr>
        <w:spacing w:after="0" w:line="28"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Avenue of the Americas, New York, NY 10019, facsimile (212) 492-0588, Attention: Brian M. Janson, Esq.;</w:t>
      </w:r>
    </w:p>
    <w:p>
      <w:pPr>
        <w:spacing w:after="0" w:line="20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shall be entitled to act and rely upon any request, consent, notice or agreement given or made on behalf of the Underwriters by the Representatives.</w:t>
      </w:r>
    </w:p>
    <w:p>
      <w:pPr>
        <w:spacing w:after="0" w:line="179" w:lineRule="exact"/>
        <w:rPr>
          <w:sz w:val="20"/>
          <w:szCs w:val="20"/>
          <w:color w:val="auto"/>
        </w:rPr>
      </w:pPr>
    </w:p>
    <w:p>
      <w:pPr>
        <w:ind w:right="140" w:firstLine="976"/>
        <w:spacing w:after="0" w:line="250" w:lineRule="auto"/>
        <w:tabs>
          <w:tab w:leader="none" w:pos="1242"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Persons Entitled to Benefit of Agreement</w:t>
      </w:r>
      <w:r>
        <w:rPr>
          <w:rFonts w:ascii="Arial" w:cs="Arial" w:eastAsia="Arial" w:hAnsi="Arial"/>
          <w:sz w:val="18"/>
          <w:szCs w:val="18"/>
          <w:color w:val="auto"/>
        </w:rPr>
        <w:t>. This Agreement shall inure to the benefit of and be binding upon the Underwriters,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affiliates and employees of the Underwriters and each person or persons, if any, who control any Underwriter within the meaning of Section 15 of the Securities Act or Section 20 of the Exchange Act, and (b) the indemnity agreement of the Underwriters contained in Section 8(c) of this Agreement shall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20"/>
          </w:cols>
          <w:pgMar w:left="520" w:top="274" w:right="559" w:bottom="1440" w:gutter="0" w:footer="0" w:header="0"/>
        </w:sectPr>
      </w:pPr>
    </w:p>
    <w:bookmarkStart w:id="289" w:name="page290"/>
    <w:bookmarkEnd w:id="289"/>
    <w:p>
      <w:pPr>
        <w:ind w:right="18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 No purchaser of any of the Stock from any Underwriter shall be deemed a successor or assign by reason merely of such purchase.</w:t>
      </w:r>
    </w:p>
    <w:p>
      <w:pPr>
        <w:spacing w:after="0" w:line="194" w:lineRule="exact"/>
        <w:rPr>
          <w:sz w:val="20"/>
          <w:szCs w:val="20"/>
          <w:color w:val="auto"/>
        </w:rPr>
      </w:pPr>
    </w:p>
    <w:p>
      <w:pPr>
        <w:ind w:right="200" w:firstLine="976"/>
        <w:spacing w:after="0" w:line="253" w:lineRule="auto"/>
        <w:tabs>
          <w:tab w:leader="none" w:pos="1242"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respective indemnities, rights of contributions, representations, warranties and agreements of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90" w:lineRule="exact"/>
        <w:rPr>
          <w:rFonts w:ascii="Arial" w:cs="Arial" w:eastAsia="Arial" w:hAnsi="Arial"/>
          <w:sz w:val="18"/>
          <w:szCs w:val="18"/>
          <w:color w:val="auto"/>
        </w:rPr>
      </w:pPr>
    </w:p>
    <w:p>
      <w:pPr>
        <w:ind w:right="340" w:firstLine="976"/>
        <w:spacing w:after="0" w:line="303" w:lineRule="auto"/>
        <w:tabs>
          <w:tab w:leader="none" w:pos="1242"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Definition of the Terms “Business Day”, “Affiliate” and “Subsidiary”</w:t>
      </w:r>
      <w:r>
        <w:rPr>
          <w:rFonts w:ascii="Arial" w:cs="Arial" w:eastAsia="Arial" w:hAnsi="Arial"/>
          <w:sz w:val="16"/>
          <w:szCs w:val="16"/>
          <w:color w:val="auto"/>
        </w:rPr>
        <w:t>. For purposes of this Agreement,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w:t>
      </w:r>
      <w:r>
        <w:rPr>
          <w:rFonts w:ascii="Arial" w:cs="Arial" w:eastAsia="Arial" w:hAnsi="Arial"/>
          <w:sz w:val="16"/>
          <w:szCs w:val="16"/>
          <w:i w:val="1"/>
          <w:iCs w:val="1"/>
          <w:color w:val="auto"/>
        </w:rPr>
        <w:t xml:space="preserve"> </w:t>
      </w:r>
      <w:r>
        <w:rPr>
          <w:rFonts w:ascii="Arial" w:cs="Arial" w:eastAsia="Arial" w:hAnsi="Arial"/>
          <w:sz w:val="16"/>
          <w:szCs w:val="16"/>
          <w:color w:val="auto"/>
        </w:rPr>
        <w:t>each Monday, Tuesday, Wednesday, Thursday or Friday that is not a day on which banking institutions in New York are generally authorized or obligated by law or executive order to close, and (b)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have the meanings set forth in Rule 405 under the Securities Act.</w:t>
      </w:r>
    </w:p>
    <w:p>
      <w:pPr>
        <w:spacing w:after="0" w:line="154" w:lineRule="exact"/>
        <w:rPr>
          <w:rFonts w:ascii="Arial" w:cs="Arial" w:eastAsia="Arial" w:hAnsi="Arial"/>
          <w:sz w:val="16"/>
          <w:szCs w:val="16"/>
          <w:color w:val="auto"/>
        </w:rPr>
      </w:pPr>
    </w:p>
    <w:p>
      <w:pPr>
        <w:jc w:val="both"/>
        <w:ind w:right="340" w:firstLine="976"/>
        <w:spacing w:after="0" w:line="253" w:lineRule="auto"/>
        <w:tabs>
          <w:tab w:leader="none" w:pos="1242"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any transaction contemplated by this Agreement and any claim or controversy or dispute arising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or related thereto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w:t>
      </w:r>
    </w:p>
    <w:p>
      <w:pPr>
        <w:spacing w:after="0" w:line="190" w:lineRule="exact"/>
        <w:rPr>
          <w:rFonts w:ascii="Arial" w:cs="Arial" w:eastAsia="Arial" w:hAnsi="Arial"/>
          <w:sz w:val="18"/>
          <w:szCs w:val="18"/>
          <w:color w:val="auto"/>
        </w:rPr>
      </w:pPr>
    </w:p>
    <w:p>
      <w:pPr>
        <w:ind w:right="160" w:firstLine="976"/>
        <w:spacing w:after="0" w:line="329" w:lineRule="auto"/>
        <w:tabs>
          <w:tab w:leader="none" w:pos="1242"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The Company and the Underwriters hereby irrevocably waive, to the fullest extent permitted by applicable law,</w:t>
      </w:r>
      <w:r>
        <w:rPr>
          <w:rFonts w:ascii="Arial" w:cs="Arial" w:eastAsia="Arial" w:hAnsi="Arial"/>
          <w:sz w:val="16"/>
          <w:szCs w:val="16"/>
          <w:i w:val="1"/>
          <w:iCs w:val="1"/>
          <w:color w:val="auto"/>
        </w:rPr>
        <w:t xml:space="preserve"> </w:t>
      </w:r>
      <w:r>
        <w:rPr>
          <w:rFonts w:ascii="Arial" w:cs="Arial" w:eastAsia="Arial" w:hAnsi="Arial"/>
          <w:sz w:val="16"/>
          <w:szCs w:val="16"/>
          <w:color w:val="auto"/>
        </w:rPr>
        <w:t>any and all right to trial by jury in any legal proceeding arising out of or relating to this Agreement or the transactions contemplated hereby.</w:t>
      </w:r>
    </w:p>
    <w:p>
      <w:pPr>
        <w:spacing w:after="0" w:line="133" w:lineRule="exact"/>
        <w:rPr>
          <w:rFonts w:ascii="Arial" w:cs="Arial" w:eastAsia="Arial" w:hAnsi="Arial"/>
          <w:sz w:val="16"/>
          <w:szCs w:val="16"/>
          <w:color w:val="auto"/>
        </w:rPr>
      </w:pPr>
    </w:p>
    <w:p>
      <w:pPr>
        <w:ind w:firstLine="976"/>
        <w:spacing w:after="0" w:line="290" w:lineRule="auto"/>
        <w:tabs>
          <w:tab w:leader="none" w:pos="1242"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one or more counterparts and, if executed in more than one counterpart,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64" w:lineRule="exact"/>
        <w:rPr>
          <w:rFonts w:ascii="Arial" w:cs="Arial" w:eastAsia="Arial" w:hAnsi="Arial"/>
          <w:sz w:val="16"/>
          <w:szCs w:val="16"/>
          <w:color w:val="auto"/>
        </w:rPr>
      </w:pPr>
    </w:p>
    <w:p>
      <w:pPr>
        <w:ind w:right="560" w:firstLine="976"/>
        <w:spacing w:after="0" w:line="266" w:lineRule="auto"/>
        <w:tabs>
          <w:tab w:leader="none" w:pos="1242"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this Agreement.</w:t>
      </w:r>
    </w:p>
    <w:p>
      <w:pPr>
        <w:spacing w:after="0" w:line="179" w:lineRule="exact"/>
        <w:rPr>
          <w:rFonts w:ascii="Arial" w:cs="Arial" w:eastAsia="Arial" w:hAnsi="Arial"/>
          <w:sz w:val="18"/>
          <w:szCs w:val="18"/>
          <w:color w:val="auto"/>
        </w:rPr>
      </w:pPr>
    </w:p>
    <w:p>
      <w:pPr>
        <w:ind w:left="1240" w:hanging="264"/>
        <w:spacing w:after="0"/>
        <w:tabs>
          <w:tab w:leader="none" w:pos="1240"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p>
    <w:p>
      <w:pPr>
        <w:spacing w:after="0" w:line="112" w:lineRule="exact"/>
        <w:rPr>
          <w:rFonts w:ascii="Arial" w:cs="Arial" w:eastAsia="Arial" w:hAnsi="Arial"/>
          <w:sz w:val="18"/>
          <w:szCs w:val="18"/>
          <w:color w:val="auto"/>
        </w:rPr>
      </w:pPr>
    </w:p>
    <w:p>
      <w:pPr>
        <w:ind w:right="40" w:firstLine="433"/>
        <w:spacing w:after="0" w:line="253" w:lineRule="auto"/>
        <w:tabs>
          <w:tab w:leader="none" w:pos="67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the event that any Underwriters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520" w:top="273" w:right="559" w:bottom="1440" w:gutter="0" w:footer="0" w:header="0"/>
        </w:sectPr>
      </w:pPr>
    </w:p>
    <w:bookmarkStart w:id="290" w:name="page291"/>
    <w:bookmarkEnd w:id="290"/>
    <w:p>
      <w:pPr>
        <w:jc w:val="both"/>
        <w:ind w:right="20" w:firstLine="433"/>
        <w:spacing w:after="0" w:line="253" w:lineRule="auto"/>
        <w:tabs>
          <w:tab w:leader="none" w:pos="6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the event that any Underwriters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9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the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40"/>
          </w:cols>
          <w:pgMar w:left="520" w:top="274" w:right="539" w:bottom="1440" w:gutter="0" w:footer="0" w:header="0"/>
        </w:sectPr>
      </w:pPr>
    </w:p>
    <w:bookmarkStart w:id="291" w:name="page292"/>
    <w:bookmarkEnd w:id="291"/>
    <w:p>
      <w:pPr>
        <w:ind w:firstLine="434"/>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If the foregoing correctly sets forth the agreement among the Company and the Underwriters, please indicate your acceptance in the space provided for that purpose below.</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Very truly yours,</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SUN COUNTRY AIRLINES HOLDINGS, INC.</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8">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20"/>
          </w:cols>
          <w:pgMar w:left="520" w:top="273" w:right="11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Accepted: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ARCLAYS</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TANLEY</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 Schedule I hereto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B</w:t>
      </w:r>
      <w:r>
        <w:rPr>
          <w:rFonts w:ascii="Arial" w:cs="Arial" w:eastAsia="Arial" w:hAnsi="Arial"/>
          <w:sz w:val="14"/>
          <w:szCs w:val="14"/>
          <w:color w:val="auto"/>
        </w:rPr>
        <w:t>ARCLAYS</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11430</wp:posOffset>
            </wp:positionV>
            <wp:extent cx="25247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0">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TANLEY</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LLC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11430</wp:posOffset>
            </wp:positionV>
            <wp:extent cx="25247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1">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939"/>
          </w:cols>
          <w:pgMar w:left="520" w:top="274" w:right="1440" w:bottom="1440" w:gutter="0" w:footer="0" w:header="0"/>
        </w:sectPr>
      </w:pPr>
    </w:p>
    <w:bookmarkStart w:id="293" w:name="page294"/>
    <w:bookmarkEnd w:id="293"/>
    <w:p>
      <w:pPr>
        <w:jc w:val="right"/>
        <w:ind w:right="2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889750" cy="135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3">
                      <a:extLst>
                        <a:ext uri="{28A0092B-C50C-407E-A947-70E740481C1C}"/>
                      </a:extLst>
                    </a:blip>
                    <a:srcRect/>
                    <a:stretch>
                      <a:fillRect/>
                    </a:stretch>
                  </pic:blipFill>
                  <pic:spPr bwMode="auto">
                    <a:xfrm>
                      <a:off x="0" y="0"/>
                      <a:ext cx="6889750"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Barclays Capital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6889750" cy="135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4">
                      <a:extLst>
                        <a:ext uri="{28A0092B-C50C-407E-A947-70E740481C1C}"/>
                      </a:extLst>
                    </a:blip>
                    <a:srcRect/>
                    <a:stretch>
                      <a:fillRect/>
                    </a:stretch>
                  </pic:blipFill>
                  <pic:spPr bwMode="auto">
                    <a:xfrm>
                      <a:off x="0" y="0"/>
                      <a:ext cx="6889750"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6889750" cy="135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5">
                      <a:extLst>
                        <a:ext uri="{28A0092B-C50C-407E-A947-70E740481C1C}"/>
                      </a:extLst>
                    </a:blip>
                    <a:srcRect/>
                    <a:stretch>
                      <a:fillRect/>
                    </a:stretch>
                  </pic:blipFill>
                  <pic:spPr bwMode="auto">
                    <a:xfrm>
                      <a:off x="0" y="0"/>
                      <a:ext cx="6889750"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Apollo Global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6889750" cy="135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6">
                      <a:extLst>
                        <a:ext uri="{28A0092B-C50C-407E-A947-70E740481C1C}"/>
                      </a:extLst>
                    </a:blip>
                    <a:srcRect/>
                    <a:stretch>
                      <a:fillRect/>
                    </a:stretch>
                  </pic:blipFill>
                  <pic:spPr bwMode="auto">
                    <a:xfrm>
                      <a:off x="0" y="0"/>
                      <a:ext cx="6889750"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center"/>
              <w:spacing w:after="0"/>
              <w:rPr>
                <w:sz w:val="20"/>
                <w:szCs w:val="20"/>
                <w:color w:val="auto"/>
              </w:rPr>
            </w:pPr>
            <w:r>
              <w:rPr>
                <w:rFonts w:ascii="Arial" w:cs="Arial" w:eastAsia="Arial" w:hAnsi="Arial"/>
                <w:sz w:val="14"/>
                <w:szCs w:val="14"/>
                <w:color w:val="auto"/>
                <w:w w:val="96"/>
              </w:rPr>
              <w:t>Number</w:t>
            </w:r>
          </w:p>
        </w:tc>
        <w:tc>
          <w:tcPr>
            <w:tcW w:w="6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Number</w:t>
            </w:r>
          </w:p>
        </w:tc>
      </w:tr>
      <w:tr>
        <w:trPr>
          <w:trHeight w:val="146"/>
        </w:trPr>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w w:val="86"/>
              </w:rPr>
              <w:t>of Shares</w:t>
            </w:r>
          </w:p>
        </w:tc>
        <w:tc>
          <w:tcPr>
            <w:tcW w:w="620" w:type="dxa"/>
            <w:vAlign w:val="bottom"/>
          </w:tcPr>
          <w:p>
            <w:pPr>
              <w:spacing w:after="0"/>
              <w:rPr>
                <w:sz w:val="12"/>
                <w:szCs w:val="12"/>
                <w:color w:val="auto"/>
              </w:rPr>
            </w:pPr>
          </w:p>
        </w:tc>
        <w:tc>
          <w:tcPr>
            <w:tcW w:w="560" w:type="dxa"/>
            <w:vAlign w:val="bottom"/>
          </w:tcPr>
          <w:p>
            <w:pPr>
              <w:jc w:val="center"/>
              <w:spacing w:after="0" w:line="147" w:lineRule="exact"/>
              <w:rPr>
                <w:sz w:val="20"/>
                <w:szCs w:val="20"/>
                <w:color w:val="auto"/>
              </w:rPr>
            </w:pPr>
            <w:r>
              <w:rPr>
                <w:rFonts w:ascii="Arial" w:cs="Arial" w:eastAsia="Arial" w:hAnsi="Arial"/>
                <w:sz w:val="14"/>
                <w:szCs w:val="14"/>
                <w:color w:val="auto"/>
                <w:w w:val="90"/>
              </w:rPr>
              <w:t>of Shares</w:t>
            </w:r>
          </w:p>
        </w:tc>
      </w:tr>
      <w:tr>
        <w:trPr>
          <w:trHeight w:val="146"/>
        </w:trPr>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of Firm</w:t>
            </w:r>
          </w:p>
        </w:tc>
        <w:tc>
          <w:tcPr>
            <w:tcW w:w="1180" w:type="dxa"/>
            <w:vAlign w:val="bottom"/>
            <w:gridSpan w:val="2"/>
          </w:tcPr>
          <w:p>
            <w:pPr>
              <w:jc w:val="center"/>
              <w:ind w:left="529"/>
              <w:spacing w:after="0" w:line="147" w:lineRule="exact"/>
              <w:rPr>
                <w:sz w:val="20"/>
                <w:szCs w:val="20"/>
                <w:color w:val="auto"/>
              </w:rPr>
            </w:pPr>
            <w:r>
              <w:rPr>
                <w:rFonts w:ascii="Arial" w:cs="Arial" w:eastAsia="Arial" w:hAnsi="Arial"/>
                <w:sz w:val="14"/>
                <w:szCs w:val="14"/>
                <w:color w:val="auto"/>
                <w:w w:val="94"/>
              </w:rPr>
              <w:t>of Option</w:t>
            </w:r>
          </w:p>
        </w:tc>
      </w:tr>
      <w:tr>
        <w:trPr>
          <w:trHeight w:val="16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c>
          <w:tcPr>
            <w:tcW w:w="6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Stock</w:t>
            </w:r>
          </w:p>
        </w:tc>
      </w:tr>
      <w:tr>
        <w:trPr>
          <w:trHeight w:val="1256"/>
        </w:trPr>
        <w:tc>
          <w:tcPr>
            <w:tcW w:w="5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9"/>
        </w:trPr>
        <w:tc>
          <w:tcPr>
            <w:tcW w:w="5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380" w:space="720"/>
            <w:col w:w="1720"/>
          </w:cols>
          <w:pgMar w:left="520" w:top="267" w:right="55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PERSONS DELIVERING LOCK-UP AGREEMENTS</w:t>
      </w:r>
    </w:p>
    <w:p>
      <w:pPr>
        <w:sectPr>
          <w:pgSz w:w="11900" w:h="16838" w:orient="portrait"/>
          <w:cols w:equalWidth="0" w:num="1">
            <w:col w:w="9019"/>
          </w:cols>
          <w:pgMar w:left="1440" w:top="268" w:right="1440"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ORALLY CONVEYED PRICING INFORMATION</w:t>
      </w:r>
    </w:p>
    <w:p>
      <w:pPr>
        <w:sectPr>
          <w:pgSz w:w="11900" w:h="16838" w:orient="portrait"/>
          <w:cols w:equalWidth="0" w:num="1">
            <w:col w:w="9019"/>
          </w:cols>
          <w:pgMar w:left="1440" w:top="267" w:right="1440"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ISSUER FREE WRITING PROSPECTUSES – ROAD SHOW MATERIALS</w:t>
      </w:r>
    </w:p>
    <w:p>
      <w:pPr>
        <w:sectPr>
          <w:pgSz w:w="11900" w:h="16838" w:orient="portrait"/>
          <w:cols w:equalWidth="0" w:num="1">
            <w:col w:w="9019"/>
          </w:cols>
          <w:pgMar w:left="1440" w:top="268" w:right="1440"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ISSUER FREE WRITING PROSPECTUS</w:t>
      </w:r>
    </w:p>
    <w:p>
      <w:pPr>
        <w:sectPr>
          <w:pgSz w:w="11900" w:h="16838" w:orient="portrait"/>
          <w:cols w:equalWidth="0" w:num="1">
            <w:col w:w="9019"/>
          </w:cols>
          <w:pgMar w:left="1440" w:top="267" w:right="1440"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WRITTEN TESTING-THE-WATERS COMMUNICATIONS</w:t>
      </w:r>
    </w:p>
    <w:p>
      <w:pPr>
        <w:sectPr>
          <w:pgSz w:w="11900" w:h="16838" w:orient="portrait"/>
          <w:cols w:equalWidth="0" w:num="1">
            <w:col w:w="9019"/>
          </w:cols>
          <w:pgMar w:left="1440" w:top="268" w:right="1440"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EXHIBIT A</w:t>
      </w:r>
    </w:p>
    <w:p>
      <w:pPr>
        <w:sectPr>
          <w:pgSz w:w="11900" w:h="16838" w:orient="portrait"/>
          <w:cols w:equalWidth="0" w:num="1">
            <w:col w:w="9019"/>
          </w:cols>
          <w:pgMar w:left="1440" w:top="267" w:right="1440"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EXHIBIT B</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Sun Country Airlines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announced today that [_____], book-running managers in the Company’s recent public sale of [•]</w:t>
      </w:r>
    </w:p>
    <w:p>
      <w:pPr>
        <w:spacing w:after="0" w:line="40"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shares of common stock are [waiving] [releasing] a lock-up restriction with respect to [•] shares of the Company’s common stock held by [certain officers or directors] [an officer or director] of the Company. The [waiver] [release] will take effect on [</w:t>
      </w:r>
      <w:r>
        <w:rPr>
          <w:rFonts w:ascii="Arial" w:cs="Arial" w:eastAsia="Arial" w:hAnsi="Arial"/>
          <w:sz w:val="18"/>
          <w:szCs w:val="18"/>
          <w:i w:val="1"/>
          <w:iCs w:val="1"/>
          <w:color w:val="auto"/>
        </w:rPr>
        <w:t>•</w:t>
      </w:r>
      <w:r>
        <w:rPr>
          <w:rFonts w:ascii="Arial" w:cs="Arial" w:eastAsia="Arial" w:hAnsi="Arial"/>
          <w:sz w:val="18"/>
          <w:szCs w:val="18"/>
          <w:color w:val="auto"/>
        </w:rPr>
        <w:t>], and the shares may be sold or otherwise disposed of on or after such date.</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820"/>
          </w:cols>
          <w:pgMar w:left="520" w:top="267" w:right="55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5.1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212-373-3000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8,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2005 Cargo Road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55450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No. 333-252858</w:t>
      </w:r>
      <w:r>
        <w:rPr>
          <w:rFonts w:ascii="Arial" w:cs="Arial" w:eastAsia="Arial" w:hAnsi="Arial"/>
          <w:sz w:val="18"/>
          <w:szCs w:val="18"/>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8" w:lineRule="exact"/>
        <w:rPr>
          <w:sz w:val="20"/>
          <w:szCs w:val="20"/>
          <w:color w:val="auto"/>
        </w:rPr>
      </w:pPr>
    </w:p>
    <w:p>
      <w:pPr>
        <w:ind w:right="80" w:firstLine="976"/>
        <w:spacing w:after="0" w:line="251" w:lineRule="auto"/>
        <w:rPr>
          <w:sz w:val="20"/>
          <w:szCs w:val="20"/>
          <w:color w:val="auto"/>
        </w:rPr>
      </w:pPr>
      <w:r>
        <w:rPr>
          <w:rFonts w:ascii="Arial" w:cs="Arial" w:eastAsia="Arial" w:hAnsi="Arial"/>
          <w:sz w:val="18"/>
          <w:szCs w:val="18"/>
          <w:color w:val="auto"/>
        </w:rPr>
        <w:t>We have acted as counsel to Sun Country Airlines Holdings, Inc., a Delaware corporation (the “Company”), in connection with the Registration Statement on Form S-1, as amended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w:t>
      </w:r>
    </w:p>
    <w:p>
      <w:pPr>
        <w:sectPr>
          <w:pgSz w:w="11900" w:h="16838" w:orient="portrait"/>
          <w:cols w:equalWidth="0" w:num="1">
            <w:col w:w="10840"/>
          </w:cols>
          <w:pgMar w:left="520" w:top="121" w:right="539" w:bottom="1440" w:gutter="0" w:footer="0" w:header="0"/>
        </w:sectPr>
      </w:pPr>
    </w:p>
    <w:bookmarkStart w:id="302" w:name="page303"/>
    <w:bookmarkEnd w:id="30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Act of up to 10,454,545 shares (the “Shares”) of the Company’s common stock, par value $0.01 per share (the “Common Stock”), that may be offered by the Company (including shares issuable by the Company upon exercise of the underwriters’ over-allotment option). In connection with the furnishing of this opinion, we have examined originals, or copies certified or otherwise identified to our satisfaction, of the following documents (collectively, the “Documents”):</w:t>
      </w:r>
    </w:p>
    <w:p>
      <w:pPr>
        <w:spacing w:after="0" w:line="85" w:lineRule="exact"/>
        <w:rPr>
          <w:sz w:val="20"/>
          <w:szCs w:val="20"/>
          <w:color w:val="auto"/>
        </w:rPr>
      </w:pPr>
    </w:p>
    <w:p>
      <w:pPr>
        <w:ind w:left="1160" w:hanging="184"/>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12" w:lineRule="exact"/>
        <w:rPr>
          <w:rFonts w:ascii="Arial" w:cs="Arial" w:eastAsia="Arial" w:hAnsi="Arial"/>
          <w:sz w:val="18"/>
          <w:szCs w:val="18"/>
          <w:color w:val="auto"/>
        </w:rPr>
      </w:pPr>
    </w:p>
    <w:p>
      <w:pPr>
        <w:ind w:left="1160" w:hanging="184"/>
        <w:spacing w:after="0"/>
        <w:tabs>
          <w:tab w:leader="none" w:pos="11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form of the Underwriting Agreement (the “Underwriting Agreement”), included as Exhibit 1.1 to the Registration Statement;</w:t>
      </w:r>
    </w:p>
    <w:p>
      <w:pPr>
        <w:spacing w:after="0" w:line="123" w:lineRule="exact"/>
        <w:rPr>
          <w:rFonts w:ascii="Arial" w:cs="Arial" w:eastAsia="Arial" w:hAnsi="Arial"/>
          <w:sz w:val="17"/>
          <w:szCs w:val="17"/>
          <w:color w:val="auto"/>
        </w:rPr>
      </w:pPr>
    </w:p>
    <w:p>
      <w:pPr>
        <w:ind w:right="120" w:firstLine="976"/>
        <w:spacing w:after="0" w:line="266" w:lineRule="auto"/>
        <w:tabs>
          <w:tab w:leader="none" w:pos="115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form of the Second Amended and Restated Certificate of Incorporation of the Company, included as Exhibit 3.1 to the Registration Statement (the “Amended and Restated Certificate of Incorporation”); and</w:t>
      </w:r>
    </w:p>
    <w:p>
      <w:pPr>
        <w:spacing w:after="0" w:line="73" w:lineRule="exact"/>
        <w:rPr>
          <w:rFonts w:ascii="Arial" w:cs="Arial" w:eastAsia="Arial" w:hAnsi="Arial"/>
          <w:sz w:val="18"/>
          <w:szCs w:val="18"/>
          <w:color w:val="auto"/>
        </w:rPr>
      </w:pPr>
    </w:p>
    <w:p>
      <w:pPr>
        <w:ind w:left="1160" w:hanging="184"/>
        <w:spacing w:after="0"/>
        <w:tabs>
          <w:tab w:leader="none" w:pos="11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form of the Second Amended and Restated Bylaws of the Company, included as Exhibit 3.2 to the Registration Statement.</w:t>
      </w:r>
    </w:p>
    <w:p>
      <w:pPr>
        <w:spacing w:after="0" w:line="230" w:lineRule="exact"/>
        <w:rPr>
          <w:sz w:val="20"/>
          <w:szCs w:val="20"/>
          <w:color w:val="auto"/>
        </w:rPr>
      </w:pPr>
    </w:p>
    <w:p>
      <w:pPr>
        <w:ind w:right="80" w:firstLine="976"/>
        <w:spacing w:after="0" w:line="250" w:lineRule="auto"/>
        <w:rPr>
          <w:sz w:val="20"/>
          <w:szCs w:val="20"/>
          <w:color w:val="auto"/>
        </w:rPr>
      </w:pPr>
      <w:r>
        <w:rPr>
          <w:rFonts w:ascii="Arial" w:cs="Arial" w:eastAsia="Arial" w:hAnsi="Arial"/>
          <w:sz w:val="18"/>
          <w:szCs w:val="18"/>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issuance of the Shares, certified by the Company and (ii) such other certificates, agreements and documents that we deemed relevant and necessary as a basis for the opinion expressed below. We have also relied upon the factual matters contained in the representations and warranties of the Company made in the Documents and upon certificates of public officials and the officers of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520" w:top="273" w:right="559" w:bottom="1440" w:gutter="0" w:footer="0" w:header="0"/>
        </w:sectPr>
      </w:pPr>
    </w:p>
    <w:bookmarkStart w:id="303" w:name="page304"/>
    <w:bookmarkEnd w:id="303"/>
    <w:p>
      <w:pPr>
        <w:ind w:right="120" w:firstLine="97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 We have also assumed that the Amended and Restated Certificate of Incorporation will be properly filed in the Secretary of State of the State of Delaware prior to the issuance of the Shares.</w:t>
      </w:r>
    </w:p>
    <w:p>
      <w:pPr>
        <w:spacing w:after="0" w:line="169"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 the Shares have been duly authorized by all necessary corporate action on the part of the Company and, when issued, delivered and paid for as contemplated in the Registration Statement and in accordance with the terms of the Underwriting Agreement, the Shares will be validly issued, fully paid and non-assessable.</w:t>
      </w:r>
    </w:p>
    <w:p>
      <w:pPr>
        <w:spacing w:after="0" w:line="191" w:lineRule="exact"/>
        <w:rPr>
          <w:sz w:val="20"/>
          <w:szCs w:val="20"/>
          <w:color w:val="auto"/>
        </w:rPr>
      </w:pPr>
    </w:p>
    <w:p>
      <w:pPr>
        <w:ind w:right="520" w:firstLine="976"/>
        <w:spacing w:after="0" w:line="266" w:lineRule="auto"/>
        <w:rPr>
          <w:sz w:val="20"/>
          <w:szCs w:val="20"/>
          <w:color w:val="auto"/>
        </w:rPr>
      </w:pPr>
      <w:r>
        <w:rPr>
          <w:rFonts w:ascii="Arial" w:cs="Arial" w:eastAsia="Arial" w:hAnsi="Arial"/>
          <w:sz w:val="18"/>
          <w:szCs w:val="18"/>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73" w:right="539" w:bottom="1440" w:gutter="0" w:footer="0" w:header="0"/>
        </w:sectPr>
      </w:pPr>
    </w:p>
    <w:bookmarkStart w:id="304" w:name="page305"/>
    <w:bookmarkEnd w:id="304"/>
    <w:p>
      <w:pPr>
        <w:ind w:firstLine="97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8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1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Paul, Weiss, Rifkind, Wharton &amp; Garrsion LLP</w:t>
      </w:r>
    </w:p>
    <w:p>
      <w:pPr>
        <w:spacing w:after="0" w:line="21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PAUL, WEISS, RIFKIND, WHARTON &amp; GARRISON LLP</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520" w:top="273" w:right="69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175895</wp:posOffset>
            </wp:positionV>
            <wp:extent cx="68897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7">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217805</wp:posOffset>
            </wp:positionV>
            <wp:extent cx="68897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8">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REGISTRATION RIGHTS AGREEMENT</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among</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auto"/>
        </w:rPr>
        <w:t>SUN COUNTRY AIRLINES HOLDINGS, INC.</w:t>
      </w:r>
    </w:p>
    <w:p>
      <w:pPr>
        <w:spacing w:after="0" w:line="230"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AND</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THE HOLDERS PARTY HERETO</w:t>
      </w:r>
    </w:p>
    <w:p>
      <w:pPr>
        <w:spacing w:after="0" w:line="218" w:lineRule="exact"/>
        <w:rPr>
          <w:sz w:val="20"/>
          <w:szCs w:val="20"/>
          <w:color w:val="auto"/>
        </w:rPr>
      </w:pPr>
    </w:p>
    <w:p>
      <w:pPr>
        <w:ind w:left="3800"/>
        <w:spacing w:after="0"/>
        <w:tabs>
          <w:tab w:leader="none" w:pos="468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6"/>
          <w:szCs w:val="16"/>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175895</wp:posOffset>
            </wp:positionV>
            <wp:extent cx="68897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9">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217805</wp:posOffset>
            </wp:positionV>
            <wp:extent cx="68897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0">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ectPr>
          <w:pgSz w:w="11900" w:h="16838" w:orient="portrait"/>
          <w:cols w:equalWidth="0" w:num="1">
            <w:col w:w="9920"/>
          </w:cols>
          <w:pgMar w:left="1440" w:top="121" w:right="5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000" w:type="dxa"/>
            <w:vAlign w:val="bottom"/>
            <w:gridSpan w:val="3"/>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87"/>
        </w:trPr>
        <w:tc>
          <w:tcPr>
            <w:tcW w:w="8440" w:type="dxa"/>
            <w:vAlign w:val="bottom"/>
            <w:gridSpan w:val="4"/>
          </w:tcPr>
          <w:p>
            <w:pPr>
              <w:spacing w:after="0"/>
              <w:rPr>
                <w:sz w:val="20"/>
                <w:szCs w:val="20"/>
                <w:color w:val="auto"/>
              </w:rPr>
            </w:pPr>
            <w:r>
              <w:rPr>
                <w:rFonts w:ascii="Arial" w:cs="Arial" w:eastAsia="Arial" w:hAnsi="Arial"/>
                <w:sz w:val="18"/>
                <w:szCs w:val="18"/>
                <w:color w:val="auto"/>
              </w:rPr>
              <w:t>ARTICLE I DEFINITIONS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Definitions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II DEMAND AND SHELF REGISTRATION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Right to Demand; Demand Notices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Shelf Registration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Deferral or Suspension of Registration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Effective Registration Statement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Selection of Underwriters; Cutback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Lock-up</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Participation in Underwritten Offering; Information by Holder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Registration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III PIGGYBACK REGISTRATION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Notices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Underwriter’s Cutback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Company Control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Selection of Underwriters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Withdrawal of Registration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IV REGISTRATION PROCEDURES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Registration Procedures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V INDEMNIFICATION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Indemnification by the Company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Indemnification by Selling Investors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Conduct of Indemnification Proceedings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Settlement Offers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Other Indemnification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Contribution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VI EXCHANGE ACT COMPLIANCE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Exchange Act Compliance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VII TERMINATION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Termination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08"/>
        </w:trPr>
        <w:tc>
          <w:tcPr>
            <w:tcW w:w="8440" w:type="dxa"/>
            <w:vAlign w:val="bottom"/>
            <w:gridSpan w:val="4"/>
          </w:tcPr>
          <w:p>
            <w:pPr>
              <w:spacing w:after="0"/>
              <w:rPr>
                <w:sz w:val="20"/>
                <w:szCs w:val="20"/>
                <w:color w:val="auto"/>
              </w:rPr>
            </w:pPr>
            <w:r>
              <w:rPr>
                <w:rFonts w:ascii="Arial" w:cs="Arial" w:eastAsia="Arial" w:hAnsi="Arial"/>
                <w:sz w:val="18"/>
                <w:szCs w:val="18"/>
                <w:color w:val="auto"/>
              </w:rPr>
              <w:t>ARTICLE VIII MISCELLANEOUS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Severability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Governing Law; Jurisdiction; Waiver of Jury Trial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Other Registration Rights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Successors and Assigns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3"/>
        </w:trPr>
        <w:tc>
          <w:tcPr>
            <w:tcW w:w="144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Notices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144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000" w:type="dxa"/>
            <w:vAlign w:val="bottom"/>
            <w:gridSpan w:val="3"/>
          </w:tcPr>
          <w:p>
            <w:pPr>
              <w:ind w:left="280"/>
              <w:spacing w:after="0"/>
              <w:rPr>
                <w:sz w:val="20"/>
                <w:szCs w:val="20"/>
                <w:color w:val="auto"/>
              </w:rPr>
            </w:pPr>
            <w:r>
              <w:rPr>
                <w:rFonts w:ascii="Arial" w:cs="Arial" w:eastAsia="Arial" w:hAnsi="Arial"/>
                <w:sz w:val="18"/>
                <w:szCs w:val="18"/>
                <w:color w:val="auto"/>
              </w:rPr>
              <w:t>Headings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1">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00"/>
          </w:cols>
          <w:pgMar w:left="520" w:top="251" w:right="57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Section 8.7</w:t>
            </w:r>
          </w:p>
        </w:tc>
        <w:tc>
          <w:tcPr>
            <w:tcW w:w="6120" w:type="dxa"/>
            <w:vAlign w:val="bottom"/>
          </w:tcPr>
          <w:p>
            <w:pPr>
              <w:ind w:left="40"/>
              <w:spacing w:after="0"/>
              <w:rPr>
                <w:sz w:val="20"/>
                <w:szCs w:val="20"/>
                <w:color w:val="auto"/>
              </w:rPr>
            </w:pPr>
            <w:r>
              <w:rPr>
                <w:rFonts w:ascii="Arial" w:cs="Arial" w:eastAsia="Arial" w:hAnsi="Arial"/>
                <w:sz w:val="18"/>
                <w:szCs w:val="18"/>
                <w:color w:val="auto"/>
              </w:rPr>
              <w:t>Additional Parties</w:t>
            </w:r>
          </w:p>
        </w:tc>
        <w:tc>
          <w:tcPr>
            <w:tcW w:w="3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Section 8.8</w:t>
            </w:r>
          </w:p>
        </w:tc>
        <w:tc>
          <w:tcPr>
            <w:tcW w:w="6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Section 8.9</w:t>
            </w:r>
          </w:p>
        </w:tc>
        <w:tc>
          <w:tcPr>
            <w:tcW w:w="612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w w:val="91"/>
              </w:rPr>
              <w:t>Section 8.10</w:t>
            </w:r>
          </w:p>
        </w:tc>
        <w:tc>
          <w:tcPr>
            <w:tcW w:w="6120" w:type="dxa"/>
            <w:vAlign w:val="bottom"/>
          </w:tcPr>
          <w:p>
            <w:pPr>
              <w:ind w:left="40"/>
              <w:spacing w:after="0"/>
              <w:rPr>
                <w:sz w:val="20"/>
                <w:szCs w:val="20"/>
                <w:color w:val="auto"/>
              </w:rPr>
            </w:pPr>
            <w:r>
              <w:rPr>
                <w:rFonts w:ascii="Arial" w:cs="Arial" w:eastAsia="Arial" w:hAnsi="Arial"/>
                <w:sz w:val="18"/>
                <w:szCs w:val="18"/>
                <w:color w:val="auto"/>
              </w:rPr>
              <w:t>Counterparts; Facsimile or.pdf Signature</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w w:val="91"/>
              </w:rPr>
              <w:t>Section 8.11</w:t>
            </w:r>
          </w:p>
        </w:tc>
        <w:tc>
          <w:tcPr>
            <w:tcW w:w="6120" w:type="dxa"/>
            <w:vAlign w:val="bottom"/>
          </w:tcPr>
          <w:p>
            <w:pPr>
              <w:ind w:left="40"/>
              <w:spacing w:after="0"/>
              <w:rPr>
                <w:sz w:val="20"/>
                <w:szCs w:val="20"/>
                <w:color w:val="auto"/>
              </w:rPr>
            </w:pPr>
            <w:r>
              <w:rPr>
                <w:rFonts w:ascii="Arial" w:cs="Arial" w:eastAsia="Arial" w:hAnsi="Arial"/>
                <w:sz w:val="18"/>
                <w:szCs w:val="18"/>
                <w:color w:val="auto"/>
              </w:rPr>
              <w:t>Amendment</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w w:val="91"/>
              </w:rPr>
              <w:t>Section 8.12</w:t>
            </w:r>
          </w:p>
        </w:tc>
        <w:tc>
          <w:tcPr>
            <w:tcW w:w="6120" w:type="dxa"/>
            <w:vAlign w:val="bottom"/>
          </w:tcPr>
          <w:p>
            <w:pPr>
              <w:ind w:left="40"/>
              <w:spacing w:after="0"/>
              <w:rPr>
                <w:sz w:val="20"/>
                <w:szCs w:val="20"/>
                <w:color w:val="auto"/>
              </w:rPr>
            </w:pPr>
            <w:r>
              <w:rPr>
                <w:rFonts w:ascii="Arial" w:cs="Arial" w:eastAsia="Arial" w:hAnsi="Arial"/>
                <w:sz w:val="18"/>
                <w:szCs w:val="18"/>
                <w:color w:val="auto"/>
              </w:rPr>
              <w:t>Extensions; Waivers</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w w:val="91"/>
              </w:rPr>
              <w:t>Section 8.13</w:t>
            </w:r>
          </w:p>
        </w:tc>
        <w:tc>
          <w:tcPr>
            <w:tcW w:w="612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w w:val="91"/>
              </w:rPr>
              <w:t>Section 8.14</w:t>
            </w:r>
          </w:p>
        </w:tc>
        <w:tc>
          <w:tcPr>
            <w:tcW w:w="6120" w:type="dxa"/>
            <w:vAlign w:val="bottom"/>
          </w:tcPr>
          <w:p>
            <w:pPr>
              <w:ind w:left="40"/>
              <w:spacing w:after="0"/>
              <w:rPr>
                <w:sz w:val="20"/>
                <w:szCs w:val="20"/>
                <w:color w:val="auto"/>
              </w:rPr>
            </w:pPr>
            <w:r>
              <w:rPr>
                <w:rFonts w:ascii="Arial" w:cs="Arial" w:eastAsia="Arial" w:hAnsi="Arial"/>
                <w:sz w:val="18"/>
                <w:szCs w:val="18"/>
                <w:color w:val="auto"/>
              </w:rPr>
              <w:t>No Third-Party Beneficiaries</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w w:val="91"/>
              </w:rPr>
              <w:t>Section 8.15</w:t>
            </w:r>
          </w:p>
        </w:tc>
        <w:tc>
          <w:tcPr>
            <w:tcW w:w="6120" w:type="dxa"/>
            <w:vAlign w:val="bottom"/>
          </w:tcPr>
          <w:p>
            <w:pPr>
              <w:ind w:left="40"/>
              <w:spacing w:after="0"/>
              <w:rPr>
                <w:sz w:val="20"/>
                <w:szCs w:val="20"/>
                <w:color w:val="auto"/>
              </w:rPr>
            </w:pPr>
            <w:r>
              <w:rPr>
                <w:rFonts w:ascii="Arial" w:cs="Arial" w:eastAsia="Arial" w:hAnsi="Arial"/>
                <w:sz w:val="18"/>
                <w:szCs w:val="18"/>
                <w:color w:val="auto"/>
              </w:rPr>
              <w:t>Interpretation; Construction</w:t>
            </w:r>
          </w:p>
        </w:tc>
        <w:tc>
          <w:tcPr>
            <w:tcW w:w="3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w w:val="91"/>
              </w:rPr>
              <w:t>Section 8.16</w:t>
            </w:r>
          </w:p>
        </w:tc>
        <w:tc>
          <w:tcPr>
            <w:tcW w:w="6120" w:type="dxa"/>
            <w:vAlign w:val="bottom"/>
          </w:tcPr>
          <w:p>
            <w:pPr>
              <w:ind w:left="40"/>
              <w:spacing w:after="0"/>
              <w:rPr>
                <w:sz w:val="20"/>
                <w:szCs w:val="20"/>
                <w:color w:val="auto"/>
              </w:rPr>
            </w:pPr>
            <w:r>
              <w:rPr>
                <w:rFonts w:ascii="Arial" w:cs="Arial" w:eastAsia="Arial" w:hAnsi="Arial"/>
                <w:sz w:val="18"/>
                <w:szCs w:val="18"/>
                <w:color w:val="auto"/>
              </w:rPr>
              <w:t>Changes in Common Stock</w:t>
            </w:r>
          </w:p>
        </w:tc>
        <w:tc>
          <w:tcPr>
            <w:tcW w:w="338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2">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440"/>
          </w:cols>
          <w:pgMar w:left="880" w:top="273" w:right="579" w:bottom="1440" w:gutter="0" w:footer="0" w:header="0"/>
        </w:sectPr>
      </w:pPr>
    </w:p>
    <w:bookmarkStart w:id="308" w:name="page309"/>
    <w:bookmarkEnd w:id="308"/>
    <w:p>
      <w:pPr>
        <w:ind w:firstLine="434"/>
        <w:spacing w:after="0" w:line="25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THIS REGISTRATION RIGHTS AGREEMENT, </w:t>
      </w:r>
      <w:r>
        <w:rPr>
          <w:rFonts w:ascii="Arial" w:cs="Arial" w:eastAsia="Arial" w:hAnsi="Arial"/>
          <w:sz w:val="18"/>
          <w:szCs w:val="18"/>
          <w:color w:val="auto"/>
        </w:rPr>
        <w:t>dated as of [ ],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Sun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Airlines Holdings, Inc., a Delaware corporation (together with any successor entity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Holders (as defined below) that are parties hereto from time to time.</w:t>
      </w:r>
    </w:p>
    <w:p>
      <w:pPr>
        <w:spacing w:after="0" w:line="181" w:lineRule="exact"/>
        <w:rPr>
          <w:sz w:val="20"/>
          <w:szCs w:val="20"/>
          <w:color w:val="auto"/>
        </w:rPr>
      </w:pPr>
    </w:p>
    <w:p>
      <w:pPr>
        <w:ind w:right="400" w:firstLine="434"/>
        <w:spacing w:after="0" w:line="27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Company’s initial public offering, the parties hereto desire to enter into this Agreement in order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registration rights with respect to the Registrable Securities (as defined below).</w:t>
      </w:r>
    </w:p>
    <w:p>
      <w:pPr>
        <w:spacing w:after="0" w:line="167" w:lineRule="exact"/>
        <w:rPr>
          <w:sz w:val="20"/>
          <w:szCs w:val="20"/>
          <w:color w:val="auto"/>
        </w:rPr>
      </w:pPr>
    </w:p>
    <w:p>
      <w:pPr>
        <w:ind w:right="100" w:firstLine="434"/>
        <w:spacing w:after="0" w:line="27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consents and obligations hereinafter set forth, the parties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1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DEFINITIONS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following respective meanings: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Adoption Agreement</w:t>
      </w:r>
      <w:r>
        <w:rPr>
          <w:rFonts w:ascii="Arial" w:cs="Arial" w:eastAsia="Arial" w:hAnsi="Arial"/>
          <w:sz w:val="18"/>
          <w:szCs w:val="18"/>
          <w:color w:val="auto"/>
        </w:rPr>
        <w:t xml:space="preserve">” shall mean an Adoption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8"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any Person that, directly or indirectly, through one or more intermediaries, controls, or is controlled by, or is under common control with, such Person. As used in this definition, the term “control,” including the correlative terms “controlling,” “controlled by” and “under common control with,” means possession, directly or indirectly, of the power to direct or cause the direction of management or policies (whether through ownership of securities or any partnership or other ownership interest, by contract or otherwise) of a Person. Notwithstanding the foregoing, (a) the Company, its Subsidiaries and their respective joint ventures (if any) shall not be considered Affiliates of any Holder, (b) no Holder shall be considered an Affiliate of (i) any portfolio company in which investment funds affiliated with such Holder have made a debt or equity investment (and vice versa), (ii) any limited partners, non-managing members of, or other similar direct or indirect investors in such Holder or its investment fund affiliates, (iii) any portfolio company in which any limited partner, non-managing member of, or other similar direct or indirect investor in such Holder or any of its investment fund affiliates have made a debt or equity investment (and vice versa) or (iv) any other Holder and none of the Persons described in clauses (i) through (iv) of this definition shall be considered an Affiliate of each other and (c) without giving effect to the exception set forth in the beginning of this sentence, no Holder shall be considered an Affiliate of the Persons described in clauses (a) and/or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 of this definition (and vice versa).</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ascribed to it in the introductory paragraph.</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Apollo Stockholder</w:t>
      </w:r>
      <w:r>
        <w:rPr>
          <w:rFonts w:ascii="Arial" w:cs="Arial" w:eastAsia="Arial" w:hAnsi="Arial"/>
          <w:sz w:val="18"/>
          <w:szCs w:val="18"/>
          <w:color w:val="auto"/>
        </w:rPr>
        <w:t>” shall mean SCA Horus Holdings, LLC and each of its permitted successors and assigns.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ectPr>
          <w:pgSz w:w="11900" w:h="16838" w:orient="portrait"/>
          <w:cols w:equalWidth="0" w:num="1">
            <w:col w:w="10820"/>
          </w:cols>
          <w:pgMar w:left="520" w:top="267" w:right="559" w:bottom="1440" w:gutter="0" w:footer="0" w:header="0"/>
        </w:sectPr>
      </w:pPr>
    </w:p>
    <w:bookmarkStart w:id="309" w:name="page310"/>
    <w:bookmarkEnd w:id="309"/>
    <w:p>
      <w:pPr>
        <w:ind w:right="520" w:firstLine="434"/>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shall mean an “automatic shelf registration statement” as defined in Rule 405 (or successor rule) promulgated under the Securities Act.</w:t>
      </w:r>
    </w:p>
    <w:p>
      <w:pPr>
        <w:spacing w:after="0" w:line="179" w:lineRule="exact"/>
        <w:rPr>
          <w:sz w:val="20"/>
          <w:szCs w:val="20"/>
          <w:color w:val="auto"/>
        </w:rPr>
      </w:pPr>
    </w:p>
    <w:p>
      <w:pPr>
        <w:ind w:right="20" w:firstLine="43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owned</w:t>
      </w:r>
      <w:r>
        <w:rPr>
          <w:rFonts w:ascii="Arial" w:cs="Arial" w:eastAsia="Arial" w:hAnsi="Arial"/>
          <w:sz w:val="18"/>
          <w:szCs w:val="18"/>
          <w:color w:val="auto"/>
        </w:rPr>
        <w:t>”,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similar phrases have the same meanings as such terms have under Rule 13d-3 (or any successor rule then in effect) under the Exchange Act, except that in calculating the beneficial ownership of any Holder, such Holder shall be deemed to have beneficial ownership of all securities that such Holder has the right to acquire, whether such right is currently exercisable or is exercisable upon the occurrence of a subsequent event.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w:t>
      </w:r>
    </w:p>
    <w:p>
      <w:pPr>
        <w:spacing w:after="0" w:line="218" w:lineRule="exact"/>
        <w:rPr>
          <w:sz w:val="20"/>
          <w:szCs w:val="20"/>
          <w:color w:val="auto"/>
        </w:rPr>
      </w:pPr>
    </w:p>
    <w:p>
      <w:pPr>
        <w:ind w:right="10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day on which banks in New York, New York are authorized or obligated by law or executive order to close.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shall mean the Securities and Exchange Commission or any other Federal agency at the time administering the Securities Act.</w:t>
      </w:r>
    </w:p>
    <w:p>
      <w:pPr>
        <w:spacing w:after="0" w:line="241"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collectively, the Company’s common stock, par value $0.01 per share, any additional security paid, issued or distributed in respect of any such shares by way of a dividend, stock split or distribution, or in connection with a combination of shares, and any security into which such Common Stock or additional securities shall have been converted or exchanged in connection with a recapitalization, reorganization, reclassification, merger, consolidation, exchange, distribution or otherwise.</w:t>
      </w:r>
    </w:p>
    <w:p>
      <w:pPr>
        <w:spacing w:after="0" w:line="191" w:lineRule="exact"/>
        <w:rPr>
          <w:sz w:val="20"/>
          <w:szCs w:val="20"/>
          <w:color w:val="auto"/>
        </w:rPr>
      </w:pPr>
    </w:p>
    <w:p>
      <w:pPr>
        <w:jc w:val="both"/>
        <w:ind w:right="18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and its correlative meanings, “Controlling,” and “Controlled,” shall mean the possession, direct or indirect (including through one or more intermediaries), of the power to direct or cause the direction of the management of a Person, whether through the ownership of voting securities, by contract or otherwise.</w:t>
      </w:r>
    </w:p>
    <w:p>
      <w:pPr>
        <w:spacing w:after="0" w:line="189" w:lineRule="exact"/>
        <w:rPr>
          <w:sz w:val="20"/>
          <w:szCs w:val="20"/>
          <w:color w:val="auto"/>
        </w:rPr>
      </w:pPr>
    </w:p>
    <w:p>
      <w:pPr>
        <w:ind w:right="48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Holder</w:t>
      </w:r>
      <w:r>
        <w:rPr>
          <w:rFonts w:ascii="Arial" w:cs="Arial" w:eastAsia="Arial" w:hAnsi="Arial"/>
          <w:sz w:val="18"/>
          <w:szCs w:val="18"/>
          <w:color w:val="auto"/>
        </w:rPr>
        <w:t xml:space="preserve">” shall mean each of (i) the Apollo Stockholder, (ii) each of the Apollo Stockholder’s Transferees to whom the Apollo Stockholder has Transferred rights in accordance with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(iii) solely to the extent set forth in </w:t>
      </w:r>
      <w:r>
        <w:rPr>
          <w:rFonts w:ascii="Arial" w:cs="Arial" w:eastAsia="Arial" w:hAnsi="Arial"/>
          <w:sz w:val="18"/>
          <w:szCs w:val="18"/>
          <w:u w:val="single" w:color="auto"/>
          <w:color w:val="auto"/>
        </w:rPr>
        <w:t>Section 2.1(b)(i)</w:t>
      </w:r>
      <w:r>
        <w:rPr>
          <w:rFonts w:ascii="Arial" w:cs="Arial" w:eastAsia="Arial" w:hAnsi="Arial"/>
          <w:sz w:val="18"/>
          <w:szCs w:val="18"/>
          <w:color w:val="auto"/>
        </w:rPr>
        <w:t>, the Warrant Holder.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shall mean a registration of Shares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Rights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2.2(e)</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promulgated thereunder.</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shall mean the Financial Industry Regulatory Authority or any successor regulatory authority.</w:t>
      </w:r>
    </w:p>
    <w:p>
      <w:pPr>
        <w:spacing w:after="0" w:line="15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520" w:top="273" w:right="559" w:bottom="1440" w:gutter="0" w:footer="0" w:header="0"/>
        </w:sectPr>
      </w:pPr>
    </w:p>
    <w:bookmarkStart w:id="310" w:name="page311"/>
    <w:bookmarkEnd w:id="310"/>
    <w:p>
      <w:pPr>
        <w:ind w:right="420" w:firstLine="434"/>
        <w:spacing w:after="0" w:line="32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6"/>
          <w:szCs w:val="16"/>
          <w:u w:val="single" w:color="auto"/>
          <w:color w:val="auto"/>
        </w:rPr>
        <w:t>Holders</w:t>
      </w:r>
      <w:r>
        <w:rPr>
          <w:rFonts w:ascii="Arial" w:cs="Arial" w:eastAsia="Arial" w:hAnsi="Arial"/>
          <w:sz w:val="16"/>
          <w:szCs w:val="16"/>
          <w:color w:val="auto"/>
        </w:rPr>
        <w:t xml:space="preserve">” shall mean the holders of Registrable Securities who are parties hereto (including, for the avoidance of doubt, Transferees of such Holders that acquire Registrable Securities in accordance with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execute an Adoption Agreement in accordance with </w:t>
      </w:r>
      <w:r>
        <w:rPr>
          <w:rFonts w:ascii="Arial" w:cs="Arial" w:eastAsia="Arial" w:hAnsi="Arial"/>
          <w:sz w:val="16"/>
          <w:szCs w:val="16"/>
          <w:u w:val="single" w:color="auto"/>
          <w:color w:val="auto"/>
        </w:rPr>
        <w:t>Section 8.4</w:t>
      </w:r>
      <w:r>
        <w:rPr>
          <w:rFonts w:ascii="Arial" w:cs="Arial" w:eastAsia="Arial" w:hAnsi="Arial"/>
          <w:sz w:val="16"/>
          <w:szCs w:val="16"/>
          <w:color w:val="auto"/>
        </w:rPr>
        <w: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4.1(h)</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4.1(i)</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Shelf Holders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2.2(c)(ii)</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Non-Marketed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2.2(d)</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w:t>
      </w:r>
      <w:r>
        <w:rPr>
          <w:rFonts w:ascii="Arial" w:cs="Arial" w:eastAsia="Arial" w:hAnsi="Arial"/>
          <w:sz w:val="18"/>
          <w:szCs w:val="18"/>
          <w:color w:val="auto"/>
        </w:rPr>
        <w:t>” shall mean PAR Investment Partners, L.P., a Delaware limited partnership.</w:t>
      </w:r>
    </w:p>
    <w:p>
      <w:pPr>
        <w:spacing w:after="0" w:line="218" w:lineRule="exact"/>
        <w:rPr>
          <w:sz w:val="20"/>
          <w:szCs w:val="20"/>
          <w:color w:val="auto"/>
        </w:rPr>
      </w:pPr>
    </w:p>
    <w:p>
      <w:pPr>
        <w:ind w:right="12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be construed broadly and shall include, without limitation,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mean any registration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18" w:lineRule="exact"/>
        <w:rPr>
          <w:sz w:val="20"/>
          <w:szCs w:val="20"/>
          <w:color w:val="auto"/>
        </w:rPr>
      </w:pPr>
    </w:p>
    <w:p>
      <w:pPr>
        <w:ind w:right="80" w:firstLine="434"/>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Prospectus</w:t>
      </w:r>
      <w:r>
        <w:rPr>
          <w:rFonts w:ascii="Arial" w:cs="Arial" w:eastAsia="Arial" w:hAnsi="Arial"/>
          <w:sz w:val="14"/>
          <w:szCs w:val="14"/>
          <w:color w:val="auto"/>
        </w:rPr>
        <w:t>” shall mean the prospectus included in any Registration Statement, as amended or supplemented by any prospectus supplement with respect to the terms of the offering of any portion of the securities covered by such Registration Statement and, in each case, by all other amendments and supplements to such prospectus, including post-effective amendments and, in each case, all material incorporated by reference in such prospectus.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4.1(i)</w:t>
      </w:r>
      <w:r>
        <w:rPr>
          <w:rFonts w:ascii="Arial" w:cs="Arial" w:eastAsia="Arial" w:hAnsi="Arial"/>
          <w:sz w:val="18"/>
          <w:szCs w:val="18"/>
          <w:color w:val="auto"/>
        </w:rPr>
        <w:t>.</w:t>
      </w:r>
    </w:p>
    <w:p>
      <w:pPr>
        <w:spacing w:after="0" w:line="218"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shall mean, with respect to any Holder, at any time, the Shares held or beneficially owned by such Holder at such time or which such Holder has the right to acquire pursuant to the exercise of any option, warrant or right or the conversion or exchange of any convertible or exchangeable security held by such Holder at such time, regardless of whether then exercisable, convertible or exchangeable;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Registrable Securities, such securities shall cease to be Registrable Securities (i) upon the sale thereof pursuant to an effective registration statement, (ii) upon the sale thereof pursuant to Rule 144 or Rule 145 under the Securities Act, (iii) when the Holder of such securities holds less than one percent (1%) of the then issued and outstanding shares of Common Stock (determined as the aggregate number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520" w:top="273" w:right="579" w:bottom="1440" w:gutter="0" w:footer="0" w:header="0"/>
        </w:sectPr>
      </w:pPr>
    </w:p>
    <w:bookmarkStart w:id="311" w:name="page312"/>
    <w:bookmarkEnd w:id="311"/>
    <w:p>
      <w:pPr>
        <w:ind w:left="1" w:right="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of Registrable Securities held by such Holder with all of its Affiliates) and such securities are eligible for sale pursuant to Rule 144 under the Securities Act (or any successor provision) without compliance with the manner of sale, volume and other limitations under such rule, provided that the Shares held by PAR may not cease to be Registrable Securities by reason of this clause (iii) until the earlier of (a) the third anniversary of this Agreement and</w:t>
      </w:r>
    </w:p>
    <w:p>
      <w:pPr>
        <w:spacing w:after="0" w:line="1" w:lineRule="exact"/>
        <w:rPr>
          <w:sz w:val="20"/>
          <w:szCs w:val="20"/>
          <w:color w:val="auto"/>
        </w:rPr>
      </w:pPr>
    </w:p>
    <w:p>
      <w:pPr>
        <w:ind w:left="1" w:hanging="1"/>
        <w:spacing w:after="0" w:line="271" w:lineRule="auto"/>
        <w:tabs>
          <w:tab w:leader="none" w:pos="25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date specified by PAR by written notice to the Company at any time, (iv) when such securities cease to be outstanding or (v) if such securities shall have been otherwise transferred and new certificates or book-entries for them not bearing a legend restricting transfer shall have been delivered by the Company and such securities may be publicly resold without registration under the Securities Act.</w:t>
      </w:r>
    </w:p>
    <w:p>
      <w:pPr>
        <w:spacing w:after="0" w:line="178" w:lineRule="exact"/>
        <w:rPr>
          <w:sz w:val="20"/>
          <w:szCs w:val="20"/>
          <w:color w:val="auto"/>
        </w:rPr>
      </w:pPr>
    </w:p>
    <w:p>
      <w:pPr>
        <w:ind w:left="1" w:right="38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which covers the Registrable Securities, including any preliminary Prospectus and the Prospectus, amendments and supplements to such Registration Statement, including post-effective amendments, all exhibits thereto and all material incorporated by reference in such Registration Statement.</w:t>
      </w:r>
    </w:p>
    <w:p>
      <w:pPr>
        <w:spacing w:after="0" w:line="189"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shall mean the Holder exercising a Demand Right.</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Shelf Take-Down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Securities Act (or successor rule).</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Selling Investors</w:t>
      </w:r>
      <w:r>
        <w:rPr>
          <w:rFonts w:ascii="Arial" w:cs="Arial" w:eastAsia="Arial" w:hAnsi="Arial"/>
          <w:sz w:val="17"/>
          <w:szCs w:val="17"/>
          <w:color w:val="auto"/>
        </w:rPr>
        <w:t>” shall mean the Holders selling Registrable Securities pursuant to a Registration Statement under this Agreement.</w:t>
      </w:r>
    </w:p>
    <w:p>
      <w:pPr>
        <w:spacing w:after="0" w:line="230"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Investors’ Counsel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18" w:lineRule="exact"/>
        <w:rPr>
          <w:sz w:val="20"/>
          <w:szCs w:val="20"/>
          <w:color w:val="auto"/>
        </w:rPr>
      </w:pPr>
    </w:p>
    <w:p>
      <w:pPr>
        <w:ind w:left="1" w:right="32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 and shall also include any security of the Company issued in respect of or in exchange for such securities of the Company, whether by way of dividend or other distribution, split, recapitalization, merger, rollup transaction, consolidation or reorganization.</w:t>
      </w:r>
    </w:p>
    <w:p>
      <w:pPr>
        <w:spacing w:after="0" w:line="189"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Holder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52" w:lineRule="exact"/>
        <w:rPr>
          <w:sz w:val="20"/>
          <w:szCs w:val="20"/>
          <w:color w:val="auto"/>
        </w:rPr>
      </w:pPr>
    </w:p>
    <w:p>
      <w:pPr>
        <w:ind w:left="538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1"/>
          </w:cols>
          <w:pgMar w:left="519" w:top="273" w:right="579" w:bottom="1440" w:gutter="0" w:footer="0" w:header="0"/>
        </w:sectPr>
      </w:pPr>
    </w:p>
    <w:bookmarkStart w:id="312" w:name="page313"/>
    <w:bookmarkEnd w:id="312"/>
    <w:p>
      <w:pPr>
        <w:ind w:right="180" w:firstLine="434"/>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Short-Form Registration Statement</w:t>
      </w:r>
      <w:r>
        <w:rPr>
          <w:rFonts w:ascii="Arial" w:cs="Arial" w:eastAsia="Arial" w:hAnsi="Arial"/>
          <w:sz w:val="18"/>
          <w:szCs w:val="18"/>
          <w:color w:val="auto"/>
        </w:rPr>
        <w:t>” shall mean a registration statement on Form S-3 or any similar short-form registration statement, as it may be amended from time to time, or any similar successor form.</w:t>
      </w:r>
    </w:p>
    <w:p>
      <w:pPr>
        <w:spacing w:after="0" w:line="179" w:lineRule="exact"/>
        <w:rPr>
          <w:sz w:val="20"/>
          <w:szCs w:val="20"/>
          <w:color w:val="auto"/>
        </w:rPr>
      </w:pPr>
    </w:p>
    <w:p>
      <w:pPr>
        <w:ind w:right="56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each Person in which another Person owns or controls, directly or indirectly, capital stock or other equity interests representing more than 50% in voting power of the outstanding capital stock or other equity interests.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Take-Down Participation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2.2(c)(iv)</w:t>
      </w:r>
      <w:r>
        <w:rPr>
          <w:rFonts w:ascii="Arial" w:cs="Arial" w:eastAsia="Arial" w:hAnsi="Arial"/>
          <w:sz w:val="18"/>
          <w:szCs w:val="18"/>
          <w:color w:val="auto"/>
        </w:rPr>
        <w:t>.</w:t>
      </w:r>
    </w:p>
    <w:p>
      <w:pPr>
        <w:spacing w:after="0" w:line="218"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shall mean any direct or indirect sale, assignment, transfer, conveyance, gift, bequest by will or under intestacy laws, pledge, hypothecation or other encumbrance, or any other disposition, of the stated security (or any interest therein or right thereto, including the issuance of any total return swap or other derivative whose economic value is primarily based upon the value of the stated security) or of all or part of the voting power (other than the granting of a revocable proxy) associated with the stated security (or any interest therein) whatsoever, or any other transfer of beneficial ownership of the stated security, with or without consideration and whether voluntarily or involuntarily (including by operation of law).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shall mean a Person acquiring Shares pursuant to a Transfer.</w:t>
      </w:r>
    </w:p>
    <w:p>
      <w:pPr>
        <w:spacing w:after="0" w:line="218" w:lineRule="exact"/>
        <w:rPr>
          <w:sz w:val="20"/>
          <w:szCs w:val="20"/>
          <w:color w:val="auto"/>
        </w:rPr>
      </w:pPr>
    </w:p>
    <w:p>
      <w:pPr>
        <w:ind w:right="4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sale, on the Company’s or any Holder’s behalf, of Shares by the Company or a Holder to an underwriter for reoffering to the public.</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18" w:lineRule="exact"/>
        <w:rPr>
          <w:sz w:val="20"/>
          <w:szCs w:val="20"/>
          <w:color w:val="auto"/>
        </w:rPr>
      </w:pPr>
    </w:p>
    <w:p>
      <w:pPr>
        <w:ind w:right="100" w:firstLine="434"/>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Holder</w:t>
      </w:r>
      <w:r>
        <w:rPr>
          <w:rFonts w:ascii="Arial" w:cs="Arial" w:eastAsia="Arial" w:hAnsi="Arial"/>
          <w:sz w:val="16"/>
          <w:szCs w:val="16"/>
          <w:color w:val="auto"/>
        </w:rPr>
        <w:t xml:space="preserve">” shall mean Amazon.com NV Investment Holdings LLC (including, for the avoidance of doubt, Transferees of such Holder that acquire Registrable Securities in accordance with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execute an Adoption Agreement in accordance with </w:t>
      </w:r>
      <w:r>
        <w:rPr>
          <w:rFonts w:ascii="Arial" w:cs="Arial" w:eastAsia="Arial" w:hAnsi="Arial"/>
          <w:sz w:val="16"/>
          <w:szCs w:val="16"/>
          <w:u w:val="single" w:color="auto"/>
          <w:color w:val="auto"/>
        </w:rPr>
        <w:t>Section 8.4</w:t>
      </w:r>
      <w:r>
        <w:rPr>
          <w:rFonts w:ascii="Arial" w:cs="Arial" w:eastAsia="Arial" w:hAnsi="Arial"/>
          <w:sz w:val="16"/>
          <w:szCs w:val="16"/>
          <w:color w:val="auto"/>
        </w:rPr>
        <w:t>).</w:t>
      </w:r>
    </w:p>
    <w:p>
      <w:pPr>
        <w:spacing w:after="0" w:line="134" w:lineRule="exact"/>
        <w:rPr>
          <w:sz w:val="20"/>
          <w:szCs w:val="20"/>
          <w:color w:val="auto"/>
        </w:rPr>
      </w:pPr>
    </w:p>
    <w:p>
      <w:pPr>
        <w:ind w:right="40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shall mean a “well-known seasoned issuer” as defined in Rule 405 (or successor rule) promulgated under the Securities Act.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DEMAND AND SHELF REGISTRATION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 to Demand; Demand Notices</w:t>
      </w:r>
      <w:r>
        <w:rPr>
          <w:rFonts w:ascii="Arial" w:cs="Arial" w:eastAsia="Arial" w:hAnsi="Arial"/>
          <w:sz w:val="18"/>
          <w:szCs w:val="18"/>
          <w:color w:val="auto"/>
        </w:rPr>
        <w:t>.</w:t>
      </w:r>
    </w:p>
    <w:p>
      <w:pPr>
        <w:spacing w:after="0" w:line="112" w:lineRule="exact"/>
        <w:rPr>
          <w:sz w:val="20"/>
          <w:szCs w:val="20"/>
          <w:color w:val="auto"/>
        </w:rPr>
      </w:pPr>
    </w:p>
    <w:p>
      <w:pPr>
        <w:ind w:right="100" w:firstLine="976"/>
        <w:spacing w:after="0" w:line="256" w:lineRule="auto"/>
        <w:tabs>
          <w:tab w:leader="none" w:pos="121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Holders’ Demand for Registration</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at any time and from time to time, each Demand Holder shall have the right to request in writing that the Company register the sale under the Securities Act of all or part of the Registrable Securities beneficially owned by such Demand Holder or its Affiliates (a “</w:t>
      </w:r>
      <w:r>
        <w:rPr>
          <w:rFonts w:ascii="Arial" w:cs="Arial" w:eastAsia="Arial" w:hAnsi="Arial"/>
          <w:sz w:val="18"/>
          <w:szCs w:val="18"/>
          <w:u w:val="single" w:color="auto"/>
          <w:color w:val="auto"/>
        </w:rPr>
        <w:t>Demand Right</w:t>
      </w:r>
      <w:r>
        <w:rPr>
          <w:rFonts w:ascii="Arial" w:cs="Arial" w:eastAsia="Arial" w:hAnsi="Arial"/>
          <w:sz w:val="18"/>
          <w:szCs w:val="18"/>
          <w:color w:val="auto"/>
        </w:rPr>
        <w:t>”). Notwithstanding the foregoing: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520" w:top="273" w:right="539" w:bottom="1440" w:gutter="0" w:footer="0" w:header="0"/>
        </w:sectPr>
      </w:pPr>
    </w:p>
    <w:bookmarkStart w:id="313" w:name="page314"/>
    <w:bookmarkEnd w:id="313"/>
    <w:p>
      <w:pPr>
        <w:ind w:left="-100" w:right="120" w:firstLine="1410"/>
        <w:spacing w:after="0" w:line="286" w:lineRule="auto"/>
        <w:tabs>
          <w:tab w:leader="none" w:pos="1522" w:val="left"/>
        </w:tabs>
        <w:numPr>
          <w:ilvl w:val="1"/>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the Apollo Stockholder shall have an unlimited number of Demand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the Apollo Stockholder may provide a Transferee with the following Demand Rights: (A) no Demand Rights if such Transferee acquires less than 5% of the outstanding Shares, (B) one Demand Right if such Transferee acquires at least 5% but not more than 15% of the outstanding Shares and (C) two Demand Rights if such Transferee acquires at least 15% of the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the Apollo Stockholder has provided a Transferee with Demand Rights pursuant to clauses (B) or (C) above, the Warrant Holder shall be granted Demand Rights at the same time and on the same basis as such Transferee based on the percentage of outstanding Shares then held by the Warrant Holder or which the Warrant Holder has the right to acquire pursuant to the exercise of its warrants, regardless of whether then exercisable; and</w:t>
      </w:r>
    </w:p>
    <w:p>
      <w:pPr>
        <w:spacing w:after="0" w:line="60" w:lineRule="exact"/>
        <w:rPr>
          <w:rFonts w:ascii="Arial" w:cs="Arial" w:eastAsia="Arial" w:hAnsi="Arial"/>
          <w:sz w:val="16"/>
          <w:szCs w:val="16"/>
          <w:color w:val="auto"/>
        </w:rPr>
      </w:pPr>
    </w:p>
    <w:p>
      <w:pPr>
        <w:ind w:left="-100" w:firstLine="1410"/>
        <w:spacing w:after="0" w:line="250" w:lineRule="auto"/>
        <w:tabs>
          <w:tab w:leader="none" w:pos="157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a Demand Right may be exercised only if (x) the aggregate offering price of the Shares to be sold by the Demand Holder and its Affiliates in the applicable offering (before deduction of underwriter discounts and commissions) is reasonably expected to exceed, in the aggregate, $50.0 million or (y) such Demand Right is exercised with respect to all remaining Registrable Securities held by the Demand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has previously effected a Demand Registration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Company shall not be required to effect an additional Demand Registration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until a period of 90 days shall have elapsed from the date on which such previous registration became effective.</w:t>
      </w:r>
    </w:p>
    <w:p>
      <w:pPr>
        <w:spacing w:after="0" w:line="89" w:lineRule="exact"/>
        <w:rPr>
          <w:rFonts w:ascii="Arial" w:cs="Arial" w:eastAsia="Arial" w:hAnsi="Arial"/>
          <w:sz w:val="18"/>
          <w:szCs w:val="18"/>
          <w:color w:val="auto"/>
        </w:rPr>
      </w:pPr>
    </w:p>
    <w:p>
      <w:pPr>
        <w:ind w:left="-100" w:right="40" w:firstLine="976"/>
        <w:spacing w:after="0" w:line="251" w:lineRule="auto"/>
        <w:tabs>
          <w:tab w:leader="none" w:pos="112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Demand Notices</w:t>
      </w:r>
      <w:r>
        <w:rPr>
          <w:rFonts w:ascii="Arial" w:cs="Arial" w:eastAsia="Arial" w:hAnsi="Arial"/>
          <w:sz w:val="18"/>
          <w:szCs w:val="18"/>
          <w:color w:val="auto"/>
        </w:rPr>
        <w:t xml:space="preserve">. All requests made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made by providing written notice to the Company (each such written notice, a “</w:t>
      </w:r>
      <w:r>
        <w:rPr>
          <w:rFonts w:ascii="Arial" w:cs="Arial" w:eastAsia="Arial" w:hAnsi="Arial"/>
          <w:sz w:val="18"/>
          <w:szCs w:val="18"/>
          <w:u w:val="single" w:color="auto"/>
          <w:color w:val="auto"/>
        </w:rPr>
        <w:t>Demand Notice</w:t>
      </w:r>
      <w:r>
        <w:rPr>
          <w:rFonts w:ascii="Arial" w:cs="Arial" w:eastAsia="Arial" w:hAnsi="Arial"/>
          <w:sz w:val="18"/>
          <w:szCs w:val="18"/>
          <w:color w:val="auto"/>
        </w:rPr>
        <w:t>”), which notice shall (i) specify the aggregate number and class or classes of Registrable Securities proposed to be registered by the Demand Holder (and its Affiliates) providing such Demand Notice (which may include a range or be specified in an aggregate dollar amount rather than an aggregate number of shares) and (ii) state the intended methods of disposition in the offering (including whether or not such offering shall be an Underwritten Offering).</w:t>
      </w:r>
    </w:p>
    <w:p>
      <w:pPr>
        <w:spacing w:after="0" w:line="87" w:lineRule="exact"/>
        <w:rPr>
          <w:rFonts w:ascii="Arial" w:cs="Arial" w:eastAsia="Arial" w:hAnsi="Arial"/>
          <w:sz w:val="18"/>
          <w:szCs w:val="18"/>
          <w:color w:val="auto"/>
        </w:rPr>
      </w:pPr>
    </w:p>
    <w:p>
      <w:pPr>
        <w:ind w:left="-100" w:firstLine="976"/>
        <w:spacing w:after="0" w:line="269" w:lineRule="auto"/>
        <w:tabs>
          <w:tab w:leader="none" w:pos="1117"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Demand Filing</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promptly (but in any event within five (5) Business Days) after receipt of any Demand Notice, the Company shall give written notice of the Demand Notice to all other Holders of Registrable Securities and otherwise comply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when and if required.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the Company shall use reasonable best efforts to file the registration statement in respect of a Demand Notice as soon as practicable and, in any event, within 90 days after receiving a Demand Notice and shall use reasonable best efforts to cause the same to be declared effective by the Commission as promptly as practicable after such filing.</w:t>
      </w:r>
    </w:p>
    <w:p>
      <w:pPr>
        <w:spacing w:after="0" w:line="74" w:lineRule="exact"/>
        <w:rPr>
          <w:rFonts w:ascii="Arial" w:cs="Arial" w:eastAsia="Arial" w:hAnsi="Arial"/>
          <w:sz w:val="17"/>
          <w:szCs w:val="17"/>
          <w:color w:val="auto"/>
        </w:rPr>
      </w:pPr>
    </w:p>
    <w:p>
      <w:pPr>
        <w:ind w:left="-100" w:firstLine="976"/>
        <w:spacing w:after="0" w:line="267" w:lineRule="auto"/>
        <w:tabs>
          <w:tab w:leader="none" w:pos="1127"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Demand Registration Form</w:t>
      </w:r>
      <w:r>
        <w:rPr>
          <w:rFonts w:ascii="Arial" w:cs="Arial" w:eastAsia="Arial" w:hAnsi="Arial"/>
          <w:sz w:val="17"/>
          <w:szCs w:val="17"/>
          <w:color w:val="auto"/>
        </w:rPr>
        <w:t xml:space="preserve">. Registrations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on such appropriate registration form of the Commission that the Company is eligible to use (i) as reasonably requested by the Requesting Holder (which form may include a confidential submission if permitted under applicable rules of the Commission) and (ii) as shall permit the disposition of the Registrable Securities in accordance with the intended method or methods of disposition specified in the Demand Notice. If, in connection with any registration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that is requested by the Requesting Holder to be on a Short-Form Registration Statement, the managing underwriter, if any, shall advise the Company that in its opinion, or if the Company independently determines in good faith, the use of another permitted form is of material importance to the success of the offering, then such registration shall be permitted to be on such other permitted form.</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60"/>
          </w:cols>
          <w:pgMar w:left="620" w:top="273" w:right="619" w:bottom="1440" w:gutter="0" w:footer="0" w:header="0"/>
        </w:sectPr>
      </w:pPr>
    </w:p>
    <w:bookmarkStart w:id="314" w:name="page315"/>
    <w:bookmarkEnd w:id="314"/>
    <w:p>
      <w:pPr>
        <w:ind w:firstLine="976"/>
        <w:spacing w:after="0" w:line="250" w:lineRule="auto"/>
        <w:tabs>
          <w:tab w:leader="none" w:pos="1217"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Demand Withdrawal</w:t>
      </w:r>
      <w:r>
        <w:rPr>
          <w:rFonts w:ascii="Arial" w:cs="Arial" w:eastAsia="Arial" w:hAnsi="Arial"/>
          <w:sz w:val="18"/>
          <w:szCs w:val="18"/>
          <w:color w:val="auto"/>
        </w:rPr>
        <w:t xml:space="preserve">. A Requesting Holder may withdraw all or any portion of its Registrable Securities from a Demand Registration by providing written notice to the Company at least five (5) Business Days prior to the earliest of (i) effectiveness of the applicable Registration Statement, (ii) the filing of any Registration Statement relating to such Demand Registration that includes a pricing range or (iii) the commencement of a roadshow relating to the Registration Statement for such Demand Registration, and no such registration shall be counted for purposes of determining the number of Demand Registrations to which such Requesting Holder is entitled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if the Requesting Holder withdraws all of its Registrable Securities from such Demand Registration.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12" w:lineRule="exact"/>
        <w:rPr>
          <w:sz w:val="20"/>
          <w:szCs w:val="20"/>
          <w:color w:val="auto"/>
        </w:rPr>
      </w:pPr>
    </w:p>
    <w:p>
      <w:pPr>
        <w:ind w:right="20" w:firstLine="976"/>
        <w:spacing w:after="0" w:line="282" w:lineRule="auto"/>
        <w:tabs>
          <w:tab w:leader="none" w:pos="1217"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xml:space="preserve">. Notwithstanding anything contained in this Agreement to the contrary, (i) from and after such time as the Company shall have qualified for the use of a Short-Form Registration Statement, upon the written request by the Apollo Stockholder or, to the extent the Warrant Holder beneficially owns at least two percent (2%) of the then-outstanding Shares (including vested but unexercised warrants), the Warrant Holder, (A)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promptly (but in any event within five (5) Business Days) after receipt of any such written request, the Company shall give written notice to all other Holders of Registrable Securities and otherwise comply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(B) the Company shall use its reasonable best efforts to file as soon as reasonably practicable and in any event within 60 days with the Commission a Short-Form Registration Statement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to register the sale of all of the Registrable Securities then outstanding (including without limitation all Registrable Securities requested to be included in such Shelf Registration Statement in accordance with Article III) on a delayed or continuous basis in accordance with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and (ii) the Company shall use its reasonable best efforts to cause to be declared effective the Shelf Registration Statement as promptly as practicable after such filing. In no event shall the Company be required to file, and maintain effectiveness of, more than one Shelf Registration Statement at any one time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For the avoidance of doubt, no request for the filing of a Shelf Registration Statement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shall count as a Demand Registration for purposes of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right="540" w:firstLine="976"/>
        <w:spacing w:after="0" w:line="256" w:lineRule="auto"/>
        <w:tabs>
          <w:tab w:leader="none" w:pos="1227"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Shelf Take-Downs</w:t>
      </w:r>
      <w:r>
        <w:rPr>
          <w:rFonts w:ascii="Arial" w:cs="Arial" w:eastAsia="Arial" w:hAnsi="Arial"/>
          <w:sz w:val="18"/>
          <w:szCs w:val="18"/>
          <w:color w:val="auto"/>
        </w:rPr>
        <w:t>. Any Holder whose Registrable Securities are included in an effective Shelf Registration Statement (a “</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w:t>
      </w:r>
      <w:r>
        <w:rPr>
          <w:rFonts w:ascii="Arial" w:cs="Arial" w:eastAsia="Arial" w:hAnsi="Arial"/>
          <w:sz w:val="18"/>
          <w:szCs w:val="18"/>
          <w:color w:val="auto"/>
        </w:rPr>
        <w:t>”) may initiate an offering or sale of all or part of such Registrable Securities (a “</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in which case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apply. Notwithstanding the foregoing:</w:t>
      </w:r>
    </w:p>
    <w:p>
      <w:pPr>
        <w:spacing w:after="0" w:line="82" w:lineRule="exact"/>
        <w:rPr>
          <w:rFonts w:ascii="Arial" w:cs="Arial" w:eastAsia="Arial" w:hAnsi="Arial"/>
          <w:sz w:val="18"/>
          <w:szCs w:val="18"/>
          <w:color w:val="auto"/>
        </w:rPr>
      </w:pPr>
    </w:p>
    <w:p>
      <w:pPr>
        <w:ind w:right="180" w:firstLine="1410"/>
        <w:spacing w:after="0" w:line="266" w:lineRule="auto"/>
        <w:tabs>
          <w:tab w:leader="none" w:pos="162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any such Shelf Holder may initiate an unlimited number of Non-Marketed Shelf Take-Downs pursuant to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Non-Marketed Shelf Take-Downs do not constitute an Underwritten Shelf Take-Down;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3" w:right="539" w:bottom="1440" w:gutter="0" w:footer="0" w:header="0"/>
        </w:sectPr>
      </w:pPr>
    </w:p>
    <w:bookmarkStart w:id="315" w:name="page316"/>
    <w:bookmarkEnd w:id="315"/>
    <w:p>
      <w:pPr>
        <w:ind w:left="-20" w:right="20" w:firstLine="1410"/>
        <w:spacing w:after="0" w:line="287" w:lineRule="auto"/>
        <w:tabs>
          <w:tab w:leader="none" w:pos="1651" w:val="left"/>
        </w:tabs>
        <w:numPr>
          <w:ilvl w:val="1"/>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the Apollo Stockholder may initiate an unlimited number of Underwritten Offerings (including any block trade)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the Apollo Stockholder may provide a Transferee with the following Underwritten Shelf Take-Down rights: (A) such Transferee may not initiate any Underwritten Offerings (including any block trade) if such Transferee acquires less than 5% of the outstanding Shares, (B) such Transferee may initiate one Underwritten Offering (including any block trade)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below if such Transferee acquires at least 5% but not more than 15% of the outstanding Shares and (C) such Transferee may initiate up to two Underwritten Offerings (including any block trade)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below if such Transferee acquires at least 15% of the outstanding Shares; and</w:t>
      </w:r>
    </w:p>
    <w:p>
      <w:pPr>
        <w:spacing w:after="0" w:line="62" w:lineRule="exact"/>
        <w:rPr>
          <w:rFonts w:ascii="Arial" w:cs="Arial" w:eastAsia="Arial" w:hAnsi="Arial"/>
          <w:sz w:val="16"/>
          <w:szCs w:val="16"/>
          <w:color w:val="auto"/>
        </w:rPr>
      </w:pPr>
    </w:p>
    <w:p>
      <w:pPr>
        <w:jc w:val="both"/>
        <w:ind w:left="-20" w:right="160" w:firstLine="1410"/>
        <w:spacing w:after="0" w:line="250" w:lineRule="auto"/>
        <w:tabs>
          <w:tab w:leader="none" w:pos="17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in the case of clause (ii) of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(A) the Registrable Securities proposed to be sold by the initiating Shelf Holder shall be required to (x) have a reasonably anticipated aggregate offering price of at least $25.0 million (before deduction of underwriting discounts and commissions) or (y) constitute all remaining Registrable Securities held by such Shelf Holder and (B) if the Company has previously effected a Shelf Take-Down that is an Underwritten Offering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 Company shall not be required to effect an additional Shelf Take-Down that is an Underwritten Offering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until a period of 90 days shall have elapsed from the date of such prior Shelf Take-Down that was an Underwritten Offering.</w:t>
      </w:r>
    </w:p>
    <w:p>
      <w:pPr>
        <w:spacing w:after="0" w:line="195" w:lineRule="exact"/>
        <w:rPr>
          <w:rFonts w:ascii="Arial" w:cs="Arial" w:eastAsia="Arial" w:hAnsi="Arial"/>
          <w:sz w:val="18"/>
          <w:szCs w:val="18"/>
          <w:color w:val="auto"/>
        </w:rPr>
      </w:pPr>
    </w:p>
    <w:p>
      <w:pPr>
        <w:ind w:left="1200" w:hanging="244"/>
        <w:spacing w:after="0"/>
        <w:tabs>
          <w:tab w:leader="none" w:pos="12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Underwritten Shelf Take-Downs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20" w:firstLine="1410"/>
        <w:spacing w:after="0" w:line="284" w:lineRule="auto"/>
        <w:tabs>
          <w:tab w:leader="none" w:pos="160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2.2(b)</w:t>
      </w:r>
      <w:r>
        <w:rPr>
          <w:rFonts w:ascii="Arial" w:cs="Arial" w:eastAsia="Arial" w:hAnsi="Arial"/>
          <w:sz w:val="16"/>
          <w:szCs w:val="16"/>
          <w:color w:val="auto"/>
        </w:rPr>
        <w:t>, if a Demand Holder that is a Shelf Holder (collectively, “</w:t>
      </w:r>
      <w:r>
        <w:rPr>
          <w:rFonts w:ascii="Arial" w:cs="Arial" w:eastAsia="Arial" w:hAnsi="Arial"/>
          <w:sz w:val="16"/>
          <w:szCs w:val="16"/>
          <w:u w:val="single" w:color="auto"/>
          <w:color w:val="auto"/>
        </w:rPr>
        <w:t>Investor Shelf Holders</w:t>
      </w:r>
      <w:r>
        <w:rPr>
          <w:rFonts w:ascii="Arial" w:cs="Arial" w:eastAsia="Arial" w:hAnsi="Arial"/>
          <w:sz w:val="16"/>
          <w:szCs w:val="16"/>
          <w:color w:val="auto"/>
        </w:rPr>
        <w:t>”) so elects in a written request delivered to the Company (an “</w:t>
      </w:r>
      <w:r>
        <w:rPr>
          <w:rFonts w:ascii="Arial" w:cs="Arial" w:eastAsia="Arial" w:hAnsi="Arial"/>
          <w:sz w:val="16"/>
          <w:szCs w:val="16"/>
          <w:u w:val="single" w:color="auto"/>
          <w:color w:val="auto"/>
        </w:rPr>
        <w:t>Underwritten Shelf Take-Down Notice</w:t>
      </w:r>
      <w:r>
        <w:rPr>
          <w:rFonts w:ascii="Arial" w:cs="Arial" w:eastAsia="Arial" w:hAnsi="Arial"/>
          <w:sz w:val="16"/>
          <w:szCs w:val="16"/>
          <w:color w:val="auto"/>
        </w:rPr>
        <w:t>”), a Shelf Take-Down may be in the form of an Underwritten Offering (an “</w:t>
      </w:r>
      <w:r>
        <w:rPr>
          <w:rFonts w:ascii="Arial" w:cs="Arial" w:eastAsia="Arial" w:hAnsi="Arial"/>
          <w:sz w:val="16"/>
          <w:szCs w:val="16"/>
          <w:u w:val="single" w:color="auto"/>
          <w:color w:val="auto"/>
        </w:rPr>
        <w:t>Underwritten Shelf Take-Down</w:t>
      </w:r>
      <w:r>
        <w:rPr>
          <w:rFonts w:ascii="Arial" w:cs="Arial" w:eastAsia="Arial" w:hAnsi="Arial"/>
          <w:sz w:val="16"/>
          <w:szCs w:val="16"/>
          <w:color w:val="auto"/>
        </w:rPr>
        <w:t>”) and, if necessary, the Company shall use its reasonable best efforts to file and effect an amendment or supplement to its Shelf Registration Statement for such purpose as soon as practicable. Such initiating Investor Shelf Holder shall indicate in such Underwritten Shelf Take-Down Notice the number of Registrable Securities of such Investor Shelf Holder to be included in such Underwritten Shelf Take-Down and whether it intends for such Underwritten Shelf Take-Down to involve a customary “road show” (including an “electronic road show”) or other marketing effort by the underwriters (a “</w:t>
      </w:r>
      <w:r>
        <w:rPr>
          <w:rFonts w:ascii="Arial" w:cs="Arial" w:eastAsia="Arial" w:hAnsi="Arial"/>
          <w:sz w:val="16"/>
          <w:szCs w:val="16"/>
          <w:u w:val="single" w:color="auto"/>
          <w:color w:val="auto"/>
        </w:rPr>
        <w:t>Marketed 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Underwritten Shelf Take-Down requested by an Investor Shelf Holder shall be deemed to reduce the number of Demand Rights such Investor Shelf Holder is entitled to under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20" w:right="60" w:firstLine="1410"/>
        <w:spacing w:after="0" w:line="249" w:lineRule="auto"/>
        <w:tabs>
          <w:tab w:leader="none" w:pos="165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Promptly upon delivery of an Underwritten Shelf Take-Down Notice with respect to a Marketed Underwritten Shelf Take-Down (but in no event more than ten (10) days prior to the expected date of such Marketed Underwritten Shelf Take-Down), the Company shall promptly deliver a written notice of such Marketed Underwritten Shelf Take-Down to all Shelf Holders with Registrable Securities under such Shelf Registration Statement and, in each case, subject to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2.7</w:t>
      </w:r>
      <w:r>
        <w:rPr>
          <w:rFonts w:ascii="Arial" w:cs="Arial" w:eastAsia="Arial" w:hAnsi="Arial"/>
          <w:sz w:val="18"/>
          <w:szCs w:val="18"/>
          <w:color w:val="auto"/>
        </w:rPr>
        <w:t>, the Company shall include in such Marketed Underwritten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at least three (3) Business Days prior to the expected date of such Marketed Underwritten Shelf Take-Down.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540" w:top="273" w:right="539" w:bottom="1440" w:gutter="0" w:footer="0" w:header="0"/>
        </w:sectPr>
      </w:pPr>
    </w:p>
    <w:bookmarkStart w:id="316" w:name="page317"/>
    <w:bookmarkEnd w:id="316"/>
    <w:p>
      <w:pPr>
        <w:ind w:left="1" w:firstLine="1410"/>
        <w:spacing w:after="0" w:line="278" w:lineRule="auto"/>
        <w:tabs>
          <w:tab w:leader="none" w:pos="1721" w:val="left"/>
        </w:tabs>
        <w:numPr>
          <w:ilvl w:val="1"/>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 2.2(b)</w:t>
      </w:r>
      <w:r>
        <w:rPr>
          <w:rFonts w:ascii="Arial" w:cs="Arial" w:eastAsia="Arial" w:hAnsi="Arial"/>
          <w:sz w:val="16"/>
          <w:szCs w:val="16"/>
          <w:color w:val="auto"/>
        </w:rPr>
        <w:t>, if an Investor Shelf Holder desires to effect an Underwritten Shelf Take-Down that is not a Marketed Underwritten Shelf Take-Down (a “</w:t>
      </w:r>
      <w:r>
        <w:rPr>
          <w:rFonts w:ascii="Arial" w:cs="Arial" w:eastAsia="Arial" w:hAnsi="Arial"/>
          <w:sz w:val="16"/>
          <w:szCs w:val="16"/>
          <w:u w:val="single" w:color="auto"/>
          <w:color w:val="auto"/>
        </w:rPr>
        <w:t>Restricted Shelf Take-Down</w:t>
      </w:r>
      <w:r>
        <w:rPr>
          <w:rFonts w:ascii="Arial" w:cs="Arial" w:eastAsia="Arial" w:hAnsi="Arial"/>
          <w:sz w:val="16"/>
          <w:szCs w:val="16"/>
          <w:color w:val="auto"/>
        </w:rPr>
        <w:t>”), the Investor Shelf Holder initiating such Restricted Shelf Take-Down shall provide written notice (a “</w:t>
      </w:r>
      <w:r>
        <w:rPr>
          <w:rFonts w:ascii="Arial" w:cs="Arial" w:eastAsia="Arial" w:hAnsi="Arial"/>
          <w:sz w:val="16"/>
          <w:szCs w:val="16"/>
          <w:u w:val="single" w:color="auto"/>
          <w:color w:val="auto"/>
        </w:rPr>
        <w:t>Restricted Shelf Take-Down Notice</w:t>
      </w:r>
      <w:r>
        <w:rPr>
          <w:rFonts w:ascii="Arial" w:cs="Arial" w:eastAsia="Arial" w:hAnsi="Arial"/>
          <w:sz w:val="16"/>
          <w:szCs w:val="16"/>
          <w:color w:val="auto"/>
        </w:rPr>
        <w:t xml:space="preserve">”) of such Restricted Shelf Take-Down to the other Shelf Holders as far in advance of the completion of such Restricted Shelf Take-Down as shall be reasonably practicable in light of the circumstances applicable to such Restricted Shelf Take-Down, which Restricted Shelf Take-Down Notice shall set forth (A) the total number of Registrable Securities expected to be offered and sold in such Restricted Shelf Take-Down, (B) the expected plan of distribution of such Restricted Shelf Take-Down and (C) an invitation to the other Shelf Holders to elect to include in the Restricted Shelf Take-Down Registrable Securities held by such other Shelf Holders (but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(D) the action or actions required (including the timing thereof) in connection with such Restricted Shelf Take-Down with respect to the other Investor Shelf Holders if any such Shelf Holder elects to exercise such right. Any Restricted Shelf Take-Down shall be (x) deemed to reduce the number of Demand Rights the initiating Investor Shelf Holder is entitled to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(y) required to comply with a minimum size requirement equal to fifty percent (50%) of the minimum size requirements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(unless the initiating Investor Shelf Holder requests the filing of a new Shelf Registration Statement in order to effect such Restricted Shelf Take-Down and at such time the Company is not eligible to use an Automatic Shelf Registration Statement, in which case the minimum size requirements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apply), and</w:t>
      </w:r>
    </w:p>
    <w:p>
      <w:pPr>
        <w:spacing w:after="0" w:line="6" w:lineRule="exact"/>
        <w:rPr>
          <w:rFonts w:ascii="Arial" w:cs="Arial" w:eastAsia="Arial" w:hAnsi="Arial"/>
          <w:sz w:val="16"/>
          <w:szCs w:val="16"/>
          <w:color w:val="auto"/>
        </w:rPr>
      </w:pPr>
    </w:p>
    <w:p>
      <w:pPr>
        <w:ind w:left="241" w:hanging="241"/>
        <w:spacing w:after="0"/>
        <w:tabs>
          <w:tab w:leader="none" w:pos="24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subject to the limits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01" w:lineRule="exact"/>
        <w:rPr>
          <w:sz w:val="20"/>
          <w:szCs w:val="20"/>
          <w:color w:val="auto"/>
        </w:rPr>
      </w:pPr>
    </w:p>
    <w:p>
      <w:pPr>
        <w:ind w:left="1" w:right="140" w:firstLine="1410"/>
        <w:spacing w:after="0" w:line="290" w:lineRule="auto"/>
        <w:tabs>
          <w:tab w:leader="none" w:pos="1711" w:val="left"/>
        </w:tabs>
        <w:numPr>
          <w:ilvl w:val="2"/>
          <w:numId w:val="227"/>
        </w:numPr>
        <w:rPr>
          <w:rFonts w:ascii="Arial" w:cs="Arial" w:eastAsia="Arial" w:hAnsi="Arial"/>
          <w:sz w:val="16"/>
          <w:szCs w:val="16"/>
          <w:color w:val="auto"/>
        </w:rPr>
      </w:pPr>
      <w:r>
        <w:rPr>
          <w:rFonts w:ascii="Arial" w:cs="Arial" w:eastAsia="Arial" w:hAnsi="Arial"/>
          <w:sz w:val="16"/>
          <w:szCs w:val="16"/>
          <w:color w:val="auto"/>
        </w:rPr>
        <w:t>Upon delivery of a Restricted Shelf Take-Down Notice, the other Shelf Holders may elect to sell Registrable Securities in such Restricted Shelf Take-Down, at the same price per Registrable Security and pursuant to the same terms and conditions with respect to payment for the Registrable Securities as agreed to by the initiating Investor Shelf Holder, by sending an irrevocable written notice (a “</w:t>
      </w:r>
      <w:r>
        <w:rPr>
          <w:rFonts w:ascii="Arial" w:cs="Arial" w:eastAsia="Arial" w:hAnsi="Arial"/>
          <w:sz w:val="16"/>
          <w:szCs w:val="16"/>
          <w:u w:val="single" w:color="auto"/>
          <w:color w:val="auto"/>
        </w:rPr>
        <w:t>Take-Down Participation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to the initiating Investor Shelf Holder, indicating its election to participate in the Restricted Shelf Take-Down and the total number of its Registrable Securities to include in the Restricted Shelf Take-Down (but, in all cases,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1" w:right="220" w:firstLine="1410"/>
        <w:spacing w:after="0" w:line="256" w:lineRule="auto"/>
        <w:tabs>
          <w:tab w:leader="none" w:pos="1662" w:val="left"/>
        </w:tabs>
        <w:numPr>
          <w:ilvl w:val="2"/>
          <w:numId w:val="227"/>
        </w:numPr>
        <w:rPr>
          <w:rFonts w:ascii="Arial" w:cs="Arial" w:eastAsia="Arial" w:hAnsi="Arial"/>
          <w:sz w:val="18"/>
          <w:szCs w:val="18"/>
          <w:color w:val="auto"/>
        </w:rPr>
      </w:pPr>
      <w:r>
        <w:rPr>
          <w:rFonts w:ascii="Arial" w:cs="Arial" w:eastAsia="Arial" w:hAnsi="Arial"/>
          <w:sz w:val="18"/>
          <w:szCs w:val="18"/>
          <w:color w:val="auto"/>
        </w:rPr>
        <w:t>Notwithstanding the delivery of any Underwritten Shelf Take-Down Notice, all determinations as to whether to complete any Underwritten Shelf Take-Down and as to the timing, manner, price and other terms of any Underwritten Shelf Take-Down shall be at the discretion of the Investor Shelf Holder initiating the Underwritten Shelf Take-Down.</w:t>
      </w:r>
    </w:p>
    <w:p>
      <w:pPr>
        <w:spacing w:after="0" w:line="82" w:lineRule="exact"/>
        <w:rPr>
          <w:rFonts w:ascii="Arial" w:cs="Arial" w:eastAsia="Arial" w:hAnsi="Arial"/>
          <w:sz w:val="18"/>
          <w:szCs w:val="18"/>
          <w:color w:val="auto"/>
        </w:rPr>
      </w:pPr>
    </w:p>
    <w:p>
      <w:pPr>
        <w:jc w:val="both"/>
        <w:ind w:left="1" w:right="40" w:firstLine="976"/>
        <w:spacing w:after="0" w:line="284" w:lineRule="auto"/>
        <w:tabs>
          <w:tab w:leader="none" w:pos="1228"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Non-Marketed Shelf Take-Downs</w:t>
      </w:r>
      <w:r>
        <w:rPr>
          <w:rFonts w:ascii="Arial" w:cs="Arial" w:eastAsia="Arial" w:hAnsi="Arial"/>
          <w:sz w:val="16"/>
          <w:szCs w:val="16"/>
          <w:color w:val="auto"/>
        </w:rPr>
        <w:t>. If a Shelf Holder desires to effect a Shelf Take-Down that does not constitute an Underwritten Shelf Take-Down (a “</w:t>
      </w:r>
      <w:r>
        <w:rPr>
          <w:rFonts w:ascii="Arial" w:cs="Arial" w:eastAsia="Arial" w:hAnsi="Arial"/>
          <w:sz w:val="16"/>
          <w:szCs w:val="16"/>
          <w:u w:val="single" w:color="auto"/>
          <w:color w:val="auto"/>
        </w:rPr>
        <w:t>Non-Marketed Shelf Take-Down</w:t>
      </w:r>
      <w:r>
        <w:rPr>
          <w:rFonts w:ascii="Arial" w:cs="Arial" w:eastAsia="Arial" w:hAnsi="Arial"/>
          <w:sz w:val="16"/>
          <w:szCs w:val="16"/>
          <w:color w:val="auto"/>
        </w:rPr>
        <w:t>”), such Shelf Holder shall so indicate in a written request delivered to the Company no later than three</w:t>
      </w:r>
    </w:p>
    <w:p>
      <w:pPr>
        <w:spacing w:after="0" w:line="1" w:lineRule="exact"/>
        <w:rPr>
          <w:rFonts w:ascii="Arial" w:cs="Arial" w:eastAsia="Arial" w:hAnsi="Arial"/>
          <w:sz w:val="16"/>
          <w:szCs w:val="16"/>
          <w:color w:val="auto"/>
        </w:rPr>
      </w:pPr>
    </w:p>
    <w:p>
      <w:pPr>
        <w:ind w:left="1" w:hanging="1"/>
        <w:spacing w:after="0" w:line="286" w:lineRule="auto"/>
        <w:tabs>
          <w:tab w:leader="none" w:pos="25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Business Days prior to the expected date of such Non-Marketed Shelf Take-Down (or such shorter period as the Company may agree), which request shall include (i) the aggregate number and class or classes of Registrable Securities expected to be offered and sold in such Non-Marketed Shelf Take-Down, (ii) the expected plan of distribution of such Non-Marketed Shelf Take-Down and (iii) the action or actions required (including the timing thereof) in connection with such Non-Marketed Shelf Take-Down, and, if necessary, the Company shall use its reasonable best efforts to file and effect an amendment or supplement to its Shelf Registration Statement for such purpose as soon as practicable.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1"/>
          </w:cols>
          <w:pgMar w:left="519" w:top="273" w:right="539" w:bottom="1440" w:gutter="0" w:footer="0" w:header="0"/>
        </w:sectPr>
      </w:pPr>
    </w:p>
    <w:bookmarkStart w:id="317" w:name="page318"/>
    <w:bookmarkEnd w:id="317"/>
    <w:p>
      <w:pPr>
        <w:ind w:firstLine="976"/>
        <w:spacing w:after="0" w:line="280" w:lineRule="auto"/>
        <w:tabs>
          <w:tab w:leader="none" w:pos="1217"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Filing for Well-Known Seasoned Issuer</w:t>
      </w:r>
      <w:r>
        <w:rPr>
          <w:rFonts w:ascii="Arial" w:cs="Arial" w:eastAsia="Arial" w:hAnsi="Arial"/>
          <w:sz w:val="16"/>
          <w:szCs w:val="16"/>
          <w:color w:val="auto"/>
        </w:rPr>
        <w:t xml:space="preserve">. Upon the Company becoming a Well-Known Seasoned Issuer, (x) the Company shall give written notice to all of the Holders as promptly as practicable but in no event later than ten (10) Business Days thereafter and such notice shall describe, in reasonable detail, the basis on which the Company has become a Well-Known Seasoned Issuer, and (y) the Company shall, upon written request by the Apollo Stockholder, the Warrant Holder or, to the extent PAR beneficially owns at least two percent (2%) of the then-outstanding Shares, PAR, as promptly as practicable, but in no event later than 20 Business Days after receiving such request, use its reasonable best efforts to register, under an Automatic Shelf Registration Statement, the sale of all of the Registrable Securities in accordance with the terms of this Agreement. The Company agrees that if any Holder beneficially owns any Registrable Securities three years after the filing of the most recent Automatic Shelf Registration Statement in compliance with this </w:t>
      </w:r>
      <w:r>
        <w:rPr>
          <w:rFonts w:ascii="Arial" w:cs="Arial" w:eastAsia="Arial" w:hAnsi="Arial"/>
          <w:sz w:val="16"/>
          <w:szCs w:val="16"/>
          <w:u w:val="single" w:color="auto"/>
          <w:color w:val="auto"/>
        </w:rPr>
        <w:t>Section 2.2(e)</w:t>
      </w:r>
      <w:r>
        <w:rPr>
          <w:rFonts w:ascii="Arial" w:cs="Arial" w:eastAsia="Arial" w:hAnsi="Arial"/>
          <w:sz w:val="16"/>
          <w:szCs w:val="16"/>
          <w:color w:val="auto"/>
        </w:rPr>
        <w:t>, the Company shall, if permitted under applicable rules of the Commission, file and cause to remain effective a new Automatic Shelf Registration Statement that registers the sale of any Registrable Securities that remain outstanding at such time. The Company shall give written notice of filing such Registration Statement to all of the Holders as promptly as practicable thereafter. At any time after the filing of an Automatic Shelf Registration Statement by the Company, if the Company is no longer a Well-Known Seasoned Issuer (the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within ten (10) Business Days after such Determination Date, the Company shall (A) give written notice thereof to all of the Holders and (B) to the extent the Company continues to qualify for the use of Form S-3 promulgated under the Securities Act or any successor form thereto, the Company shall file, if necessary, a Short-Form Registration Statement (or a post-effective amendment converting the Automatic Shelf Registration Statement to a Short-Form Registration Statement) covering all of the Registrable Securities, and the Company shall use its reasonable best efforts to have such Short-Form Registration Statement declared effective as promptly as practicable after the date the Automatic Shelf Registration Statement is no longer useable by the Holders to sell their Registrable Securities.</w:t>
      </w:r>
    </w:p>
    <w:p>
      <w:pPr>
        <w:spacing w:after="0" w:line="73" w:lineRule="exact"/>
        <w:rPr>
          <w:rFonts w:ascii="Arial" w:cs="Arial" w:eastAsia="Arial" w:hAnsi="Arial"/>
          <w:sz w:val="16"/>
          <w:szCs w:val="16"/>
          <w:color w:val="auto"/>
        </w:rPr>
      </w:pPr>
    </w:p>
    <w:p>
      <w:pPr>
        <w:ind w:right="180" w:firstLine="976"/>
        <w:spacing w:after="0" w:line="253" w:lineRule="auto"/>
        <w:tabs>
          <w:tab w:leader="none" w:pos="1198"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Continued Effectiveness</w:t>
      </w:r>
      <w:r>
        <w:rPr>
          <w:rFonts w:ascii="Arial" w:cs="Arial" w:eastAsia="Arial" w:hAnsi="Arial"/>
          <w:sz w:val="18"/>
          <w:szCs w:val="18"/>
          <w:color w:val="auto"/>
        </w:rPr>
        <w:t xml:space="preserve">. The Company shall use its reasonable best efforts to keep the Shelf Registration Statement filed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hereof, as applicable, continuously effective under the Securities Act in order to permit the Prospectus forming a part thereof to be usable by an Shelf Holder until the date as of which all Registrable Securities registered by such Shelf Registration Statement have been sold.</w:t>
      </w:r>
    </w:p>
    <w:p>
      <w:pPr>
        <w:spacing w:after="0" w:line="191"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Deferral or Suspension of Registration</w:t>
      </w:r>
      <w:r>
        <w:rPr>
          <w:rFonts w:ascii="Arial" w:cs="Arial" w:eastAsia="Arial" w:hAnsi="Arial"/>
          <w:sz w:val="16"/>
          <w:szCs w:val="16"/>
          <w:color w:val="auto"/>
        </w:rPr>
        <w:t>. If (a) the Company receives a Demand Notice, a request to file a Shelf Registration Statement, or a written request from a Shelf Holder for a Shelf Take-Down and the Board of Directors, in its good faith judgment, determines that it would be materially adverse to the Company for such Registration Statement to be filed or declared effective on or before the date such filing or effectiveness would otherwise be required hereunder, or for such Registration Statement or prospectus included therein to be used to sell Shares or for such Shelf Take-Down to be effected, because such action would: (i) materially interfere with a significant acquisition, corporate reorganization, or other similar transaction involving the Company; (ii) based on the advice of the Company’s outside counsel, require disclosure of material non-public information that the Company has a bona fide business purpose for preserving as confidential; or (iii) render the Company unable to comply with requirements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520" w:top="273" w:right="559" w:bottom="1440" w:gutter="0" w:footer="0" w:header="0"/>
        </w:sectPr>
      </w:pPr>
    </w:p>
    <w:bookmarkStart w:id="318" w:name="page319"/>
    <w:bookmarkEnd w:id="318"/>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under the Securities Act or the Exchange Act, or (b) the Company is subject to any of its customary suspension or blackout periods, for all or part of the period of such blackout period, or upon issuance by the Commission of a stop order suspending the effectiveness of any Registration Statement or the initiation of proceedings with respect to such Registration Statement under Section 8(d) or 8(e) of the Securities Act, then the Company shall have the right to defer such filing (but not the preparation), initial effectiveness or continued use of a Registration Statement and the prospectus included therein for a period of not more than 60 days (or such longer period as the Requesting Holder or Shelf Holder, as applicable, may determine). If the Company shall so postpone the filing or initial effectiveness of a Registration Statement with respect to a Demand Notice and if the Requesting Holder within 30 days after receipt of the notice of postponement advises the Company in writing that it has determined to withdraw such Demand Notice, then such Demand Registration shall be deemed to be withdrawn and shall not be deemed to be an exercise of one of the Demand Rights to which such Requesting Holder is entitled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Unless consented to in writing by the Holders, the Company shall not use the deferral or suspension rights provided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(x) more than twice in any 12-month period (except that the Company shall be able to use this right more than twice in any 12-month period if the Company is exercising such right during the 15-day period prior to the Company’s regularly scheduled quarterly earnings announcement date and the total number of days of postponement in such 12-month period does not exceed 120 days) or (y) except as contemplated in the parenthetical in (x) immediately above, in the aggregate for more than 90 days in any 12-month period. In the event of any deferral or suspension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the Company shall (i) use its reasonable best efforts to keep the Requesting Holder, if applicable, apprised of the estimated length of the anticipated delay; and (ii) notify the Requesting Holder or Shelf Holders, as applicable, promptly upon termination of the deferral or suspension. After the expiration of the deferral or suspension period and without any further request from the Requesting Holder or Shelf Holders, as applicable, to the extent such Requesting Holder has not withdrawn the Demand Notice, if applicable, the Company shall as promptly as reasonably practicable prepare and file a Registration Statement or post-effective amendment or supplement to the applicable Registration Statement or document, or file any other required document, as applicable, so that, as thereafter delivered to purchasers of the Registrable Securities included therein, the prospectus will not include a material misstatement or omission and will be effective and useable for the sale of Registrable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Effective Registration Statement</w:t>
      </w:r>
      <w:r>
        <w:rPr>
          <w:rFonts w:ascii="Arial" w:cs="Arial" w:eastAsia="Arial" w:hAnsi="Arial"/>
          <w:sz w:val="16"/>
          <w:szCs w:val="16"/>
          <w:color w:val="auto"/>
        </w:rPr>
        <w:t xml:space="preserve">. A registration requested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not be deemed to have been effected:</w:t>
      </w:r>
    </w:p>
    <w:p>
      <w:pPr>
        <w:spacing w:after="0" w:line="135" w:lineRule="exact"/>
        <w:rPr>
          <w:sz w:val="20"/>
          <w:szCs w:val="20"/>
          <w:color w:val="auto"/>
        </w:rPr>
      </w:pPr>
    </w:p>
    <w:p>
      <w:pPr>
        <w:ind w:right="40" w:firstLine="976"/>
        <w:spacing w:after="0" w:line="250" w:lineRule="auto"/>
        <w:tabs>
          <w:tab w:leader="none" w:pos="121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unless a registration statement with respect thereto has been declared effective by the Commission and remains effective in compliance with the provisions of the Securities Act and the laws of any U.S. state or other jurisdiction applicable to the disposition of Registrable Securities covered by such registration statement for not less than 180 days (or such shorter period as will terminate when all of such Registrable Securities shall have been disposed of in accordance with such registration statement) or, if such registration statement relates to an underwritten offering, such longer period as, in the opinion of counsel for the Company, a prospectus is required by law to be delivered in connection with sales of Registrable Securities by an underwriter or dealer;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273" w:right="539" w:bottom="1440" w:gutter="0" w:footer="0" w:header="0"/>
        </w:sectPr>
      </w:pPr>
    </w:p>
    <w:bookmarkStart w:id="319" w:name="page320"/>
    <w:bookmarkEnd w:id="319"/>
    <w:p>
      <w:pPr>
        <w:ind w:left="-40" w:right="120" w:firstLine="976"/>
        <w:spacing w:after="0" w:line="256" w:lineRule="auto"/>
        <w:tabs>
          <w:tab w:leader="none" w:pos="11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if, after it becomes effective, such registration is interfered with by any stop order, injunction or other order or requirement of the Commission or other governmental authority or court for any reason other than a violation of applicable law solely by any Selling Investor and has not thereafter become effective; or</w:t>
      </w:r>
    </w:p>
    <w:p>
      <w:pPr>
        <w:spacing w:after="0" w:line="82" w:lineRule="exact"/>
        <w:rPr>
          <w:rFonts w:ascii="Arial" w:cs="Arial" w:eastAsia="Arial" w:hAnsi="Arial"/>
          <w:sz w:val="18"/>
          <w:szCs w:val="18"/>
          <w:color w:val="auto"/>
        </w:rPr>
      </w:pPr>
    </w:p>
    <w:p>
      <w:pPr>
        <w:ind w:left="-40" w:firstLine="976"/>
        <w:spacing w:after="0" w:line="266" w:lineRule="auto"/>
        <w:tabs>
          <w:tab w:leader="none" w:pos="11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in the case of an Underwritten Offering, the conditions to closing specified in an underwriting agreement applicable to the Company are not satisfied or waived other than by reason of any breach or failure by any Selling Investor.</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Selection of Underwriters; Cutback</w:t>
      </w:r>
      <w:r>
        <w:rPr>
          <w:rFonts w:ascii="Arial" w:cs="Arial" w:eastAsia="Arial" w:hAnsi="Arial"/>
          <w:sz w:val="18"/>
          <w:szCs w:val="18"/>
          <w:color w:val="auto"/>
        </w:rPr>
        <w:t>.</w:t>
      </w:r>
    </w:p>
    <w:p>
      <w:pPr>
        <w:spacing w:after="0" w:line="112" w:lineRule="exact"/>
        <w:rPr>
          <w:sz w:val="20"/>
          <w:szCs w:val="20"/>
          <w:color w:val="auto"/>
        </w:rPr>
      </w:pPr>
    </w:p>
    <w:p>
      <w:pPr>
        <w:ind w:left="-40" w:right="100" w:firstLine="976"/>
        <w:spacing w:after="0" w:line="266" w:lineRule="auto"/>
        <w:tabs>
          <w:tab w:leader="none" w:pos="1177"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Selection of Underwriters</w:t>
      </w:r>
      <w:r>
        <w:rPr>
          <w:rFonts w:ascii="Arial" w:cs="Arial" w:eastAsia="Arial" w:hAnsi="Arial"/>
          <w:sz w:val="17"/>
          <w:szCs w:val="17"/>
          <w:color w:val="auto"/>
        </w:rPr>
        <w:t xml:space="preserve">. If a Requesting Holder intends to offer and sell the Registrable Securities covered by its request under this Article II by means of an Underwritten Offering, such Requesting Holder shall, in reasonable consultation with other participating Holders, select the managing underwriter or underwriters to administer such offering, which managing underwriter or underwriters shall be firms of nationally recognized standing and shall be reasonably acceptable to the Company. If an Investor Shelf Holder intends to offer and sell the Registrable Securities covered by its request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by means of an Underwritten Shelf Take-Down, the participating Investor Shelf Holders shall mutually select the managing underwriter or underwriters to administer such offering, which managing underwriter or underwriters shall be firms of nationally recognized standing and shall be reasonably acceptable to the Company. For the avoidance of doubt, nationally recognized investment banks shall be deemed reasonably acceptable for purposes of this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40" w:right="80" w:firstLine="976"/>
        <w:spacing w:after="0" w:line="286" w:lineRule="auto"/>
        <w:tabs>
          <w:tab w:leader="none" w:pos="1187"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Underwriter’s Cutback</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3.1</w:t>
      </w:r>
      <w:r>
        <w:rPr>
          <w:rFonts w:ascii="Arial" w:cs="Arial" w:eastAsia="Arial" w:hAnsi="Arial"/>
          <w:sz w:val="16"/>
          <w:szCs w:val="16"/>
          <w:color w:val="auto"/>
        </w:rPr>
        <w:t>, if the managing underwriter or underwriters of an Underwritten Offering in connection with a Demand Registration or a Shelf Registration advise the Company in their good faith opinion that the inclusion of all such Registrable Securities proposed to be included in the Registration Statement or such Underwritten Offering would be reasonably likely to interfere with the successful marketing, including, but not limited to, the pricing, timing or distribution, of the Registrable Securities to be offered thereby or in such Underwritten Offering, and no Holder has delivered a Piggyback Notice with respect to such Underwritten Offering, then the number of Shares proposed to be included in such Registration Statement or Underwritten Offering shall be allocated among the Company, the Selling Investors and all other Persons selling Shares in such Underwritten Offering in the following order:</w:t>
      </w:r>
    </w:p>
    <w:p>
      <w:pPr>
        <w:spacing w:after="0" w:line="60" w:lineRule="exact"/>
        <w:rPr>
          <w:rFonts w:ascii="Arial" w:cs="Arial" w:eastAsia="Arial" w:hAnsi="Arial"/>
          <w:sz w:val="16"/>
          <w:szCs w:val="16"/>
          <w:color w:val="auto"/>
        </w:rPr>
      </w:pPr>
    </w:p>
    <w:p>
      <w:pPr>
        <w:ind w:left="-40" w:right="100" w:firstLine="1410"/>
        <w:spacing w:after="0" w:line="250" w:lineRule="auto"/>
        <w:tabs>
          <w:tab w:leader="none" w:pos="1582" w:val="left"/>
        </w:tabs>
        <w:numPr>
          <w:ilvl w:val="1"/>
          <w:numId w:val="23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Registrable Securities of the class or classes proposed to be registered held by the Holder that initiated such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Shelf Registration or Underwritten Offering and the Registrable Securities of the same class or classes (or exercisable for or convertible into, at the Holder’s option, such class or classes) held by other Holders requested to be included in such Demand Registration, Shelf Registration or Underwritten Offering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Demand Registration, Shelf Registration or Underwritten Offering);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60"/>
          </w:cols>
          <w:pgMar w:left="560" w:top="273" w:right="579" w:bottom="1440" w:gutter="0" w:footer="0" w:header="0"/>
        </w:sectPr>
      </w:pPr>
    </w:p>
    <w:bookmarkStart w:id="320" w:name="page321"/>
    <w:bookmarkEnd w:id="320"/>
    <w:p>
      <w:pPr>
        <w:ind w:left="1" w:right="60" w:firstLine="1410"/>
        <w:spacing w:after="0" w:line="329" w:lineRule="auto"/>
        <w:tabs>
          <w:tab w:leader="none" w:pos="1672"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second, </w:t>
      </w:r>
      <w:r>
        <w:rPr>
          <w:rFonts w:ascii="Arial" w:cs="Arial" w:eastAsia="Arial" w:hAnsi="Arial"/>
          <w:sz w:val="16"/>
          <w:szCs w:val="16"/>
          <w:color w:val="auto"/>
        </w:rPr>
        <w:t>all other securities of the same class or classes (or convertible at the holder’s option into such class or classes) requested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included in such Demand Registration, Shelf Registration or Underwritten Offering other than Shares to be sold by the Company; and</w:t>
      </w:r>
    </w:p>
    <w:p>
      <w:pPr>
        <w:spacing w:after="0" w:line="27" w:lineRule="exact"/>
        <w:rPr>
          <w:rFonts w:ascii="Arial" w:cs="Arial" w:eastAsia="Arial" w:hAnsi="Arial"/>
          <w:sz w:val="16"/>
          <w:szCs w:val="16"/>
          <w:color w:val="auto"/>
        </w:rPr>
      </w:pPr>
    </w:p>
    <w:p>
      <w:pPr>
        <w:ind w:left="1721" w:hanging="310"/>
        <w:spacing w:after="0"/>
        <w:tabs>
          <w:tab w:leader="none" w:pos="1721"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Shares of the same class or classes to be sold by the Company.</w:t>
      </w:r>
    </w:p>
    <w:p>
      <w:pPr>
        <w:spacing w:after="0" w:line="218" w:lineRule="exact"/>
        <w:rPr>
          <w:sz w:val="20"/>
          <w:szCs w:val="20"/>
          <w:color w:val="auto"/>
        </w:rPr>
      </w:pPr>
    </w:p>
    <w:p>
      <w:pPr>
        <w:ind w:left="1" w:right="120"/>
        <w:spacing w:after="0" w:line="253" w:lineRule="auto"/>
        <w:rPr>
          <w:sz w:val="20"/>
          <w:szCs w:val="20"/>
          <w:color w:val="auto"/>
        </w:rPr>
      </w:pPr>
      <w:r>
        <w:rPr>
          <w:rFonts w:ascii="Arial" w:cs="Arial" w:eastAsia="Arial" w:hAnsi="Arial"/>
          <w:sz w:val="18"/>
          <w:szCs w:val="18"/>
          <w:color w:val="auto"/>
        </w:rPr>
        <w:t>No Registrable Securities excluded from the underwriting by reason of the underwriter’s marketing limitation shall be included in such registration or offering. If the underwriter has not limited the number of Registrable Securities to be underwritten, the Company may include securities for its own account (or for the account of any other Persons) in such registration if the underwriter so agrees and if the number of Registrable Securities would not thereby be limited.</w:t>
      </w:r>
    </w:p>
    <w:p>
      <w:pPr>
        <w:spacing w:after="0" w:line="191"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12" w:lineRule="exact"/>
        <w:rPr>
          <w:sz w:val="20"/>
          <w:szCs w:val="20"/>
          <w:color w:val="auto"/>
        </w:rPr>
      </w:pPr>
    </w:p>
    <w:p>
      <w:pPr>
        <w:ind w:left="1" w:firstLine="976"/>
        <w:spacing w:after="0" w:line="263" w:lineRule="auto"/>
        <w:tabs>
          <w:tab w:leader="none" w:pos="121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If requested by the managing underwriters in connection with any Underwritten Offering, each Holder (i) who beneficially owns 1% or more of the outstanding Shares or (ii) who is a natural person and serving as a director or executive officer of the Company shall agree to be bound by customary lock-up agreements providing that such Holder shall not, directly or indirectly, effect any Transfer (including sales pursuant to Rule 144) of any such Shares without prior written consent from the underwriters managing such Underwritten Offering during a period beginning on the date of launch of such Underwritten Offering and ending up to 90 days from and including the date of pricing or such shorter period as reasonably requested by the underwriters managing such Underwritten Offering (the “</w:t>
      </w:r>
      <w:r>
        <w:rPr>
          <w:rFonts w:ascii="Arial" w:cs="Arial" w:eastAsia="Arial" w:hAnsi="Arial"/>
          <w:sz w:val="17"/>
          <w:szCs w:val="17"/>
          <w:u w:val="single" w:color="auto"/>
          <w:color w:val="auto"/>
        </w:rPr>
        <w:t>Lock-Up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foregoing shall not apply to any Shares that are offered for sale as part of such Underwritten Offering, (B) such Lock-Up Period shall be no longer than and on substantially the same terms as the lock-up period applicable to the Company and the executive officers and directors of the Company, (C) this Section 2.6 shall not apply as to any Holder unless all Holders set forth in clauses (i) and (ii) above enter into agreements that are substantively similar in all material respects, and (D) such Lock-Up Period shall not commence unless the Company notifies the Holders in writing prior to the commencement of the Lock-Up Period. Each such Holder agrees to execute a customary lock-up agreement in favor of the underwriters to such effect. The provisions of this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will no longer apply to a Holder if (x) such Holder ceases to hold any Shares or (y) except in the case of any Holder who is a current director or executive officer of the Company, such Holder beneficially owns less than 1% of the outstanding Shares. In addition, any discretionary waiver or termination of the restrictions of any or all of such agreements by the Company or the underwriters in order to allow a Holder to participate in an offering contemplated by this Agreement shall apply pro rata to all Holders that are subject to such agreements, based on the number of Registrable Securities subject to such agreements.</w:t>
      </w:r>
    </w:p>
    <w:p>
      <w:pPr>
        <w:spacing w:after="0" w:line="82" w:lineRule="exact"/>
        <w:rPr>
          <w:rFonts w:ascii="Arial" w:cs="Arial" w:eastAsia="Arial" w:hAnsi="Arial"/>
          <w:sz w:val="17"/>
          <w:szCs w:val="17"/>
          <w:color w:val="auto"/>
        </w:rPr>
      </w:pPr>
    </w:p>
    <w:p>
      <w:pPr>
        <w:ind w:left="1" w:firstLine="976"/>
        <w:spacing w:after="0" w:line="282" w:lineRule="auto"/>
        <w:tabs>
          <w:tab w:leader="none" w:pos="1228"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Nothing in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shall prevent: (i) any Holder that is a partnership, limited liability company or corporation from (A) making a distribution of Shares to the partners, members or stockholders thereof or (B) Transferring Shares to an Affiliate of such Holder; (ii) any Holder who is an individual from Transferring Shares to (A) an individual by will or the laws of descent or distribution or by gift without consideration of any kind or</w:t>
      </w:r>
    </w:p>
    <w:p>
      <w:pPr>
        <w:ind w:left="281" w:hanging="281"/>
        <w:spacing w:after="0"/>
        <w:tabs>
          <w:tab w:leader="none" w:pos="28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trust or estate planning-related entity for the sole benefit of such Holder or a lineal descendant or antecedent or spouse; (iii) any Holder from</w:t>
      </w:r>
    </w:p>
    <w:p>
      <w:pPr>
        <w:spacing w:after="0" w:line="29" w:lineRule="exact"/>
        <w:rPr>
          <w:sz w:val="20"/>
          <w:szCs w:val="20"/>
          <w:color w:val="auto"/>
        </w:rPr>
      </w:pPr>
    </w:p>
    <w:p>
      <w:pPr>
        <w:ind w:left="281" w:hanging="281"/>
        <w:spacing w:after="0"/>
        <w:tabs>
          <w:tab w:leader="none" w:pos="28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pledging, hypothecating or otherwise granting a security interest in Shares or securities convertible into or exchangeable for Shares to one or more</w:t>
      </w:r>
    </w:p>
    <w:p>
      <w:pPr>
        <w:spacing w:after="0" w:line="163" w:lineRule="exact"/>
        <w:rPr>
          <w:rFonts w:ascii="Arial" w:cs="Arial" w:eastAsia="Arial" w:hAnsi="Arial"/>
          <w:sz w:val="16"/>
          <w:szCs w:val="16"/>
          <w:color w:val="auto"/>
        </w:rPr>
      </w:pPr>
    </w:p>
    <w:p>
      <w:pPr>
        <w:ind w:left="5341"/>
        <w:spacing w:after="0"/>
        <w:rPr>
          <w:rFonts w:ascii="Arial" w:cs="Arial" w:eastAsia="Arial" w:hAnsi="Arial"/>
          <w:sz w:val="16"/>
          <w:szCs w:val="16"/>
          <w:color w:val="auto"/>
        </w:rPr>
      </w:pPr>
      <w:r>
        <w:rPr>
          <w:rFonts w:ascii="Arial" w:cs="Arial" w:eastAsia="Arial" w:hAnsi="Arial"/>
          <w:sz w:val="18"/>
          <w:szCs w:val="18"/>
          <w:color w:val="auto"/>
        </w:rPr>
        <w:t>13</w:t>
      </w:r>
    </w:p>
    <w:p>
      <w:pPr>
        <w:sectPr>
          <w:pgSz w:w="11900" w:h="16838" w:orient="portrait"/>
          <w:cols w:equalWidth="0" w:num="1">
            <w:col w:w="10821"/>
          </w:cols>
          <w:pgMar w:left="519" w:top="273" w:right="559" w:bottom="1440" w:gutter="0" w:footer="0" w:header="0"/>
        </w:sectPr>
      </w:pPr>
    </w:p>
    <w:bookmarkStart w:id="321" w:name="page322"/>
    <w:bookmarkEnd w:id="32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lending institutions as collateral or security for any loan, advance or extension of credit and any transfer upon foreclosure upon such Shares or such securities or (B) Transferring Shares pursuant to a final non-appealable order of a court or regulatory agency; or (iv) any Holder from Transferring Shares in a manner that was permitted under, but subject to the conditions described in, the lock-ups entered into in connection with the Company’s initial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(i), (ii), (iii) and (iv), such Transfer is otherwise in compliance with applicable securities laws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clause (ii), subclause (B) of clause (i) and, if applicable, clause (iv), each such Transferee agrees in writing to become subject to the terms of this Agreement by executing an Adoption Agreement and agrees to be bound by the applicable underwriter lock-up.</w:t>
      </w:r>
    </w:p>
    <w:p>
      <w:pPr>
        <w:spacing w:after="0" w:line="169" w:lineRule="exact"/>
        <w:rPr>
          <w:sz w:val="20"/>
          <w:szCs w:val="20"/>
          <w:color w:val="auto"/>
        </w:rPr>
      </w:pPr>
    </w:p>
    <w:p>
      <w:pPr>
        <w:ind w:firstLine="434"/>
        <w:spacing w:after="0" w:line="263"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Participation in Underwritten Offering; Information by Holder</w:t>
      </w:r>
      <w:r>
        <w:rPr>
          <w:rFonts w:ascii="Arial" w:cs="Arial" w:eastAsia="Arial" w:hAnsi="Arial"/>
          <w:sz w:val="17"/>
          <w:szCs w:val="17"/>
          <w:color w:val="auto"/>
        </w:rPr>
        <w:t xml:space="preserve">. No Holder may participate in an Underwritten Offering hereunder unless such Holder (a) agrees to sell such Holder’s Shares on the basis provided in any underwriting arrangements, and in accordance with the terms and provisions of this Agreement, including any lock-up arrangements, and (b) completes and executes all questionnaires, indemnities, underwriting agreements and other documents required under the terms of such underwriting arrangements. In addition, the Holders shall furnish to the Company such information regarding such Holder or Holders and the distribution proposed by such Holders, as applicable, as the Company may reasonably request in writing and as shall be required in connection with any registration, qualification or compliance referred to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be construed to create any additional rights regarding the registration of Shares in any Person otherwise than as set forth herein. The Company will use its commercially reasonable efforts to ensure that no underwriter shall require any Holder to make any representations or warranties to or agreements with the Company or the underwriters other than representations, warranties or agreements regarding such Holder and such Holder’s intended method of distribution, any representation required by law and any other customary representations, warranties and agreements and if, despite the Company’s commercially reasonable efforts, an underwriter requires any Holder of to make additional representations or warranties to or agreements with such underwriter, such Holder may elect not to participate in such underwritten offering. Any liability of a Holder to any underwriter or other person pursuant to any applicable underwriting agreement shall be limited to liability arising from breach of its representations and warranties, shall be several, not joint and several, and shall be limited to the dollar amount of the net proceeds received by such Holder upon the sale of the Registrable Securities giving rise to liability.</w:t>
      </w:r>
    </w:p>
    <w:p>
      <w:pPr>
        <w:spacing w:after="0" w:line="191" w:lineRule="exact"/>
        <w:rPr>
          <w:sz w:val="20"/>
          <w:szCs w:val="20"/>
          <w:color w:val="auto"/>
        </w:rPr>
      </w:pPr>
    </w:p>
    <w:p>
      <w:pPr>
        <w:ind w:right="60" w:firstLine="434"/>
        <w:spacing w:after="0" w:line="284"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All expenses incident to the Company’s performance of or compliance with this Agreement, including without limitation (i) all registration and filing fees, and any other fees and expenses associated with filings required to be made with any stock exchange, the Commission and FINRA (including, if applicable, the fees and expenses of any “qualified independent underwriter” and its counsel as may be required by the rules and regulations of FINRA), (ii) all fees and expenses of compliance with state securities or blue sky laws (including fees and disbursements of counsel for the underwriters or Selling Investors in connection with blue sky qualifications of the Shares and determination of their eligibility for investment under the laws of such jurisdictions as the managing underwriters or the Demand Holders may designate), (iii) all printing and related messenger and delivery expenses (including expenses of printing certificates for the Shares in a form eligible for deposit with The Depository Trust Company and of printing prospectuses, all fees and disbursements of counsel for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520" w:top="273" w:right="539" w:bottom="1440" w:gutter="0" w:footer="0" w:header="0"/>
        </w:sectPr>
      </w:pPr>
    </w:p>
    <w:bookmarkStart w:id="322" w:name="page323"/>
    <w:bookmarkEnd w:id="322"/>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Company and of all independent certified public accountants of the Company and its Subsidiaries (including the expenses of any special audit and “cold comfort” letters required by or incident to such performance)), (iv) all fees and expenses incurred in connection with the listing of the Shares on any securities exchange and all rating agency fees, (v) all reasonable and documented out-of-pocket fees and disbursements of the Selling Investors’ Counsel, (vi) all fees and documented out-of-pocket disbursements of underwriters customarily paid by the issuer or sellers of securities, including liability insurance if the Company so desires or if the underwriters so require and expenses of any special experts retained in connection with the requested registration (excluding underwriting discounts and commissions and transfer taxes, if any, and fees and disbursements of counsel to underwriters (other than such fees and disbursements incurred in connection with any registration or qualification of Shares under the securities or blue sky laws of any state)), (vii) Securities Act liability insurance or similar insurance if the Company or the underwriters so require in accordance with then-customary underwriting practice, (viii) fees and expenses of other Persons retained by the Company, and the reasonable and documented fees and expenses of one legal counsel chosen by the Holders of a majority of the Registrable Securities included in such Demand Registration, Piggyback Registration or Shelf Registration, as applicable, and (ix) for any Demand Holder, any other reasonable expenses customarily paid by the issuers of securities, including reasonable and documented legal fees and expenses for such Demand Holder’s legal counsel if other than the legal counsel selected by the Holders in (viii) above, will be borne by the Company, regardless of whether the Registration Statement becomes effective (or such offering is completed) and whether or not all or any portion of the Registrable Securities originally requested to be included in such registration are ultimately included in such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any underwriting discounts, commissions or fees in connection with the sale of the Registrable Securities will be borne by the Holders pro rata on the basis of the number of Shares so registered and sold, (y) transfer taxes with respect to the sale of Registrable Securities will be borne by the Holder of such Registrable Securities and (z) the fees and expenses of any other counsel, accountants or other persons retained or employed by any Holder will be borne by such Holder.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PIGGYBACK REGISTRATION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2" w:lineRule="exact"/>
        <w:rPr>
          <w:sz w:val="20"/>
          <w:szCs w:val="20"/>
          <w:color w:val="auto"/>
        </w:rPr>
      </w:pPr>
    </w:p>
    <w:p>
      <w:pPr>
        <w:ind w:right="40" w:firstLine="976"/>
        <w:spacing w:after="0" w:line="284" w:lineRule="auto"/>
        <w:tabs>
          <w:tab w:leader="none" w:pos="121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If the Company at any time proposes for any reason to register the sale of a class or classes of Shares under the Securities Act (other than a registration on Form S-4 or Form S-8, or any successor of either such form, or a registration relating solely to the offer and sale to the Company’s directors or employees pursuant to any employee stock plan or other employee benefit plan or arrangement) whether or not Shares are to be sold by the Company or otherwise, and whether or not in connection with any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Shelf Registration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any other agreement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 Company shall give to each Holder holding Registrable Securities eligible to participate in such Piggyback Registration written notice of its intention to so register the Shares at least five (5) Business Days (or such shorter period as reasonably practical) prior to the expected date of filing of such Registration Statement or amendment thereto in which the Company first intends to identify the selling stockholders and the number of Registrable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520" w:top="273" w:right="539" w:bottom="1440" w:gutter="0" w:footer="0" w:header="0"/>
        </w:sectPr>
      </w:pPr>
    </w:p>
    <w:bookmarkStart w:id="323" w:name="page324"/>
    <w:bookmarkEnd w:id="32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to be sold (each such notice, an “</w:t>
      </w:r>
      <w:r>
        <w:rPr>
          <w:rFonts w:ascii="Arial" w:cs="Arial" w:eastAsia="Arial" w:hAnsi="Arial"/>
          <w:sz w:val="16"/>
          <w:szCs w:val="16"/>
          <w:u w:val="single" w:color="auto"/>
          <w:color w:val="auto"/>
        </w:rPr>
        <w:t>Initial Notice</w:t>
      </w:r>
      <w:r>
        <w:rPr>
          <w:rFonts w:ascii="Arial" w:cs="Arial" w:eastAsia="Arial" w:hAnsi="Arial"/>
          <w:sz w:val="16"/>
          <w:szCs w:val="16"/>
          <w:color w:val="auto"/>
        </w:rPr>
        <w:t xml:space="preserve">”). The Company shall, subject to the provisions of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below, include in such Piggyback Registration on the same terms and conditions as the securities otherwise being sold, all Registrable Securities of the same class or classes as the Shares proposed to be registered (or exercisable for or convertible into, at the Holder’s option, such class or classes) with respect to which the Company has received written requests from Holders for inclusion therein within the time period specified by the Company in the applicable Initial Notice, which time period shall be not less than five (5) Business Days after sending the applicable Initial Notice (each such written request, a “</w:t>
      </w:r>
      <w:r>
        <w:rPr>
          <w:rFonts w:ascii="Arial" w:cs="Arial" w:eastAsia="Arial" w:hAnsi="Arial"/>
          <w:sz w:val="16"/>
          <w:szCs w:val="16"/>
          <w:u w:val="single" w:color="auto"/>
          <w:color w:val="auto"/>
        </w:rPr>
        <w:t>Piggyback Notice</w:t>
      </w:r>
      <w:r>
        <w:rPr>
          <w:rFonts w:ascii="Arial" w:cs="Arial" w:eastAsia="Arial" w:hAnsi="Arial"/>
          <w:sz w:val="16"/>
          <w:szCs w:val="16"/>
          <w:color w:val="auto"/>
        </w:rPr>
        <w:t>”), which Piggyback Notice shall specify the number of Shares proposed to be included in the Piggyback Registration.</w:t>
      </w:r>
    </w:p>
    <w:p>
      <w:pPr>
        <w:spacing w:after="0" w:line="63" w:lineRule="exact"/>
        <w:rPr>
          <w:sz w:val="20"/>
          <w:szCs w:val="20"/>
          <w:color w:val="auto"/>
        </w:rPr>
      </w:pPr>
    </w:p>
    <w:p>
      <w:pPr>
        <w:ind w:right="280" w:firstLine="976"/>
        <w:spacing w:after="0" w:line="251" w:lineRule="auto"/>
        <w:tabs>
          <w:tab w:leader="none" w:pos="122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If a Holder does not deliver a Piggyback Notice within the period specified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such Holder shall be deemed to have irrevocably waived any and all rights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with respect to such registration (but not with respect to future registrations in accordance with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For the avoidance of doubt, no Piggyback Registration shall count towards the number of Demand Registrations that a Demand Holder is entitled to make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Underwritten Shelf Take-Downs that an Investor Shelf Holder is entitled to make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87" w:lineRule="exact"/>
        <w:rPr>
          <w:rFonts w:ascii="Arial" w:cs="Arial" w:eastAsia="Arial" w:hAnsi="Arial"/>
          <w:sz w:val="18"/>
          <w:szCs w:val="18"/>
          <w:color w:val="auto"/>
        </w:rPr>
      </w:pPr>
    </w:p>
    <w:p>
      <w:pPr>
        <w:jc w:val="both"/>
        <w:ind w:right="100" w:firstLine="976"/>
        <w:spacing w:after="0" w:line="253" w:lineRule="auto"/>
        <w:tabs>
          <w:tab w:leader="none" w:pos="121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No registration effected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relieve the Company of its obligation to effect any registration upon request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and no registration effected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deemed to have been effected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The Initial Notice, the Piggyback Notice and the contents thereof shall be kept confidential until the public filing of the Registration Statement.</w:t>
      </w:r>
    </w:p>
    <w:p>
      <w:pPr>
        <w:spacing w:after="0" w:line="85"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Underwriter’s Cutback</w:t>
      </w:r>
      <w:r>
        <w:rPr>
          <w:rFonts w:ascii="Arial" w:cs="Arial" w:eastAsia="Arial" w:hAnsi="Arial"/>
          <w:sz w:val="17"/>
          <w:szCs w:val="17"/>
          <w:color w:val="auto"/>
        </w:rPr>
        <w:t xml:space="preserve">. If the managing underwriter of an Underwritten Offering (including an offering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that includes a Piggyback Registration advises the Company that it is the managing underwriter’s good faith opinion that the inclusion of all such Registrable Securities proposed to be included in the Registration Statement for such Underwritten Offering would be reasonably likely to interfere with the successful marketing, including, but not limited to, the pricing, timing or distribution, of the Registrable Securities to be offered thereby, then the number of Shares proposed to be included in such Underwritten Offering shall be allocated among the Company, the Selling Investors and all other Persons selling Shares in such Underwritten Offering in the following order:</w:t>
      </w:r>
    </w:p>
    <w:p>
      <w:pPr>
        <w:spacing w:after="0" w:line="73" w:lineRule="exact"/>
        <w:rPr>
          <w:sz w:val="20"/>
          <w:szCs w:val="20"/>
          <w:color w:val="auto"/>
        </w:rPr>
      </w:pPr>
    </w:p>
    <w:p>
      <w:pPr>
        <w:ind w:right="220" w:firstLine="976"/>
        <w:spacing w:after="0" w:line="266" w:lineRule="auto"/>
        <w:tabs>
          <w:tab w:leader="none" w:pos="121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if the Piggyback Registration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is initiated as an underwritten primary registration on behalf of the Company, then, with respect to each class proposed to be registered:</w:t>
      </w:r>
    </w:p>
    <w:p>
      <w:pPr>
        <w:spacing w:after="0" w:line="73" w:lineRule="exact"/>
        <w:rPr>
          <w:rFonts w:ascii="Arial" w:cs="Arial" w:eastAsia="Arial" w:hAnsi="Arial"/>
          <w:sz w:val="18"/>
          <w:szCs w:val="18"/>
          <w:color w:val="auto"/>
        </w:rPr>
      </w:pPr>
    </w:p>
    <w:p>
      <w:pPr>
        <w:ind w:left="1620" w:hanging="210"/>
        <w:spacing w:after="0"/>
        <w:tabs>
          <w:tab w:leader="none" w:pos="1620" w:val="left"/>
        </w:tabs>
        <w:numPr>
          <w:ilvl w:val="1"/>
          <w:numId w:val="240"/>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the Shares held by the Company of the class or classes proposed to be registered that the Company proposes to sell, as</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100" w:lineRule="exact"/>
        <w:rPr>
          <w:rFonts w:ascii="Arial" w:cs="Arial" w:eastAsia="Arial" w:hAnsi="Arial"/>
          <w:sz w:val="16"/>
          <w:szCs w:val="16"/>
          <w:color w:val="auto"/>
        </w:rPr>
      </w:pPr>
    </w:p>
    <w:p>
      <w:pPr>
        <w:ind w:right="100" w:firstLine="1410"/>
        <w:spacing w:after="0" w:line="253" w:lineRule="auto"/>
        <w:tabs>
          <w:tab w:leader="none" w:pos="1671" w:val="left"/>
        </w:tabs>
        <w:numPr>
          <w:ilvl w:val="1"/>
          <w:numId w:val="240"/>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all Registrable Securities of the same class or classes (or exercisable for or convertible into, at the Holder’s option,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class or classes) held by Holders requested to be included in such Piggyback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Piggyback Registration);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520" w:top="274" w:right="539" w:bottom="1440" w:gutter="0" w:footer="0" w:header="0"/>
        </w:sectPr>
      </w:pPr>
    </w:p>
    <w:bookmarkStart w:id="324" w:name="page325"/>
    <w:bookmarkEnd w:id="324"/>
    <w:p>
      <w:pPr>
        <w:ind w:firstLine="1410"/>
        <w:spacing w:after="0" w:line="266" w:lineRule="auto"/>
        <w:tabs>
          <w:tab w:leader="none" w:pos="1720" w:val="left"/>
        </w:tabs>
        <w:numPr>
          <w:ilvl w:val="1"/>
          <w:numId w:val="2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third</w:t>
      </w:r>
      <w:r>
        <w:rPr>
          <w:rFonts w:ascii="Arial" w:cs="Arial" w:eastAsia="Arial" w:hAnsi="Arial"/>
          <w:sz w:val="18"/>
          <w:szCs w:val="18"/>
          <w:color w:val="auto"/>
        </w:rPr>
        <w:t>, all other securities of the same class or classes (or convertible at the holder’s option into such class or classes) requested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included in such Piggyback Registration.</w:t>
      </w:r>
    </w:p>
    <w:p>
      <w:pPr>
        <w:spacing w:after="0" w:line="73" w:lineRule="exact"/>
        <w:rPr>
          <w:rFonts w:ascii="Arial" w:cs="Arial" w:eastAsia="Arial" w:hAnsi="Arial"/>
          <w:sz w:val="18"/>
          <w:szCs w:val="18"/>
          <w:color w:val="auto"/>
        </w:rPr>
      </w:pPr>
    </w:p>
    <w:p>
      <w:pPr>
        <w:ind w:right="260" w:firstLine="976"/>
        <w:spacing w:after="0" w:line="266" w:lineRule="auto"/>
        <w:tabs>
          <w:tab w:leader="none" w:pos="122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if the Piggyback Registration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is an underwritten secondary registration on behalf of any Holder, then, with respect to each class proposed to be registered:</w:t>
      </w:r>
    </w:p>
    <w:p>
      <w:pPr>
        <w:spacing w:after="0" w:line="73" w:lineRule="exact"/>
        <w:rPr>
          <w:rFonts w:ascii="Arial" w:cs="Arial" w:eastAsia="Arial" w:hAnsi="Arial"/>
          <w:sz w:val="18"/>
          <w:szCs w:val="18"/>
          <w:color w:val="auto"/>
        </w:rPr>
      </w:pPr>
    </w:p>
    <w:p>
      <w:pPr>
        <w:ind w:firstLine="1410"/>
        <w:spacing w:after="0" w:line="348" w:lineRule="auto"/>
        <w:tabs>
          <w:tab w:leader="none" w:pos="1622" w:val="left"/>
        </w:tabs>
        <w:numPr>
          <w:ilvl w:val="1"/>
          <w:numId w:val="242"/>
        </w:numPr>
        <w:rPr>
          <w:rFonts w:ascii="Arial" w:cs="Arial" w:eastAsia="Arial" w:hAnsi="Arial"/>
          <w:sz w:val="14"/>
          <w:szCs w:val="14"/>
          <w:color w:val="auto"/>
        </w:rPr>
      </w:pPr>
      <w:r>
        <w:rPr>
          <w:rFonts w:ascii="Arial" w:cs="Arial" w:eastAsia="Arial" w:hAnsi="Arial"/>
          <w:sz w:val="14"/>
          <w:szCs w:val="14"/>
          <w:i w:val="1"/>
          <w:iCs w:val="1"/>
          <w:color w:val="auto"/>
        </w:rPr>
        <w:t>first</w:t>
      </w:r>
      <w:r>
        <w:rPr>
          <w:rFonts w:ascii="Arial" w:cs="Arial" w:eastAsia="Arial" w:hAnsi="Arial"/>
          <w:sz w:val="14"/>
          <w:szCs w:val="14"/>
          <w:color w:val="auto"/>
        </w:rPr>
        <w:t>, the Registrable Securities of the class or classes proposed to be registered held by such Holder and the Registrable Securities</w:t>
      </w:r>
      <w:r>
        <w:rPr>
          <w:rFonts w:ascii="Arial" w:cs="Arial" w:eastAsia="Arial" w:hAnsi="Arial"/>
          <w:sz w:val="14"/>
          <w:szCs w:val="14"/>
          <w:i w:val="1"/>
          <w:iCs w:val="1"/>
          <w:color w:val="auto"/>
        </w:rPr>
        <w:t xml:space="preserve"> </w:t>
      </w:r>
      <w:r>
        <w:rPr>
          <w:rFonts w:ascii="Arial" w:cs="Arial" w:eastAsia="Arial" w:hAnsi="Arial"/>
          <w:sz w:val="14"/>
          <w:szCs w:val="14"/>
          <w:color w:val="auto"/>
        </w:rPr>
        <w:t>of the same class or classes (or exercisable for or convertible into, at the Holder’s option, such class or classes) held by other Holders requested to be included in such Piggyback Registration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the respective Holders of such Registrable Securities in proportion, as nearly as practicable, to the amounts of Registrable Securities requested to be included in such registration by each such Holder at the time of such Piggyback Registration);</w:t>
      </w:r>
    </w:p>
    <w:p>
      <w:pPr>
        <w:spacing w:after="0" w:line="24" w:lineRule="exact"/>
        <w:rPr>
          <w:sz w:val="20"/>
          <w:szCs w:val="20"/>
          <w:color w:val="auto"/>
        </w:rPr>
      </w:pPr>
    </w:p>
    <w:p>
      <w:pPr>
        <w:ind w:right="80" w:firstLine="1410"/>
        <w:spacing w:after="0" w:line="266" w:lineRule="auto"/>
        <w:tabs>
          <w:tab w:leader="none" w:pos="1671" w:val="left"/>
        </w:tabs>
        <w:numPr>
          <w:ilvl w:val="1"/>
          <w:numId w:val="24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all other securities of the same class or classes (or convertible at the holder’s option into such class or classes)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included in such Piggyback Registration other than Shares to be sold by the Company; and</w:t>
      </w:r>
    </w:p>
    <w:p>
      <w:pPr>
        <w:spacing w:after="0" w:line="73" w:lineRule="exact"/>
        <w:rPr>
          <w:rFonts w:ascii="Arial" w:cs="Arial" w:eastAsia="Arial" w:hAnsi="Arial"/>
          <w:sz w:val="18"/>
          <w:szCs w:val="18"/>
          <w:color w:val="auto"/>
        </w:rPr>
      </w:pPr>
    </w:p>
    <w:p>
      <w:pPr>
        <w:ind w:left="1720" w:hanging="310"/>
        <w:spacing w:after="0"/>
        <w:tabs>
          <w:tab w:leader="none" w:pos="1720" w:val="left"/>
        </w:tabs>
        <w:numPr>
          <w:ilvl w:val="1"/>
          <w:numId w:val="243"/>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Shares of the same class or classes to be sold by the Company.</w:t>
      </w:r>
    </w:p>
    <w:p>
      <w:pPr>
        <w:spacing w:after="0" w:line="112" w:lineRule="exact"/>
        <w:rPr>
          <w:rFonts w:ascii="Arial" w:cs="Arial" w:eastAsia="Arial" w:hAnsi="Arial"/>
          <w:sz w:val="18"/>
          <w:szCs w:val="18"/>
          <w:color w:val="auto"/>
        </w:rPr>
      </w:pPr>
    </w:p>
    <w:p>
      <w:pPr>
        <w:ind w:right="200" w:firstLine="976"/>
        <w:spacing w:after="0" w:line="266" w:lineRule="auto"/>
        <w:tabs>
          <w:tab w:leader="none" w:pos="121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if the Piggyback Registration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is an underwritten secondary registration on behalf of any holder of Common Stock other than a Holder, then, with respect to each class proposed to be registered:</w:t>
      </w:r>
    </w:p>
    <w:p>
      <w:pPr>
        <w:spacing w:after="0" w:line="73" w:lineRule="exact"/>
        <w:rPr>
          <w:rFonts w:ascii="Arial" w:cs="Arial" w:eastAsia="Arial" w:hAnsi="Arial"/>
          <w:sz w:val="18"/>
          <w:szCs w:val="18"/>
          <w:color w:val="auto"/>
        </w:rPr>
      </w:pPr>
    </w:p>
    <w:p>
      <w:pPr>
        <w:ind w:left="1620" w:hanging="210"/>
        <w:spacing w:after="0"/>
        <w:tabs>
          <w:tab w:leader="none" w:pos="1620" w:val="left"/>
        </w:tabs>
        <w:numPr>
          <w:ilvl w:val="1"/>
          <w:numId w:val="24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securities of the class or classes proposed to be registered held by such holder;</w:t>
      </w:r>
    </w:p>
    <w:p>
      <w:pPr>
        <w:spacing w:after="0" w:line="112" w:lineRule="exact"/>
        <w:rPr>
          <w:rFonts w:ascii="Arial" w:cs="Arial" w:eastAsia="Arial" w:hAnsi="Arial"/>
          <w:sz w:val="18"/>
          <w:szCs w:val="18"/>
          <w:color w:val="auto"/>
        </w:rPr>
      </w:pPr>
    </w:p>
    <w:p>
      <w:pPr>
        <w:ind w:right="60" w:firstLine="1410"/>
        <w:spacing w:after="0" w:line="253" w:lineRule="auto"/>
        <w:tabs>
          <w:tab w:leader="none" w:pos="1671" w:val="left"/>
        </w:tabs>
        <w:numPr>
          <w:ilvl w:val="1"/>
          <w:numId w:val="24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the Registrable Securities of the same class or classes (or exercisable for or convertible into, at the Holder’s option,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class or classes) held by Holders requested to be included in such Piggyback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Piggyback Registration);</w:t>
      </w:r>
    </w:p>
    <w:p>
      <w:pPr>
        <w:spacing w:after="0" w:line="84" w:lineRule="exact"/>
        <w:rPr>
          <w:rFonts w:ascii="Arial" w:cs="Arial" w:eastAsia="Arial" w:hAnsi="Arial"/>
          <w:sz w:val="18"/>
          <w:szCs w:val="18"/>
          <w:color w:val="auto"/>
        </w:rPr>
      </w:pPr>
    </w:p>
    <w:p>
      <w:pPr>
        <w:ind w:firstLine="1410"/>
        <w:spacing w:after="0" w:line="266" w:lineRule="auto"/>
        <w:tabs>
          <w:tab w:leader="none" w:pos="1720" w:val="left"/>
        </w:tabs>
        <w:numPr>
          <w:ilvl w:val="1"/>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all other securities of the same class or classes (or convertible at the holder’s option into such class or classes) requested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included in such Piggyback Registration other than Shares to be sold by the Company; and</w:t>
      </w:r>
    </w:p>
    <w:p>
      <w:pPr>
        <w:spacing w:after="0" w:line="73" w:lineRule="exact"/>
        <w:rPr>
          <w:rFonts w:ascii="Arial" w:cs="Arial" w:eastAsia="Arial" w:hAnsi="Arial"/>
          <w:sz w:val="18"/>
          <w:szCs w:val="18"/>
          <w:color w:val="auto"/>
        </w:rPr>
      </w:pPr>
    </w:p>
    <w:p>
      <w:pPr>
        <w:ind w:left="1700" w:hanging="290"/>
        <w:spacing w:after="0"/>
        <w:tabs>
          <w:tab w:leader="none" w:pos="1700" w:val="left"/>
        </w:tabs>
        <w:numPr>
          <w:ilvl w:val="1"/>
          <w:numId w:val="244"/>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Shares of the same class or classes to be sold by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520" w:top="273" w:right="539" w:bottom="1440" w:gutter="0" w:footer="0" w:header="0"/>
        </w:sectPr>
      </w:pPr>
    </w:p>
    <w:bookmarkStart w:id="325" w:name="page326"/>
    <w:bookmarkEnd w:id="325"/>
    <w:p>
      <w:pPr>
        <w:ind w:left="1" w:right="180" w:firstLine="43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3.3 </w:t>
      </w:r>
      <w:r>
        <w:rPr>
          <w:rFonts w:ascii="Arial" w:cs="Arial" w:eastAsia="Arial" w:hAnsi="Arial"/>
          <w:sz w:val="17"/>
          <w:szCs w:val="17"/>
          <w:u w:val="single" w:color="auto"/>
          <w:color w:val="auto"/>
        </w:rPr>
        <w:t>Company Control</w:t>
      </w:r>
      <w:r>
        <w:rPr>
          <w:rFonts w:ascii="Arial" w:cs="Arial" w:eastAsia="Arial" w:hAnsi="Arial"/>
          <w:sz w:val="17"/>
          <w:szCs w:val="17"/>
          <w:color w:val="auto"/>
        </w:rPr>
        <w:t xml:space="preserve">. Except for a Registration Statement being filed in connection with the exercise of a Demand Right or a Shelf Registration, the Company may decline to file a Registration Statement after an Initial Notice has been given or after receipt by the Company of a Piggyback Notice, and the Company may withdraw a Registration Statement after filing and after such Initial Notice or Piggyback Notice, but prior to the effectiveness of the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Company shall promptly notify the Selling Investors in writing of any such action and (ii) nothing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prejudice the right of any Demand Holder to immediately request that such registration be effected as a registration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to the extent permitted thereunder.</w:t>
      </w:r>
    </w:p>
    <w:p>
      <w:pPr>
        <w:spacing w:after="0" w:line="179" w:lineRule="exact"/>
        <w:rPr>
          <w:sz w:val="20"/>
          <w:szCs w:val="20"/>
          <w:color w:val="auto"/>
        </w:rPr>
      </w:pPr>
    </w:p>
    <w:p>
      <w:pPr>
        <w:ind w:left="1" w:right="300" w:firstLine="434"/>
        <w:spacing w:after="0" w:line="278"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Selection of Underwriters</w:t>
      </w:r>
      <w:r>
        <w:rPr>
          <w:rFonts w:ascii="Arial" w:cs="Arial" w:eastAsia="Arial" w:hAnsi="Arial"/>
          <w:sz w:val="17"/>
          <w:szCs w:val="17"/>
          <w:color w:val="auto"/>
        </w:rPr>
        <w:t xml:space="preserve">. If the Company intends to offer and sell Shares by means of an Underwritten Offering (other than an offering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the Company shall select the managing underwriter or underwriters to administer such Underwritten Offering, which managing underwriter or underwriters shall be firms of nationally recognized standing.</w:t>
      </w:r>
    </w:p>
    <w:p>
      <w:pPr>
        <w:spacing w:after="0" w:line="172" w:lineRule="exact"/>
        <w:rPr>
          <w:sz w:val="20"/>
          <w:szCs w:val="20"/>
          <w:color w:val="auto"/>
        </w:rPr>
      </w:pPr>
    </w:p>
    <w:p>
      <w:pPr>
        <w:ind w:left="1" w:right="100" w:firstLine="434"/>
        <w:spacing w:after="0" w:line="284"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Withdrawal of Registration</w:t>
      </w:r>
      <w:r>
        <w:rPr>
          <w:rFonts w:ascii="Arial" w:cs="Arial" w:eastAsia="Arial" w:hAnsi="Arial"/>
          <w:sz w:val="16"/>
          <w:szCs w:val="16"/>
          <w:color w:val="auto"/>
        </w:rPr>
        <w:t>. Any Holder shall have the right to withdraw all or a part of its Piggyback Notice by giving written notice to the Company of such withdrawal at least five (5) Business Days prior to the earliest of (i) effectiveness of the applicable Registration Statement,</w:t>
      </w:r>
    </w:p>
    <w:p>
      <w:pPr>
        <w:spacing w:after="0" w:line="1" w:lineRule="exact"/>
        <w:rPr>
          <w:sz w:val="20"/>
          <w:szCs w:val="20"/>
          <w:color w:val="auto"/>
        </w:rPr>
      </w:pPr>
    </w:p>
    <w:p>
      <w:pPr>
        <w:ind w:left="1" w:right="320" w:hanging="1"/>
        <w:spacing w:after="0" w:line="253" w:lineRule="auto"/>
        <w:tabs>
          <w:tab w:leader="none" w:pos="26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filing of any Registration Statement relating to such Piggyback Registration that includes a price range or (iii) commencement of a roadshow relating to the Registration Statement for such Piggyback Registration.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PROCEDURES</w:t>
      </w:r>
    </w:p>
    <w:p>
      <w:pPr>
        <w:spacing w:after="0" w:line="224" w:lineRule="exact"/>
        <w:rPr>
          <w:sz w:val="20"/>
          <w:szCs w:val="20"/>
          <w:color w:val="auto"/>
        </w:rPr>
      </w:pPr>
    </w:p>
    <w:p>
      <w:pPr>
        <w:ind w:left="1" w:right="180" w:firstLine="434"/>
        <w:spacing w:after="0" w:line="29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Registration Procedures</w:t>
      </w:r>
      <w:r>
        <w:rPr>
          <w:rFonts w:ascii="Arial" w:cs="Arial" w:eastAsia="Arial" w:hAnsi="Arial"/>
          <w:sz w:val="17"/>
          <w:szCs w:val="17"/>
          <w:color w:val="auto"/>
        </w:rPr>
        <w:t>. If and whenever the Company is under an obligation pursuant to the provisions of this Agreement to use its reasonable best efforts to effect the registration of any Registrable Securities, the Company shall, as expeditiously as practicable:</w:t>
      </w:r>
    </w:p>
    <w:p>
      <w:pPr>
        <w:spacing w:after="0" w:line="50" w:lineRule="exact"/>
        <w:rPr>
          <w:sz w:val="20"/>
          <w:szCs w:val="20"/>
          <w:color w:val="auto"/>
        </w:rPr>
      </w:pPr>
    </w:p>
    <w:p>
      <w:pPr>
        <w:ind w:left="1" w:firstLine="976"/>
        <w:spacing w:after="0" w:line="282" w:lineRule="auto"/>
        <w:tabs>
          <w:tab w:leader="none" w:pos="121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in the case of Registrable Securities, use its reasonable best efforts to cause a Registration Statement that registers such Registrable Securities to become and remain effective for a period of 180 days or, if earlier, until all of such Registrable Securities covered thereby have been disposed 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registration of Registrable Securities on a Shelf Registration Statement which are intended to be offered on a continuous or delayed basis, such 180-day period shall be extended, if necessary, to keep the registration statement continuously effective, supplemented and amended to the extent necessary to ensure that it is available for sales of such Registrable Securities, and to ensure that it conforms with the requirements of this Agreement, the Securities Act and the policies, rules and regulations of the Commission as announced from time to time, until the earlier of when (i) the Holders have sold all of such Registrable Securities, (ii) all of such Registrable Securities have become eligible for immediate sale pursuant to Rule 144 under the Securities Act by the Holder thereof without restriction by the manner of sale, volume and other limitations under such rule and (iii) in the case of an Automatic Shelf Registration Statement, such Automatic Shelf Registration Statement has been effective for three years (provided that the Company’s obligations under this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shall be renewed with respect to such Registrable Securities upon the filing of a new Automatic Shelf Registration Statement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1"/>
          </w:cols>
          <w:pgMar w:left="519" w:top="273" w:right="539" w:bottom="1440" w:gutter="0" w:footer="0" w:header="0"/>
        </w:sectPr>
      </w:pPr>
    </w:p>
    <w:bookmarkStart w:id="326" w:name="page327"/>
    <w:bookmarkEnd w:id="326"/>
    <w:p>
      <w:pPr>
        <w:ind w:left="-60" w:right="40" w:firstLine="976"/>
        <w:spacing w:after="0" w:line="266" w:lineRule="auto"/>
        <w:tabs>
          <w:tab w:leader="none" w:pos="1167"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furnish to each Selling Investor, at least five (5) Business Days before filing a Registration Statement, or such shorter period as reasonably practical, copies of such Registration Statement or any amendments or supplements thereto, which documents shall be subject to the review, comment and approval by one lead counsel (and any reasonably necessary local counsel) selected by the Holders who beneficially own a majority of such Registrable Securities, which counsel (who may also be counsel to the Company), in each case, shall be subject to the reasonable approval of each Demand Holder whose Registrable Securities are included in such registration, and who shall represent all Selling Investors as a group (the “</w:t>
      </w:r>
      <w:r>
        <w:rPr>
          <w:rFonts w:ascii="Arial" w:cs="Arial" w:eastAsia="Arial" w:hAnsi="Arial"/>
          <w:sz w:val="17"/>
          <w:szCs w:val="17"/>
          <w:u w:val="single" w:color="auto"/>
          <w:color w:val="auto"/>
        </w:rPr>
        <w:t>Selling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 Counsel</w:t>
      </w:r>
      <w:r>
        <w:rPr>
          <w:rFonts w:ascii="Arial" w:cs="Arial" w:eastAsia="Arial" w:hAnsi="Arial"/>
          <w:sz w:val="17"/>
          <w:szCs w:val="17"/>
          <w:color w:val="auto"/>
        </w:rPr>
        <w:t>”) (it being understood that such five (5) Business Day period need not apply to successive drafts of the same document proposed to be filed so long as such successive drafts are supplied to the Selling Investors’ Counsel in advance of the proposed filing by a period of time that is customary and reasonable under the circumstances);</w:t>
      </w:r>
    </w:p>
    <w:p>
      <w:pPr>
        <w:spacing w:after="0" w:line="75" w:lineRule="exact"/>
        <w:rPr>
          <w:rFonts w:ascii="Arial" w:cs="Arial" w:eastAsia="Arial" w:hAnsi="Arial"/>
          <w:sz w:val="17"/>
          <w:szCs w:val="17"/>
          <w:color w:val="auto"/>
        </w:rPr>
      </w:pPr>
    </w:p>
    <w:p>
      <w:pPr>
        <w:ind w:left="-60" w:firstLine="976"/>
        <w:spacing w:after="0" w:line="256" w:lineRule="auto"/>
        <w:tabs>
          <w:tab w:leader="none" w:pos="115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furnish to each Selling Investor and each underwriter, if any, such number of copies of final conformed versions of the applicable registration statement and of each amendment and supplement thereto (in each case including all exhibits and any documents incorporated by reference) reasonably requested by such Selling Investor or underwriter in writing;</w:t>
      </w:r>
    </w:p>
    <w:p>
      <w:pPr>
        <w:spacing w:after="0" w:line="82" w:lineRule="exact"/>
        <w:rPr>
          <w:rFonts w:ascii="Arial" w:cs="Arial" w:eastAsia="Arial" w:hAnsi="Arial"/>
          <w:sz w:val="18"/>
          <w:szCs w:val="18"/>
          <w:color w:val="auto"/>
        </w:rPr>
      </w:pPr>
    </w:p>
    <w:p>
      <w:pPr>
        <w:ind w:left="-60" w:right="60" w:firstLine="976"/>
        <w:spacing w:after="0" w:line="264" w:lineRule="auto"/>
        <w:tabs>
          <w:tab w:leader="none" w:pos="116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in the case of Registrable Securities, prepare and file with the Commission such amendments, including post-effective amendments, and supplements to such Registration Statement and the applicable prospectus or prospectus supplement, including any free writing prospectus as defined in Rule 405 under the Securities Act, used in connection therewith as may be (i) reasonably requested by any Holder (to the extent such request relates to information relating to such Holder), or (ii) necessary to keep such Registration Statement effective for at least the period specified in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and to comply with the provisions of this Agreement and the Securities Act with respect to the sale or other disposition of such Registrable Securities, and furnish to each Selling Investor and to the managing underwriter(s), if any, within a reasonable period of time prior to the filing thereof a copy of any amendment or supplement to such registration statement or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each free writing prospectus or other materials to be delivered to purchasers at the time of sale of the Registrable Securities, the Company shall (i) ensure that no Registrable Securities are sold “by means of” (as defined in Rule 159A(b) under the Securities Act) such free writing prospectus or other materials without the prior written consent of the sellers of the Registrable Securities, which free writing prospectus or other materials shall be subject to the review of counsel to such sellers and (ii) make all required filings of all free writing prospectuses or other materials with the Commission as are required;</w:t>
      </w:r>
    </w:p>
    <w:p>
      <w:pPr>
        <w:spacing w:after="0" w:line="78" w:lineRule="exact"/>
        <w:rPr>
          <w:rFonts w:ascii="Arial" w:cs="Arial" w:eastAsia="Arial" w:hAnsi="Arial"/>
          <w:sz w:val="17"/>
          <w:szCs w:val="17"/>
          <w:color w:val="auto"/>
        </w:rPr>
      </w:pPr>
    </w:p>
    <w:p>
      <w:pPr>
        <w:ind w:left="-60" w:right="80" w:firstLine="976"/>
        <w:spacing w:after="0" w:line="251" w:lineRule="auto"/>
        <w:tabs>
          <w:tab w:leader="none" w:pos="115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notify in writing each Holder promptly (i) of the receipt by the Company of any notification with respect to any comments by the Commission with respect to such Registration Statement or any amendment or supplement thereto or any request by the Commission for the amending or supplementing thereof or for additional information with respect thereto, (ii) of the receipt by the Company of any notification with respect to the issuance by the Commission of any stop order suspending the effectiveness of such Registration Statement or any amendment or supplement thereto or the initiation or threatening of any proceeding for that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580" w:top="273" w:right="579" w:bottom="1440" w:gutter="0" w:footer="0" w:header="0"/>
        </w:sectPr>
      </w:pPr>
    </w:p>
    <w:bookmarkStart w:id="327" w:name="page328"/>
    <w:bookmarkEnd w:id="327"/>
    <w:p>
      <w:pPr>
        <w:jc w:val="both"/>
        <w:ind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purpose and (iii) of the receipt by the Company of any notification with respect to the suspension of the qualification of such Registrable Securities for sale in any jurisdiction or the initiation or threatening of any proceeding for such purposes and, in any such case as promptly as reasonably practicable thereafter, prepare and file an amendment or supplement to such registration statement or prospectus which will correct such statement or omission or effect such compliance;</w:t>
      </w:r>
    </w:p>
    <w:p>
      <w:pPr>
        <w:spacing w:after="0" w:line="85" w:lineRule="exact"/>
        <w:rPr>
          <w:sz w:val="20"/>
          <w:szCs w:val="20"/>
          <w:color w:val="auto"/>
        </w:rPr>
      </w:pPr>
    </w:p>
    <w:p>
      <w:pPr>
        <w:ind w:right="140" w:firstLine="976"/>
        <w:spacing w:after="0" w:line="251" w:lineRule="auto"/>
        <w:tabs>
          <w:tab w:leader="none" w:pos="119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register or qualify such Registrable Securities under such other securities or blue sky laws of such jurisdictions as the Holders reasonably request and do any and all other acts and things which may be reasonably necessary or advisable to enable such Holders to consummate their disposition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will not be required to qualify generally to do business, subject itself to general taxation or consent to general service of process in any jurisdiction where it would not otherwise be required to do so but for this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87" w:lineRule="exact"/>
        <w:rPr>
          <w:rFonts w:ascii="Arial" w:cs="Arial" w:eastAsia="Arial" w:hAnsi="Arial"/>
          <w:sz w:val="18"/>
          <w:szCs w:val="18"/>
          <w:color w:val="auto"/>
        </w:rPr>
      </w:pPr>
    </w:p>
    <w:p>
      <w:pPr>
        <w:ind w:right="160" w:firstLine="976"/>
        <w:spacing w:after="0" w:line="256" w:lineRule="auto"/>
        <w:tabs>
          <w:tab w:leader="none" w:pos="122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furnish to each Selling Investor such number of copies of a summary prospectus or other prospectus, including a preliminary prospectus and any other prospectus filed under Rule 424 under the Securities Act, in conformity with the requirements of the Securities Act, and such other documents as such Selling Investors or any underwriter may reasonably request in writing;</w:t>
      </w:r>
    </w:p>
    <w:p>
      <w:pPr>
        <w:spacing w:after="0" w:line="82" w:lineRule="exact"/>
        <w:rPr>
          <w:rFonts w:ascii="Arial" w:cs="Arial" w:eastAsia="Arial" w:hAnsi="Arial"/>
          <w:sz w:val="18"/>
          <w:szCs w:val="18"/>
          <w:color w:val="auto"/>
        </w:rPr>
      </w:pPr>
    </w:p>
    <w:p>
      <w:pPr>
        <w:ind w:right="40" w:firstLine="976"/>
        <w:spacing w:after="0" w:line="249" w:lineRule="auto"/>
        <w:tabs>
          <w:tab w:leader="none" w:pos="122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notify on a timely basis each Holder of such Registrable Securities at any time when a prospectus relating to such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and, at the request of such Holder, as soon as practicable prepare and furnish to such Holder a reasonable number of copies of a supplement to or an amendment of such prospectus as may be necessary so that, as thereafter delivered to the offeree of such securities,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90" w:lineRule="exact"/>
        <w:rPr>
          <w:rFonts w:ascii="Arial" w:cs="Arial" w:eastAsia="Arial" w:hAnsi="Arial"/>
          <w:sz w:val="18"/>
          <w:szCs w:val="18"/>
          <w:color w:val="auto"/>
        </w:rPr>
      </w:pPr>
    </w:p>
    <w:p>
      <w:pPr>
        <w:ind w:firstLine="976"/>
        <w:spacing w:after="0" w:line="283" w:lineRule="auto"/>
        <w:tabs>
          <w:tab w:leader="none" w:pos="118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make available for inspection by the Selling Investors, the Selling Investors’ Counsel or any underwriter participating in any disposition pursuant to such Registration Statement and any attorney, accountant or other agent retained by any such Selling Investor or underwriter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pertinent financial and other records, pertinent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necessary to enable them to exercise their due diligence responsibility, and cause the Company’s officers, directors and employees to supply all information (together with the Records, the “</w:t>
      </w:r>
      <w:r>
        <w:rPr>
          <w:rFonts w:ascii="Arial" w:cs="Arial" w:eastAsia="Arial" w:hAnsi="Arial"/>
          <w:sz w:val="16"/>
          <w:szCs w:val="16"/>
          <w:u w:val="single" w:color="auto"/>
          <w:color w:val="auto"/>
        </w:rPr>
        <w:t>Information</w:t>
      </w:r>
      <w:r>
        <w:rPr>
          <w:rFonts w:ascii="Arial" w:cs="Arial" w:eastAsia="Arial" w:hAnsi="Arial"/>
          <w:sz w:val="16"/>
          <w:szCs w:val="16"/>
          <w:color w:val="auto"/>
        </w:rPr>
        <w:t>”) requested by any such Inspector in connection with such Registration Statement and request that the independent public accountants who have certified the Company’s financial statements make themselves available, at reasonable times and for reasonable periods, to discuss the business of the Company. Any of the Information which the Company determines in good faith to be confidential, and of which determination the Inspectors are so notified, shall not be disclosed by the Inspectors unless (i) the disclosure of such Information is necessary to avoid or correct a misstatement or omission in the Registration Statement, (ii) the release of such Information is requested or required pursuant to a subpoena, order from a court of competent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40"/>
          </w:cols>
          <w:pgMar w:left="520" w:top="273" w:right="539" w:bottom="1440" w:gutter="0" w:footer="0" w:header="0"/>
        </w:sectPr>
      </w:pPr>
    </w:p>
    <w:bookmarkStart w:id="328" w:name="page329"/>
    <w:bookmarkEnd w:id="328"/>
    <w:p>
      <w:pPr>
        <w:ind w:left="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jurisdiction or other interrogatory by a governmental entity or similar process; (iii) such Information has been made generally available to the public; or</w:t>
      </w:r>
    </w:p>
    <w:p>
      <w:pPr>
        <w:spacing w:after="0" w:line="40" w:lineRule="exact"/>
        <w:rPr>
          <w:sz w:val="20"/>
          <w:szCs w:val="20"/>
          <w:color w:val="auto"/>
        </w:rPr>
      </w:pPr>
    </w:p>
    <w:p>
      <w:pPr>
        <w:ind w:left="1" w:right="40" w:hanging="1"/>
        <w:spacing w:after="0" w:line="268" w:lineRule="auto"/>
        <w:tabs>
          <w:tab w:leader="none" w:pos="30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such information is or becomes available to such Inspector on a non-confidential basis other than through the breach of an obligation of confidentiality (contractual or otherwise). The Holder(s) of Registrable Securities agree that they will, upon learning that disclosure of such Information is sought in a court of competent jurisdiction or by another governmental entity, give notice to the Company and allow the Company, at the Company’s expense, to undertake appropriate action to prevent disclosure of the Information deemed confidential;</w:t>
      </w:r>
    </w:p>
    <w:p>
      <w:pPr>
        <w:spacing w:after="0" w:line="73" w:lineRule="exact"/>
        <w:rPr>
          <w:rFonts w:ascii="Arial" w:cs="Arial" w:eastAsia="Arial" w:hAnsi="Arial"/>
          <w:sz w:val="17"/>
          <w:szCs w:val="17"/>
          <w:color w:val="auto"/>
        </w:rPr>
      </w:pPr>
    </w:p>
    <w:p>
      <w:pPr>
        <w:ind w:left="1" w:right="20" w:firstLine="976"/>
        <w:spacing w:after="0" w:line="329" w:lineRule="auto"/>
        <w:tabs>
          <w:tab w:leader="none" w:pos="1189" w:val="left"/>
        </w:tabs>
        <w:numPr>
          <w:ilvl w:val="1"/>
          <w:numId w:val="249"/>
        </w:numPr>
        <w:rPr>
          <w:rFonts w:ascii="Arial" w:cs="Arial" w:eastAsia="Arial" w:hAnsi="Arial"/>
          <w:sz w:val="16"/>
          <w:szCs w:val="16"/>
          <w:color w:val="auto"/>
        </w:rPr>
      </w:pPr>
      <w:r>
        <w:rPr>
          <w:rFonts w:ascii="Arial" w:cs="Arial" w:eastAsia="Arial" w:hAnsi="Arial"/>
          <w:sz w:val="16"/>
          <w:szCs w:val="16"/>
          <w:color w:val="auto"/>
        </w:rPr>
        <w:t>in the case of an Underwritten Offering, deliver to the underwriters of such Underwritten Offering a “comfort” letter in customary form and at customary times and covering matters of the type customarily covered by such comfort letters from its independent certified public accountants;</w:t>
      </w:r>
    </w:p>
    <w:p>
      <w:pPr>
        <w:spacing w:after="0" w:line="27" w:lineRule="exact"/>
        <w:rPr>
          <w:rFonts w:ascii="Arial" w:cs="Arial" w:eastAsia="Arial" w:hAnsi="Arial"/>
          <w:sz w:val="16"/>
          <w:szCs w:val="16"/>
          <w:color w:val="auto"/>
        </w:rPr>
      </w:pPr>
    </w:p>
    <w:p>
      <w:pPr>
        <w:ind w:left="1" w:firstLine="976"/>
        <w:spacing w:after="0" w:line="296" w:lineRule="auto"/>
        <w:tabs>
          <w:tab w:leader="none" w:pos="1228"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in the case of an Underwritten Offering, deliver to the underwriters of such Underwritten Offering a written and signed legal opinion or opinions in customary form from its outside or in-house legal counsel dated the closing date of the Underwritten Offering;</w:t>
      </w:r>
    </w:p>
    <w:p>
      <w:pPr>
        <w:spacing w:after="0" w:line="49" w:lineRule="exact"/>
        <w:rPr>
          <w:rFonts w:ascii="Arial" w:cs="Arial" w:eastAsia="Arial" w:hAnsi="Arial"/>
          <w:sz w:val="17"/>
          <w:szCs w:val="17"/>
          <w:color w:val="auto"/>
        </w:rPr>
      </w:pPr>
    </w:p>
    <w:p>
      <w:pPr>
        <w:jc w:val="both"/>
        <w:ind w:left="1" w:right="200" w:firstLine="976"/>
        <w:spacing w:after="0" w:line="256" w:lineRule="auto"/>
        <w:tabs>
          <w:tab w:leader="none" w:pos="118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the same entity and which may be the Company) for such Registrable Securities and deliver to such transfer agent and registrar such customary forms, legal opinions from its outside or in-house legal counsel, agreements and other documentation as such transfer agent and/or registrar so request;</w:t>
      </w:r>
    </w:p>
    <w:p>
      <w:pPr>
        <w:spacing w:after="0" w:line="82" w:lineRule="exact"/>
        <w:rPr>
          <w:rFonts w:ascii="Arial" w:cs="Arial" w:eastAsia="Arial" w:hAnsi="Arial"/>
          <w:sz w:val="18"/>
          <w:szCs w:val="18"/>
          <w:color w:val="auto"/>
        </w:rPr>
      </w:pPr>
    </w:p>
    <w:p>
      <w:pPr>
        <w:ind w:left="1" w:right="220" w:firstLine="976"/>
        <w:spacing w:after="0" w:line="266" w:lineRule="auto"/>
        <w:tabs>
          <w:tab w:leader="none" w:pos="127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issue to any underwriter to which any Selling Investors may sell Registrable Securities in such offering certificates evidencing such Registrable Securities;</w:t>
      </w:r>
    </w:p>
    <w:p>
      <w:pPr>
        <w:spacing w:after="0" w:line="73" w:lineRule="exact"/>
        <w:rPr>
          <w:rFonts w:ascii="Arial" w:cs="Arial" w:eastAsia="Arial" w:hAnsi="Arial"/>
          <w:sz w:val="18"/>
          <w:szCs w:val="18"/>
          <w:color w:val="auto"/>
        </w:rPr>
      </w:pPr>
    </w:p>
    <w:p>
      <w:pPr>
        <w:ind w:left="1" w:right="340" w:firstLine="976"/>
        <w:spacing w:after="0" w:line="253" w:lineRule="auto"/>
        <w:tabs>
          <w:tab w:leader="none" w:pos="122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upon the request of any Holder of the Registrable Securities included in such registration, use reasonable best efforts to cause such Registrable Securities to be listed on any national securities exchange on which any Shares are listed or, if the Shares are not listed on a national securities exchange, use its reasonable best efforts to qualify such Registrable Securities for inclusion on such national securities exchange as the Company shall designate;</w:t>
      </w:r>
    </w:p>
    <w:p>
      <w:pPr>
        <w:spacing w:after="0" w:line="84" w:lineRule="exact"/>
        <w:rPr>
          <w:rFonts w:ascii="Arial" w:cs="Arial" w:eastAsia="Arial" w:hAnsi="Arial"/>
          <w:sz w:val="18"/>
          <w:szCs w:val="18"/>
          <w:color w:val="auto"/>
        </w:rPr>
      </w:pPr>
    </w:p>
    <w:p>
      <w:pPr>
        <w:ind w:left="1" w:right="20" w:firstLine="976"/>
        <w:spacing w:after="0" w:line="253" w:lineRule="auto"/>
        <w:tabs>
          <w:tab w:leader="none" w:pos="122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otherwise use its reasonable best efforts to comply with all applicable rules and regulations of the Commission and make available to its security holders, as soon as reasonably practicable, earnings statements (which need not be audited) covering a period of 12 months beginning within three months after the effective date of the Registration Statement, which earnings statements shall satisfy the provisions of Section 11(a) of the Securities Act;</w:t>
      </w:r>
    </w:p>
    <w:p>
      <w:pPr>
        <w:spacing w:after="0" w:line="84" w:lineRule="exact"/>
        <w:rPr>
          <w:rFonts w:ascii="Arial" w:cs="Arial" w:eastAsia="Arial" w:hAnsi="Arial"/>
          <w:sz w:val="18"/>
          <w:szCs w:val="18"/>
          <w:color w:val="auto"/>
        </w:rPr>
      </w:pPr>
    </w:p>
    <w:p>
      <w:pPr>
        <w:jc w:val="both"/>
        <w:ind w:left="1" w:right="220" w:firstLine="976"/>
        <w:spacing w:after="0" w:line="303" w:lineRule="auto"/>
        <w:tabs>
          <w:tab w:leader="none" w:pos="122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notify the Holders and the lead underwriter or underwriters, if any, and (if requested) confirm such advice in writing, as promptly as reasonably practicable after notice thereof is received by the Company when the applicable registration statement or any amendment thereto has been filed or becomes effective and when the applicable prospectus or any amendment or supplement thereto has been filed;</w:t>
      </w:r>
    </w:p>
    <w:p>
      <w:pPr>
        <w:spacing w:after="0" w:line="47" w:lineRule="exact"/>
        <w:rPr>
          <w:rFonts w:ascii="Arial" w:cs="Arial" w:eastAsia="Arial" w:hAnsi="Arial"/>
          <w:sz w:val="16"/>
          <w:szCs w:val="16"/>
          <w:color w:val="auto"/>
        </w:rPr>
      </w:pPr>
    </w:p>
    <w:p>
      <w:pPr>
        <w:ind w:left="1" w:right="40" w:firstLine="976"/>
        <w:spacing w:after="0" w:line="256" w:lineRule="auto"/>
        <w:tabs>
          <w:tab w:leader="none" w:pos="122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use its reasonable best efforts to prevent the entry of, and use its reasonable best efforts to obtain as promptly as reasonably practicable the withdrawal of, any stop order with respect to the applicable registration statement or other order suspending the use of any preliminary or final prospectus;</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21"/>
          </w:cols>
          <w:pgMar w:left="519" w:top="273" w:right="559" w:bottom="1440" w:gutter="0" w:footer="0" w:header="0"/>
        </w:sectPr>
      </w:pPr>
    </w:p>
    <w:bookmarkStart w:id="329" w:name="page330"/>
    <w:bookmarkEnd w:id="329"/>
    <w:p>
      <w:pPr>
        <w:ind w:right="60" w:firstLine="976"/>
        <w:spacing w:after="0" w:line="269" w:lineRule="auto"/>
        <w:tabs>
          <w:tab w:leader="none" w:pos="1198" w:val="left"/>
        </w:tabs>
        <w:numPr>
          <w:ilvl w:val="0"/>
          <w:numId w:val="2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promptly incorporate in a prospectus supplement or post-effective amendment to the applicable registration statement such information as the lead underwriter or underwriters, if any, and the Holders holding a majority of each class of Registrable Securities being sold agree (with respect to the relevant class) should be included therein relating to the plan of distribution with respect to such class of Registrable Securities; and make all required filings of such prospectus supplement or post-effective amendment as promptly as reasonably practicable after being notified of the matters to be incorporated in such prospectus supplement or post-effective amendment;</w:t>
      </w:r>
    </w:p>
    <w:p>
      <w:pPr>
        <w:spacing w:after="0" w:line="74" w:lineRule="exact"/>
        <w:rPr>
          <w:rFonts w:ascii="Arial" w:cs="Arial" w:eastAsia="Arial" w:hAnsi="Arial"/>
          <w:sz w:val="17"/>
          <w:szCs w:val="17"/>
          <w:color w:val="auto"/>
        </w:rPr>
      </w:pPr>
    </w:p>
    <w:p>
      <w:pPr>
        <w:ind w:right="320" w:firstLine="976"/>
        <w:spacing w:after="0" w:line="266" w:lineRule="auto"/>
        <w:tabs>
          <w:tab w:leader="none" w:pos="120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cooperate with each Holder and each underwriter or agent, if any, participating in the disposition of such Registrable Securities and their respective counsel in connection with any filings required to be made with FINRA;</w:t>
      </w:r>
    </w:p>
    <w:p>
      <w:pPr>
        <w:spacing w:after="0" w:line="73" w:lineRule="exact"/>
        <w:rPr>
          <w:rFonts w:ascii="Arial" w:cs="Arial" w:eastAsia="Arial" w:hAnsi="Arial"/>
          <w:sz w:val="18"/>
          <w:szCs w:val="18"/>
          <w:color w:val="auto"/>
        </w:rPr>
      </w:pPr>
    </w:p>
    <w:p>
      <w:pPr>
        <w:ind w:left="1180" w:hanging="204"/>
        <w:spacing w:after="0"/>
        <w:tabs>
          <w:tab w:leader="none" w:pos="11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provide a CUSIP number or numbers for all such shares, in each case not later than the effective date of the applicable registration</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100" w:lineRule="exact"/>
        <w:rPr>
          <w:rFonts w:ascii="Arial" w:cs="Arial" w:eastAsia="Arial" w:hAnsi="Arial"/>
          <w:sz w:val="16"/>
          <w:szCs w:val="16"/>
          <w:color w:val="auto"/>
        </w:rPr>
      </w:pPr>
    </w:p>
    <w:p>
      <w:pPr>
        <w:ind w:right="40" w:firstLine="976"/>
        <w:spacing w:after="0" w:line="253" w:lineRule="auto"/>
        <w:tabs>
          <w:tab w:leader="none" w:pos="122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to the extent reasonably requested by the lead or managing underwriters in connection with an Underwritten Offering (including an Underwritten Offering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send appropriate officers of the Company to attend any “road shows” scheduled in connection with any such Underwritten Offering, with all out of pocket costs and expenses incurred by the Company or such officers in connection with such attendance to be paid by the Company;</w:t>
      </w:r>
    </w:p>
    <w:p>
      <w:pPr>
        <w:spacing w:after="0" w:line="84" w:lineRule="exact"/>
        <w:rPr>
          <w:rFonts w:ascii="Arial" w:cs="Arial" w:eastAsia="Arial" w:hAnsi="Arial"/>
          <w:sz w:val="18"/>
          <w:szCs w:val="18"/>
          <w:color w:val="auto"/>
        </w:rPr>
      </w:pPr>
    </w:p>
    <w:p>
      <w:pPr>
        <w:ind w:firstLine="976"/>
        <w:spacing w:after="0" w:line="253" w:lineRule="auto"/>
        <w:tabs>
          <w:tab w:leader="none" w:pos="122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enter into such agreements (including an underwriting agreement in customary form) and take such other actions as the Selling Investor or Selling Investors, as the case may be, owning at least a majority of the Registrable Securities covered by any applicable registration statement shall reasonably request in order to expedite or facilitate the disposition of such Registrable Securities, including customary indemnification and contribution to the effect and to the extent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and</w:t>
      </w:r>
    </w:p>
    <w:p>
      <w:pPr>
        <w:spacing w:after="0" w:line="84" w:lineRule="exact"/>
        <w:rPr>
          <w:rFonts w:ascii="Arial" w:cs="Arial" w:eastAsia="Arial" w:hAnsi="Arial"/>
          <w:sz w:val="18"/>
          <w:szCs w:val="18"/>
          <w:color w:val="auto"/>
        </w:rPr>
      </w:pPr>
    </w:p>
    <w:p>
      <w:pPr>
        <w:ind w:right="560" w:firstLine="976"/>
        <w:spacing w:after="0" w:line="266" w:lineRule="auto"/>
        <w:tabs>
          <w:tab w:leader="none" w:pos="126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subject to all the other provisions of this Agreement, use its reasonable best efforts to take all other steps necessary to effect the registration, marketing and sale of such Registrable Securities contemplated 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4"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Selling Investor, its Affiliates and their respective officers, directors, managers, partners, members and representatives, and each of their respective successors and assigns, against any losses, claims, damages, liabilities and expenses caused by any violation by the Company of the Securities Act or the Exchange Act applicable to the Company and relating to action or inaction required of the Company in connection with the registration contemplated by a Registration Statement or any untrue or alleged untrue statement of a material fact contained in any Registration Statement, prospectus, or preliminary prospectus or any amendment thereof or supplement thereto, or any other disclosure document (including reports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40"/>
          </w:cols>
          <w:pgMar w:left="520" w:top="273" w:right="539" w:bottom="1440" w:gutter="0" w:footer="0" w:header="0"/>
        </w:sectPr>
      </w:pPr>
    </w:p>
    <w:bookmarkStart w:id="330" w:name="page331"/>
    <w:bookmarkEnd w:id="330"/>
    <w:p>
      <w:pPr>
        <w:ind w:left="1"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and other documents filed under the Exchange Act and any document incorporated by reference therein) or any omission or alleged omission to state therein a material fact required to be stated therein or necessary to make the statements therein not misleading, except insofar as the same was made in reliance on and in conformity with any information furnished in writing to the Company by such Selling Investor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liable in any such case to the extent that any such loss, claim, damage, liability or expense arises out of or is based upon an untrue statement or alleged untrue statement or omission or alleged omission made in any Registration Statement, prospectus, or preliminary prospectus or any amendment thereof or supplement thereto in reliance upon and in conformity with information furnished to the Company in writing by the Person asserting such loss, claim, damage, liability or expense specifically for use therein. The Company will also indemnify underwriters, selling brokers, dealer managers and similar securities industry professionals participating in the distribution, their officers and directors and each Person who Controls such Persons to the same extent as provided above with respect to the indemnification of the Selling Investor, if requested.</w:t>
      </w:r>
    </w:p>
    <w:p>
      <w:pPr>
        <w:spacing w:after="0" w:line="182" w:lineRule="exact"/>
        <w:rPr>
          <w:sz w:val="20"/>
          <w:szCs w:val="20"/>
          <w:color w:val="auto"/>
        </w:rPr>
      </w:pPr>
    </w:p>
    <w:p>
      <w:pPr>
        <w:ind w:left="1" w:firstLine="434"/>
        <w:spacing w:after="0" w:line="28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Indemnification by Selling Investors</w:t>
      </w:r>
      <w:r>
        <w:rPr>
          <w:rFonts w:ascii="Arial" w:cs="Arial" w:eastAsia="Arial" w:hAnsi="Arial"/>
          <w:sz w:val="16"/>
          <w:szCs w:val="16"/>
          <w:color w:val="auto"/>
        </w:rPr>
        <w:t xml:space="preserve">. Each Selling Investor agrees to indemnify and hold harmless, to the full extent permitted by law, the Company, the Company’s Controlled Affiliates and their respective directors, managers, partners, members and representatives, and each of their respective successors and assigns, and each Person who Controls the Company against any losses, claims, damages or liabilities and expenses caused by any untrue or alleged untrue statement of a material fact contained in any Registration Statement, prospectus, or preliminary prospectus or any amendment thereof or supplement thereto or any omission or alleged omission to state therein a material fact required to be stated therein or necessary to make the statements therein not misleading, to the extent, but only to the extent, that such untrue statement or omission was made in reliance on and in conformity with any information furnished in writing by such Selling Investor to the Company expressly for inclusion in such Registration Statement and has not been corrected in a subsequent writing prior to or concurrently with the sale of the Registrable Securities to the Person asserting such loss, claim, damage, liability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indemnify shall be several, not joint and several, for each Selling Investor and in no event shall the liability of any Selling Investor hereunder be greater in amount than the dollar amount of the net proceeds received by such Selling Investor upon the sale of the Registrable Securities giving rise to such indemnification obligation.</w:t>
      </w:r>
    </w:p>
    <w:p>
      <w:pPr>
        <w:spacing w:after="0" w:line="175" w:lineRule="exact"/>
        <w:rPr>
          <w:sz w:val="20"/>
          <w:szCs w:val="20"/>
          <w:color w:val="auto"/>
        </w:rPr>
      </w:pPr>
    </w:p>
    <w:p>
      <w:pPr>
        <w:ind w:left="1" w:right="40" w:firstLine="434"/>
        <w:spacing w:after="0" w:line="27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hereunder will (i) give prompt (but in any event within 30 days after such Person has actual knowledge of the facts constituting the basis for indemnification) written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delay or failure to so notify the indemnifying party shall relieve the indemnifying party of its obligations hereunder only to the extent, if at all, that it is prejudiced by reason of such delay or failure.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w:t>
      </w:r>
    </w:p>
    <w:p>
      <w:pPr>
        <w:spacing w:after="0" w:line="3" w:lineRule="exact"/>
        <w:rPr>
          <w:sz w:val="20"/>
          <w:szCs w:val="20"/>
          <w:color w:val="auto"/>
        </w:rPr>
      </w:pPr>
    </w:p>
    <w:p>
      <w:pPr>
        <w:ind w:left="1" w:right="180" w:hanging="1"/>
        <w:spacing w:after="0" w:line="315" w:lineRule="auto"/>
        <w:tabs>
          <w:tab w:leader="none" w:pos="25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indemnifying party shall have failed to assume the defense of such claim within a reasonable time after receipt of notice of such claim from the Person entitled to indemnification hereunder and employ counsel reasonably satisfactory to such Person, (c) the indemnified party has reasonably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41"/>
          </w:cols>
          <w:pgMar w:left="519" w:top="273" w:right="539" w:bottom="1440" w:gutter="0" w:footer="0" w:header="0"/>
        </w:sectPr>
      </w:pPr>
    </w:p>
    <w:bookmarkStart w:id="331" w:name="page332"/>
    <w:bookmarkEnd w:id="331"/>
    <w:p>
      <w:pPr>
        <w:ind w:right="6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concluded, based on the advice of counsel, that there may be legal defenses available to it or other indemnified parties that are different from or in addition to those available to the indemnifying party or (d) in the reasonable judgment of any such Person, based upon advice of counsel, a conflict of interest may exist between such Person and the indemnifying party with respect to such claims (in which case, if such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 be subject to any liability for any settlement made without its consent (but such consent will not be unreasonably withheld, conditioned or delayed). No indemnifying party shall, without the prior written consent of the indemnified party, effect any settlement of any pending or threatened action or claim in respect of which any indemnified party is or could have been a party and indemnity could have been sought hereunder by such indemnified party unless such settlement includes (i) an unconditional release of such indemnified party from all liability on any claims that are the subject matter of such action, (ii) does not include a statement as to or an admission of fault, culpability or failure to act by or on behalf of any indemnified party and (iii) does not commit any indemnified party to take, or hold back from taking, any action.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 and no indemnifying party shall be liable for any settlement or compromise of, or consent to the entry of judgment with respect to, any such action or claim effected without its consent, in each case which consent shall not be unreasonably withheld.</w:t>
      </w:r>
    </w:p>
    <w:p>
      <w:pPr>
        <w:spacing w:after="0" w:line="173" w:lineRule="exact"/>
        <w:rPr>
          <w:sz w:val="20"/>
          <w:szCs w:val="20"/>
          <w:color w:val="auto"/>
        </w:rPr>
      </w:pPr>
    </w:p>
    <w:p>
      <w:pPr>
        <w:ind w:right="20" w:firstLine="434"/>
        <w:spacing w:after="0" w:line="265"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Settlement Offers</w:t>
      </w:r>
      <w:r>
        <w:rPr>
          <w:rFonts w:ascii="Arial" w:cs="Arial" w:eastAsia="Arial" w:hAnsi="Arial"/>
          <w:sz w:val="17"/>
          <w:szCs w:val="17"/>
          <w:color w:val="auto"/>
        </w:rPr>
        <w:t>. Whenever the indemnified party or the indemnifying party receives a firm offer to settle a claim for which indemnification is sought hereunder, it shall promptly notify the other of such offer. If the indemnifying party refuses to accept such offer within 20 Business Days after receipt of such offer (or of notice thereof), such claim shall continue to be contested and, if such claim is within the scope of the indemnifying party’s indemnity contained herein, the indemnified party shall be indemnified pursuant to the terms hereof. An indemnifying party who is not entitled to, or elects not to, assume the defense of a claim will not be obligated to pay the fees and expenses of more than one counsel for all parties indemnified by such indemnifying party with respect to such claim in any one jurisdiction, unless in the written opinion of counsel to the indemnified party, reasonably satisfactory to the indemnifying party, use of one counsel would be expected to give rise to a conflict of interest between such indemnified party and any other of such indemnified parties with respect to such claim, in which event the indemnifying party shall be obligated to pay the fees and expenses of one additional counsel.</w:t>
      </w:r>
    </w:p>
    <w:p>
      <w:pPr>
        <w:spacing w:after="0" w:line="185" w:lineRule="exact"/>
        <w:rPr>
          <w:sz w:val="20"/>
          <w:szCs w:val="20"/>
          <w:color w:val="auto"/>
        </w:rPr>
      </w:pPr>
    </w:p>
    <w:p>
      <w:pPr>
        <w:jc w:val="both"/>
        <w:ind w:firstLine="434"/>
        <w:spacing w:after="0" w:line="256"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xml:space="preserve">. Indemnification similar to that specified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(with appropriate modifications) shall be given by the Company and each Selling Investor with respect to any required registration or other qualification of Registrable Securities under Federal or state law or regulation of governmental authority other than the Securities Act.</w:t>
      </w:r>
    </w:p>
    <w:p>
      <w:pPr>
        <w:spacing w:after="0" w:line="189" w:lineRule="exact"/>
        <w:rPr>
          <w:sz w:val="20"/>
          <w:szCs w:val="20"/>
          <w:color w:val="auto"/>
        </w:rPr>
      </w:pPr>
    </w:p>
    <w:p>
      <w:pPr>
        <w:ind w:right="60" w:firstLine="434"/>
        <w:spacing w:after="0" w:line="25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for any reason the indemnification provided for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is unavailable to an indemnified party or insufficient to hold it harmless as contemplated by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w:t>
      </w:r>
      <w:r>
        <w:rPr>
          <w:rFonts w:ascii="Arial" w:cs="Arial" w:eastAsia="Arial" w:hAnsi="Arial"/>
          <w:sz w:val="18"/>
          <w:szCs w:val="18"/>
          <w:color w:val="auto"/>
        </w:rPr>
        <w:t>, then (i) the indemnifying party shall contribute to the amount paid or payable by the indemnified party as a result of such loss, claim, damage or liability in such proportion as is appropriate to reflect the relative fault of the indemnified party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40"/>
          </w:cols>
          <w:pgMar w:left="520" w:top="273" w:right="539" w:bottom="1440" w:gutter="0" w:footer="0" w:header="0"/>
        </w:sectPr>
      </w:pPr>
    </w:p>
    <w:bookmarkStart w:id="332" w:name="page333"/>
    <w:bookmarkEnd w:id="332"/>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and the indemnifying party or (ii) if the allocation provided by clause (i) above is not permitted by applicable law, in such proportion as shall be appropriate to reflect the relative benefits received by the Company, on the one hand, and such prospective sellers, on the other hand, from their sale of the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Selling Investor shall be required to contribute in an amount greater than the dollar amount of the net proceeds received by such Selling Investor with respect to the sale of the Registrable Securities giving rise to such indemnification obligation.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Holders’ obligations in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to contribute shall be several in proportion to the amount of Registrable Securities registered by them and not joint.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COMPLIANCE</w:t>
      </w:r>
    </w:p>
    <w:p>
      <w:pPr>
        <w:spacing w:after="0" w:line="224"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Exchange Act Compliance</w:t>
      </w:r>
      <w:r>
        <w:rPr>
          <w:rFonts w:ascii="Arial" w:cs="Arial" w:eastAsia="Arial" w:hAnsi="Arial"/>
          <w:sz w:val="16"/>
          <w:szCs w:val="16"/>
          <w:color w:val="auto"/>
        </w:rPr>
        <w:t>. So long as the Company (a) has registered a class of securities under Section 12 or Section 15 of the Exchange Act and (b) files reports under Section 13 of the Exchange Act, then the Company shall take all actions reasonably necessary to enable Holders to sell Registrable Securities without registration under the Securities Act within the limitation of the exemptions provided by Rule 144 under the Securities Act, as such rule may be amended from time to time or any similar rules or regulations adopted by the Commission, including, without limiting the generality of the foregoing, (i) making and keeping public information available, as those terms are understood and defined in Rule 144 promulgated under the Securities Act, (ii) filing with the Commission in a timely manner all reports and other documents required of the Company under the Exchange Act and (iii) at the request of any Holder if such Holder proposes to sell securities in compliance with Rule 144, forthwith furnish to such Holder, as applicable, a written statement of compliance with the reporting requirements of the Commission as set forth in Rule 144 and make available to such Holder such information as will enable the Holder to make sales pursuant to Rule 144.</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4" w:lineRule="exact"/>
        <w:rPr>
          <w:sz w:val="20"/>
          <w:szCs w:val="20"/>
          <w:color w:val="auto"/>
        </w:rPr>
      </w:pPr>
    </w:p>
    <w:p>
      <w:pPr>
        <w:ind w:right="260" w:firstLine="434"/>
        <w:spacing w:after="0" w:line="28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Termination</w:t>
      </w:r>
      <w:r>
        <w:rPr>
          <w:rFonts w:ascii="Arial" w:cs="Arial" w:eastAsia="Arial" w:hAnsi="Arial"/>
          <w:sz w:val="16"/>
          <w:szCs w:val="16"/>
          <w:color w:val="auto"/>
        </w:rPr>
        <w:t>. The registration rights hereunder shall cease to apply to any particular Registrable Security when: (a) a registration statement with respect to the sale of such Shares shall have become effective under the Securities Act and such Shares shall have been disposed of in accordance with such registration statement; (b) such Shares shall have been sold to the public pursuant to Rule 144 under the Securities Act (or any successor provision); (c) such Shares shall have been otherwise transferred, new certificates or book-entries for them not bearing a legend restricting further transfer shall have been delivered by the Company and subsequent public distribution of them shall not require registration or qualification of them under the Securities Act or any similar state law then in force; (d) such Shares shall have ceased to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520" w:top="273" w:right="559" w:bottom="1440" w:gutter="0" w:footer="0" w:header="0"/>
        </w:sectPr>
      </w:pPr>
    </w:p>
    <w:bookmarkStart w:id="333" w:name="page334"/>
    <w:bookmarkEnd w:id="333"/>
    <w:p>
      <w:pPr>
        <w:ind w:right="4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outstanding; or (e) the Holder of such Registrable Security holds less than one percent (1%) of the then issued and outstanding shares of Common Stock (determined as the aggregate number of Registrable Securities held by such Holder with all of its Affiliates) and such Registrable Securities are eligible for sale pursuant to Rule 144 under the Securities Act (or any successor provision) without compliance with the manner of sale, volume and other limitations under such rule. The Company shall promptly upon the request of any Holder furnish to such Holder evidence of the number of shares of Common Stock then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4" w:lineRule="exact"/>
        <w:rPr>
          <w:sz w:val="20"/>
          <w:szCs w:val="20"/>
          <w:color w:val="auto"/>
        </w:rPr>
      </w:pPr>
    </w:p>
    <w:p>
      <w:pPr>
        <w:ind w:right="120" w:firstLine="434"/>
        <w:spacing w:after="0" w:line="290"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65" w:lineRule="exact"/>
        <w:rPr>
          <w:sz w:val="20"/>
          <w:szCs w:val="20"/>
          <w:color w:val="auto"/>
        </w:rPr>
      </w:pPr>
    </w:p>
    <w:p>
      <w:pPr>
        <w:ind w:firstLine="434"/>
        <w:spacing w:after="0" w:line="264"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 xml:space="preserve">. This Agreement and any action of any kind or any nature (whether at law or in equity, based in contract or in tort or otherwise) that is any way related to this Agreement or any of the transactions related hereto shall be governed by, and construed in accordance with, the laws of the State of Delaware applicable to contracts executed in and to be performed in that state without regard to the conflict of laws rules thereof. Each party to this Agreement (i) consents to submit to the exclusive jurisdiction of the Court of Chancery of the State of Delaware and any state appellate court therefrom located in the State of Delaware (or, only if the Court of Chancery declines to accept jurisdiction over a particular matter, any state or federal court sitting in Wilmington, Delaware), (ii) waives any objection to the laying of venue of any action related to the transactions contemplated by this Agreement brought in such court, (iii) waives and agrees not to plead or claim in any such court that any such action brought in any such court has been brought in an inconvenient forum and (iv) agrees that service of process or of any other papers upon such party by registered mail at the address to which notices are required to be sent to such party under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shall be deemed good, proper and effective service upon such party. EACH PARTY TO THIS AGREEMENT HEREBY IRREVOCABLY AND UNCONDITIONALLY WAIVES ALL RIGHT TO TRIAL BY JURY IN ANY ACTION PROCEEDING, CLAIM OR COUNTERCLAIM ARISING OUT OF OR RELATING TO THIS AGREEMENT OR THE TRANSACTIONS CONTEMPLATED HEREBY.</w:t>
      </w:r>
    </w:p>
    <w:p>
      <w:pPr>
        <w:spacing w:after="0" w:line="185" w:lineRule="exact"/>
        <w:rPr>
          <w:sz w:val="20"/>
          <w:szCs w:val="20"/>
          <w:color w:val="auto"/>
        </w:rPr>
      </w:pPr>
    </w:p>
    <w:p>
      <w:pPr>
        <w:ind w:right="240" w:firstLine="434"/>
        <w:spacing w:after="0" w:line="25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If the Company shall at any time hereafter provide to any holder of any securities of the Company rights with respect to the registration of such securities under the Securities Act, such rights shall not be in conflict with or adversely affect any of the rights provided to the holders of Registrable Securities in, or conflict (in a manner that adversely affects holders of Registrable Securities) with any other provisions included in,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520" w:top="273" w:right="539" w:bottom="1440" w:gutter="0" w:footer="0" w:header="0"/>
        </w:sectPr>
      </w:pPr>
    </w:p>
    <w:bookmarkStart w:id="334" w:name="page335"/>
    <w:bookmarkEnd w:id="334"/>
    <w:p>
      <w:pPr>
        <w:ind w:firstLine="434"/>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8.4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this Agreement shall inure to the benefit of and be binding upon the successors and permitted assigns of each of the parties hereto, each of which, in the case of the Holders, shall agree to become subject to the terms of this Agreement by executing an Adoption Agreement and be bound to the same extent as the parties hereto. The Company may not assign any of its rights or delegate any of its duties hereunder without the prior written consent of the Holders of a majority of the Registrable Securities. Subject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2.2(b)</w:t>
      </w:r>
      <w:r>
        <w:rPr>
          <w:rFonts w:ascii="Arial" w:cs="Arial" w:eastAsia="Arial" w:hAnsi="Arial"/>
          <w:sz w:val="17"/>
          <w:szCs w:val="17"/>
          <w:color w:val="auto"/>
        </w:rPr>
        <w:t>, any Holder may, at its election and at any time or from time to time, assign its rights and delegate its duties hereunder, in whole or in part, to any Transferee of such Holder (each, an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shall be binding upon or obligate the Company to any such Assignee unless and until such Assignee delivers the Company an Adoption Agreement. If a Holder assigns its rights under this Agreement in connection with the Transfer of less than all of its Registrable Securities, the Holder shall retain its rights under this Agreement with respect to its remaining Registrable Securities. If a Holder assigns its rights under this Agreement in connection with the Transfer of all of its Registrable Securities, the Holder shall have no further rights or obligations under this Agreement, except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hereof in respect of offerings in which such Holder participated or registrations in which Registrable Securities held by such Holder were included. Any purported assignment in violation of this provision shall be null and </w:t>
      </w:r>
      <w:r>
        <w:rPr>
          <w:rFonts w:ascii="Arial" w:cs="Arial" w:eastAsia="Arial" w:hAnsi="Arial"/>
          <w:sz w:val="17"/>
          <w:szCs w:val="17"/>
          <w:i w:val="1"/>
          <w:iCs w:val="1"/>
          <w:color w:val="auto"/>
        </w:rPr>
        <w:t>void ab initio</w:t>
      </w:r>
      <w:r>
        <w:rPr>
          <w:rFonts w:ascii="Arial" w:cs="Arial" w:eastAsia="Arial" w:hAnsi="Arial"/>
          <w:sz w:val="17"/>
          <w:szCs w:val="17"/>
          <w:color w:val="auto"/>
        </w:rPr>
        <w:t>.</w:t>
      </w:r>
    </w:p>
    <w:p>
      <w:pPr>
        <w:spacing w:after="0" w:line="185" w:lineRule="exact"/>
        <w:rPr>
          <w:sz w:val="20"/>
          <w:szCs w:val="20"/>
          <w:color w:val="auto"/>
        </w:rPr>
      </w:pPr>
    </w:p>
    <w:p>
      <w:pPr>
        <w:ind w:right="80" w:firstLine="434"/>
        <w:spacing w:after="0" w:line="294"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delivered in writing in person, by electronic mail or facsimile or sent by nationally-recognized overnight courier or first class registered or certified mail, return receipt requested, postage prepaid, addressed to such party at the address set forth below or at such other address as may hereafter be designated in writing by such party to the other parties. All such notices, requests, consents and other communications shall be delivered as follows:</w:t>
      </w:r>
    </w:p>
    <w:p>
      <w:pPr>
        <w:spacing w:after="0" w:line="189" w:lineRule="exact"/>
        <w:rPr>
          <w:sz w:val="20"/>
          <w:szCs w:val="20"/>
          <w:color w:val="auto"/>
        </w:rPr>
      </w:pPr>
    </w:p>
    <w:p>
      <w:pPr>
        <w:ind w:left="1400" w:hanging="430"/>
        <w:spacing w:after="0"/>
        <w:tabs>
          <w:tab w:leader="none" w:pos="14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2"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SUN COUNTRY AIRLINES HOLDINGS, INC.</w:t>
      </w:r>
    </w:p>
    <w:p>
      <w:pPr>
        <w:spacing w:after="0" w:line="16" w:lineRule="exact"/>
        <w:rPr>
          <w:rFonts w:ascii="Arial" w:cs="Arial" w:eastAsia="Arial" w:hAnsi="Arial"/>
          <w:sz w:val="18"/>
          <w:szCs w:val="18"/>
          <w:color w:val="auto"/>
        </w:rPr>
      </w:pPr>
    </w:p>
    <w:p>
      <w:pPr>
        <w:ind w:left="1400" w:right="7680"/>
        <w:spacing w:after="0" w:line="277" w:lineRule="auto"/>
        <w:rPr>
          <w:rFonts w:ascii="Arial" w:cs="Arial" w:eastAsia="Arial" w:hAnsi="Arial"/>
          <w:sz w:val="18"/>
          <w:szCs w:val="18"/>
          <w:color w:val="auto"/>
        </w:rPr>
      </w:pPr>
      <w:r>
        <w:rPr>
          <w:rFonts w:ascii="Arial" w:cs="Arial" w:eastAsia="Arial" w:hAnsi="Arial"/>
          <w:sz w:val="16"/>
          <w:szCs w:val="16"/>
          <w:color w:val="auto"/>
        </w:rPr>
        <w:t>2005 Cargo Road Minneapolis, MN 55450</w:t>
      </w:r>
    </w:p>
    <w:p>
      <w:pPr>
        <w:ind w:left="1400"/>
        <w:spacing w:after="0"/>
        <w:rPr>
          <w:rFonts w:ascii="Arial" w:cs="Arial" w:eastAsia="Arial" w:hAnsi="Arial"/>
          <w:sz w:val="18"/>
          <w:szCs w:val="18"/>
          <w:color w:val="auto"/>
        </w:rPr>
      </w:pPr>
      <w:r>
        <w:rPr>
          <w:rFonts w:ascii="Arial" w:cs="Arial" w:eastAsia="Arial" w:hAnsi="Arial"/>
          <w:sz w:val="18"/>
          <w:szCs w:val="18"/>
          <w:color w:val="auto"/>
        </w:rPr>
        <w:t>Attention:   Eric Levenhagen, General Counsel</w:t>
      </w:r>
    </w:p>
    <w:p>
      <w:pPr>
        <w:spacing w:after="0" w:line="5"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4"/>
          <w:szCs w:val="14"/>
          <w:color w:val="auto"/>
        </w:rPr>
        <w:t>eric.levenhagen@suncountry.com</w:t>
      </w:r>
    </w:p>
    <w:p>
      <w:pPr>
        <w:spacing w:after="0" w:line="5"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with a copy, in each case, (which shall not constitute notice) to:</w:t>
      </w:r>
    </w:p>
    <w:p>
      <w:pPr>
        <w:spacing w:after="0" w:line="100" w:lineRule="exact"/>
        <w:rPr>
          <w:rFonts w:ascii="Arial" w:cs="Arial" w:eastAsia="Arial" w:hAnsi="Arial"/>
          <w:sz w:val="18"/>
          <w:szCs w:val="18"/>
          <w:color w:val="auto"/>
        </w:rPr>
      </w:pPr>
    </w:p>
    <w:p>
      <w:pPr>
        <w:ind w:left="1400" w:right="6060"/>
        <w:spacing w:after="0" w:line="253" w:lineRule="auto"/>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ind w:left="1400" w:right="6880"/>
        <w:spacing w:after="0" w:line="248" w:lineRule="auto"/>
        <w:rPr>
          <w:rFonts w:ascii="Arial" w:cs="Arial" w:eastAsia="Arial" w:hAnsi="Arial"/>
          <w:sz w:val="18"/>
          <w:szCs w:val="18"/>
          <w:color w:val="auto"/>
        </w:rPr>
      </w:pPr>
      <w:r>
        <w:rPr>
          <w:rFonts w:ascii="Arial" w:cs="Arial" w:eastAsia="Arial" w:hAnsi="Arial"/>
          <w:sz w:val="18"/>
          <w:szCs w:val="18"/>
          <w:color w:val="auto"/>
        </w:rPr>
        <w:t>New York, NY 10019-6064 Attention: Brian M. Janson Facsimile: (212) 757-3990 Email: bjanson@paulweiss.com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40"/>
          </w:cols>
          <w:pgMar w:left="520" w:top="273" w:right="539" w:bottom="1440" w:gutter="0" w:footer="0" w:header="0"/>
        </w:sectPr>
      </w:pPr>
    </w:p>
    <w:bookmarkStart w:id="335" w:name="page336"/>
    <w:bookmarkEnd w:id="335"/>
    <w:p>
      <w:pPr>
        <w:ind w:left="1400" w:hanging="430"/>
        <w:spacing w:after="0"/>
        <w:tabs>
          <w:tab w:leader="none" w:pos="14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if to the Apollo Stockholder to:</w:t>
      </w:r>
    </w:p>
    <w:p>
      <w:pPr>
        <w:spacing w:after="0" w:line="112" w:lineRule="exact"/>
        <w:rPr>
          <w:rFonts w:ascii="Arial" w:cs="Arial" w:eastAsia="Arial" w:hAnsi="Arial"/>
          <w:sz w:val="18"/>
          <w:szCs w:val="18"/>
          <w:color w:val="auto"/>
        </w:rPr>
      </w:pPr>
    </w:p>
    <w:p>
      <w:pPr>
        <w:ind w:left="1400" w:right="7020"/>
        <w:spacing w:after="0" w:line="268" w:lineRule="auto"/>
        <w:rPr>
          <w:rFonts w:ascii="Arial" w:cs="Arial" w:eastAsia="Arial" w:hAnsi="Arial"/>
          <w:sz w:val="18"/>
          <w:szCs w:val="18"/>
          <w:color w:val="auto"/>
        </w:rPr>
      </w:pPr>
      <w:r>
        <w:rPr>
          <w:rFonts w:ascii="Arial" w:cs="Arial" w:eastAsia="Arial" w:hAnsi="Arial"/>
          <w:sz w:val="17"/>
          <w:szCs w:val="17"/>
          <w:color w:val="auto"/>
        </w:rPr>
        <w:t>SCA HORUS HOLDINGS, LLC c/o Apollo Management, L.P.</w:t>
      </w:r>
    </w:p>
    <w:p>
      <w:pPr>
        <w:ind w:left="1400" w:right="6800"/>
        <w:spacing w:after="0" w:line="246" w:lineRule="auto"/>
        <w:rPr>
          <w:rFonts w:ascii="Arial" w:cs="Arial" w:eastAsia="Arial" w:hAnsi="Arial"/>
          <w:sz w:val="18"/>
          <w:szCs w:val="18"/>
          <w:color w:val="auto"/>
        </w:rPr>
      </w:pPr>
      <w:r>
        <w:rPr>
          <w:rFonts w:ascii="Arial" w:cs="Arial" w:eastAsia="Arial" w:hAnsi="Arial"/>
          <w:sz w:val="18"/>
          <w:szCs w:val="18"/>
          <w:color w:val="auto"/>
        </w:rPr>
        <w:t>One Manhattanville Road, Suite 201 Purchase, NY 10577</w:t>
      </w:r>
    </w:p>
    <w:p>
      <w:pPr>
        <w:spacing w:after="0" w:line="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Attention:   Laurie D. Medley, General Counsel</w:t>
      </w:r>
    </w:p>
    <w:p>
      <w:pPr>
        <w:spacing w:after="0" w:line="5"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lmedley@apollo.com</w:t>
      </w:r>
    </w:p>
    <w:p>
      <w:pPr>
        <w:spacing w:after="0" w:line="10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with a copy, in each case, (which shall not constitute notice) to:</w:t>
      </w:r>
    </w:p>
    <w:p>
      <w:pPr>
        <w:spacing w:after="0" w:line="112" w:lineRule="exact"/>
        <w:rPr>
          <w:rFonts w:ascii="Arial" w:cs="Arial" w:eastAsia="Arial" w:hAnsi="Arial"/>
          <w:sz w:val="18"/>
          <w:szCs w:val="18"/>
          <w:color w:val="auto"/>
        </w:rPr>
      </w:pPr>
    </w:p>
    <w:p>
      <w:pPr>
        <w:ind w:left="1400" w:right="6020"/>
        <w:spacing w:after="0" w:line="253" w:lineRule="auto"/>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ind w:left="1400" w:right="6940"/>
        <w:spacing w:after="0" w:line="268" w:lineRule="auto"/>
        <w:rPr>
          <w:rFonts w:ascii="Arial" w:cs="Arial" w:eastAsia="Arial" w:hAnsi="Arial"/>
          <w:sz w:val="18"/>
          <w:szCs w:val="18"/>
          <w:color w:val="auto"/>
        </w:rPr>
      </w:pPr>
      <w:r>
        <w:rPr>
          <w:rFonts w:ascii="Arial" w:cs="Arial" w:eastAsia="Arial" w:hAnsi="Arial"/>
          <w:sz w:val="17"/>
          <w:szCs w:val="17"/>
          <w:color w:val="auto"/>
        </w:rPr>
        <w:t>New York, NY 10019-6064 Attention: Brian M. Janson Facsimile: (212) 757-3990 Email: bjanson@paulweiss.com</w:t>
      </w:r>
    </w:p>
    <w:p>
      <w:pPr>
        <w:spacing w:after="0" w:line="86" w:lineRule="exact"/>
        <w:rPr>
          <w:rFonts w:ascii="Arial" w:cs="Arial" w:eastAsia="Arial" w:hAnsi="Arial"/>
          <w:sz w:val="18"/>
          <w:szCs w:val="18"/>
          <w:color w:val="auto"/>
        </w:rPr>
      </w:pPr>
    </w:p>
    <w:p>
      <w:pPr>
        <w:ind w:left="1400" w:hanging="430"/>
        <w:spacing w:after="0"/>
        <w:tabs>
          <w:tab w:leader="none" w:pos="14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If to another Holder, to the address set forth under such Holder’s name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1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All such notices, requests, consents and other communications shall be deemed to have been received (i) in the case of personal delivery or delivery by facsimile or electronic mail, on the date of such delivery, (ii) in the case of dispatch by nationally recognized overnight courier, on the next Business Day following such dispatch and (iii) in the case of mailing, on the fifth (5</w:t>
      </w:r>
      <w:r>
        <w:rPr>
          <w:rFonts w:ascii="Arial" w:cs="Arial" w:eastAsia="Arial" w:hAnsi="Arial"/>
          <w:sz w:val="14"/>
          <w:szCs w:val="14"/>
          <w:color w:val="auto"/>
        </w:rPr>
        <w:t>th</w:t>
      </w:r>
      <w:r>
        <w:rPr>
          <w:rFonts w:ascii="Arial" w:cs="Arial" w:eastAsia="Arial" w:hAnsi="Arial"/>
          <w:sz w:val="17"/>
          <w:szCs w:val="17"/>
          <w:color w:val="auto"/>
        </w:rPr>
        <w:t>) Business Day after the posting thereof.</w:t>
      </w:r>
    </w:p>
    <w:p>
      <w:pPr>
        <w:spacing w:after="0" w:line="172" w:lineRule="exact"/>
        <w:rPr>
          <w:sz w:val="20"/>
          <w:szCs w:val="20"/>
          <w:color w:val="auto"/>
        </w:rPr>
      </w:pPr>
    </w:p>
    <w:p>
      <w:pPr>
        <w:ind w:right="240" w:firstLine="434"/>
        <w:spacing w:after="0" w:line="266"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the sole purpose of convenience of reference, and shall not in any way limit or affect the meaning or interpretation of any of the terms or provisions of this Agreement.</w:t>
      </w:r>
    </w:p>
    <w:p>
      <w:pPr>
        <w:spacing w:after="0" w:line="179" w:lineRule="exact"/>
        <w:rPr>
          <w:sz w:val="20"/>
          <w:szCs w:val="20"/>
          <w:color w:val="auto"/>
        </w:rPr>
      </w:pPr>
    </w:p>
    <w:p>
      <w:pPr>
        <w:jc w:val="both"/>
        <w:ind w:firstLine="434"/>
        <w:spacing w:after="0" w:line="256"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Additional Parties</w:t>
      </w:r>
      <w:r>
        <w:rPr>
          <w:rFonts w:ascii="Arial" w:cs="Arial" w:eastAsia="Arial" w:hAnsi="Arial"/>
          <w:sz w:val="18"/>
          <w:szCs w:val="18"/>
          <w:color w:val="auto"/>
        </w:rPr>
        <w:t xml:space="preserve">. Additional parties to this Agreement shall only include each Holder (a) who has executed an Adoption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(b) who (i) is bound by and subject to the terms of this Agreement, and (ii) has adopted this Agreement with the same force and effect as if it were originally a party hereto.</w:t>
      </w:r>
    </w:p>
    <w:p>
      <w:pPr>
        <w:spacing w:after="0" w:line="189" w:lineRule="exact"/>
        <w:rPr>
          <w:sz w:val="20"/>
          <w:szCs w:val="20"/>
          <w:color w:val="auto"/>
        </w:rPr>
      </w:pPr>
    </w:p>
    <w:p>
      <w:pPr>
        <w:ind w:right="80" w:firstLine="434"/>
        <w:spacing w:after="0" w:line="269"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Adjustments</w:t>
      </w:r>
      <w:r>
        <w:rPr>
          <w:rFonts w:ascii="Arial" w:cs="Arial" w:eastAsia="Arial" w:hAnsi="Arial"/>
          <w:sz w:val="17"/>
          <w:szCs w:val="17"/>
          <w:color w:val="auto"/>
        </w:rPr>
        <w:t>. If, and as often as, there are any changes in the Shares or securities convertible into or exchangeable into or exercisable for Shares as a result of any reclassification, recapitalization, stock split (including a reverse stock split) or subdivision or combination, exchange or readjustment of shares, or any stock dividend or stock distribution, merger or other similar transaction affecting such Shares or such securities, appropriate adjustment shall be made in the provisions of this Agreement, as may be required, so that the rights, privileges, duties and obligations hereunder shall continue with respect to such Shares or such securities as so changed.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520" w:top="273" w:right="579" w:bottom="1440" w:gutter="0" w:footer="0" w:header="0"/>
        </w:sectPr>
      </w:pPr>
    </w:p>
    <w:bookmarkStart w:id="336" w:name="page337"/>
    <w:bookmarkEnd w:id="336"/>
    <w:p>
      <w:pPr>
        <w:ind w:left="1" w:right="160" w:firstLine="434"/>
        <w:spacing w:after="0" w:line="41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8.9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other writings referred to herein constitute the entire agreement among the parties hereto with respect to the subject matter hereof and supersedes all prior agreements and understandings, oral or written, with respect to such subject matter.</w:t>
      </w:r>
    </w:p>
    <w:p>
      <w:pPr>
        <w:spacing w:after="0" w:line="88" w:lineRule="exact"/>
        <w:rPr>
          <w:sz w:val="20"/>
          <w:szCs w:val="20"/>
          <w:color w:val="auto"/>
        </w:rPr>
      </w:pPr>
    </w:p>
    <w:p>
      <w:pPr>
        <w:ind w:left="1" w:right="320" w:firstLine="434"/>
        <w:spacing w:after="0" w:line="278"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Counterparts; Facsimile or.pdf Signature</w:t>
      </w:r>
      <w:r>
        <w:rPr>
          <w:rFonts w:ascii="Arial" w:cs="Arial" w:eastAsia="Arial" w:hAnsi="Arial"/>
          <w:sz w:val="17"/>
          <w:szCs w:val="17"/>
          <w:color w:val="auto"/>
        </w:rPr>
        <w:t>. This Agreement may be executed in one or more counterparts, each of which shall be deemed an original instrument, but all of which together shall constitute one and the same document. This Agreement may be executed by facsimile or.pdf signature and a facsimile or.pdf signature shall constitute an original for all purposes.</w:t>
      </w:r>
    </w:p>
    <w:p>
      <w:pPr>
        <w:spacing w:after="0" w:line="172" w:lineRule="exact"/>
        <w:rPr>
          <w:sz w:val="20"/>
          <w:szCs w:val="20"/>
          <w:color w:val="auto"/>
        </w:rPr>
      </w:pPr>
    </w:p>
    <w:p>
      <w:pPr>
        <w:ind w:left="1" w:right="160" w:firstLine="434"/>
        <w:spacing w:after="0" w:line="281"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Other than with respect to amendments to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which may be amended by the Company from time to time to reflect the Holders at such time, this Agreement may not be amended, modified or supplemented without the written consent of the Apollo Stockholder (as long as it owns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 particular Holder or group of Holders, any such amendment, supplement, modification or waiver that (a) would materially and adversely affect such Holder or group of Holders in any respect or</w:t>
      </w:r>
    </w:p>
    <w:p>
      <w:pPr>
        <w:ind w:left="1" w:right="80" w:hanging="1"/>
        <w:spacing w:after="0" w:line="271" w:lineRule="auto"/>
        <w:tabs>
          <w:tab w:leader="none" w:pos="25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would disproportionately benefit any other Holder or group of Holders or confer any benefit on any other Holder or group of Holders to which such Holder of group of Holders would not be entitled, shall not be effective against such Holder or group of Holders unless approved in writing by such Holder or the Holders of a majority of the Registrable Securities held by such group of Holders, as the case may be.</w:t>
      </w:r>
    </w:p>
    <w:p>
      <w:pPr>
        <w:spacing w:after="0" w:line="178" w:lineRule="exact"/>
        <w:rPr>
          <w:sz w:val="20"/>
          <w:szCs w:val="20"/>
          <w:color w:val="auto"/>
        </w:rPr>
      </w:pPr>
    </w:p>
    <w:p>
      <w:pPr>
        <w:ind w:left="1" w:firstLine="434"/>
        <w:spacing w:after="0" w:line="24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Extensions; Waivers</w:t>
      </w:r>
      <w:r>
        <w:rPr>
          <w:rFonts w:ascii="Arial" w:cs="Arial" w:eastAsia="Arial" w:hAnsi="Arial"/>
          <w:sz w:val="18"/>
          <w:szCs w:val="18"/>
          <w:color w:val="auto"/>
        </w:rPr>
        <w:t xml:space="preserve">. Any party may, for itself only, (a) extend the time for the performance of any of the obligations of any other party under this Agreement, (b) waive any inaccuracies in the representations and warranties of any other party contained herein or in any document delivered pursuant hereto and (c) waive compliance with any of the agreements or conditions for the benefit of such party contained herein. Any extension or waiver pursuant to this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will be valid only if set forth in a writing signed by the party to be bound thereby.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Neither the failure nor any delay on the part of any party to exercise any right or remedy under this Agreement shall operate as a waiver thereof, nor shall any single or partial exercise of any right or remedy preclude any other or further exercise of the same or of any other right or remedy.</w:t>
      </w:r>
    </w:p>
    <w:p>
      <w:pPr>
        <w:spacing w:after="0" w:line="195" w:lineRule="exact"/>
        <w:rPr>
          <w:sz w:val="20"/>
          <w:szCs w:val="20"/>
          <w:color w:val="auto"/>
        </w:rPr>
      </w:pPr>
    </w:p>
    <w:p>
      <w:pPr>
        <w:ind w:left="1" w:right="360" w:firstLine="434"/>
        <w:spacing w:after="0" w:line="296"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execute all such further instruments and documents and take all such further action as the Company may reasonably require in order to effectuate the terms and purposes of this Agreement.</w:t>
      </w:r>
    </w:p>
    <w:p>
      <w:pPr>
        <w:spacing w:after="0" w:line="156" w:lineRule="exact"/>
        <w:rPr>
          <w:sz w:val="20"/>
          <w:szCs w:val="20"/>
          <w:color w:val="auto"/>
        </w:rPr>
      </w:pPr>
    </w:p>
    <w:p>
      <w:pPr>
        <w:ind w:left="1" w:right="100" w:firstLine="434"/>
        <w:spacing w:after="0" w:line="296"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Except pursuant to </w:t>
      </w:r>
      <w:r>
        <w:rPr>
          <w:rFonts w:ascii="Arial" w:cs="Arial" w:eastAsia="Arial" w:hAnsi="Arial"/>
          <w:sz w:val="17"/>
          <w:szCs w:val="17"/>
          <w:u w:val="single" w:color="auto"/>
          <w:color w:val="auto"/>
        </w:rPr>
        <w:t>Article V</w:t>
      </w:r>
      <w:r>
        <w:rPr>
          <w:rFonts w:ascii="Arial" w:cs="Arial" w:eastAsia="Arial" w:hAnsi="Arial"/>
          <w:sz w:val="17"/>
          <w:szCs w:val="17"/>
          <w:color w:val="auto"/>
        </w:rPr>
        <w:t>, this Agreement shall not confer any rights or remedies upon any Person other than the parties hereto and their respective successors and permitted assigns and other Persons expressly named herein.</w:t>
      </w:r>
    </w:p>
    <w:p>
      <w:pPr>
        <w:spacing w:after="0" w:line="156" w:lineRule="exact"/>
        <w:rPr>
          <w:sz w:val="20"/>
          <w:szCs w:val="20"/>
          <w:color w:val="auto"/>
        </w:rPr>
      </w:pPr>
    </w:p>
    <w:p>
      <w:pPr>
        <w:ind w:left="1" w:right="100" w:firstLine="434"/>
        <w:spacing w:after="0" w:line="256"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This Agreement has been freely and fairly negotiated among the parties. If an ambiguity or question of intent or interpretation arises, this Agreement will be construed as if drafted jointly by the parties and no presumption or burden of proof will arise favoring or disfavoring any party because of the authorship of any provision of</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21"/>
          </w:cols>
          <w:pgMar w:left="519" w:top="273" w:right="559" w:bottom="1440" w:gutter="0" w:footer="0" w:header="0"/>
        </w:sectPr>
      </w:pPr>
    </w:p>
    <w:bookmarkStart w:id="337" w:name="page338"/>
    <w:bookmarkEnd w:id="337"/>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this Agreement. Any reference to any law will be deemed to refer to such law as amended and all rules and regulations promulgated thereunder, unless the context requires otherwise. The words “include,” “includes,” and “including” will be deemed to be followed by “without limitation.” Pronouns in masculine, feminine, and neuter genders will be construed to include any other gender, and words in the singular form will be construed to include the plural and vice versa, unless the context otherwise requires. The words “this Agreement,” “herein,” “hereof,” “hereby,” “hereunder” and words of similar import refer to this Agreement as a whole, including the schedules, exhibits and annexes, as the same may from time to time be amended, modified or supplemented, and not to any particular subdivision unless expressly so limited. All references to sections, schedules, annexes and exhibits mean the sections of this Agreement and the schedules, annexes and exhibits attached to this Agreement, except where otherwise stated. The parties intend that each representation, warranty, and covenant contained herein will have independent significance. If any party has breached any covenant contained herein in any respect, the fact that there exists another covenant relating to the same subject matter (regardless of the relative levels of specificity) that the party has not breached will not detract from or mitigate the party’s breach of the first covenant.</w:t>
      </w:r>
    </w:p>
    <w:p>
      <w:pPr>
        <w:spacing w:after="0" w:line="171"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Changes in Common Stock</w:t>
      </w:r>
      <w:r>
        <w:rPr>
          <w:rFonts w:ascii="Arial" w:cs="Arial" w:eastAsia="Arial" w:hAnsi="Arial"/>
          <w:sz w:val="17"/>
          <w:szCs w:val="17"/>
          <w:color w:val="auto"/>
        </w:rPr>
        <w:t>. If, and as often as, there are any changes in Common Stock by way of by way of a dividend, distribution, stock split or combination, reclassification, recapitalization, exchange or readjustment, whether in a merger, consolidation, conversion or similar transaction, or by any other means, appropriate adjustment shall be made in the provisions of this Agreement, as may be required, so that the rights, privileges, duties and obligations hereunder shall continue with respect to Common Stock as so changed.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520" w:top="273" w:right="5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IN WITNESS WHEREOF, the parties hereto have executed this Agreement on the date first above written.</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SUN COUNTRY AIRLINES HOLDINGS, INC.</w:t>
      </w:r>
    </w:p>
    <w:p>
      <w:pPr>
        <w:spacing w:after="0" w:line="29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-4445</wp:posOffset>
            </wp:positionV>
            <wp:extent cx="25247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4">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Name:</w:t>
      </w:r>
    </w:p>
    <w:p>
      <w:pPr>
        <w:spacing w:after="0" w:line="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720"/>
          </w:cols>
          <w:pgMar w:left="960" w:top="273" w:right="1219" w:bottom="1440" w:gutter="0" w:footer="0" w:header="0"/>
        </w:sectPr>
      </w:pPr>
    </w:p>
    <w:bookmarkStart w:id="339" w:name="page340"/>
    <w:bookmarkEnd w:id="339"/>
    <w:p>
      <w:pPr>
        <w:ind w:left="56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HOLDERS</w:t>
      </w:r>
      <w:r>
        <w:rPr>
          <w:rFonts w:ascii="Arial" w:cs="Arial" w:eastAsia="Arial" w:hAnsi="Arial"/>
          <w:sz w:val="18"/>
          <w:szCs w:val="18"/>
          <w:b w:val="1"/>
          <w:bCs w:val="1"/>
          <w:color w:val="auto"/>
        </w:rPr>
        <w:t>:</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SCA HORUS HOLDINGS, LLC</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-4445</wp:posOffset>
            </wp:positionV>
            <wp:extent cx="25247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6">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w:t>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267" w:right="1440" w:bottom="1440" w:gutter="0" w:footer="0" w:header="0"/>
        </w:sectPr>
      </w:pPr>
    </w:p>
    <w:bookmarkStart w:id="340" w:name="page341"/>
    <w:bookmarkEnd w:id="340"/>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AMAZON.COM NV INVESTMENT HOLDINGS LLC</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8">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820"/>
          </w:cols>
          <w:pgMar w:left="1440" w:top="267" w:right="639" w:bottom="1440" w:gutter="0" w:footer="0" w:header="0"/>
        </w:sectPr>
      </w:pPr>
    </w:p>
    <w:bookmarkStart w:id="341" w:name="page342"/>
    <w:bookmarkEnd w:id="34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150495</wp:posOffset>
            </wp:positionV>
            <wp:extent cx="2752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0">
                      <a:extLst>
                        <a:ext uri="{28A0092B-C50C-407E-A947-70E740481C1C}"/>
                      </a:extLst>
                    </a:blip>
                    <a:srcRect/>
                    <a:stretch>
                      <a:fillRect/>
                    </a:stretch>
                  </pic:blipFill>
                  <pic:spPr bwMode="auto">
                    <a:xfrm>
                      <a:off x="0" y="0"/>
                      <a:ext cx="2752725" cy="8255"/>
                    </a:xfrm>
                    <a:prstGeom prst="rect">
                      <a:avLst/>
                    </a:prstGeom>
                    <a:noFill/>
                  </pic:spPr>
                </pic:pic>
              </a:graphicData>
            </a:graphic>
          </wp:anchor>
        </w:drawing>
      </w:r>
    </w:p>
    <w:p>
      <w:pPr>
        <w:spacing w:after="0" w:line="23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Name: Jude Bricker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267" w:right="1440" w:bottom="1440" w:gutter="0" w:footer="0" w:header="0"/>
        </w:sectPr>
      </w:pPr>
    </w:p>
    <w:bookmarkStart w:id="342" w:name="page343"/>
    <w:bookmarkEnd w:id="342"/>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DAVID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150495</wp:posOffset>
            </wp:positionV>
            <wp:extent cx="2752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2">
                      <a:extLst>
                        <a:ext uri="{28A0092B-C50C-407E-A947-70E740481C1C}"/>
                      </a:extLst>
                    </a:blip>
                    <a:srcRect/>
                    <a:stretch>
                      <a:fillRect/>
                    </a:stretch>
                  </pic:blipFill>
                  <pic:spPr bwMode="auto">
                    <a:xfrm>
                      <a:off x="0" y="0"/>
                      <a:ext cx="2752725" cy="8255"/>
                    </a:xfrm>
                    <a:prstGeom prst="rect">
                      <a:avLst/>
                    </a:prstGeom>
                    <a:noFill/>
                  </pic:spPr>
                </pic:pic>
              </a:graphicData>
            </a:graphic>
          </wp:anchor>
        </w:drawing>
      </w:r>
    </w:p>
    <w:p>
      <w:pPr>
        <w:spacing w:after="0" w:line="23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Name: David Siegel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267" w:right="1440" w:bottom="1440" w:gutter="0" w:footer="0" w:header="0"/>
        </w:sectPr>
      </w:pPr>
    </w:p>
    <w:bookmarkStart w:id="343" w:name="page344"/>
    <w:bookmarkEnd w:id="34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PAR INVESTMENT PARTNERS, L.P.</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PAR Group II, L.P., its general partner</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PAR Capital Management, Inc., its general partner</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4">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540"/>
          </w:cols>
          <w:pgMar w:left="1440" w:top="267" w:right="919" w:bottom="1440" w:gutter="0" w:footer="0" w:header="0"/>
        </w:sectPr>
      </w:pPr>
    </w:p>
    <w:bookmarkStart w:id="344" w:name="page345"/>
    <w:bookmarkEnd w:id="34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EXHIBIT A</w:t>
      </w: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ADOPTION AGREEMENT</w:t>
      </w:r>
    </w:p>
    <w:p>
      <w:pPr>
        <w:spacing w:after="0" w:line="118" w:lineRule="exact"/>
        <w:rPr>
          <w:sz w:val="20"/>
          <w:szCs w:val="20"/>
          <w:color w:val="auto"/>
        </w:rPr>
      </w:pPr>
    </w:p>
    <w:p>
      <w:pPr>
        <w:jc w:val="both"/>
        <w:ind w:right="100" w:firstLine="434"/>
        <w:spacing w:after="0" w:line="272" w:lineRule="auto"/>
        <w:rPr>
          <w:sz w:val="20"/>
          <w:szCs w:val="20"/>
          <w:color w:val="auto"/>
        </w:rPr>
      </w:pPr>
      <w:r>
        <w:rPr>
          <w:rFonts w:ascii="Arial" w:cs="Arial" w:eastAsia="Arial" w:hAnsi="Arial"/>
          <w:sz w:val="17"/>
          <w:szCs w:val="17"/>
          <w:color w:val="auto"/>
        </w:rPr>
        <w:t>This Adoption Agreement (“</w:t>
      </w:r>
      <w:r>
        <w:rPr>
          <w:rFonts w:ascii="Arial" w:cs="Arial" w:eastAsia="Arial" w:hAnsi="Arial"/>
          <w:sz w:val="17"/>
          <w:szCs w:val="17"/>
          <w:u w:val="single" w:color="auto"/>
          <w:color w:val="auto"/>
        </w:rPr>
        <w:t>Adoption Agreement</w:t>
      </w:r>
      <w:r>
        <w:rPr>
          <w:rFonts w:ascii="Arial" w:cs="Arial" w:eastAsia="Arial" w:hAnsi="Arial"/>
          <w:sz w:val="17"/>
          <w:szCs w:val="17"/>
          <w:color w:val="auto"/>
        </w:rPr>
        <w:t>”) is executed pursuant to the terms of the Registration Rights Agreement, dated as of [__], 2021, a copy of which is attached hereto (as amended,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by the undersigned (the “</w:t>
      </w:r>
      <w:r>
        <w:rPr>
          <w:rFonts w:ascii="Arial" w:cs="Arial" w:eastAsia="Arial" w:hAnsi="Arial"/>
          <w:sz w:val="17"/>
          <w:szCs w:val="17"/>
          <w:u w:val="single" w:color="auto"/>
          <w:color w:val="auto"/>
        </w:rPr>
        <w:t>Undersigned</w:t>
      </w:r>
      <w:r>
        <w:rPr>
          <w:rFonts w:ascii="Arial" w:cs="Arial" w:eastAsia="Arial" w:hAnsi="Arial"/>
          <w:sz w:val="17"/>
          <w:szCs w:val="17"/>
          <w:color w:val="auto"/>
        </w:rPr>
        <w:t>”) executing this Adoption Agreement. Capitalized terms used herein without definition are defined in the Registration Rights Agreement and are used herein with the same meanings set forth therein. By the execution of this Adoption Agreement, the Undersigned agrees as follows:</w:t>
      </w:r>
    </w:p>
    <w:p>
      <w:pPr>
        <w:spacing w:after="0" w:line="178" w:lineRule="exact"/>
        <w:rPr>
          <w:sz w:val="20"/>
          <w:szCs w:val="20"/>
          <w:color w:val="auto"/>
        </w:rPr>
      </w:pPr>
    </w:p>
    <w:p>
      <w:pPr>
        <w:ind w:firstLine="433"/>
        <w:spacing w:after="0" w:line="266" w:lineRule="auto"/>
        <w:tabs>
          <w:tab w:leader="none" w:pos="61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The Undersigned acknowledges that the Undersigned is acquiring certain Shares, subject to the terms and conditions of the Registration Rights Agreement.</w:t>
      </w:r>
    </w:p>
    <w:p>
      <w:pPr>
        <w:spacing w:after="0" w:line="179" w:lineRule="exact"/>
        <w:rPr>
          <w:rFonts w:ascii="Arial" w:cs="Arial" w:eastAsia="Arial" w:hAnsi="Arial"/>
          <w:sz w:val="18"/>
          <w:szCs w:val="18"/>
          <w:color w:val="auto"/>
        </w:rPr>
      </w:pPr>
    </w:p>
    <w:p>
      <w:pPr>
        <w:ind w:right="300" w:firstLine="433"/>
        <w:spacing w:after="0" w:line="253" w:lineRule="auto"/>
        <w:tabs>
          <w:tab w:leader="none" w:pos="61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The Undersigned (i) agrees that the Shares acquired by the Undersigned, and certain other Shares and other securities of the Company that may be acquired by the Undersigned in the future, shall be bound by and subject to the terms of the Registration Rights Agreement, pursuant to the terms thereof, and (ii) hereby adopts the Registration Rights Agreement with the same force and effect as if the undersigned were originally a party thereto.</w:t>
      </w:r>
    </w:p>
    <w:p>
      <w:pPr>
        <w:spacing w:after="0" w:line="190" w:lineRule="exact"/>
        <w:rPr>
          <w:rFonts w:ascii="Arial" w:cs="Arial" w:eastAsia="Arial" w:hAnsi="Arial"/>
          <w:sz w:val="18"/>
          <w:szCs w:val="18"/>
          <w:color w:val="auto"/>
        </w:rPr>
      </w:pPr>
    </w:p>
    <w:p>
      <w:pPr>
        <w:ind w:right="80" w:firstLine="433"/>
        <w:spacing w:after="0" w:line="266" w:lineRule="auto"/>
        <w:tabs>
          <w:tab w:leader="none" w:pos="61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as permitted by the Registration Rights Agreement shall be given to the Undersigned at the address listed beside the Undersigned’s signature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Arial" w:cs="Arial" w:eastAsia="Arial" w:hAnsi="Arial"/>
                <w:sz w:val="18"/>
                <w:szCs w:val="18"/>
                <w:color w:val="auto"/>
              </w:rPr>
              <w:t>[NAME OF HOLDER]</w:t>
            </w:r>
          </w:p>
        </w:tc>
        <w:tc>
          <w:tcPr>
            <w:tcW w:w="5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w w:val="88"/>
              </w:rPr>
              <w:t>Address for Notices:</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20"/>
        </w:trPr>
        <w:tc>
          <w:tcPr>
            <w:tcW w:w="2640" w:type="dxa"/>
            <w:vAlign w:val="bottom"/>
            <w:gridSpan w:val="2"/>
          </w:tcPr>
          <w:p>
            <w:pPr>
              <w:spacing w:after="0"/>
              <w:rPr>
                <w:sz w:val="20"/>
                <w:szCs w:val="20"/>
                <w:color w:val="auto"/>
              </w:rPr>
            </w:pPr>
            <w:r>
              <w:rPr>
                <w:rFonts w:ascii="Arial" w:cs="Arial" w:eastAsia="Arial" w:hAnsi="Arial"/>
                <w:sz w:val="18"/>
                <w:szCs w:val="18"/>
                <w:color w:val="auto"/>
              </w:rPr>
              <w:t>Name:</w:t>
            </w:r>
          </w:p>
        </w:tc>
        <w:tc>
          <w:tcPr>
            <w:tcW w:w="5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3"/>
        </w:trPr>
        <w:tc>
          <w:tcPr>
            <w:tcW w:w="2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Date:</w:t>
            </w:r>
          </w:p>
        </w:tc>
        <w:tc>
          <w:tcPr>
            <w:tcW w:w="5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Email: [●]</w:t>
            </w:r>
          </w:p>
        </w:tc>
      </w:tr>
    </w:tbl>
    <w:p>
      <w:pPr>
        <w:sectPr>
          <w:pgSz w:w="11900" w:h="16838" w:orient="portrait"/>
          <w:cols w:equalWidth="0" w:num="1">
            <w:col w:w="10680"/>
          </w:cols>
          <w:pgMar w:left="520" w:top="267" w:right="69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10.46</w:t>
      </w:r>
    </w:p>
    <w:p>
      <w:pPr>
        <w:spacing w:after="0" w:line="200" w:lineRule="exact"/>
        <w:rPr>
          <w:sz w:val="20"/>
          <w:szCs w:val="20"/>
          <w:color w:val="auto"/>
        </w:rPr>
      </w:pPr>
    </w:p>
    <w:p>
      <w:pPr>
        <w:spacing w:after="0" w:line="23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u w:val="single" w:color="auto"/>
          <w:color w:val="auto"/>
        </w:rPr>
        <w:t>FORM OF</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u w:val="single" w:color="auto"/>
          <w:color w:val="auto"/>
        </w:rPr>
        <w:t>INCOME TAX RECEIVABLE AGREEMENT</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u w:val="single" w:color="auto"/>
          <w:color w:val="auto"/>
        </w:rPr>
        <w:t>dated as of</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920"/>
          </w:cols>
          <w:pgMar w:left="1440" w:top="121" w:right="53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8680" w:type="dxa"/>
            <w:vAlign w:val="bottom"/>
            <w:gridSpan w:val="3"/>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60"/>
        </w:trPr>
        <w:tc>
          <w:tcPr>
            <w:tcW w:w="44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90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II DETERMINATION OF REALIZED TAX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Pre-IPO Tax Attribute Utilization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Tax Benefit Schedule</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Procedures, Amendments</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III TAX BENEFIT 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No Duplicative 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IV TERMINATION</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Termination, Breach of Agreement, Change of Control</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Early Termination Schedule</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Payment upon Early Termination</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 LATE PAYMENTS, ETC.</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Late Payments by the Corporation</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Compliance with Indebtedness</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VI CONSISTENCY; COOPERATION</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The Existing Stockholders Representative’s Participation in Corporation Tax Matters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Consistency</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Cooperation</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VII MISCELLANEOUS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Notices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Counterparts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Entire Agreement; Third Party Beneficiaries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Severability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Successors; Assignment; Amendments; Waivers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Titles and Subtitles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Resolution of Disputes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Reconciliation</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Withholding</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w w:val="95"/>
              </w:rPr>
              <w:t>Affiliated Corporations; Admission of the Corporation into a Consolidated Group; Transfers of Corporate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Confidentiality</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48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Headings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148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8680" w:type="dxa"/>
            <w:vAlign w:val="bottom"/>
            <w:gridSpan w:val="3"/>
          </w:tcPr>
          <w:p>
            <w:pPr>
              <w:ind w:left="220"/>
              <w:spacing w:after="0"/>
              <w:rPr>
                <w:sz w:val="20"/>
                <w:szCs w:val="20"/>
                <w:color w:val="auto"/>
              </w:rPr>
            </w:pPr>
            <w:r>
              <w:rPr>
                <w:rFonts w:ascii="Arial" w:cs="Arial" w:eastAsia="Arial" w:hAnsi="Arial"/>
                <w:sz w:val="18"/>
                <w:szCs w:val="18"/>
                <w:color w:val="auto"/>
              </w:rPr>
              <w:t>Appointment of Existing Stockholders Representative</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00"/>
          </w:cols>
          <w:pgMar w:left="520" w:top="251" w:right="579" w:bottom="1440" w:gutter="0" w:footer="0" w:header="0"/>
        </w:sectPr>
      </w:pPr>
    </w:p>
    <w:bookmarkStart w:id="347" w:name="page348"/>
    <w:bookmarkEnd w:id="347"/>
    <w:p>
      <w:pPr>
        <w:ind w:left="1" w:right="60" w:firstLine="97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This INCOME TAX RECEIVABLE AGREEMENT (as amended from time to time,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w:t>
      </w:r>
      <w:r>
        <w:rPr>
          <w:rFonts w:ascii="Arial" w:cs="Arial" w:eastAsia="Arial" w:hAnsi="Arial"/>
          <w:sz w:val="18"/>
          <w:szCs w:val="18"/>
          <w:b w:val="1"/>
          <w:bCs w:val="1"/>
          <w:color w:val="auto"/>
        </w:rPr>
        <w:t>•</w:t>
      </w:r>
      <w:r>
        <w:rPr>
          <w:rFonts w:ascii="Arial" w:cs="Arial" w:eastAsia="Arial" w:hAnsi="Arial"/>
          <w:sz w:val="18"/>
          <w:szCs w:val="18"/>
          <w:color w:val="auto"/>
        </w:rPr>
        <w:t>], is hereby entered into by and among Sun Country Airlines Holdings, Inc.,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w:t>
      </w:r>
      <w:r>
        <w:rPr>
          <w:rFonts w:ascii="Arial" w:cs="Arial" w:eastAsia="Arial" w:hAnsi="Arial"/>
          <w:sz w:val="15"/>
          <w:szCs w:val="15"/>
          <w:color w:val="auto"/>
        </w:rPr>
        <w:t>1</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Existing Stockholders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RECITALS</w:t>
      </w:r>
    </w:p>
    <w:p>
      <w:pPr>
        <w:spacing w:after="0" w:line="224"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WHEREAS, the Existing Stockholders (as defined below), in the aggregate, hold 100% of the capital stock of the Corporation, directly or</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color w:val="auto"/>
        </w:rPr>
        <w:t>indirectly;</w:t>
      </w:r>
    </w:p>
    <w:p>
      <w:pPr>
        <w:spacing w:after="0" w:line="20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WHEREAS, the Corporation will become a public company pursuant to the IPO (as defined below);</w:t>
      </w:r>
    </w:p>
    <w:p>
      <w:pPr>
        <w:spacing w:after="0" w:line="212" w:lineRule="exact"/>
        <w:rPr>
          <w:sz w:val="20"/>
          <w:szCs w:val="20"/>
          <w:color w:val="auto"/>
        </w:rPr>
      </w:pPr>
    </w:p>
    <w:p>
      <w:pPr>
        <w:ind w:left="1"/>
        <w:spacing w:after="0" w:line="251" w:lineRule="auto"/>
        <w:rPr>
          <w:sz w:val="20"/>
          <w:szCs w:val="20"/>
          <w:color w:val="auto"/>
        </w:rPr>
      </w:pPr>
      <w:r>
        <w:rPr>
          <w:rFonts w:ascii="Arial" w:cs="Arial" w:eastAsia="Arial" w:hAnsi="Arial"/>
          <w:sz w:val="18"/>
          <w:szCs w:val="18"/>
          <w:color w:val="auto"/>
        </w:rPr>
        <w:t>WHEREAS, after the IPO, the Corporation and its Subsidiaries (the “</w:t>
      </w:r>
      <w:r>
        <w:rPr>
          <w:rFonts w:ascii="Arial" w:cs="Arial" w:eastAsia="Arial" w:hAnsi="Arial"/>
          <w:sz w:val="18"/>
          <w:szCs w:val="18"/>
          <w:b w:val="1"/>
          <w:bCs w:val="1"/>
          <w:u w:val="single" w:color="auto"/>
          <w:color w:val="auto"/>
        </w:rPr>
        <w:t>Taxable Entities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Taxable Entity</w:t>
      </w:r>
      <w:r>
        <w:rPr>
          <w:rFonts w:ascii="Arial" w:cs="Arial" w:eastAsia="Arial" w:hAnsi="Arial"/>
          <w:sz w:val="18"/>
          <w:szCs w:val="18"/>
          <w:color w:val="auto"/>
        </w:rPr>
        <w:t>”) will have net operating loss carryforwards (“</w:t>
      </w:r>
      <w:r>
        <w:rPr>
          <w:rFonts w:ascii="Arial" w:cs="Arial" w:eastAsia="Arial" w:hAnsi="Arial"/>
          <w:sz w:val="18"/>
          <w:szCs w:val="18"/>
          <w:b w:val="1"/>
          <w:bCs w:val="1"/>
          <w:u w:val="single" w:color="auto"/>
          <w:color w:val="auto"/>
        </w:rPr>
        <w:t>NOLs</w:t>
      </w:r>
      <w:r>
        <w:rPr>
          <w:rFonts w:ascii="Arial" w:cs="Arial" w:eastAsia="Arial" w:hAnsi="Arial"/>
          <w:sz w:val="18"/>
          <w:szCs w:val="18"/>
          <w:color w:val="auto"/>
        </w:rPr>
        <w:t>”), tax basis in fixed assets and amortizable intangibles, tax amortization associated with tax basis in warrants issued by the Corporation pursuant to Treasury Regulations Section 1.263(a)-4(d)(6)(i)(B), and tax deductions that relate to expenses incurred in the 2018 acquisition of the Corporation by certain of the Existing Stockholders, in completing the IPO, and in entering into indebtedness of the Corporation or its Subsidiaries, in each case that relate to periods (or portions thereof) ending on or prior to the date of the IPO, determined in accordance with Section 3.3 (the “</w:t>
      </w:r>
      <w:r>
        <w:rPr>
          <w:rFonts w:ascii="Arial" w:cs="Arial" w:eastAsia="Arial" w:hAnsi="Arial"/>
          <w:sz w:val="18"/>
          <w:szCs w:val="18"/>
          <w:b w:val="1"/>
          <w:bCs w:val="1"/>
          <w:u w:val="single" w:color="auto"/>
          <w:color w:val="auto"/>
        </w:rPr>
        <w:t>Pre-IPO Tax Attributes</w:t>
      </w:r>
      <w:r>
        <w:rPr>
          <w:rFonts w:ascii="Arial" w:cs="Arial" w:eastAsia="Arial" w:hAnsi="Arial"/>
          <w:sz w:val="18"/>
          <w:szCs w:val="18"/>
          <w:color w:val="auto"/>
        </w:rPr>
        <w:t>”);</w:t>
      </w:r>
    </w:p>
    <w:p>
      <w:pPr>
        <w:spacing w:after="0" w:line="196" w:lineRule="exact"/>
        <w:rPr>
          <w:sz w:val="20"/>
          <w:szCs w:val="20"/>
          <w:color w:val="auto"/>
        </w:rPr>
      </w:pPr>
    </w:p>
    <w:p>
      <w:pPr>
        <w:ind w:left="1" w:right="340" w:firstLine="976"/>
        <w:spacing w:after="0" w:line="266" w:lineRule="auto"/>
        <w:rPr>
          <w:sz w:val="20"/>
          <w:szCs w:val="20"/>
          <w:color w:val="auto"/>
        </w:rPr>
      </w:pPr>
      <w:r>
        <w:rPr>
          <w:rFonts w:ascii="Arial" w:cs="Arial" w:eastAsia="Arial" w:hAnsi="Arial"/>
          <w:sz w:val="18"/>
          <w:szCs w:val="18"/>
          <w:color w:val="auto"/>
        </w:rPr>
        <w:t>WHEREAS, the Pre-IPO Tax Attributes may reduce the reported liability for Taxes (as defined below) that the Taxable Entities might otherwise be required to pay;</w:t>
      </w:r>
    </w:p>
    <w:p>
      <w:pPr>
        <w:spacing w:after="0" w:line="179" w:lineRule="exact"/>
        <w:rPr>
          <w:sz w:val="20"/>
          <w:szCs w:val="20"/>
          <w:color w:val="auto"/>
        </w:rPr>
      </w:pPr>
    </w:p>
    <w:p>
      <w:pPr>
        <w:ind w:left="1" w:right="200" w:firstLine="976"/>
        <w:spacing w:after="0" w:line="266" w:lineRule="auto"/>
        <w:rPr>
          <w:sz w:val="20"/>
          <w:szCs w:val="20"/>
          <w:color w:val="auto"/>
        </w:rPr>
      </w:pPr>
      <w:r>
        <w:rPr>
          <w:rFonts w:ascii="Arial" w:cs="Arial" w:eastAsia="Arial" w:hAnsi="Arial"/>
          <w:sz w:val="18"/>
          <w:szCs w:val="18"/>
          <w:color w:val="auto"/>
        </w:rPr>
        <w:t>WHEREAS, the income, gain, loss, expense and other Tax (as defined below) items of the Taxable Entities may be affected by Imputed Interest (as defined below), if any;</w:t>
      </w:r>
    </w:p>
    <w:p>
      <w:pPr>
        <w:spacing w:after="0" w:line="179" w:lineRule="exact"/>
        <w:rPr>
          <w:sz w:val="20"/>
          <w:szCs w:val="20"/>
          <w:color w:val="auto"/>
        </w:rPr>
      </w:pPr>
    </w:p>
    <w:p>
      <w:pPr>
        <w:ind w:left="1" w:firstLine="976"/>
        <w:spacing w:after="0" w:line="266"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Pre-IPO Tax Attributes and Imputed Interest (as defined below) on the reported liability for Taxes of the Taxable Entities;</w:t>
      </w:r>
    </w:p>
    <w:p>
      <w:pPr>
        <w:spacing w:after="0" w:line="179" w:lineRule="exact"/>
        <w:rPr>
          <w:sz w:val="20"/>
          <w:szCs w:val="20"/>
          <w:color w:val="auto"/>
        </w:rPr>
      </w:pPr>
    </w:p>
    <w:p>
      <w:pPr>
        <w:ind w:left="1" w:right="100" w:firstLine="976"/>
        <w:spacing w:after="0" w:line="266"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1" w:firstLine="434"/>
        <w:spacing w:after="0" w:line="26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(a) . As used in this Agreement, the terms set forth in this Article I shall have the following meanings (such meanings to be equally applicable to both the singular and plural forms of the terms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512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27" w:lineRule="exact"/>
        <w:rPr>
          <w:sz w:val="20"/>
          <w:szCs w:val="20"/>
          <w:color w:val="auto"/>
        </w:rPr>
      </w:pPr>
    </w:p>
    <w:p>
      <w:pPr>
        <w:ind w:left="421" w:hanging="421"/>
        <w:spacing w:after="0"/>
        <w:tabs>
          <w:tab w:leader="none" w:pos="421" w:val="left"/>
        </w:tabs>
        <w:numPr>
          <w:ilvl w:val="0"/>
          <w:numId w:val="256"/>
        </w:numPr>
        <w:rPr>
          <w:rFonts w:ascii="Arial" w:cs="Arial" w:eastAsia="Arial" w:hAnsi="Arial"/>
          <w:sz w:val="15"/>
          <w:szCs w:val="15"/>
          <w:color w:val="auto"/>
        </w:rPr>
      </w:pPr>
      <w:r>
        <w:rPr>
          <w:rFonts w:ascii="Arial" w:cs="Arial" w:eastAsia="Arial" w:hAnsi="Arial"/>
          <w:sz w:val="18"/>
          <w:szCs w:val="18"/>
          <w:b w:val="1"/>
          <w:bCs w:val="1"/>
          <w:u w:val="single" w:color="auto"/>
          <w:color w:val="auto"/>
        </w:rPr>
        <w:t>Note to Draft</w:t>
      </w:r>
      <w:r>
        <w:rPr>
          <w:rFonts w:ascii="Arial" w:cs="Arial" w:eastAsia="Arial" w:hAnsi="Arial"/>
          <w:sz w:val="18"/>
          <w:szCs w:val="18"/>
          <w:color w:val="auto"/>
        </w:rPr>
        <w:t>: To be an affiliate of Apollo.</w:t>
      </w:r>
    </w:p>
    <w:p>
      <w:pPr>
        <w:sectPr>
          <w:pgSz w:w="11900" w:h="16838" w:orient="portrait"/>
          <w:cols w:equalWidth="0" w:num="1">
            <w:col w:w="10801"/>
          </w:cols>
          <w:pgMar w:left="519" w:top="267" w:right="579" w:bottom="1440" w:gutter="0" w:footer="0" w:header="0"/>
        </w:sectPr>
      </w:pPr>
    </w:p>
    <w:bookmarkStart w:id="348" w:name="page349"/>
    <w:bookmarkEnd w:id="348"/>
    <w:p>
      <w:pPr>
        <w:ind w:left="1" w:right="120" w:firstLine="97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b w:val="1"/>
          <w:bCs w:val="1"/>
          <w:u w:val="single" w:color="auto"/>
          <w:color w:val="auto"/>
        </w:rPr>
        <w:t>Acquired Tax Attributes</w:t>
      </w:r>
      <w:r>
        <w:rPr>
          <w:rFonts w:ascii="Arial" w:cs="Arial" w:eastAsia="Arial" w:hAnsi="Arial"/>
          <w:sz w:val="18"/>
          <w:szCs w:val="18"/>
          <w:color w:val="auto"/>
        </w:rPr>
        <w:t>” means any NOL, deduction, tax basis or other tax attribute of any corporation or other entity acquired by the Corporation or any of its Subsidiaries by purchase, merger, or otherwise (in each case, from a Person or Persons other than the Corporation and its Subsidiaries and, in each case, whether or not such corporation or other entity survives) after the IPO that relate to periods (or portions thereof) ending on or prior to the date of such acquisition.</w:t>
      </w:r>
    </w:p>
    <w:p>
      <w:pPr>
        <w:spacing w:after="0" w:line="184" w:lineRule="exact"/>
        <w:rPr>
          <w:sz w:val="20"/>
          <w:szCs w:val="20"/>
          <w:color w:val="auto"/>
        </w:rPr>
      </w:pPr>
    </w:p>
    <w:p>
      <w:pPr>
        <w:ind w:left="1"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Advisory Firm</w:t>
      </w:r>
      <w:r>
        <w:rPr>
          <w:rFonts w:ascii="Arial" w:cs="Arial" w:eastAsia="Arial" w:hAnsi="Arial"/>
          <w:sz w:val="18"/>
          <w:szCs w:val="18"/>
          <w:color w:val="auto"/>
        </w:rPr>
        <w:t>” means (i) []</w:t>
      </w:r>
      <w:r>
        <w:rPr>
          <w:rFonts w:ascii="Arial" w:cs="Arial" w:eastAsia="Arial" w:hAnsi="Arial"/>
          <w:sz w:val="15"/>
          <w:szCs w:val="15"/>
          <w:color w:val="auto"/>
        </w:rPr>
        <w:t>2</w:t>
      </w:r>
      <w:r>
        <w:rPr>
          <w:rFonts w:ascii="Arial" w:cs="Arial" w:eastAsia="Arial" w:hAnsi="Arial"/>
          <w:sz w:val="18"/>
          <w:szCs w:val="18"/>
          <w:color w:val="auto"/>
        </w:rPr>
        <w:t xml:space="preserve"> or (ii) any other law or accounting firm that is (A) nationally recognized as being expert in Tax matters and (B) that is agreed to by the Corporation and the Existing Stockholders Representative.</w:t>
      </w:r>
    </w:p>
    <w:p>
      <w:pPr>
        <w:spacing w:after="0" w:line="167" w:lineRule="exact"/>
        <w:rPr>
          <w:sz w:val="20"/>
          <w:szCs w:val="20"/>
          <w:color w:val="auto"/>
        </w:rPr>
      </w:pPr>
    </w:p>
    <w:p>
      <w:pPr>
        <w:ind w:left="1" w:right="20" w:firstLine="97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Advisory Firm Report</w:t>
      </w:r>
      <w:r>
        <w:rPr>
          <w:rFonts w:ascii="Arial" w:cs="Arial" w:eastAsia="Arial" w:hAnsi="Arial"/>
          <w:sz w:val="17"/>
          <w:szCs w:val="17"/>
          <w:color w:val="auto"/>
        </w:rPr>
        <w:t>” shall mean (a) an attestation report from the Advisory Firm expressing an opinion on management’s assertion as to whether the Tax Benefit Schedule and/or the Early Termination Schedule has been prepared, in all material respects, in accordance with the Agreement, or (b) another type of report or letter from the Advisory Firm related to whether the information in the Tax Benefit Schedule and/or the Early Termination Schedule has been prepared in a manner consistent with the terms of the Agreement.</w:t>
      </w:r>
    </w:p>
    <w:p>
      <w:pPr>
        <w:spacing w:after="0" w:line="168" w:lineRule="exact"/>
        <w:rPr>
          <w:sz w:val="20"/>
          <w:szCs w:val="20"/>
          <w:color w:val="auto"/>
        </w:rPr>
      </w:pPr>
    </w:p>
    <w:p>
      <w:pPr>
        <w:ind w:left="1" w:right="4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Agreed Rate</w:t>
      </w:r>
      <w:r>
        <w:rPr>
          <w:rFonts w:ascii="Arial" w:cs="Arial" w:eastAsia="Arial" w:hAnsi="Arial"/>
          <w:sz w:val="18"/>
          <w:szCs w:val="18"/>
          <w:color w:val="auto"/>
        </w:rPr>
        <w:t>” means LIBOR plus 300 basis points.</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Amended Schedule</w:t>
      </w:r>
      <w:r>
        <w:rPr>
          <w:rFonts w:ascii="Arial" w:cs="Arial" w:eastAsia="Arial" w:hAnsi="Arial"/>
          <w:sz w:val="18"/>
          <w:szCs w:val="18"/>
          <w:color w:val="auto"/>
        </w:rPr>
        <w:t>” is defined in Section 2.3(b)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Tax Payment</w:t>
      </w:r>
      <w:r>
        <w:rPr>
          <w:rFonts w:ascii="Arial" w:cs="Arial" w:eastAsia="Arial" w:hAnsi="Arial"/>
          <w:sz w:val="18"/>
          <w:szCs w:val="18"/>
          <w:color w:val="auto"/>
        </w:rPr>
        <w:t>” is defined in Section 3.1(a)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Assumed State Tax Rate</w:t>
      </w:r>
      <w:r>
        <w:rPr>
          <w:rFonts w:ascii="Arial" w:cs="Arial" w:eastAsia="Arial" w:hAnsi="Arial"/>
          <w:sz w:val="18"/>
          <w:szCs w:val="18"/>
          <w:color w:val="auto"/>
        </w:rPr>
        <w:t>” means [two point four (2.4)] percent.</w:t>
      </w:r>
    </w:p>
    <w:p>
      <w:pPr>
        <w:spacing w:after="0" w:line="218" w:lineRule="exact"/>
        <w:rPr>
          <w:sz w:val="20"/>
          <w:szCs w:val="20"/>
          <w:color w:val="auto"/>
        </w:rPr>
      </w:pPr>
    </w:p>
    <w:p>
      <w:pPr>
        <w:ind w:left="1" w:right="100" w:firstLine="976"/>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b w:val="1"/>
          <w:bCs w:val="1"/>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Beneficial Ownership</w:t>
      </w:r>
      <w:r>
        <w:rPr>
          <w:rFonts w:ascii="Arial" w:cs="Arial" w:eastAsia="Arial" w:hAnsi="Arial"/>
          <w:sz w:val="18"/>
          <w:szCs w:val="18"/>
          <w:color w:val="auto"/>
        </w:rPr>
        <w:t>” shall have correlative meanings.</w:t>
      </w:r>
    </w:p>
    <w:p>
      <w:pPr>
        <w:spacing w:after="0" w:line="184"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512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0">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92" w:lineRule="exact"/>
        <w:rPr>
          <w:sz w:val="20"/>
          <w:szCs w:val="20"/>
          <w:color w:val="auto"/>
        </w:rPr>
      </w:pPr>
    </w:p>
    <w:p>
      <w:pPr>
        <w:ind w:left="421" w:hanging="421"/>
        <w:spacing w:after="0"/>
        <w:tabs>
          <w:tab w:leader="none" w:pos="421" w:val="left"/>
        </w:tabs>
        <w:numPr>
          <w:ilvl w:val="0"/>
          <w:numId w:val="257"/>
        </w:numPr>
        <w:rPr>
          <w:rFonts w:ascii="Arial" w:cs="Arial" w:eastAsia="Arial" w:hAnsi="Arial"/>
          <w:sz w:val="15"/>
          <w:szCs w:val="15"/>
          <w:color w:val="auto"/>
        </w:rPr>
      </w:pPr>
      <w:r>
        <w:rPr>
          <w:rFonts w:ascii="Arial" w:cs="Arial" w:eastAsia="Arial" w:hAnsi="Arial"/>
          <w:sz w:val="18"/>
          <w:szCs w:val="18"/>
          <w:b w:val="1"/>
          <w:bCs w:val="1"/>
          <w:u w:val="single" w:color="auto"/>
          <w:color w:val="auto"/>
        </w:rPr>
        <w:t>Note to Draft</w:t>
      </w:r>
      <w:r>
        <w:rPr>
          <w:rFonts w:ascii="Arial" w:cs="Arial" w:eastAsia="Arial" w:hAnsi="Arial"/>
          <w:sz w:val="18"/>
          <w:szCs w:val="18"/>
          <w:color w:val="auto"/>
        </w:rPr>
        <w:t>: Sun Country to confirm preferred outside tax advisor.</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1"/>
          </w:cols>
          <w:pgMar w:left="519" w:top="267" w:right="539" w:bottom="1440" w:gutter="0" w:footer="0" w:header="0"/>
        </w:sectPr>
      </w:pPr>
    </w:p>
    <w:bookmarkStart w:id="349" w:name="page350"/>
    <w:bookmarkEnd w:id="349"/>
    <w:p>
      <w:pPr>
        <w:ind w:right="340" w:firstLine="976"/>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7" w:lineRule="exact"/>
        <w:rPr>
          <w:sz w:val="20"/>
          <w:szCs w:val="20"/>
          <w:color w:val="auto"/>
        </w:rPr>
      </w:pPr>
    </w:p>
    <w:p>
      <w:pPr>
        <w:ind w:right="80" w:firstLine="976"/>
        <w:spacing w:after="0" w:line="3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Calculation Date</w:t>
      </w:r>
      <w:r>
        <w:rPr>
          <w:rFonts w:ascii="Arial" w:cs="Arial" w:eastAsia="Arial" w:hAnsi="Arial"/>
          <w:sz w:val="16"/>
          <w:szCs w:val="16"/>
          <w:color w:val="auto"/>
        </w:rPr>
        <w:t>” means the later of (i) the day that is twelve (12) months after the date on which all loans made to Sun Country, Inc., a corporation organized under the laws of Minnesota, pursuant to the Loan and Guarantee Agreement are no longer outstanding and (ii) April 1, 2022.</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w:t>
      </w:r>
    </w:p>
    <w:p>
      <w:pPr>
        <w:spacing w:after="0" w:line="118" w:lineRule="exact"/>
        <w:rPr>
          <w:sz w:val="20"/>
          <w:szCs w:val="20"/>
          <w:color w:val="auto"/>
        </w:rPr>
      </w:pPr>
    </w:p>
    <w:p>
      <w:pPr>
        <w:ind w:left="440" w:right="120" w:hanging="7"/>
        <w:spacing w:after="0" w:line="250" w:lineRule="auto"/>
        <w:tabs>
          <w:tab w:leader="none" w:pos="6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merger, reorganization, consolidation or similar form of business transaction directly involving the Corporation or indirectly involving the Corporation through one or more intermediaries unless, immediately following such transaction, more than 50% of the voting power of the then outstanding voting stock or other equities of the Corporation resulting from consummation of such transaction (including, without limitation, any parent or ultimate parent corporation of such Person that as a result of such transaction owns directly or indirectly the Corporation and all or substantially all of the Corporation’s assets) is held by the Existing Stockholders or their Affiliates (determined immediately prior to such transaction and related transactions); or</w:t>
      </w:r>
    </w:p>
    <w:p>
      <w:pPr>
        <w:spacing w:after="0" w:line="89" w:lineRule="exact"/>
        <w:rPr>
          <w:rFonts w:ascii="Arial" w:cs="Arial" w:eastAsia="Arial" w:hAnsi="Arial"/>
          <w:sz w:val="18"/>
          <w:szCs w:val="18"/>
          <w:color w:val="auto"/>
        </w:rPr>
      </w:pPr>
    </w:p>
    <w:p>
      <w:pPr>
        <w:ind w:left="440" w:right="840" w:hanging="7"/>
        <w:spacing w:after="0" w:line="266" w:lineRule="auto"/>
        <w:tabs>
          <w:tab w:leader="none" w:pos="7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transaction in which the Corporation, directly or indirectly, sells, assigns, conveys, transfers, leases or otherwise disposes of all or substantially all of its assets to another Person other than an Affiliate; or</w:t>
      </w:r>
    </w:p>
    <w:p>
      <w:pPr>
        <w:spacing w:after="0" w:line="73" w:lineRule="exact"/>
        <w:rPr>
          <w:rFonts w:ascii="Arial" w:cs="Arial" w:eastAsia="Arial" w:hAnsi="Arial"/>
          <w:sz w:val="18"/>
          <w:szCs w:val="18"/>
          <w:color w:val="auto"/>
        </w:rPr>
      </w:pPr>
    </w:p>
    <w:p>
      <w:pPr>
        <w:ind w:left="440" w:right="120" w:hanging="7"/>
        <w:spacing w:after="0" w:line="284" w:lineRule="auto"/>
        <w:tabs>
          <w:tab w:leader="none" w:pos="75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 transaction in which there is an acquisition of control of the Corporation by a Person or group of Persons (other than Existing Stockholders and their Affiliates). For purposes of this definition, the term “control” shall mean the possession, directly or indirectly, of the power to either</w:t>
      </w:r>
    </w:p>
    <w:p>
      <w:pPr>
        <w:spacing w:after="0" w:line="1" w:lineRule="exact"/>
        <w:rPr>
          <w:rFonts w:ascii="Arial" w:cs="Arial" w:eastAsia="Arial" w:hAnsi="Arial"/>
          <w:sz w:val="16"/>
          <w:szCs w:val="16"/>
          <w:color w:val="auto"/>
        </w:rPr>
      </w:pPr>
    </w:p>
    <w:p>
      <w:pPr>
        <w:ind w:left="440" w:right="500" w:hanging="7"/>
        <w:spacing w:after="0" w:line="296" w:lineRule="auto"/>
        <w:tabs>
          <w:tab w:leader="none" w:pos="65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vote more than 50% of the securities having ordinary voting power for the election of directors (or comparable positions in the case of partnerships and limited liability companies), or (ii) direct or cause the direction of the management and policies of such Person whether by contract or otherwise (for the avoidance of doubt, consent rights do not constitute control for the purpose of this definition); or</w:t>
      </w:r>
    </w:p>
    <w:p>
      <w:pPr>
        <w:spacing w:after="0" w:line="46" w:lineRule="exact"/>
        <w:rPr>
          <w:rFonts w:ascii="Arial" w:cs="Arial" w:eastAsia="Arial" w:hAnsi="Arial"/>
          <w:sz w:val="16"/>
          <w:szCs w:val="16"/>
          <w:color w:val="auto"/>
        </w:rPr>
      </w:pPr>
    </w:p>
    <w:p>
      <w:pPr>
        <w:ind w:left="440" w:hanging="7"/>
        <w:spacing w:after="0" w:line="286" w:lineRule="auto"/>
        <w:tabs>
          <w:tab w:leader="none" w:pos="7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 transaction in which individuals who constitute the Board as of the date of this agreement (the “</w:t>
      </w:r>
      <w:r>
        <w:rPr>
          <w:rFonts w:ascii="Arial" w:cs="Arial" w:eastAsia="Arial" w:hAnsi="Arial"/>
          <w:sz w:val="16"/>
          <w:szCs w:val="16"/>
          <w:b w:val="1"/>
          <w:bCs w:val="1"/>
          <w:u w:val="single" w:color="auto"/>
          <w:color w:val="auto"/>
        </w:rPr>
        <w:t>Incumbent Directors</w:t>
      </w:r>
      <w:r>
        <w:rPr>
          <w:rFonts w:ascii="Arial" w:cs="Arial" w:eastAsia="Arial" w:hAnsi="Arial"/>
          <w:sz w:val="16"/>
          <w:szCs w:val="16"/>
          <w:color w:val="auto"/>
        </w:rPr>
        <w:t>”) cease for any reason to constitute at least a majority of the Board, provided that any person becoming a director subsequent to the effective date of this Agreement, whose election or nomination for election is either (A) contemplated by a written agreement among equityholders of the Corporation on the effective date of this Agreement or (B) was approved by a vote of at least two-thirds of the Incumbent Directors then on the Board (either by a specific vote or by approval of the proxy statement of the Corporation in which such person is named as a nominee for director, without written objection to such nomination) shall be an Incumbent Director; provided, however, that no individual initially elected or nominated as a director of the Corporation as a result of an actual or threatened election contest with respect to directors or as a result of any other actual or threatened solicitation of proxies or consents by or on behalf of any Person other than the Board shall be deemed to be an Incumbent Director;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67" w:right="539" w:bottom="1440" w:gutter="0" w:footer="0" w:header="0"/>
        </w:sectPr>
      </w:pPr>
    </w:p>
    <w:bookmarkStart w:id="350" w:name="page351"/>
    <w:bookmarkEnd w:id="350"/>
    <w:p>
      <w:pPr>
        <w:ind w:left="44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(v) the liquidation or dissolution of the Corporation.</w:t>
      </w:r>
    </w:p>
    <w:p>
      <w:pPr>
        <w:spacing w:after="0" w:line="212"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218" w:lineRule="exact"/>
        <w:rPr>
          <w:sz w:val="20"/>
          <w:szCs w:val="20"/>
          <w:color w:val="auto"/>
        </w:rPr>
      </w:pPr>
    </w:p>
    <w:p>
      <w:pPr>
        <w:ind w:left="1" w:right="44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Combined Taxation Group</w:t>
      </w:r>
      <w:r>
        <w:rPr>
          <w:rFonts w:ascii="Arial" w:cs="Arial" w:eastAsia="Arial" w:hAnsi="Arial"/>
          <w:sz w:val="18"/>
          <w:szCs w:val="18"/>
          <w:color w:val="auto"/>
        </w:rPr>
        <w:t>” means any consolidated, combined or unitary group or any profit and/or loss sharing, affiliated group relief, group payment or similar group or fiscal unity for Tax purposes (by election or otherwise).</w:t>
      </w:r>
    </w:p>
    <w:p>
      <w:pPr>
        <w:spacing w:after="0" w:line="167" w:lineRule="exact"/>
        <w:rPr>
          <w:sz w:val="20"/>
          <w:szCs w:val="20"/>
          <w:color w:val="auto"/>
        </w:rPr>
      </w:pPr>
    </w:p>
    <w:p>
      <w:pPr>
        <w:ind w:left="1" w:right="48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LIBOR plus 500 basis points.</w:t>
      </w:r>
    </w:p>
    <w:p>
      <w:pPr>
        <w:spacing w:after="0" w:line="218" w:lineRule="exact"/>
        <w:rPr>
          <w:sz w:val="20"/>
          <w:szCs w:val="20"/>
          <w:color w:val="auto"/>
        </w:rPr>
      </w:pPr>
    </w:p>
    <w:p>
      <w:pPr>
        <w:ind w:left="1"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Determination</w:t>
      </w:r>
      <w:r>
        <w:rPr>
          <w:rFonts w:ascii="Arial" w:cs="Arial" w:eastAsia="Arial" w:hAnsi="Arial"/>
          <w:sz w:val="18"/>
          <w:szCs w:val="18"/>
          <w:color w:val="auto"/>
        </w:rPr>
        <w:t>” shall have the meaning ascribed to such term in Section 1313(a) of the Code, or any other event (including the execution of a Form 870-AD) that finally and conclusively establishes the amount of any liability for Tax.</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Divestiture</w:t>
      </w:r>
      <w:r>
        <w:rPr>
          <w:rFonts w:ascii="Arial" w:cs="Arial" w:eastAsia="Arial" w:hAnsi="Arial"/>
          <w:sz w:val="18"/>
          <w:szCs w:val="18"/>
          <w:color w:val="auto"/>
        </w:rPr>
        <w:t>” means the sale of any Taxable Entity, other than any such sale that is, or is part of, a Change of Control.</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Divestiture Acceleration Payment</w:t>
      </w:r>
      <w:r>
        <w:rPr>
          <w:rFonts w:ascii="Arial" w:cs="Arial" w:eastAsia="Arial" w:hAnsi="Arial"/>
          <w:sz w:val="18"/>
          <w:szCs w:val="18"/>
          <w:color w:val="auto"/>
        </w:rPr>
        <w:t>” is defined in Section 4.3(b)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Complete Termination</w:t>
      </w:r>
      <w:r>
        <w:rPr>
          <w:rFonts w:ascii="Arial" w:cs="Arial" w:eastAsia="Arial" w:hAnsi="Arial"/>
          <w:sz w:val="18"/>
          <w:szCs w:val="18"/>
          <w:color w:val="auto"/>
        </w:rPr>
        <w:t>” is defined in Section 4.1(f)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Early Termination Date</w:t>
      </w:r>
      <w:r>
        <w:rPr>
          <w:rFonts w:ascii="Arial" w:cs="Arial" w:eastAsia="Arial" w:hAnsi="Arial"/>
          <w:sz w:val="16"/>
          <w:szCs w:val="16"/>
          <w:color w:val="auto"/>
        </w:rPr>
        <w:t>” means (i) in the event of a breach of this Agreement to which Section 4.1(b) applies, the date of such breach,</w:t>
      </w:r>
    </w:p>
    <w:p>
      <w:pPr>
        <w:spacing w:after="0" w:line="46" w:lineRule="exact"/>
        <w:rPr>
          <w:sz w:val="20"/>
          <w:szCs w:val="20"/>
          <w:color w:val="auto"/>
        </w:rPr>
      </w:pPr>
    </w:p>
    <w:p>
      <w:pPr>
        <w:ind w:left="1" w:right="580" w:hanging="1"/>
        <w:spacing w:after="0" w:line="253" w:lineRule="auto"/>
        <w:tabs>
          <w:tab w:leader="none" w:pos="26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the event of a Change of Control, the effective date of such Change of Control, (iii) in the event of a Divestiture, the effective date of such Divestiture and (iv) in the event of an Early Complete Termination the date of the Early Termination Notice.</w:t>
      </w:r>
    </w:p>
    <w:p>
      <w:pPr>
        <w:spacing w:after="0" w:line="185" w:lineRule="exact"/>
        <w:rPr>
          <w:sz w:val="20"/>
          <w:szCs w:val="20"/>
          <w:color w:val="auto"/>
        </w:rPr>
      </w:pPr>
    </w:p>
    <w:p>
      <w:pPr>
        <w:ind w:left="1" w:right="36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Event</w:t>
      </w:r>
      <w:r>
        <w:rPr>
          <w:rFonts w:ascii="Arial" w:cs="Arial" w:eastAsia="Arial" w:hAnsi="Arial"/>
          <w:sz w:val="18"/>
          <w:szCs w:val="18"/>
          <w:color w:val="auto"/>
        </w:rPr>
        <w:t>” means (i) a breach of this Agreement to which Section 4.1(b) applies, (ii) a Change of Control or (iii) an Early Complete Termination.</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Notice</w:t>
      </w:r>
      <w:r>
        <w:rPr>
          <w:rFonts w:ascii="Arial" w:cs="Arial" w:eastAsia="Arial" w:hAnsi="Arial"/>
          <w:sz w:val="18"/>
          <w:szCs w:val="18"/>
          <w:color w:val="auto"/>
        </w:rPr>
        <w:t>” is defined in Section 4.1(f) of this Agreement.</w:t>
      </w:r>
    </w:p>
    <w:p>
      <w:pPr>
        <w:spacing w:after="0" w:line="158" w:lineRule="exact"/>
        <w:rPr>
          <w:sz w:val="20"/>
          <w:szCs w:val="20"/>
          <w:color w:val="auto"/>
        </w:rPr>
      </w:pPr>
    </w:p>
    <w:p>
      <w:pPr>
        <w:ind w:left="538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1"/>
          </w:cols>
          <w:pgMar w:left="519" w:top="273" w:right="559" w:bottom="1440" w:gutter="0" w:footer="0" w:header="0"/>
        </w:sectPr>
      </w:pPr>
    </w:p>
    <w:bookmarkStart w:id="351" w:name="page352"/>
    <w:bookmarkEnd w:id="35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Early Termination Payment</w:t>
      </w:r>
      <w:r>
        <w:rPr>
          <w:rFonts w:ascii="Arial" w:cs="Arial" w:eastAsia="Arial" w:hAnsi="Arial"/>
          <w:sz w:val="18"/>
          <w:szCs w:val="18"/>
          <w:color w:val="auto"/>
        </w:rPr>
        <w:t>” is defined in Section 4.3(b)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Rate</w:t>
      </w:r>
      <w:r>
        <w:rPr>
          <w:rFonts w:ascii="Arial" w:cs="Arial" w:eastAsia="Arial" w:hAnsi="Arial"/>
          <w:sz w:val="18"/>
          <w:szCs w:val="18"/>
          <w:color w:val="auto"/>
        </w:rPr>
        <w:t>” means the lesser of 6.50% per annum, compounded annually, or LIBOR plus 100 basis points.</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Schedule</w:t>
      </w:r>
      <w:r>
        <w:rPr>
          <w:rFonts w:ascii="Arial" w:cs="Arial" w:eastAsia="Arial" w:hAnsi="Arial"/>
          <w:sz w:val="18"/>
          <w:szCs w:val="18"/>
          <w:color w:val="auto"/>
        </w:rPr>
        <w:t>” is defined in Section 4.2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Expert</w:t>
      </w:r>
      <w:r>
        <w:rPr>
          <w:rFonts w:ascii="Arial" w:cs="Arial" w:eastAsia="Arial" w:hAnsi="Arial"/>
          <w:sz w:val="18"/>
          <w:szCs w:val="18"/>
          <w:color w:val="auto"/>
        </w:rPr>
        <w:t>” is defined in Section 7.9(a)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Stockholders</w:t>
      </w:r>
      <w:r>
        <w:rPr>
          <w:rFonts w:ascii="Arial" w:cs="Arial" w:eastAsia="Arial" w:hAnsi="Arial"/>
          <w:sz w:val="18"/>
          <w:szCs w:val="18"/>
          <w:color w:val="auto"/>
        </w:rPr>
        <w:t>” means stockholders of record of the Corporation immediately prior to the IPO.</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Stockholders Representative</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right="2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Imputed Interest</w:t>
      </w:r>
      <w:r>
        <w:rPr>
          <w:rFonts w:ascii="Arial" w:cs="Arial" w:eastAsia="Arial" w:hAnsi="Arial"/>
          <w:sz w:val="18"/>
          <w:szCs w:val="18"/>
          <w:color w:val="auto"/>
        </w:rPr>
        <w:t>” shall mean any interest imputed under Section 1272, 1274 or 483 or other provision of the Code with respect to the Corporation’s payment obligations under this Agreement.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Individual Stockholder</w:t>
      </w:r>
      <w:r>
        <w:rPr>
          <w:rFonts w:ascii="Arial" w:cs="Arial" w:eastAsia="Arial" w:hAnsi="Arial"/>
          <w:sz w:val="18"/>
          <w:szCs w:val="18"/>
          <w:color w:val="auto"/>
        </w:rPr>
        <w:t>” means any Existing Stockholder that is an individual.</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Amount</w:t>
      </w:r>
      <w:r>
        <w:rPr>
          <w:rFonts w:ascii="Arial" w:cs="Arial" w:eastAsia="Arial" w:hAnsi="Arial"/>
          <w:sz w:val="18"/>
          <w:szCs w:val="18"/>
          <w:color w:val="auto"/>
        </w:rPr>
        <w:t>” is defined in Section 3.1(a)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shall mean the initial public offering of Common Stock of the Corporation pursuant to the Registration Statement.</w:t>
      </w:r>
    </w:p>
    <w:p>
      <w:pPr>
        <w:spacing w:after="0" w:line="218" w:lineRule="exact"/>
        <w:rPr>
          <w:sz w:val="20"/>
          <w:szCs w:val="20"/>
          <w:color w:val="auto"/>
        </w:rPr>
      </w:pPr>
    </w:p>
    <w:p>
      <w:pPr>
        <w:ind w:right="860" w:firstLine="976"/>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ITR Payment</w:t>
      </w:r>
      <w:r>
        <w:rPr>
          <w:rFonts w:ascii="Arial" w:cs="Arial" w:eastAsia="Arial" w:hAnsi="Arial"/>
          <w:sz w:val="17"/>
          <w:szCs w:val="17"/>
          <w:color w:val="auto"/>
        </w:rPr>
        <w:t>” means any Annual Tax Payment, Early Termination Payment, Divestiture Acceleration Payment or Individual Termination Payment required to be made by the Corporation to the Existing Stockholders under this Agreement.</w:t>
      </w:r>
    </w:p>
    <w:p>
      <w:pPr>
        <w:spacing w:after="0" w:line="145" w:lineRule="exact"/>
        <w:rPr>
          <w:sz w:val="20"/>
          <w:szCs w:val="20"/>
          <w:color w:val="auto"/>
        </w:rPr>
      </w:pPr>
    </w:p>
    <w:p>
      <w:pPr>
        <w:ind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LIBOR</w:t>
      </w:r>
      <w:r>
        <w:rPr>
          <w:rFonts w:ascii="Arial" w:cs="Arial" w:eastAsia="Arial" w:hAnsi="Arial"/>
          <w:sz w:val="16"/>
          <w:szCs w:val="16"/>
          <w:color w:val="auto"/>
        </w:rPr>
        <w:t xml:space="preserve">” means for each month (or portion thereof) during any period, an interest rate per annum equal to the rate per annum reported, on the date two days prior to the first day of such month, on the Reuters Screen which displays the London interbank offered rate administered by the ICE Benchmark Administration Limited (such page currently being the LIBOR01 page) or by any other publicly available source of such market rate) for London interbank offered rates for U.S. dollar deposits for such month (or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if the Corporation or the Existing Stockholders Representative has made the determination (such determination to be conclusive absent manifest error) that (i) LIBOR is no longer a widely recognized benchmark rate for newly originated loans in the U.S. loan market in U.S. dollars or (ii) that adequate and reasonable means do not exist for ascertaining LIBOR for such month pursuant to this definition, then LIBOR shall be replaced for all purposes under this Agreement by the rate that replaces the “Adjusted LIBOR Rate” with respect to borrowings under the Corporation and its Subsidiaries’ main credit agreement in effect as of the date of such determination, as it may be amended from time to time; provided, further that if no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520" w:top="267" w:right="539" w:bottom="1440" w:gutter="0" w:footer="0" w:header="0"/>
        </w:sectPr>
      </w:pPr>
    </w:p>
    <w:bookmarkStart w:id="352" w:name="page353"/>
    <w:bookmarkEnd w:id="35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replacement has been agreed or determined for purposes of such credit agreement the Corporation and the Existing Stockholders Representative shall, within one month of any such determination by either the Corporation or the Existing Stockholders Representative, mutually agree, acting in good faith, on a replacement interest rate (the “</w:t>
      </w:r>
      <w:r>
        <w:rPr>
          <w:rFonts w:ascii="Arial" w:cs="Arial" w:eastAsia="Arial" w:hAnsi="Arial"/>
          <w:sz w:val="16"/>
          <w:szCs w:val="16"/>
          <w:b w:val="1"/>
          <w:bCs w:val="1"/>
          <w:u w:val="single" w:color="auto"/>
          <w:color w:val="auto"/>
        </w:rPr>
        <w:t>Replacement Rate</w:t>
      </w:r>
      <w:r>
        <w:rPr>
          <w:rFonts w:ascii="Arial" w:cs="Arial" w:eastAsia="Arial" w:hAnsi="Arial"/>
          <w:sz w:val="16"/>
          <w:szCs w:val="16"/>
          <w:color w:val="auto"/>
        </w:rPr>
        <w:t>”), in which case, the Replacement Rate shall replace LIBOR for all purposes under this Agreement. If the Corporation and the Existing Stockholders Representative are unable to mutually agree on the Replacement Rate, the Corporation and the Existing Stockholders Representative shall employ the reconciliation procedures described in Section 7.9 of this Agreement.</w:t>
      </w:r>
    </w:p>
    <w:p>
      <w:pPr>
        <w:spacing w:after="0" w:line="159" w:lineRule="exact"/>
        <w:rPr>
          <w:sz w:val="20"/>
          <w:szCs w:val="20"/>
          <w:color w:val="auto"/>
        </w:rPr>
      </w:pPr>
    </w:p>
    <w:p>
      <w:pPr>
        <w:jc w:val="both"/>
        <w:ind w:right="100" w:firstLine="97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 and Guarantee Agreement</w:t>
      </w:r>
      <w:r>
        <w:rPr>
          <w:rFonts w:ascii="Arial" w:cs="Arial" w:eastAsia="Arial" w:hAnsi="Arial"/>
          <w:sz w:val="17"/>
          <w:szCs w:val="17"/>
          <w:color w:val="auto"/>
        </w:rPr>
        <w:t>” means the Loan and Guarantee Agreement dated as of October 26, 2020 among Sun Country, Inc., a corporation organized under the laws of Minnesota, the Corporation, SCA Acquisition Intermediate, LLC, a limited liability company organized under the laws of Delaware, SCA Acquisition, LLC, a limited liability company organized under the laws of Delaware, the Guarantors party hereto from time to time, the United States Department of the Treasury and the Bank of New York Mellon.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Objection Notice</w:t>
      </w:r>
      <w:r>
        <w:rPr>
          <w:rFonts w:ascii="Arial" w:cs="Arial" w:eastAsia="Arial" w:hAnsi="Arial"/>
          <w:sz w:val="18"/>
          <w:szCs w:val="18"/>
          <w:color w:val="auto"/>
        </w:rPr>
        <w:t>” has the meaning set forth in Section 4.2.</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NOLs</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Objection Notice</w:t>
      </w:r>
      <w:r>
        <w:rPr>
          <w:rFonts w:ascii="Arial" w:cs="Arial" w:eastAsia="Arial" w:hAnsi="Arial"/>
          <w:sz w:val="18"/>
          <w:szCs w:val="18"/>
          <w:color w:val="auto"/>
        </w:rPr>
        <w:t>” has the meaning set forth in Section 2.3(a).</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Tax Attributes</w:t>
      </w:r>
      <w:r>
        <w:rPr>
          <w:rFonts w:ascii="Arial" w:cs="Arial" w:eastAsia="Arial" w:hAnsi="Arial"/>
          <w:sz w:val="18"/>
          <w:szCs w:val="18"/>
          <w:color w:val="auto"/>
        </w:rPr>
        <w:t>” means any Post-IPO Tax Attributes and any Acquired Tax Attributes.</w:t>
      </w:r>
    </w:p>
    <w:p>
      <w:pPr>
        <w:spacing w:after="0" w:line="218" w:lineRule="exact"/>
        <w:rPr>
          <w:sz w:val="20"/>
          <w:szCs w:val="20"/>
          <w:color w:val="auto"/>
        </w:rPr>
      </w:pPr>
    </w:p>
    <w:p>
      <w:pPr>
        <w:ind w:firstLine="9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Ownership Percentage</w:t>
      </w:r>
      <w:r>
        <w:rPr>
          <w:rFonts w:ascii="Arial" w:cs="Arial" w:eastAsia="Arial" w:hAnsi="Arial"/>
          <w:sz w:val="18"/>
          <w:szCs w:val="18"/>
          <w:color w:val="auto"/>
        </w:rPr>
        <w:t>” means, in the case of any Existing Stockholder, a fraction, the numerator of which is the number of shares in the Corporation owned by such Existing Stockholder as of immediately prior to the IPO, and the denominator of which is the number of shares in the Corporation outstanding as of immediately prior to the IPO.</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means any date on which a payment is required to be made pursuant to this Agreement.</w:t>
      </w:r>
    </w:p>
    <w:p>
      <w:pPr>
        <w:spacing w:after="0" w:line="218" w:lineRule="exact"/>
        <w:rPr>
          <w:sz w:val="20"/>
          <w:szCs w:val="20"/>
          <w:color w:val="auto"/>
        </w:rPr>
      </w:pPr>
    </w:p>
    <w:p>
      <w:pPr>
        <w:ind w:right="1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67" w:lineRule="exact"/>
        <w:rPr>
          <w:sz w:val="20"/>
          <w:szCs w:val="20"/>
          <w:color w:val="auto"/>
        </w:rPr>
      </w:pPr>
    </w:p>
    <w:p>
      <w:pPr>
        <w:ind w:right="58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Post-IPO Tax Attributes</w:t>
      </w:r>
      <w:r>
        <w:rPr>
          <w:rFonts w:ascii="Arial" w:cs="Arial" w:eastAsia="Arial" w:hAnsi="Arial"/>
          <w:sz w:val="18"/>
          <w:szCs w:val="18"/>
          <w:color w:val="auto"/>
        </w:rPr>
        <w:t>” means any NOL, deduction, tax basis or other tax attribute arising in a Taxable Year or portion thereof beginning after the date of the IPO, determined in accordance with Section 3.3.</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Pre-IPO Tax Attributes</w:t>
      </w:r>
      <w:r>
        <w:rPr>
          <w:rFonts w:ascii="Arial" w:cs="Arial" w:eastAsia="Arial" w:hAnsi="Arial"/>
          <w:sz w:val="18"/>
          <w:szCs w:val="18"/>
          <w:color w:val="auto"/>
        </w:rPr>
        <w:t>” is defined in the preamble of this Agreement.</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520" w:top="273" w:right="539" w:bottom="1440" w:gutter="0" w:footer="0" w:header="0"/>
        </w:sectPr>
      </w:pPr>
    </w:p>
    <w:bookmarkStart w:id="353" w:name="page354"/>
    <w:bookmarkEnd w:id="353"/>
    <w:p>
      <w:pPr>
        <w:ind w:right="20" w:firstLine="97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b w:val="1"/>
          <w:bCs w:val="1"/>
          <w:u w:val="single" w:color="auto"/>
          <w:color w:val="auto"/>
        </w:rPr>
        <w:t>Realized Tax Benefit</w:t>
      </w:r>
      <w:r>
        <w:rPr>
          <w:rFonts w:ascii="Arial" w:cs="Arial" w:eastAsia="Arial" w:hAnsi="Arial"/>
          <w:sz w:val="17"/>
          <w:szCs w:val="17"/>
          <w:color w:val="auto"/>
        </w:rPr>
        <w:t>” means, for a Taxable Year, the reduction in the liability for federal and state Taxes of each Taxable Entity for such Taxable Year resulting from the Pre-IPO Tax Attributes and any deduction attributable to Imputed Interest, under the Agreement (giving effect to the principles of Section 3.2) assuming, for purposes of state Taxes, that each Taxable Entity pays a single state Tax on its taxable income calculated under federal income Tax purposes, for such Taxable Year at the Assumed State Tax Rate. If all or a portion of the liability for Taxes for the Taxable Year arises as a result of an audit by a Taxing Authority of any Taxable Year, any reduction in such liability shall not be included in determining the Realized Tax Benefit unless and until there has been a Determination.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Dispute</w:t>
      </w:r>
      <w:r>
        <w:rPr>
          <w:rFonts w:ascii="Arial" w:cs="Arial" w:eastAsia="Arial" w:hAnsi="Arial"/>
          <w:sz w:val="18"/>
          <w:szCs w:val="18"/>
          <w:color w:val="auto"/>
        </w:rPr>
        <w:t>” has the meaning set forth in Section 7.9(a)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Procedures</w:t>
      </w:r>
      <w:r>
        <w:rPr>
          <w:rFonts w:ascii="Arial" w:cs="Arial" w:eastAsia="Arial" w:hAnsi="Arial"/>
          <w:sz w:val="18"/>
          <w:szCs w:val="18"/>
          <w:color w:val="auto"/>
        </w:rPr>
        <w:t>” shall mean those procedures set forth in Section 7.9(a)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the registration statement on Form S-1 (File No. 333-[</w:t>
      </w:r>
      <w:r>
        <w:rPr>
          <w:rFonts w:ascii="Arial" w:cs="Arial" w:eastAsia="Arial" w:hAnsi="Arial"/>
          <w:sz w:val="18"/>
          <w:szCs w:val="18"/>
          <w:b w:val="1"/>
          <w:bCs w:val="1"/>
          <w:color w:val="auto"/>
        </w:rPr>
        <w:t>•</w:t>
      </w:r>
      <w:r>
        <w:rPr>
          <w:rFonts w:ascii="Arial" w:cs="Arial" w:eastAsia="Arial" w:hAnsi="Arial"/>
          <w:sz w:val="18"/>
          <w:szCs w:val="18"/>
          <w:color w:val="auto"/>
        </w:rPr>
        <w:t>]) of the Corporation.</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means any Tax Benefit Schedule and any Early Termination Schedule.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Straddle Year</w:t>
      </w:r>
      <w:r>
        <w:rPr>
          <w:rFonts w:ascii="Arial" w:cs="Arial" w:eastAsia="Arial" w:hAnsi="Arial"/>
          <w:sz w:val="18"/>
          <w:szCs w:val="18"/>
          <w:color w:val="auto"/>
        </w:rPr>
        <w:t>” means a Taxable Year that includes the Calculation Date.</w:t>
      </w:r>
    </w:p>
    <w:p>
      <w:pPr>
        <w:spacing w:after="0" w:line="218" w:lineRule="exact"/>
        <w:rPr>
          <w:sz w:val="20"/>
          <w:szCs w:val="20"/>
          <w:color w:val="auto"/>
        </w:rPr>
      </w:pPr>
    </w:p>
    <w:p>
      <w:pPr>
        <w:ind w:right="60" w:firstLine="9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w:t>
      </w:r>
      <w:r>
        <w:rPr>
          <w:rFonts w:ascii="Arial" w:cs="Arial" w:eastAsia="Arial" w:hAnsi="Arial"/>
          <w:sz w:val="18"/>
          <w:szCs w:val="18"/>
          <w:color w:val="auto"/>
        </w:rPr>
        <w:t>” is defined in Section 3.1(b)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 is defined in Section 2.2 of this Agreement.</w:t>
      </w:r>
    </w:p>
    <w:p>
      <w:pPr>
        <w:spacing w:after="0" w:line="218" w:lineRule="exact"/>
        <w:rPr>
          <w:sz w:val="20"/>
          <w:szCs w:val="20"/>
          <w:color w:val="auto"/>
        </w:rPr>
      </w:pPr>
    </w:p>
    <w:p>
      <w:pPr>
        <w:ind w:right="140" w:firstLine="976"/>
        <w:spacing w:after="0" w:line="3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 Return</w:t>
      </w:r>
      <w:r>
        <w:rPr>
          <w:rFonts w:ascii="Arial" w:cs="Arial" w:eastAsia="Arial" w:hAnsi="Arial"/>
          <w:sz w:val="16"/>
          <w:szCs w:val="16"/>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Entity</w:t>
      </w:r>
      <w:r>
        <w:rPr>
          <w:rFonts w:ascii="Arial" w:cs="Arial" w:eastAsia="Arial" w:hAnsi="Arial"/>
          <w:sz w:val="18"/>
          <w:szCs w:val="18"/>
          <w:color w:val="auto"/>
        </w:rPr>
        <w:t>” is defined in the Preamble to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Taxable Entity Return</w:t>
      </w:r>
      <w:r>
        <w:rPr>
          <w:rFonts w:ascii="Arial" w:cs="Arial" w:eastAsia="Arial" w:hAnsi="Arial"/>
          <w:sz w:val="16"/>
          <w:szCs w:val="16"/>
          <w:color w:val="auto"/>
        </w:rPr>
        <w:t>” means the federal Tax Return, as applicable, of a Taxable Entity filed with respect to Taxes of any Taxable Year.</w:t>
      </w:r>
    </w:p>
    <w:p>
      <w:pPr>
        <w:spacing w:after="0" w:line="241" w:lineRule="exact"/>
        <w:rPr>
          <w:sz w:val="20"/>
          <w:szCs w:val="20"/>
          <w:color w:val="auto"/>
        </w:rPr>
      </w:pPr>
    </w:p>
    <w:p>
      <w:pPr>
        <w:ind w:right="1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Year</w:t>
      </w:r>
      <w:r>
        <w:rPr>
          <w:rFonts w:ascii="Arial" w:cs="Arial" w:eastAsia="Arial" w:hAnsi="Arial"/>
          <w:sz w:val="18"/>
          <w:szCs w:val="18"/>
          <w:color w:val="auto"/>
        </w:rPr>
        <w:t>” means a taxable year as defined in Section 441(b) of the Code (and, therefore, for the avoidance of doubt, may include a period of less than 12 months for which a Tax Return is made) ending on or after the date hereof.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520" w:top="267" w:right="559" w:bottom="1440" w:gutter="0" w:footer="0" w:header="0"/>
        </w:sectPr>
      </w:pPr>
    </w:p>
    <w:bookmarkStart w:id="354" w:name="page355"/>
    <w:bookmarkEnd w:id="354"/>
    <w:p>
      <w:pPr>
        <w:ind w:firstLine="976"/>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and all U.S. federal, state, local and foreign taxes, assessments or similar charges measured with respect to net income, gross receipts or profits and any interest related to such Tax.</w:t>
      </w:r>
    </w:p>
    <w:p>
      <w:pPr>
        <w:spacing w:after="0" w:line="167" w:lineRule="exact"/>
        <w:rPr>
          <w:sz w:val="20"/>
          <w:szCs w:val="20"/>
          <w:color w:val="auto"/>
        </w:rPr>
      </w:pPr>
    </w:p>
    <w:p>
      <w:pPr>
        <w:ind w:right="60" w:firstLine="9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Taxing Authority</w:t>
      </w:r>
      <w:r>
        <w:rPr>
          <w:rFonts w:ascii="Arial" w:cs="Arial" w:eastAsia="Arial" w:hAnsi="Arial"/>
          <w:sz w:val="18"/>
          <w:szCs w:val="18"/>
          <w:color w:val="auto"/>
        </w:rPr>
        <w:t>” shall mean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1" w:lineRule="exact"/>
        <w:rPr>
          <w:sz w:val="20"/>
          <w:szCs w:val="20"/>
          <w:color w:val="auto"/>
        </w:rPr>
      </w:pPr>
    </w:p>
    <w:p>
      <w:pPr>
        <w:ind w:right="40" w:firstLine="97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Transferred Tax Attributes</w:t>
      </w:r>
      <w:r>
        <w:rPr>
          <w:rFonts w:ascii="Arial" w:cs="Arial" w:eastAsia="Arial" w:hAnsi="Arial"/>
          <w:sz w:val="17"/>
          <w:szCs w:val="17"/>
          <w:color w:val="auto"/>
        </w:rPr>
        <w:t>” means, in the event of a Divestiture, the Pre-IPO Tax Attributes attributable to the Taxable Entity that is sold in such Divestiture to the extent such Pre-IPO Tax Attributes are transferred with such Taxable Entity under applicable Tax law following the Divestiture (disregarding any limitation on the use of such Pre-IPO Tax Attributes as a result of the Divestiture) and do not remain under applicable Tax law with the Corporation or any of its Subsidiaries (other than the Taxable Entity that is sold in such Divestiture).</w:t>
      </w:r>
    </w:p>
    <w:p>
      <w:pPr>
        <w:spacing w:after="0" w:line="168" w:lineRule="exact"/>
        <w:rPr>
          <w:sz w:val="20"/>
          <w:szCs w:val="20"/>
          <w:color w:val="auto"/>
        </w:rPr>
      </w:pPr>
    </w:p>
    <w:p>
      <w:pPr>
        <w:ind w:right="16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67" w:lineRule="exact"/>
        <w:rPr>
          <w:sz w:val="20"/>
          <w:szCs w:val="20"/>
          <w:color w:val="auto"/>
        </w:rPr>
      </w:pPr>
    </w:p>
    <w:p>
      <w:pPr>
        <w:ind w:right="40"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Valuation Assumptions</w:t>
      </w:r>
      <w:r>
        <w:rPr>
          <w:rFonts w:ascii="Arial" w:cs="Arial" w:eastAsia="Arial" w:hAnsi="Arial"/>
          <w:sz w:val="16"/>
          <w:szCs w:val="16"/>
          <w:color w:val="auto"/>
        </w:rPr>
        <w:t xml:space="preserve">” shall mean, as of an Early Termination Date, the assumptions that (i) the Taxable Entities will have taxable income sufficient to fully utilize (a) the deductions arising from the Pre-IPO Tax Attributes during each Taxable Year ending on or after such Early Termination Date in which such deductions would become available and (b) any loss or credit carryovers that are Pre-IPO Tax Attributes available as of such Early Termination Date, (ii) any non-amortizable assets will be disposed of on the fifteenth anniversary of the IPO in a fully taxable transaction for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 Change of Control, such non-amortizable assets shall be deemed disposed of at the time of sale of the relevant asset if earlier than such fifteenth anniversary, (iii) the utilization of the Pre-IPO Tax Attributes and Imputed Interest for each Taxable Year ending on or after such Early Termination Date will be determined based on the Tax laws in effect on the Early Termination Date and (iv) the federal income tax rates that will be in effect for each such Taxable Year will be those specified for each such Taxable Year by the Code in effect on the Early Termination Date, and the Assumed State Tax Rate will be applied (or, with respect to any Taxable Year for which such federal income tax rates are not specified by the Code as in effect on the Early Termination Date, such federal income tax rates that are in effect on the Early Termination Date). For the avoidance of doubt, in the event of a Change of Control or Divestiture, such assumptions shall not take into account any changes in the relevant Taxable Entities’ stand alone tax position that might result from the transaction giving rise to the Change of Control or Divestiture.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520" w:top="267" w:right="55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07" w:lineRule="exact"/>
        <w:rPr>
          <w:sz w:val="20"/>
          <w:szCs w:val="20"/>
          <w:color w:val="auto"/>
        </w:rPr>
      </w:pPr>
    </w:p>
    <w:p>
      <w:pPr>
        <w:jc w:val="both"/>
        <w:ind w:right="160" w:firstLine="434"/>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Pre-IPO Tax Attribute Utilization</w:t>
      </w:r>
      <w:r>
        <w:rPr>
          <w:rFonts w:ascii="Arial" w:cs="Arial" w:eastAsia="Arial" w:hAnsi="Arial"/>
          <w:sz w:val="18"/>
          <w:szCs w:val="18"/>
          <w:color w:val="auto"/>
        </w:rPr>
        <w:t>. The Corporation, on the one hand, and the Existing Stockholders, on the other hand, acknowledge that the Taxable Entities may utilize the Pre-IPO Tax Attributes to reduce the amount of Taxes that the Taxable Entities would otherwise be required to pay after the Calculation Date.</w:t>
      </w:r>
    </w:p>
    <w:p>
      <w:pPr>
        <w:spacing w:after="0" w:line="189"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Tax Benefit Schedule</w:t>
      </w:r>
      <w:r>
        <w:rPr>
          <w:rFonts w:ascii="Arial" w:cs="Arial" w:eastAsia="Arial" w:hAnsi="Arial"/>
          <w:sz w:val="16"/>
          <w:szCs w:val="16"/>
          <w:color w:val="auto"/>
        </w:rPr>
        <w:t>. No later than thirty (30) calendar days after the earlier of (i) the filing of the U.S. federal income tax return of the Corporation for any federal Taxable Year ending after the Calculation Date or (ii) the due date (taking into account extensions) of such tax return for any such federal Taxable Year (each such federal Taxable Year, a “</w:t>
      </w:r>
      <w:r>
        <w:rPr>
          <w:rFonts w:ascii="Arial" w:cs="Arial" w:eastAsia="Arial" w:hAnsi="Arial"/>
          <w:sz w:val="16"/>
          <w:szCs w:val="16"/>
          <w:b w:val="1"/>
          <w:bCs w:val="1"/>
          <w:u w:val="single" w:color="auto"/>
          <w:color w:val="auto"/>
        </w:rPr>
        <w:t>Subject Taxable Year,</w:t>
      </w:r>
      <w:r>
        <w:rPr>
          <w:rFonts w:ascii="Arial" w:cs="Arial" w:eastAsia="Arial" w:hAnsi="Arial"/>
          <w:sz w:val="16"/>
          <w:szCs w:val="16"/>
          <w:color w:val="auto"/>
        </w:rPr>
        <w:t>” and such thirtieth day the “</w:t>
      </w:r>
      <w:r>
        <w:rPr>
          <w:rFonts w:ascii="Arial" w:cs="Arial" w:eastAsia="Arial" w:hAnsi="Arial"/>
          <w:sz w:val="16"/>
          <w:szCs w:val="16"/>
          <w:b w:val="1"/>
          <w:bCs w:val="1"/>
          <w:u w:val="single" w:color="auto"/>
          <w:color w:val="auto"/>
        </w:rPr>
        <w:t>Schedule Delivery Date</w:t>
      </w:r>
      <w:r>
        <w:rPr>
          <w:rFonts w:ascii="Arial" w:cs="Arial" w:eastAsia="Arial" w:hAnsi="Arial"/>
          <w:sz w:val="16"/>
          <w:szCs w:val="16"/>
          <w:color w:val="auto"/>
        </w:rPr>
        <w:t>”), the Corporation shall provide to the Existing Stockholders Representative a schedule showing, for the Corporation and for each Taxable Entity, in the case of any relevant Tax Return for a Subject Taxable Year and prior to the Schedule Delivery Date and has not previously been the subject of this Section 2.2, in reasonable detail, (i) the calculation of the Realized Tax Benefit for the Subject Taxable Year, (ii) the calculation of any payment to be made to the Existing Stockholders pursuant to Article III with respect to the Subject Taxable Year, and (iii) for the first Taxable Year following the IPO, a statement of the initial Pre-IPO Tax Attributes, and for each Taxable Year thereafter, a statement of the remaining Pre-IPO Tax Attributes as updated to the extent necessary to reflect utilization, depreciation and amortization, and any other events subsequent to the IPO that would impact the Pre-IPO Tax Attributes (collectively a “</w:t>
      </w:r>
      <w:r>
        <w:rPr>
          <w:rFonts w:ascii="Arial" w:cs="Arial" w:eastAsia="Arial" w:hAnsi="Arial"/>
          <w:sz w:val="16"/>
          <w:szCs w:val="16"/>
          <w:b w:val="1"/>
          <w:bCs w:val="1"/>
          <w:u w:val="single" w:color="auto"/>
          <w:color w:val="auto"/>
        </w:rPr>
        <w:t>Tax Benefit Schedule</w:t>
      </w:r>
      <w:r>
        <w:rPr>
          <w:rFonts w:ascii="Arial" w:cs="Arial" w:eastAsia="Arial" w:hAnsi="Arial"/>
          <w:sz w:val="16"/>
          <w:szCs w:val="16"/>
          <w:color w:val="auto"/>
        </w:rPr>
        <w:t>”). Concurrently the Corporation shall also deliver to the Existing Stockholders Representative all supporting information (including work papers and valuation reports) reasonably necessary to support the calculation of such payment. The Schedule will become final as provided in Section 2.3(a) and may be amended as provided in Section 2.3(b) (subject to the procedures set forth in Section 2.3(a)).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2" w:lineRule="exact"/>
        <w:rPr>
          <w:sz w:val="20"/>
          <w:szCs w:val="20"/>
          <w:color w:val="auto"/>
        </w:rPr>
      </w:pPr>
    </w:p>
    <w:p>
      <w:pPr>
        <w:ind w:firstLine="976"/>
        <w:spacing w:after="0" w:line="264" w:lineRule="auto"/>
        <w:tabs>
          <w:tab w:leader="none" w:pos="1217"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Whenever the Corporation delivers to the Existing Stockholders Representative an applicable Schedule under this Agreement, including any Amended Schedule delivered pursuant to Section 2.3(b), and including any Early Termination Schedule or amended Early Termination Schedule, the Corporation shall also (x) deliver to the Existing Stockholders Representative schedules, valuation reports, if any, and work papers providing reasonable detail regarding the preparation of the Schedule and an Advisory Firm Report related to such Schedule (the cost and expense of which shall be paid by the Corporation) and (y) allow the Existing Stockholders Representative reasonable access at no cost to the appropriate representatives at each of the Corporation and the Advisory Firm in connection with a review of such Schedule. The applicable Schedule shall become final and binding on all parties unless the Existing Stockholders Representative, within thirty calendar days after receiving any Schedule or amendment thereto, provides the Corporation with notice of a material objection to such Schedule (“</w:t>
      </w:r>
      <w:r>
        <w:rPr>
          <w:rFonts w:ascii="Arial" w:cs="Arial" w:eastAsia="Arial" w:hAnsi="Arial"/>
          <w:sz w:val="17"/>
          <w:szCs w:val="17"/>
          <w:b w:val="1"/>
          <w:bCs w:val="1"/>
          <w:u w:val="single" w:color="auto"/>
          <w:color w:val="auto"/>
        </w:rPr>
        <w:t>Objection Notice</w:t>
      </w:r>
      <w:r>
        <w:rPr>
          <w:rFonts w:ascii="Arial" w:cs="Arial" w:eastAsia="Arial" w:hAnsi="Arial"/>
          <w:sz w:val="17"/>
          <w:szCs w:val="17"/>
          <w:color w:val="auto"/>
        </w:rPr>
        <w:t>”) made in good faith or such earlier date as the Stockholders Representative provides written notice to the Corporation that it has no material objection to such Schedule. If the parties, for any reason, are unable to successfully resolve the issues raised in any notice within thirty calendar days of receipt by the Corporation of such notice, the Corporation and the Existing Stockholders Representative shall employ the reconciliation procedures described in Section 7.9 of this Agreement (the “</w:t>
      </w:r>
      <w:r>
        <w:rPr>
          <w:rFonts w:ascii="Arial" w:cs="Arial" w:eastAsia="Arial" w:hAnsi="Arial"/>
          <w:sz w:val="17"/>
          <w:szCs w:val="17"/>
          <w:b w:val="1"/>
          <w:bCs w:val="1"/>
          <w:u w:val="single" w:color="auto"/>
          <w:color w:val="auto"/>
        </w:rPr>
        <w:t>Reconciliation Procedures</w:t>
      </w:r>
      <w:r>
        <w:rPr>
          <w:rFonts w:ascii="Arial" w:cs="Arial" w:eastAsia="Arial" w:hAnsi="Arial"/>
          <w:sz w:val="17"/>
          <w:szCs w:val="17"/>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67" w:right="539" w:bottom="1440" w:gutter="0" w:footer="0" w:header="0"/>
        </w:sectPr>
      </w:pPr>
    </w:p>
    <w:bookmarkStart w:id="356" w:name="page357"/>
    <w:bookmarkEnd w:id="356"/>
    <w:p>
      <w:pPr>
        <w:ind w:left="1" w:right="40" w:firstLine="976"/>
        <w:spacing w:after="0" w:line="265" w:lineRule="auto"/>
        <w:tabs>
          <w:tab w:leader="none" w:pos="1228"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Amended Schedule</w:t>
      </w:r>
      <w:r>
        <w:rPr>
          <w:rFonts w:ascii="Arial" w:cs="Arial" w:eastAsia="Arial" w:hAnsi="Arial"/>
          <w:sz w:val="17"/>
          <w:szCs w:val="17"/>
          <w:color w:val="auto"/>
        </w:rPr>
        <w:t>. The applicable Schedule for any Taxable Year may be amended from time to time by the Corporation (i) in connection with a Determination affecting such Schedule, (ii) to correct inaccuracies in the Schedule identified as a result of the receipt of additional factual information relating to a Taxable Year after the date the Schedule was provided to the Existing Stockholders Representative, (iii) to comply with the Expert’s determination under the Reconciliation Procedures, or (iv) to reflect a material change (relative to the amounts in the original Schedule) in the Realized Tax Benefit for such Taxable Year attributable to an amended Tax Return filed for such Taxable Year, in each case with respect to any Taxable Entity (such amended Schedule, an “</w:t>
      </w:r>
      <w:r>
        <w:rPr>
          <w:rFonts w:ascii="Arial" w:cs="Arial" w:eastAsia="Arial" w:hAnsi="Arial"/>
          <w:sz w:val="17"/>
          <w:szCs w:val="17"/>
          <w:b w:val="1"/>
          <w:bCs w:val="1"/>
          <w:u w:val="single" w:color="auto"/>
          <w:color w:val="auto"/>
        </w:rPr>
        <w:t>Amended 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 change under clause (i) attributable to an audit of a Tax Return by an applicable Taxing Authority shall not be taken into account on an Amended Schedule unless and until there has been a Determination with respect to such change. The Corporation shall provide any Amended Schedule to the Existing Stockholders Representative within thirty calendar days of the occurrence of an event referred to in clauses (i) through (iv) of the preceding sentence, and any such Amended Schedule shall be subject to the approval procedures described in Section 2.3(a).</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ARTICLE III</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TAX BENEFIT PAYMENTS</w:t>
      </w:r>
    </w:p>
    <w:p>
      <w:pPr>
        <w:spacing w:after="0" w:line="207"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2" w:lineRule="exact"/>
        <w:rPr>
          <w:sz w:val="20"/>
          <w:szCs w:val="20"/>
          <w:color w:val="auto"/>
        </w:rPr>
      </w:pPr>
    </w:p>
    <w:p>
      <w:pPr>
        <w:ind w:left="1" w:right="40" w:firstLine="976"/>
        <w:spacing w:after="0" w:line="320" w:lineRule="auto"/>
        <w:tabs>
          <w:tab w:leader="none" w:pos="1218" w:val="left"/>
        </w:tabs>
        <w:numPr>
          <w:ilvl w:val="1"/>
          <w:numId w:val="264"/>
        </w:numPr>
        <w:rPr>
          <w:rFonts w:ascii="Arial" w:cs="Arial" w:eastAsia="Arial" w:hAnsi="Arial"/>
          <w:sz w:val="14"/>
          <w:szCs w:val="14"/>
          <w:color w:val="auto"/>
        </w:rPr>
      </w:pPr>
      <w:r>
        <w:rPr>
          <w:rFonts w:ascii="Arial" w:cs="Arial" w:eastAsia="Arial" w:hAnsi="Arial"/>
          <w:sz w:val="14"/>
          <w:szCs w:val="14"/>
          <w:color w:val="auto"/>
        </w:rPr>
        <w:t>(i) Except as provided in Section 5.2, no later than ninety (90) days after the end of any U.S. federal Subject Taxable Year, the Corporation (on its own behalf and on behalf of any other Taxable Entity) shall pay to each Existing Stockholder its share (based on such Existing Stockholder’s Ownership Percentage) of the Interest Amount and of the Annual Tax Payment for the Subject Taxable Year provided that no payment shall be made pursuant to this Section 3.1 to any Individual Stockholder who received at any time prior to the date of such payment an Individual Termination Payment pursuant to Section 4.1(e). The “</w:t>
      </w:r>
      <w:r>
        <w:rPr>
          <w:rFonts w:ascii="Arial" w:cs="Arial" w:eastAsia="Arial" w:hAnsi="Arial"/>
          <w:sz w:val="14"/>
          <w:szCs w:val="14"/>
          <w:b w:val="1"/>
          <w:bCs w:val="1"/>
          <w:u w:val="single" w:color="auto"/>
          <w:color w:val="auto"/>
        </w:rPr>
        <w:t>Annual Tax Payment</w:t>
      </w:r>
      <w:r>
        <w:rPr>
          <w:rFonts w:ascii="Arial" w:cs="Arial" w:eastAsia="Arial" w:hAnsi="Arial"/>
          <w:sz w:val="14"/>
          <w:szCs w:val="14"/>
          <w:color w:val="auto"/>
        </w:rPr>
        <w:t>” for a Subject Taxable Year means an amount, not less than zero, equal to</w:t>
      </w:r>
    </w:p>
    <w:p>
      <w:pPr>
        <w:spacing w:after="0" w:line="1" w:lineRule="exact"/>
        <w:rPr>
          <w:rFonts w:ascii="Arial" w:cs="Arial" w:eastAsia="Arial" w:hAnsi="Arial"/>
          <w:sz w:val="14"/>
          <w:szCs w:val="14"/>
          <w:color w:val="auto"/>
        </w:rPr>
      </w:pPr>
    </w:p>
    <w:p>
      <w:pPr>
        <w:ind w:left="1" w:hanging="1"/>
        <w:spacing w:after="0" w:line="265" w:lineRule="auto"/>
        <w:tabs>
          <w:tab w:leader="none" w:pos="212"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Estimated Tax Benefit determined pursuant to Section 3.1(c) for such Subject Taxable Year, plus (ii) the excess, if any, of the Tax Benefit for a Subject Taxable Year prior to the current Subject Taxable Year over the Estimated Tax Benefit for such prior Taxable Year, to the extent any such excess amount was not previously taken into account pursuant to this Section 3.1(a)(ii) to increase the Annual Tax Payment for a Taxable Year prior to the Subject Taxable Year, minus (iii) the excess, if any, of the Estimated Tax Benefit for a Taxable Year prior to the Subject Taxable Year over the Tax Benefit for such prior Taxable Year, to the extent any such excess amount was not previously taken into account pursuant to this Section 3.1(a)(iii) to reduce the Annual Tax Payment for a Taxable Year prior to the Subject</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1"/>
          </w:cols>
          <w:pgMar w:left="519" w:top="273" w:right="579" w:bottom="1440" w:gutter="0" w:footer="0" w:header="0"/>
        </w:sectPr>
      </w:pPr>
    </w:p>
    <w:bookmarkStart w:id="357" w:name="page358"/>
    <w:bookmarkEnd w:id="357"/>
    <w:p>
      <w:pPr>
        <w:ind w:right="1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Taxable Year, plus (iv) 85% of the excess of the Realized Tax Benefit required to be reflected on an Amended Schedule for a Taxable Year prior to the Subject Taxable Year over the Realized Tax Benefit required to be reflected on the Tax Benefit Schedule for such prior Taxable Year, to the extent any such excess amount was not previously taken into account pursuant to this Section 3.1(a)(iv) to increase the Annual Tax Payment for a Taxable Year prior to the Subject Taxable Year, minus (v) 85% of the excess of the Realized Tax Benefit required to be reflected on a Tax Benefit Schedule for a Taxable Year prior to the Subject Taxable Year over the Realized Tax Benefit required to be reflected on an Amended Schedule for such prior Taxable Year, to the extent any such excess amount was not previously taken into account pursuant to this Section 3.1(a)(v) to reduce the Annual Tax Payment for a Taxable Year prior to the Subject Taxable Year. For the avoidance of doubt, no amount shall be included in the Estimated Tax Benefit if it is attributable to the period prior to the Calculation Date, taking into account Section 3.3 and Section 3.4 of this Agreement.</w:t>
      </w:r>
    </w:p>
    <w:p>
      <w:pPr>
        <w:spacing w:after="0" w:line="67" w:lineRule="exact"/>
        <w:rPr>
          <w:sz w:val="20"/>
          <w:szCs w:val="20"/>
          <w:color w:val="auto"/>
        </w:rPr>
      </w:pPr>
    </w:p>
    <w:p>
      <w:pPr>
        <w:ind w:left="440" w:firstLine="409"/>
        <w:spacing w:after="0" w:line="266" w:lineRule="auto"/>
        <w:tabs>
          <w:tab w:leader="none" w:pos="111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For the avoidance of doubt, no Annual Tax Payment shall be made, nor Tax Benefit determined, in respect of estimated tax payments, including, without limitation, estimated federal income tax payments. For the further avoidance of doubt, the Existing Stockholders shall not be required to return any portion of any previously made Annual Tax Payment or other ITR Payment. The “</w:t>
      </w:r>
      <w:r>
        <w:rPr>
          <w:rFonts w:ascii="Arial" w:cs="Arial" w:eastAsia="Arial" w:hAnsi="Arial"/>
          <w:sz w:val="17"/>
          <w:szCs w:val="17"/>
          <w:b w:val="1"/>
          <w:bCs w:val="1"/>
          <w:u w:val="single" w:color="auto"/>
          <w:color w:val="auto"/>
        </w:rPr>
        <w:t>Interest Amount</w:t>
      </w:r>
      <w:r>
        <w:rPr>
          <w:rFonts w:ascii="Arial" w:cs="Arial" w:eastAsia="Arial" w:hAnsi="Arial"/>
          <w:sz w:val="17"/>
          <w:szCs w:val="17"/>
          <w:color w:val="auto"/>
        </w:rPr>
        <w:t>” shall equal the interest on any excess amount described in Section 3.1(a)(ii) calculated at the Agreed Rate from the Payment Date for the Annual Tax Payment in which the relevant Estimated Tax Benefit is taken into account until the Payment Date for the Annual Tax Payment in which the relevant Tax Benefit is taken into account. Each payment pursuant to this Section 3.1(a) shall be made by wire transfer of immediately available funds to a bank account of the applicable Existing Stockholder previously designated by the Existing Stockholder to the Corporation or as otherwise agreed by the Corporation and the Existing Stockholder.</w:t>
      </w:r>
    </w:p>
    <w:p>
      <w:pPr>
        <w:spacing w:after="0" w:line="69" w:lineRule="exact"/>
        <w:rPr>
          <w:rFonts w:ascii="Arial" w:cs="Arial" w:eastAsia="Arial" w:hAnsi="Arial"/>
          <w:sz w:val="17"/>
          <w:szCs w:val="17"/>
          <w:color w:val="auto"/>
        </w:rPr>
      </w:pPr>
    </w:p>
    <w:p>
      <w:pPr>
        <w:ind w:right="180" w:firstLine="976"/>
        <w:spacing w:after="0" w:line="273" w:lineRule="auto"/>
        <w:tabs>
          <w:tab w:leader="none" w:pos="122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Tax Benefit</w:t>
      </w:r>
      <w:r>
        <w:rPr>
          <w:rFonts w:ascii="Arial" w:cs="Arial" w:eastAsia="Arial" w:hAnsi="Arial"/>
          <w:sz w:val="18"/>
          <w:szCs w:val="18"/>
          <w:color w:val="auto"/>
        </w:rPr>
        <w:t>” for a Subject Taxable Year means an amount, not less than zero, equal to 85% of the Taxable Entities’ Realized Tax Benefit, if any, required to be reflected on the Tax Benefit Schedule for the Subject Taxable Year.</w:t>
      </w:r>
    </w:p>
    <w:p>
      <w:pPr>
        <w:spacing w:after="0" w:line="60" w:lineRule="exact"/>
        <w:rPr>
          <w:rFonts w:ascii="Arial" w:cs="Arial" w:eastAsia="Arial" w:hAnsi="Arial"/>
          <w:sz w:val="18"/>
          <w:szCs w:val="18"/>
          <w:color w:val="auto"/>
        </w:rPr>
      </w:pPr>
    </w:p>
    <w:p>
      <w:pPr>
        <w:ind w:right="600" w:firstLine="976"/>
        <w:spacing w:after="0" w:line="303" w:lineRule="auto"/>
        <w:tabs>
          <w:tab w:leader="none" w:pos="1217"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Estimated Tax Benefit</w:t>
      </w:r>
      <w:r>
        <w:rPr>
          <w:rFonts w:ascii="Arial" w:cs="Arial" w:eastAsia="Arial" w:hAnsi="Arial"/>
          <w:sz w:val="17"/>
          <w:szCs w:val="17"/>
          <w:color w:val="auto"/>
        </w:rPr>
        <w:t>” for a Subject Taxable Year means an amount, not less than zero, equal to 85% of the Company’s reasonable good faith estimate of the Taxable Entities’ Realized Tax Benefit, if any, for the Subject Taxable Year.</w:t>
      </w:r>
    </w:p>
    <w:p>
      <w:pPr>
        <w:spacing w:after="0" w:line="151" w:lineRule="exact"/>
        <w:rPr>
          <w:sz w:val="20"/>
          <w:szCs w:val="20"/>
          <w:color w:val="auto"/>
        </w:rPr>
      </w:pPr>
    </w:p>
    <w:p>
      <w:pPr>
        <w:ind w:right="160" w:firstLine="434"/>
        <w:spacing w:after="0" w:line="290"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No Duplicative Payments</w:t>
      </w:r>
      <w:r>
        <w:rPr>
          <w:rFonts w:ascii="Arial" w:cs="Arial" w:eastAsia="Arial" w:hAnsi="Arial"/>
          <w:sz w:val="16"/>
          <w:szCs w:val="16"/>
          <w:color w:val="auto"/>
        </w:rPr>
        <w:t>. It is intended that the provisions of this Agreement will not result in duplicative payment of any amount (including interest) required under this Agreement. It is also intended that the provisions of this Agreement provide that 85% of the Taxable Entities’ Realized Tax Benefit for all Subject Taxable Years be paid to the Existing Stockholders pursuant to this Agreement. Carryovers or carrybacks of any NOL or other tax item shall be considered to be subject to the rules of the Code and the Treasury Regulations or the appropriate provisions of Tax law, as applicable, governing the use, limitation and expiration of carryovers or carrybacks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520" w:top="273" w:right="559" w:bottom="1440" w:gutter="0" w:footer="0" w:header="0"/>
        </w:sectPr>
      </w:pPr>
    </w:p>
    <w:bookmarkStart w:id="358" w:name="page359"/>
    <w:bookmarkEnd w:id="358"/>
    <w:p>
      <w:pPr>
        <w:ind w:left="1" w:right="1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relevant type; provided, however, that Pre-IPO Tax Attributes treated as resulting in a Realized Tax Benefit for one Taxable Year shall not be treated as resulting in a Realized Tax Benefit for any other Taxable Year, and, for purposes of determining the Realized Tax Benefit for any Taxable Year, each Taxable Entity shall be assumed (a) to utilize any item of loss, deduction or credit arising in such Taxable Year (and permitted to be utilized in such Taxable Year) before carrying back or carrying forward to such Taxable Year any NOL that is permitted to be so carried back or carried forward,</w:t>
      </w:r>
    </w:p>
    <w:p>
      <w:pPr>
        <w:ind w:left="1" w:hanging="1"/>
        <w:spacing w:after="0" w:line="263" w:lineRule="auto"/>
        <w:tabs>
          <w:tab w:leader="none" w:pos="25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subject to clause (a), to utilize any available Pre-IPO Tax Attribute that is permitted (or, for the absence of doubt, that would be so permitted but for such Other Tax Attribute) to be utilized in or carried back or carried forward to such Taxable Year before utilizing any Other Tax Attribute that may be utilized in or carried back or carried forward to such Taxable Year, and (c) to utilize any Pre-IPO Tax Attribute in the first Subject Taxable Year in which such Pre-IPO Tax Attribute is permitted to be utilized; provided, further, however, that, notwithstanding any other provision, the Chief Executive Officer of the Corporation, the Board and the Existing Stockholders Representative shall, acting reasonably, together determine the extent to which a Pre-IPO Tax Attribute can be carried back or carried forward to a Straddle Year or any portion thereof. If a carryover or carryback of any Tax item includes a portion that is attributable to the Pre-IPO Tax Attributes and another portion that is not, the Corporation shall be assumed to utilize the portion attributable to the Pre-IPO Tax Attributes before utilizing such other portion. In addition, for purposes of calculating a Divestiture Acceleration Payment, Transferred Tax Attributes shall be deemed to be utilized before any other Pre-IPO Tax Attributes that would otherwise be taken into account in accordance with the principles described in the proceeding sentence. The provisions of this Agreement shall be construed in the appropriate manner so that such intentions are realized.</w:t>
      </w:r>
    </w:p>
    <w:p>
      <w:pPr>
        <w:spacing w:after="0" w:line="185" w:lineRule="exact"/>
        <w:rPr>
          <w:sz w:val="20"/>
          <w:szCs w:val="20"/>
          <w:color w:val="auto"/>
        </w:rPr>
      </w:pPr>
    </w:p>
    <w:p>
      <w:pPr>
        <w:ind w:left="1" w:right="80" w:firstLine="434"/>
        <w:spacing w:after="0" w:line="272"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Apportionment of Tax Attributes</w:t>
      </w:r>
      <w:r>
        <w:rPr>
          <w:rFonts w:ascii="Arial" w:cs="Arial" w:eastAsia="Arial" w:hAnsi="Arial"/>
          <w:sz w:val="17"/>
          <w:szCs w:val="17"/>
          <w:color w:val="auto"/>
        </w:rPr>
        <w:t>. In order to determine whether any NOL, deduction, or other tax attribute is a Pre-IPO Tax Attribute or a Post-IPO Tax Attribute, the Taxable Year of the relevant Taxable Entity that includes the effective date of the IPO (the “</w:t>
      </w:r>
      <w:r>
        <w:rPr>
          <w:rFonts w:ascii="Arial" w:cs="Arial" w:eastAsia="Arial" w:hAnsi="Arial"/>
          <w:sz w:val="17"/>
          <w:szCs w:val="17"/>
          <w:b w:val="1"/>
          <w:bCs w:val="1"/>
          <w:u w:val="single" w:color="auto"/>
          <w:color w:val="auto"/>
        </w:rPr>
        <w:t>IPO Year</w:t>
      </w:r>
      <w:r>
        <w:rPr>
          <w:rFonts w:ascii="Arial" w:cs="Arial" w:eastAsia="Arial" w:hAnsi="Arial"/>
          <w:sz w:val="17"/>
          <w:szCs w:val="17"/>
          <w:color w:val="auto"/>
        </w:rPr>
        <w:t xml:space="preserve">”) shall be deemed to end as of the close of such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for the avoidance of doubt, any Transferred Tax Attributes taken into account in calculating a Divestiture Acceleration Payment shall not thereafter be considered Pre-IPO Tax Attributes.</w:t>
      </w:r>
    </w:p>
    <w:p>
      <w:pPr>
        <w:spacing w:after="0" w:line="178" w:lineRule="exact"/>
        <w:rPr>
          <w:sz w:val="20"/>
          <w:szCs w:val="20"/>
          <w:color w:val="auto"/>
        </w:rPr>
      </w:pPr>
    </w:p>
    <w:p>
      <w:pPr>
        <w:ind w:left="1" w:right="120" w:firstLine="434"/>
        <w:spacing w:after="0" w:line="332"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Straddle Years</w:t>
      </w:r>
      <w:r>
        <w:rPr>
          <w:rFonts w:ascii="Arial" w:cs="Arial" w:eastAsia="Arial" w:hAnsi="Arial"/>
          <w:sz w:val="14"/>
          <w:szCs w:val="14"/>
          <w:color w:val="auto"/>
        </w:rPr>
        <w:t>. For purposes of calculating the Realized Tax Benefit with respect to a Straddle Year, Taxes of such Straddle Year which arose prior to the Calculation Date (such taxes “</w:t>
      </w:r>
      <w:r>
        <w:rPr>
          <w:rFonts w:ascii="Arial" w:cs="Arial" w:eastAsia="Arial" w:hAnsi="Arial"/>
          <w:sz w:val="14"/>
          <w:szCs w:val="14"/>
          <w:b w:val="1"/>
          <w:bCs w:val="1"/>
          <w:u w:val="single" w:color="auto"/>
          <w:color w:val="auto"/>
        </w:rPr>
        <w:t>Pre-Calculation Taxes</w:t>
      </w:r>
      <w:r>
        <w:rPr>
          <w:rFonts w:ascii="Arial" w:cs="Arial" w:eastAsia="Arial" w:hAnsi="Arial"/>
          <w:sz w:val="14"/>
          <w:szCs w:val="14"/>
          <w:color w:val="auto"/>
        </w:rPr>
        <w:t>”) shall not be reduced by the Pre-IPO Tax Attributes or any deduction attributable to Imputed Interest. Taxes that constitute Pre-Calculation Taxes shall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the Calculation Date and the denominator of which is the number of calendar days in the entire Straddle Period. In the case of any Tax based upon or measured by capital (including net worth or long-term debt) or intangibles, any amount thereof shall be computed by reference to the level of such items on the Calculation Date.</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1"/>
          </w:cols>
          <w:pgMar w:left="519" w:top="273" w:right="5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 Breach of Agreement, Change of Control</w:t>
      </w:r>
      <w:r>
        <w:rPr>
          <w:rFonts w:ascii="Arial" w:cs="Arial" w:eastAsia="Arial" w:hAnsi="Arial"/>
          <w:sz w:val="18"/>
          <w:szCs w:val="18"/>
          <w:color w:val="auto"/>
        </w:rPr>
        <w: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This Agreement shall terminate at the time that all Annual Tax Payments have been made to the Existing Stockholders under this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1" w:lineRule="exact"/>
        <w:rPr>
          <w:sz w:val="20"/>
          <w:szCs w:val="20"/>
          <w:color w:val="auto"/>
        </w:rPr>
      </w:pPr>
    </w:p>
    <w:p>
      <w:pPr>
        <w:ind w:firstLine="976"/>
        <w:spacing w:after="0" w:line="281" w:lineRule="auto"/>
        <w:tabs>
          <w:tab w:leader="none" w:pos="122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the event that the Corporation breaches any of its material obligations under this Agreement, whether as a result of failure to make any payment when due (as described below), failure to honor any other material obligation required hereunder or by operation of law as a result of the rejection of this Agreement in a case commenced under the Bankruptcy Code or otherwise, then all obligations hereunder shall be accelerated and the Corporation shall pay to the Existing Stockholders (1) the Early Termination Payment, (2) any Annual Tax Payment agreed to by the Corporation and the Existing Stockholders as due and payable but unpaid as of the Early Termination Date and (3) any Annual Tax Payment due for the Taxable Year ending prior to, with or including the date of a breach. Notwithstanding the foregoing, in the event that the Corporation breaches this Agreement, the Existing Stockholders shall be entitled to elect to receive the amounts set forth in (1), (2) and (3) above or to seek specific performance of the terms hereof. In the event of a breach of a material obligation under this Agreement by the Corporation, the Early Termination Payment shall be calculated utilizing the Valuation Assumptions. Subject to Section 5.2, the parties agree that the failure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months of the date such payment is due, provided that in the event that payment is not made within three months of the date such payment is due, the Existing Stockholders (through the Existing Stockholders Representative) shall be required to give written notice to the Corporation that the Corporation has breached its material obligations and so long as such payment is made within five Business Days of the delivery of such notice to the Corporation, the Corporation shall no longer be deemed to be in material breach of its obligations under this Agreement.</w:t>
      </w:r>
    </w:p>
    <w:p>
      <w:pPr>
        <w:spacing w:after="0" w:line="66" w:lineRule="exact"/>
        <w:rPr>
          <w:rFonts w:ascii="Arial" w:cs="Arial" w:eastAsia="Arial" w:hAnsi="Arial"/>
          <w:sz w:val="16"/>
          <w:szCs w:val="16"/>
          <w:color w:val="auto"/>
        </w:rPr>
      </w:pPr>
    </w:p>
    <w:p>
      <w:pPr>
        <w:ind w:right="20" w:firstLine="976"/>
        <w:spacing w:after="0" w:line="251" w:lineRule="auto"/>
        <w:tabs>
          <w:tab w:leader="none" w:pos="1217"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then all obligations hereunder shall be accelerated and the Corporation shall pay to the Existing Stockholders (1) the Early Termination Payment, (2) any Annual Tax Payment agreed to by the Corporation and the Existing Stockholders as due and payable but unpaid as of the Early Termination Date and (3) any Annual Tax Payment due for any Taxable Year ending prior to, with or including the effective date of a Change of Control. In the event of a Change of Control, the Early Termination Payment shall be calculated utilizing the Valuation Assumptions.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520" w:top="267" w:right="539" w:bottom="1440" w:gutter="0" w:footer="0" w:header="0"/>
        </w:sectPr>
      </w:pPr>
    </w:p>
    <w:bookmarkStart w:id="360" w:name="page361"/>
    <w:bookmarkEnd w:id="360"/>
    <w:p>
      <w:pPr>
        <w:ind w:right="120" w:firstLine="976"/>
        <w:spacing w:after="0" w:line="266" w:lineRule="auto"/>
        <w:tabs>
          <w:tab w:leader="none" w:pos="1227"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Divestiture Acceleration Payment</w:t>
      </w:r>
      <w:r>
        <w:rPr>
          <w:rFonts w:ascii="Arial" w:cs="Arial" w:eastAsia="Arial" w:hAnsi="Arial"/>
          <w:sz w:val="18"/>
          <w:szCs w:val="18"/>
          <w:color w:val="auto"/>
        </w:rPr>
        <w:t>. In the event of a Divestiture, the Corporation shall pay to the Existing Stockholders the Divestiture Acceleration Payment in respect of such Divestiture, which shall be calculated utilizing the Valuation Assumptions.</w:t>
      </w:r>
    </w:p>
    <w:p>
      <w:pPr>
        <w:spacing w:after="0" w:line="73" w:lineRule="exact"/>
        <w:rPr>
          <w:rFonts w:ascii="Arial" w:cs="Arial" w:eastAsia="Arial" w:hAnsi="Arial"/>
          <w:sz w:val="18"/>
          <w:szCs w:val="18"/>
          <w:color w:val="auto"/>
        </w:rPr>
      </w:pPr>
    </w:p>
    <w:p>
      <w:pPr>
        <w:ind w:right="40" w:firstLine="976"/>
        <w:spacing w:after="0" w:line="284" w:lineRule="auto"/>
        <w:tabs>
          <w:tab w:leader="none" w:pos="1217"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Elective Individual Termination</w:t>
      </w:r>
      <w:r>
        <w:rPr>
          <w:rFonts w:ascii="Arial" w:cs="Arial" w:eastAsia="Arial" w:hAnsi="Arial"/>
          <w:sz w:val="16"/>
          <w:szCs w:val="16"/>
          <w:color w:val="auto"/>
        </w:rPr>
        <w:t>. Except as provided in Section 5.2, the Corporation may, as determined by the Chief Executive Officer of the Corporation, elect to terminate the rights of any Individual Stockholder under this Agreement by paying to such Individual Stockholder a termination payment (the “</w:t>
      </w:r>
      <w:r>
        <w:rPr>
          <w:rFonts w:ascii="Arial" w:cs="Arial" w:eastAsia="Arial" w:hAnsi="Arial"/>
          <w:sz w:val="16"/>
          <w:szCs w:val="16"/>
          <w:b w:val="1"/>
          <w:bCs w:val="1"/>
          <w:u w:val="single" w:color="auto"/>
          <w:color w:val="auto"/>
        </w:rPr>
        <w:t>Individual Termination Payment</w:t>
      </w:r>
      <w:r>
        <w:rPr>
          <w:rFonts w:ascii="Arial" w:cs="Arial" w:eastAsia="Arial" w:hAnsi="Arial"/>
          <w:sz w:val="16"/>
          <w:szCs w:val="16"/>
          <w:color w:val="auto"/>
        </w:rPr>
        <w:t>”) as reasonably determined by the Chief Executive Officer of the Corporation, provided that such election and the amount of such Individual Termination Payment shall be subject to the consent of the Board and the Existing Stockholders Representative and shall, as reasonably practical, use the Valuation Assumptions (substituting references to the date of such Individual Termination Payment for references to the Early Termination Date in the definition of Valuation Assumptions). Following an Individual Termination Payment, the applicable Individual Shareholder shall have no further right or entitlement to receive payments pursuant to this Agreement and the portion of any such payments attributable to such Individual Shareholder (based on his or her Ownership Percentage) shall be retained by the Corporation.</w:t>
      </w:r>
    </w:p>
    <w:p>
      <w:pPr>
        <w:spacing w:after="0" w:line="66" w:lineRule="exact"/>
        <w:rPr>
          <w:rFonts w:ascii="Arial" w:cs="Arial" w:eastAsia="Arial" w:hAnsi="Arial"/>
          <w:sz w:val="16"/>
          <w:szCs w:val="16"/>
          <w:color w:val="auto"/>
        </w:rPr>
      </w:pPr>
    </w:p>
    <w:p>
      <w:pPr>
        <w:ind w:firstLine="976"/>
        <w:spacing w:after="0" w:line="286" w:lineRule="auto"/>
        <w:tabs>
          <w:tab w:leader="none" w:pos="1198"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Early Complete Termination</w:t>
      </w:r>
      <w:r>
        <w:rPr>
          <w:rFonts w:ascii="Arial" w:cs="Arial" w:eastAsia="Arial" w:hAnsi="Arial"/>
          <w:sz w:val="16"/>
          <w:szCs w:val="16"/>
          <w:color w:val="auto"/>
        </w:rPr>
        <w:t>. The Corporation may elect to terminate this Agreement, with the consent of the Existing Stockholders Representative (an “</w:t>
      </w:r>
      <w:r>
        <w:rPr>
          <w:rFonts w:ascii="Arial" w:cs="Arial" w:eastAsia="Arial" w:hAnsi="Arial"/>
          <w:sz w:val="16"/>
          <w:szCs w:val="16"/>
          <w:b w:val="1"/>
          <w:bCs w:val="1"/>
          <w:u w:val="single" w:color="auto"/>
          <w:color w:val="auto"/>
        </w:rPr>
        <w:t>Early Complete Termination</w:t>
      </w:r>
      <w:r>
        <w:rPr>
          <w:rFonts w:ascii="Arial" w:cs="Arial" w:eastAsia="Arial" w:hAnsi="Arial"/>
          <w:sz w:val="16"/>
          <w:szCs w:val="16"/>
          <w:color w:val="auto"/>
        </w:rPr>
        <w:t>”) by (i) delivering to the Existing Stockholders Representative notice of its intention to exercise such right (“</w:t>
      </w:r>
      <w:r>
        <w:rPr>
          <w:rFonts w:ascii="Arial" w:cs="Arial" w:eastAsia="Arial" w:hAnsi="Arial"/>
          <w:sz w:val="16"/>
          <w:szCs w:val="16"/>
          <w:b w:val="1"/>
          <w:bCs w:val="1"/>
          <w:u w:val="single" w:color="auto"/>
          <w:color w:val="auto"/>
        </w:rPr>
        <w:t>Early Termination Notice</w:t>
      </w:r>
      <w:r>
        <w:rPr>
          <w:rFonts w:ascii="Arial" w:cs="Arial" w:eastAsia="Arial" w:hAnsi="Arial"/>
          <w:sz w:val="16"/>
          <w:szCs w:val="16"/>
          <w:color w:val="auto"/>
        </w:rPr>
        <w:t>”) and (ii) paying to the Existing Stockholders (1) the Early Termination Payment, (2) any Annual Tax Payment agreed to by the Corporation and the Existing Stockholders as due and payable but unpaid as of the Early Termination Date and (3) any Annual Tax Payment due for the Taxable Year ending prior to, with or including the date of the Early Termination Notice. In the event of an Early Complete Termination, the Early Termination Payment shall be calculated utilizing the Valuation Assumptions (substituting references to the date of such Early Termination Notice for references to the Early Termination Date in the definition of Valuation Assumptions).</w:t>
      </w:r>
    </w:p>
    <w:p>
      <w:pPr>
        <w:spacing w:after="0" w:line="167"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In the event of a Change of Control or a Divestiture, the Corporation shall deliver to the Existing Stockholders Representative no later than sixty calendar days prior to such Change of Control or Divestiture, as applicable a schedule (the “</w:t>
      </w:r>
      <w:r>
        <w:rPr>
          <w:rFonts w:ascii="Arial" w:cs="Arial" w:eastAsia="Arial" w:hAnsi="Arial"/>
          <w:sz w:val="16"/>
          <w:szCs w:val="16"/>
          <w:b w:val="1"/>
          <w:bCs w:val="1"/>
          <w:u w:val="single" w:color="auto"/>
          <w:color w:val="auto"/>
        </w:rPr>
        <w:t>Early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Termination Schedule</w:t>
      </w:r>
      <w:r>
        <w:rPr>
          <w:rFonts w:ascii="Arial" w:cs="Arial" w:eastAsia="Arial" w:hAnsi="Arial"/>
          <w:sz w:val="16"/>
          <w:szCs w:val="16"/>
          <w:color w:val="auto"/>
        </w:rPr>
        <w:t>”) showing in reasonable detail the information required pursuant to the penultimate sentence of Section 2.2 and the calculation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Early Termination Payment or the Divestiture Acceleration Payment, respectively (including the projections of the Taxable Entities’ taxable income under clause (i) of the Valuation Assumptions). The Early Termination Schedule shall become final and binding on all parties unless the Existing Stockholders Representative, within fifteen calendar days after receiving the Early Termination Schedule provides the Corporation with notice of a material objection to such Schedule made in good faith (“</w:t>
      </w:r>
      <w:r>
        <w:rPr>
          <w:rFonts w:ascii="Arial" w:cs="Arial" w:eastAsia="Arial" w:hAnsi="Arial"/>
          <w:sz w:val="16"/>
          <w:szCs w:val="16"/>
          <w:b w:val="1"/>
          <w:bCs w:val="1"/>
          <w:u w:val="single" w:color="auto"/>
          <w:color w:val="auto"/>
        </w:rPr>
        <w:t>Material Objection Notice</w:t>
      </w:r>
      <w:r>
        <w:rPr>
          <w:rFonts w:ascii="Arial" w:cs="Arial" w:eastAsia="Arial" w:hAnsi="Arial"/>
          <w:sz w:val="16"/>
          <w:szCs w:val="16"/>
          <w:color w:val="auto"/>
        </w:rPr>
        <w:t>”). If the parties for any reason are unable to successfully resolve the issues raised in such notice within fifteen calendar days after receipt by the Corporation of the Material Objection Notice, the Corporation and the Existing Stockholders Representative shall employ the Reconciliation Procedures as described in Section 7.9 of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520" w:top="273" w:right="539" w:bottom="1440" w:gutter="0" w:footer="0" w:header="0"/>
        </w:sectPr>
      </w:pPr>
    </w:p>
    <w:bookmarkStart w:id="361" w:name="page362"/>
    <w:bookmarkEnd w:id="361"/>
    <w:p>
      <w:pPr>
        <w:ind w:left="1" w:right="180" w:firstLine="434"/>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 (a) Except as provided in Section 5.2, no later than the Early Termination Date, the Corporation shall pay to each Existing Stockholder, other than any Individual Stockholder that has already been terminated in accordance with Section 4.1(e), its share (based on such Existing Stockholder’s Ownership Percentage) of an amount equal to the Early Termination Payment or Divestiture Acceleration Payment and any other payment required to be made pursuant to Sections 4.1(b) and (c). Such payment shall be made by wire transfer of immediately available funds to a bank account designated by the applicable Existing Stockholders or as otherwise agreed by the Corporation and the Existing Stockholder.</w:t>
      </w:r>
    </w:p>
    <w:p>
      <w:pPr>
        <w:spacing w:after="0" w:line="83" w:lineRule="exact"/>
        <w:rPr>
          <w:sz w:val="20"/>
          <w:szCs w:val="20"/>
          <w:color w:val="auto"/>
        </w:rPr>
      </w:pPr>
    </w:p>
    <w:p>
      <w:pPr>
        <w:ind w:left="1221" w:hanging="244"/>
        <w:spacing w:after="0"/>
        <w:tabs>
          <w:tab w:leader="none" w:pos="1221"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Early Termination Payment</w:t>
      </w:r>
      <w:r>
        <w:rPr>
          <w:rFonts w:ascii="Arial" w:cs="Arial" w:eastAsia="Arial" w:hAnsi="Arial"/>
          <w:sz w:val="17"/>
          <w:szCs w:val="17"/>
          <w:color w:val="auto"/>
        </w:rPr>
        <w:t>” as of the Early Termination Date (other than an Early Termination Date arising under clause</w:t>
      </w:r>
    </w:p>
    <w:p>
      <w:pPr>
        <w:spacing w:after="0" w:line="34" w:lineRule="exact"/>
        <w:rPr>
          <w:rFonts w:ascii="Arial" w:cs="Arial" w:eastAsia="Arial" w:hAnsi="Arial"/>
          <w:sz w:val="17"/>
          <w:szCs w:val="17"/>
          <w:color w:val="auto"/>
        </w:rPr>
      </w:pPr>
    </w:p>
    <w:p>
      <w:pPr>
        <w:ind w:left="1" w:hanging="1"/>
        <w:spacing w:after="0" w:line="283" w:lineRule="auto"/>
        <w:tabs>
          <w:tab w:leader="none" w:pos="31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of the definition thereof) shall equal with respect to the Existing Stockholders the present value, discounted at the Early Termination Rate as of such date, of all Annual Tax Payments that would be required to be paid by the Corporation to the Existing Stockholders beginning from the Early Termination Date assuming the Valuation Assumptions are applied, provided that in the event of a Change of Control, the Early Termination Payment shall be calculated without giving effect to any limitation on the use of the Pre-IPO Tax Attributes resulting from the Change of Control. For purposes of calculating the present value pursuant to this Section 4.3(b) of all Annual Tax Payments that would be required to be paid, it shall be assumed that absent the Early Termination Event all Annual Tax Payments would be paid on the latest date permitted under Section 3.1(a). The computation of the Early Termination Payment is subject to the Reconciliation Procedures as described in Section 7.9(b) of this Agreement.</w:t>
      </w:r>
    </w:p>
    <w:p>
      <w:pPr>
        <w:spacing w:after="0" w:line="59" w:lineRule="exact"/>
        <w:rPr>
          <w:rFonts w:ascii="Arial" w:cs="Arial" w:eastAsia="Arial" w:hAnsi="Arial"/>
          <w:sz w:val="16"/>
          <w:szCs w:val="16"/>
          <w:color w:val="auto"/>
        </w:rPr>
      </w:pPr>
    </w:p>
    <w:p>
      <w:pPr>
        <w:ind w:left="1" w:firstLine="976"/>
        <w:spacing w:after="0" w:line="267" w:lineRule="auto"/>
        <w:tabs>
          <w:tab w:leader="none" w:pos="1228"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Divestiture Acceleration Payment</w:t>
      </w:r>
      <w:r>
        <w:rPr>
          <w:rFonts w:ascii="Arial" w:cs="Arial" w:eastAsia="Arial" w:hAnsi="Arial"/>
          <w:sz w:val="17"/>
          <w:szCs w:val="17"/>
          <w:color w:val="auto"/>
        </w:rPr>
        <w:t>” as of the date of any Divestiture shall equal with respect to the Existing Stockholders the present value, discounted at the Early Termination Rate as of such date, of the Annual Tax Payments resulting solely from the Transferred Tax Attributes that would be required to be paid by the Corporation to the Existing Stockholders beginning from the date of such Divestiture assuming the Valuation Assumptions are applied, provided that the Divestiture Acceleration Payment shall be calculated without giving effect to any limitation on the use of the Transferred Tax Attributes resulting from the Divesture. For purposes of calculating the present value pursuant to this Section 4.3(c) of all Annual Tax Payments that would be required to be paid, it shall be assumed that absent the Divestiture all Annual Tax Payments would be paid on the latest date permitted under Section 3.1(a). The computation of the Divestiture Acceleration Payment is subject to the Reconciliation Procedures as described in Section 7.9(b) of this Agreement.</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LATE PAYMENTS, ETC.</w:t>
      </w:r>
    </w:p>
    <w:p>
      <w:pPr>
        <w:spacing w:after="0" w:line="207" w:lineRule="exact"/>
        <w:rPr>
          <w:sz w:val="20"/>
          <w:szCs w:val="20"/>
          <w:color w:val="auto"/>
        </w:rPr>
      </w:pPr>
    </w:p>
    <w:p>
      <w:pPr>
        <w:jc w:val="both"/>
        <w:ind w:left="1" w:right="80" w:firstLine="434"/>
        <w:spacing w:after="0" w:line="25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The amount of all or any portion of any ITR Payment not made to the Existing Stockholders when due under the terms of this Agreement shall be payable together with any interest thereon, computed at the Default Rate and commencing from the date on which such ITR Payment was due and payable.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1"/>
          </w:cols>
          <w:pgMar w:left="519" w:top="273" w:right="539" w:bottom="1440" w:gutter="0" w:footer="0" w:header="0"/>
        </w:sectPr>
      </w:pPr>
    </w:p>
    <w:bookmarkStart w:id="362" w:name="page363"/>
    <w:bookmarkEnd w:id="362"/>
    <w:p>
      <w:pPr>
        <w:ind w:firstLine="43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5.2 </w:t>
      </w:r>
      <w:r>
        <w:rPr>
          <w:rFonts w:ascii="Arial" w:cs="Arial" w:eastAsia="Arial" w:hAnsi="Arial"/>
          <w:sz w:val="16"/>
          <w:szCs w:val="16"/>
          <w:u w:val="single" w:color="auto"/>
          <w:color w:val="auto"/>
        </w:rPr>
        <w:t>Compliance with Indebtedness and Grants</w:t>
      </w:r>
      <w:r>
        <w:rPr>
          <w:rFonts w:ascii="Arial" w:cs="Arial" w:eastAsia="Arial" w:hAnsi="Arial"/>
          <w:sz w:val="16"/>
          <w:szCs w:val="16"/>
          <w:color w:val="auto"/>
        </w:rPr>
        <w:t xml:space="preserve">. Notwithstanding anything to the contrary provided herein, if, at the time any amounts becomes due and payable hereunder, (a) the Corporation is not permitted, pursuant to the terms its or its Subsidiaries’ outstanding indebtedness or a grant from a government entity of the United States, to pay such amounts, (b) in the good faith determination of the Corporation, the payment of such amounts would be reasonably likely to result in a breach of any covenant set forth in any agreement governing indebtedness of the Corporation or its subsidiaries or (c) (i) the Corporation does not have the cash on hand to pay such amounts, and (ii) no Subsidiary of the Corporation is permitted, pursuant to the terms of its outstanding indebtedness or a grant from a government entity of the United States, to pay dividends to the Company to allow it to pay such amounts, then, in each case, the Corporation shall, by notice to the Existing Stockholders Representative, be permitted to defer the payment of such amounts until the condition described in clause (a), (b) or (c) is no longer applicable, in which case such amounts (together with accrued and unpaid interest thereon as described in the immediately following sentence) shall become due and payable immediately. If the Corporation defers the payment of any such amounts pursuant to the foregoing sentence, such amounts shall accrue interest at the Agreed Rate per annum, from the date that such amounts originally became due and owing pursuant to the terms hereof to the date that such amounts were paid. Notwithstanding anything to the contrary provided herein, if the Corporation enters into indebtedness with a government entity of the United States or receives a grant from a government entity of the United States and such indebtedness or grant, in the reasonable determination of the Board in consultation with the Existing Stockholders Representative, does not allow for a payment or portion of a payment under this Agreement to be deferred as described in the first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then the Existing Stockholders shall not be entitled to receive such payment or such portion of a payment, as applicable, and the Existing Stockholders shall have no further right to such payment or such portion of a payment, as applicable. To the extent the Corporation or its Subsidiaries incur, create, assume or permit to exist any indebtedness after the date hereof, the Corporation shall, and shall cause its Subsidiaries to, make commercially reasonable efforts to ensure that such indebtedness permits any amounts payable hereunder to be paid. For the avoidance of doubt, nothing in the previous sentence shall prevent the Corporation from deferring payments or determining that the holders are not entitled to payments pursuant to this Section 5.2.</w:t>
      </w:r>
    </w:p>
    <w:p>
      <w:pPr>
        <w:spacing w:after="0" w:line="175" w:lineRule="exact"/>
        <w:rPr>
          <w:sz w:val="20"/>
          <w:szCs w:val="20"/>
          <w:color w:val="auto"/>
        </w:rPr>
      </w:pPr>
    </w:p>
    <w:p>
      <w:pPr>
        <w:ind w:right="140" w:firstLine="434"/>
        <w:spacing w:after="0" w:line="251"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Compliance with CARES Act.</w:t>
      </w:r>
      <w:r>
        <w:rPr>
          <w:rFonts w:ascii="Arial" w:cs="Arial" w:eastAsia="Arial" w:hAnsi="Arial"/>
          <w:sz w:val="18"/>
          <w:szCs w:val="18"/>
          <w:color w:val="auto"/>
        </w:rPr>
        <w:t xml:space="preserve"> It is the express intention of the parties hereto and of the Existing Stockholders that this Agreement shall comply fully with the letter and spirit of those provisions of the Coronavirus Aid, Relief and Economic Security (CARES) Act, and the related agreements between the Corporation and the United States Department of the Treasury, in each case applicable hereto, including, without limitation, as provided in the last sentence of Section 3.1(a)(i) and in Section 5.2. The parties hereto and the Existing Stockholders intend that the foregoing be given full effect in any construing or interpreting of this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520" w:top="273" w:right="539" w:bottom="1440" w:gutter="0" w:footer="0" w:header="0"/>
        </w:sectPr>
      </w:pPr>
    </w:p>
    <w:bookmarkStart w:id="363" w:name="page364"/>
    <w:bookmarkEnd w:id="3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ARTICLE VI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CONSISTENCY; COOPERATION</w:t>
      </w:r>
    </w:p>
    <w:p>
      <w:pPr>
        <w:spacing w:after="0" w:line="207" w:lineRule="exact"/>
        <w:rPr>
          <w:sz w:val="20"/>
          <w:szCs w:val="20"/>
          <w:color w:val="auto"/>
        </w:rPr>
      </w:pPr>
    </w:p>
    <w:p>
      <w:pPr>
        <w:ind w:left="1" w:firstLine="434"/>
        <w:spacing w:after="0" w:line="26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The Existing Stockholders Representative’s Participation in Corporation Tax Matters</w:t>
      </w:r>
      <w:r>
        <w:rPr>
          <w:rFonts w:ascii="Arial" w:cs="Arial" w:eastAsia="Arial" w:hAnsi="Arial"/>
          <w:sz w:val="17"/>
          <w:szCs w:val="17"/>
          <w:color w:val="auto"/>
        </w:rPr>
        <w:t>. Except as otherwise provided herein, the Corporation shall have full responsibility for, and sole discretion over, all Tax matters concerning the Corporation and each Taxable Entity including without limitation the preparation, filing or amending of any Tax Return and defending, contesting or settling any issue pertaining to Taxes, subject to a requirement that the Corporation act in good faith in connection with its control of any matter which is reasonably expected to affect any Existing Stockholder’s rights and obligations under this Agreement. Notwithstanding the foregoing, the Corporation shall notify the Existing Stockholders Representative of, and keep the Existing Stockholders Representative reasonably informed with respect to, the portion of any audit of the Corporation or any Taxable Entity by a Taxing Authority the outcome of which is reasonably expected to affect any Existing Stockholder’s rights and obligations under this Agreement, and shall give the Existing Stockholders Representative reasonable opportunity to provide information and participate in the applicable portion of such audit.</w:t>
      </w:r>
    </w:p>
    <w:p>
      <w:pPr>
        <w:spacing w:after="0" w:line="185" w:lineRule="exact"/>
        <w:rPr>
          <w:sz w:val="20"/>
          <w:szCs w:val="20"/>
          <w:color w:val="auto"/>
        </w:rPr>
      </w:pPr>
    </w:p>
    <w:p>
      <w:pPr>
        <w:ind w:left="1" w:firstLine="434"/>
        <w:spacing w:after="0" w:line="265"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Consistency</w:t>
      </w:r>
      <w:r>
        <w:rPr>
          <w:rFonts w:ascii="Arial" w:cs="Arial" w:eastAsia="Arial" w:hAnsi="Arial"/>
          <w:sz w:val="17"/>
          <w:szCs w:val="17"/>
          <w:color w:val="auto"/>
        </w:rPr>
        <w:t>. Except upon the written advice of an Advisory Firm, the Corporation and the Existing Stockholders Representative agree to report and cause to be reported for all purposes, including federal, state, local and foreign Tax purposes and financial reporting purposes, all Tax-related items (including without limitation the Annual Tax Payment) in a manner consistent with that specified by the Corporation in any Schedule required to be provided by or on behalf of the Corporation or any Taxable Entity under this Agreement and agreed by the Existing Stockholders Representative. Any dispute concerning such advice shall be subject to the terms of Section 7.9. In the event that an Advisory Firm is replaced with another firm acceptable to the Corporation and the Existing Stockholders Representative pursuant to the definition of Advisory Firm, such replacement Advisory Firm shall be required to perform its services under this Agreement using procedures and methodologies consistent with those used by the previous Advisory Firm, unless otherwise required by law or the Corporation and the Existing Stockholders Representative agree to the use of other procedures and methodologies.</w:t>
      </w:r>
    </w:p>
    <w:p>
      <w:pPr>
        <w:spacing w:after="0" w:line="185" w:lineRule="exact"/>
        <w:rPr>
          <w:sz w:val="20"/>
          <w:szCs w:val="20"/>
          <w:color w:val="auto"/>
        </w:rPr>
      </w:pPr>
    </w:p>
    <w:p>
      <w:pPr>
        <w:ind w:left="441"/>
        <w:spacing w:after="0"/>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Corporation and the Existing Stockholders (through the Existing Stockholders Representative) shall</w:t>
      </w:r>
    </w:p>
    <w:p>
      <w:pPr>
        <w:spacing w:after="0" w:line="28" w:lineRule="exact"/>
        <w:rPr>
          <w:sz w:val="20"/>
          <w:szCs w:val="20"/>
          <w:color w:val="auto"/>
        </w:rPr>
      </w:pPr>
    </w:p>
    <w:p>
      <w:pPr>
        <w:ind w:left="1" w:hanging="1"/>
        <w:spacing w:after="0" w:line="264" w:lineRule="auto"/>
        <w:tabs>
          <w:tab w:leader="none" w:pos="242" w:val="left"/>
        </w:tabs>
        <w:numPr>
          <w:ilvl w:val="0"/>
          <w:numId w:val="272"/>
        </w:numPr>
        <w:rPr>
          <w:rFonts w:ascii="Arial" w:cs="Arial" w:eastAsia="Arial" w:hAnsi="Arial"/>
          <w:sz w:val="17"/>
          <w:szCs w:val="17"/>
          <w:color w:val="auto"/>
        </w:rPr>
      </w:pPr>
      <w:r>
        <w:rPr>
          <w:rFonts w:ascii="Arial" w:cs="Arial" w:eastAsia="Arial" w:hAnsi="Arial"/>
          <w:sz w:val="17"/>
          <w:szCs w:val="17"/>
          <w:color w:val="auto"/>
        </w:rPr>
        <w:t>furnish to the other party in a timely manner such information, documents and other materials as the other party may reasonably request for purposes of making or approving any determination or computation necessary or appropriate under this Agreement, preparing any Tax Return or contesting or defending any audit, examination or controversy with any Taxing Authority, (b) make itself available to the other party and its representatives to provide explanations of documents and materials and such other information as the requesting party or its representatives may reasonably request in connection with any of the matters described in clause (a) above, and (c) reasonably cooperate in connection with any such matter, and the requesting party shall reimburse the other party for any reasonable third-party costs and expenses incurred pursuant to this Section; provided that, the Existing Stockholders shall not be required to provide any confidential or proprietary information (as determined in the sole and absolute discretion of each such Existing Stockholder) to the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1"/>
          </w:cols>
          <w:pgMar w:left="519" w:top="267" w:right="559" w:bottom="1440" w:gutter="0" w:footer="0" w:header="0"/>
        </w:sectPr>
      </w:pPr>
    </w:p>
    <w:bookmarkStart w:id="364" w:name="page365"/>
    <w:bookmarkEnd w:id="36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40" w:firstLine="434"/>
        <w:spacing w:after="0" w:line="251"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duly given and received (a) on the date of delivery if delivered personally, or by facsimile upon confirmation of transmission by the sender’s fax machine if sent on a Business Day (or otherwise on the next Business Day)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Corporation, to:</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Existing Stockholders Representative, to:</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[Fund VIII/Horus Holdings]</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address or fax number by giving the other party written notice of its new address or fax number in the manner set forth above.</w:t>
      </w:r>
    </w:p>
    <w:p>
      <w:pPr>
        <w:spacing w:after="0" w:line="241" w:lineRule="exact"/>
        <w:rPr>
          <w:sz w:val="20"/>
          <w:szCs w:val="20"/>
          <w:color w:val="auto"/>
        </w:rPr>
      </w:pPr>
    </w:p>
    <w:p>
      <w:pPr>
        <w:ind w:right="40" w:firstLine="434"/>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00"/>
          </w:cols>
          <w:pgMar w:left="520" w:top="268" w:right="579" w:bottom="1440" w:gutter="0" w:footer="0" w:header="0"/>
        </w:sectPr>
      </w:pPr>
    </w:p>
    <w:bookmarkStart w:id="365" w:name="page366"/>
    <w:bookmarkEnd w:id="365"/>
    <w:p>
      <w:pPr>
        <w:ind w:firstLine="434"/>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7.3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The parties to this Agreement agree that the Existing Stockholders are expressly made third party beneficiaries to this Agreement. Other than as provided in the preceding sentence, nothing in this Agreement, express or implied, is intended to or shall confer upon any other Person any right, benefit or remedy of any nature whatsoever under or by reason of this Agreement.</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New York.</w:t>
      </w:r>
    </w:p>
    <w:p>
      <w:pPr>
        <w:spacing w:after="0" w:line="230" w:lineRule="exact"/>
        <w:rPr>
          <w:sz w:val="20"/>
          <w:szCs w:val="20"/>
          <w:color w:val="auto"/>
        </w:rPr>
      </w:pPr>
    </w:p>
    <w:p>
      <w:pPr>
        <w:ind w:right="160" w:firstLine="434"/>
        <w:spacing w:after="0" w:line="268"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9" w:lineRule="exact"/>
        <w:rPr>
          <w:sz w:val="20"/>
          <w:szCs w:val="20"/>
          <w:color w:val="auto"/>
        </w:rPr>
      </w:pPr>
    </w:p>
    <w:p>
      <w:pPr>
        <w:jc w:val="both"/>
        <w:ind w:right="80" w:firstLine="434"/>
        <w:spacing w:after="0" w:line="272"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Successors; Assignment; Amendments; Waivers</w:t>
      </w:r>
      <w:r>
        <w:rPr>
          <w:rFonts w:ascii="Arial" w:cs="Arial" w:eastAsia="Arial" w:hAnsi="Arial"/>
          <w:sz w:val="17"/>
          <w:szCs w:val="17"/>
          <w:color w:val="auto"/>
        </w:rPr>
        <w:t>. (a) The Existing Stockholders Representative may freely assign or transfer its rights under this Agreement without the prior written consent of the Corporation, as long as such transferee has executed and delivered, or, in connection with such transfer, executes and delivers, a joinder to this Agreement, in form and substance reasonably satisfactory to the Corporation agreeing to be bound by all provisions of this Agreement and acknowledging specifically the last sentence of the next paragraph.</w:t>
      </w:r>
    </w:p>
    <w:p>
      <w:pPr>
        <w:spacing w:after="0" w:line="71" w:lineRule="exact"/>
        <w:rPr>
          <w:sz w:val="20"/>
          <w:szCs w:val="20"/>
          <w:color w:val="auto"/>
        </w:rPr>
      </w:pPr>
    </w:p>
    <w:p>
      <w:pPr>
        <w:ind w:right="340" w:firstLine="976"/>
        <w:spacing w:after="0" w:line="256" w:lineRule="auto"/>
        <w:tabs>
          <w:tab w:leader="none" w:pos="122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Existing Stockholder may assign its rights under this Agreement without the prior written consent of the Existing Stockholders Representative. Any assignment of an Existing Stockholder’s rights meeting the requirements of this paragraph shall be referred to herein to as a “Permitted Assignment”.</w:t>
      </w:r>
    </w:p>
    <w:p>
      <w:pPr>
        <w:spacing w:after="0" w:line="82" w:lineRule="exact"/>
        <w:rPr>
          <w:rFonts w:ascii="Arial" w:cs="Arial" w:eastAsia="Arial" w:hAnsi="Arial"/>
          <w:sz w:val="18"/>
          <w:szCs w:val="18"/>
          <w:color w:val="auto"/>
        </w:rPr>
      </w:pPr>
    </w:p>
    <w:p>
      <w:pPr>
        <w:jc w:val="both"/>
        <w:ind w:right="180" w:firstLine="976"/>
        <w:spacing w:after="0" w:line="256" w:lineRule="auto"/>
        <w:tabs>
          <w:tab w:leader="none" w:pos="121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provision of this Agreement may be amended unless such amendment is approved in writing by the Corporation and the Existing Stockholders (through the Existing Stockholders Representative). No provision of this Agreement may be waived unless such waiver is in writing and signed by the party against whom the waiver is to be effective.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520" w:top="273" w:right="559" w:bottom="1440" w:gutter="0" w:footer="0" w:header="0"/>
        </w:sectPr>
      </w:pPr>
    </w:p>
    <w:bookmarkStart w:id="366" w:name="page367"/>
    <w:bookmarkEnd w:id="366"/>
    <w:p>
      <w:pPr>
        <w:ind w:left="1" w:right="20" w:firstLine="976"/>
        <w:spacing w:after="0" w:line="269" w:lineRule="auto"/>
        <w:tabs>
          <w:tab w:leader="none" w:pos="1228" w:val="left"/>
        </w:tabs>
        <w:numPr>
          <w:ilvl w:val="0"/>
          <w:numId w:val="2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81" w:lineRule="exact"/>
        <w:rPr>
          <w:sz w:val="20"/>
          <w:szCs w:val="20"/>
          <w:color w:val="auto"/>
        </w:rPr>
      </w:pPr>
    </w:p>
    <w:p>
      <w:pPr>
        <w:ind w:left="1" w:right="180" w:firstLine="434"/>
        <w:spacing w:after="0" w:line="266"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9"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112" w:lineRule="exact"/>
        <w:rPr>
          <w:sz w:val="20"/>
          <w:szCs w:val="20"/>
          <w:color w:val="auto"/>
        </w:rPr>
      </w:pPr>
    </w:p>
    <w:p>
      <w:pPr>
        <w:ind w:left="1" w:firstLine="976"/>
        <w:spacing w:after="0" w:line="267" w:lineRule="auto"/>
        <w:tabs>
          <w:tab w:leader="none" w:pos="1218"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Any and all disputes which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New York in accordance with the then-existing Rules of Arbitration of the International Institute for Conflict Prevention and Resolution. If the parties to the dispute fail to agree on the selection of an arbitrator within thirty calendar days of the receipt of the request for arbitration, the International Institute for Conflict Prevention and Resolution shall make the appointment. The arbitrator shall be a lawyer and shall conduct the proceedings in the English language. Performance under this Agreement shall continue if reasonably possible during any arbitration proceedings.</w:t>
      </w:r>
    </w:p>
    <w:p>
      <w:pPr>
        <w:spacing w:after="0" w:line="73" w:lineRule="exact"/>
        <w:rPr>
          <w:rFonts w:ascii="Arial" w:cs="Arial" w:eastAsia="Arial" w:hAnsi="Arial"/>
          <w:sz w:val="17"/>
          <w:szCs w:val="17"/>
          <w:color w:val="auto"/>
        </w:rPr>
      </w:pPr>
    </w:p>
    <w:p>
      <w:pPr>
        <w:ind w:left="1" w:right="20" w:firstLine="976"/>
        <w:spacing w:after="0" w:line="280" w:lineRule="auto"/>
        <w:tabs>
          <w:tab w:leader="none" w:pos="122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Notwithstanding the provisions of paragraph (a), the Corporation may bring an action or special proceeding in any court of competent jurisdiction for the purpose of compelling a party to arbitrate, seeking temporary or preliminary relief in aid of an arbitration hereunder, and/or enforcing an arbitration award and, for the purposes of this paragraph (b), each Existing Stockholder (through the Existing Stockholders Representative) (i) expressly consents to the application of paragraph (c) of this Section 7.8 to any such action or proceeding, (ii) agrees that proof shall not be required that monetary damages for breach of the provisions of this Agreement would be difficult to calculate and that remedies at law would be inadequate, and</w:t>
      </w:r>
    </w:p>
    <w:p>
      <w:pPr>
        <w:spacing w:after="0" w:line="1" w:lineRule="exact"/>
        <w:rPr>
          <w:rFonts w:ascii="Arial" w:cs="Arial" w:eastAsia="Arial" w:hAnsi="Arial"/>
          <w:sz w:val="16"/>
          <w:szCs w:val="16"/>
          <w:color w:val="auto"/>
        </w:rPr>
      </w:pPr>
    </w:p>
    <w:p>
      <w:pPr>
        <w:jc w:val="both"/>
        <w:ind w:left="1" w:right="140" w:hanging="1"/>
        <w:spacing w:after="0" w:line="271" w:lineRule="auto"/>
        <w:tabs>
          <w:tab w:leader="none" w:pos="31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irrevocably appoints the Corporation as its agent for service of process in connection with any such action or proceeding and agrees that service of process upon such agent, who shall promptly advise the Existing Stockholders Representative of any such service of process, shall be deemed in every respect effective service of process upon such Existing Stockholder in any such action or proceeding.</w:t>
      </w:r>
    </w:p>
    <w:p>
      <w:pPr>
        <w:spacing w:after="0" w:line="71" w:lineRule="exact"/>
        <w:rPr>
          <w:rFonts w:ascii="Arial" w:cs="Arial" w:eastAsia="Arial" w:hAnsi="Arial"/>
          <w:sz w:val="17"/>
          <w:szCs w:val="17"/>
          <w:color w:val="auto"/>
        </w:rPr>
      </w:pPr>
    </w:p>
    <w:p>
      <w:pPr>
        <w:ind w:left="1" w:right="320" w:firstLine="976"/>
        <w:spacing w:after="0" w:line="253" w:lineRule="auto"/>
        <w:tabs>
          <w:tab w:leader="none" w:pos="121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 EACH EXISTING STOCKHOLDER (THROUGH THE EXISTING STOCKHOLDERS REPRESENTATIVE) HEREBY IRREVOCABLY SUBMITS TO THE JURISDICTION OF COURTS LOCATED IN NEW YORK, NEW YORK FOR THE PURPOSE OF ANY JUDICIAL PROCEEDING BROUGHT IN ACCORDANCE WITH THE PROVISIONS OF PARAGRAPH (B) OF THIS SECTION 7.8, OR ANY JUDICIAL PROCEEDING ANCILLARY TO AN ARBITRATION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41"/>
          </w:cols>
          <w:pgMar w:left="519" w:top="273" w:right="539" w:bottom="1440" w:gutter="0" w:footer="0" w:header="0"/>
        </w:sectPr>
      </w:pPr>
    </w:p>
    <w:bookmarkStart w:id="367" w:name="page368"/>
    <w:bookmarkEnd w:id="36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fora designated by this paragraph (c) have a reasonable relation to this Agreement, and to the parties’ relationship with one another.</w:t>
      </w:r>
    </w:p>
    <w:p>
      <w:pPr>
        <w:spacing w:after="0" w:line="85" w:lineRule="exact"/>
        <w:rPr>
          <w:sz w:val="20"/>
          <w:szCs w:val="20"/>
          <w:color w:val="auto"/>
        </w:rPr>
      </w:pPr>
    </w:p>
    <w:p>
      <w:pPr>
        <w:ind w:left="440" w:right="140" w:firstLine="409"/>
        <w:spacing w:after="0" w:line="256" w:lineRule="auto"/>
        <w:tabs>
          <w:tab w:leader="none" w:pos="111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paragraph (c) (i) of this Section 7.8 and such parties agree not to plead or claim the same.</w:t>
      </w:r>
    </w:p>
    <w:p>
      <w:pPr>
        <w:spacing w:after="0" w:line="189"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Corporation and the Existing Stockholders Representative are unable to resolve a disagreement with respect to any tax matter or calculation required under this Agreement, including the matters governed by Sections 2.3, 4.2 and 6.2, within the relevant period designated in this Agreement (or the amount of an Early Termination Payment in the case of a breach to which Section 4.1(b) applies) (“</w:t>
      </w:r>
      <w:r>
        <w:rPr>
          <w:rFonts w:ascii="Arial" w:cs="Arial" w:eastAsia="Arial" w:hAnsi="Arial"/>
          <w:sz w:val="16"/>
          <w:szCs w:val="16"/>
          <w:b w:val="1"/>
          <w:bCs w:val="1"/>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b w:val="1"/>
          <w:bCs w:val="1"/>
          <w:u w:val="single" w:color="auto"/>
          <w:color w:val="auto"/>
        </w:rPr>
        <w:t>Expert</w:t>
      </w:r>
      <w:r>
        <w:rPr>
          <w:rFonts w:ascii="Arial" w:cs="Arial" w:eastAsia="Arial" w:hAnsi="Arial"/>
          <w:sz w:val="16"/>
          <w:szCs w:val="16"/>
          <w:color w:val="auto"/>
        </w:rPr>
        <w:t>”) in the particular area of disagreement mutually acceptable to both parties. The Expert shall be a partner in a nationally recognized accounting firm or a law firm (other than the Advisory Firm), and the Expert shall not, and the firm that employs the Expert shall not, have any material relationship with the Corporation or any of the Existing Stockholders or other actual or potential conflict of interest. If the parties are unable to agree on an Expert within fifteen (15) days of receipt by the respondent(s) of written notice of a Reconciliation Dispute, the Expert shall be appointed by the International Institute for Conflict Prevention and Resolution. The Expert shall resolve any matter relating to the Early Termination Schedule or an amendment thereto within thirty calendar days and shall resolve any matter relating to a Tax Benefit Schedule or an amendment thereto within fifteen calendar days or as soon thereafter as is reasonably practicable, in each case after the matter has been submitted to the Expert for resolution. Notwithstanding the preceding sentence, if the matter is not resolved before any payment that is the subject of a disagreement is due or any Tax Return reflecting the subject of a disagreement is due, such payment shall be made on the date prescribed by this Agreement and such Tax Return may be filed as prepared by the Corporation or the relevant Taxable Entity, subject to adjustment or amendment upon resolution. The costs and expenses relating to the engagement of such Expert or amending any Tax Return shall be borne by the Corporation, except as provided in the next sentence. Each of the Corporation and the Existing Stockholders shall bear their own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Corporation and the Existing Stockholders and may be entered and enforced in any court having jurisdiction.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0"/>
          </w:cols>
          <w:pgMar w:left="520" w:top="273" w:right="539" w:bottom="1440" w:gutter="0" w:footer="0" w:header="0"/>
        </w:sectPr>
      </w:pPr>
    </w:p>
    <w:bookmarkStart w:id="368" w:name="page369"/>
    <w:bookmarkEnd w:id="368"/>
    <w:p>
      <w:pPr>
        <w:ind w:right="60" w:firstLine="43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The Corporation shall be entitled to deduct and withhold from any payment payable pursuant to this Agreement such amounts as the Corporation is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Existing Stockholders. The Corporation shall provide evidence of such payment to the Existing Stockholders (through the Existing Stockholders Representative) to the extent that such evidence is available.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Affiliated Corporations; Admission of the Corporation into a Consolidated Group; Transfers of Corporate Assets</w:t>
      </w:r>
      <w:r>
        <w:rPr>
          <w:rFonts w:ascii="Arial" w:cs="Arial" w:eastAsia="Arial" w:hAnsi="Arial"/>
          <w:sz w:val="18"/>
          <w:szCs w:val="18"/>
          <w:color w:val="auto"/>
        </w:rPr>
        <w:t>.</w:t>
      </w:r>
    </w:p>
    <w:p>
      <w:pPr>
        <w:spacing w:after="0" w:line="112" w:lineRule="exact"/>
        <w:rPr>
          <w:sz w:val="20"/>
          <w:szCs w:val="20"/>
          <w:color w:val="auto"/>
        </w:rPr>
      </w:pPr>
    </w:p>
    <w:p>
      <w:pPr>
        <w:ind w:firstLine="976"/>
        <w:spacing w:after="0" w:line="294" w:lineRule="auto"/>
        <w:tabs>
          <w:tab w:leader="none" w:pos="121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the Corporation is or becomes a member of an affiliated or consolidated group of corporations that files a consolidated income tax return pursuant to Sections 1501 et seq. of the Code (other than if the Corporation becomes a member of such a group as a result of a Change of Control, in which case the provisions of Article IV shall control), then: (i) the provisions of this Agreement shall be applied with respect to the group as a whole; and (ii) Annual Tax Payments shall be computed with reference to the consolidated taxable income of the group as a whole.</w:t>
      </w:r>
    </w:p>
    <w:p>
      <w:pPr>
        <w:spacing w:after="0" w:line="55" w:lineRule="exact"/>
        <w:rPr>
          <w:rFonts w:ascii="Arial" w:cs="Arial" w:eastAsia="Arial" w:hAnsi="Arial"/>
          <w:sz w:val="16"/>
          <w:szCs w:val="16"/>
          <w:color w:val="auto"/>
        </w:rPr>
      </w:pPr>
    </w:p>
    <w:p>
      <w:pPr>
        <w:ind w:right="100" w:firstLine="976"/>
        <w:spacing w:after="0" w:line="267" w:lineRule="auto"/>
        <w:tabs>
          <w:tab w:leader="none" w:pos="122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If any Person the income of which is included in the income of any Taxable Entity’s Combined Taxation Group transfers one or more assets to a corporation or any Person treated as such for Tax purposes the income of which is not included in such Combined Taxation Group, for purposes of calculating the amount of any Annual Tax Payment (e.g., calculating the gross income of a Taxable Entity’s Combined Taxation Group and determining the Realized Tax Benefit) due hereunder, such Person shall be treated as having disposed of such asset in a fully taxable transaction on the date of such transfer. The consideration deemed to be received by such entity shall be equal to the fair market value of the transferred asset, plus (i) the amount of debt to which such asset is subject, in the case of a transfer of an encumbered asset or (ii) the amount of debt allocated to such asset, in the case of a transfer of a partnership interest.</w:t>
      </w:r>
    </w:p>
    <w:p>
      <w:pPr>
        <w:spacing w:after="0" w:line="180" w:lineRule="exact"/>
        <w:rPr>
          <w:sz w:val="20"/>
          <w:szCs w:val="20"/>
          <w:color w:val="auto"/>
        </w:rPr>
      </w:pPr>
    </w:p>
    <w:p>
      <w:pPr>
        <w:ind w:right="40" w:firstLine="434"/>
        <w:spacing w:after="0" w:line="249"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 (a) Each Existing Stockholder (through the Existing Stockholders Representative) and each of its assignees acknowledges and agrees that the information of the Corporation is confidential and, except in the course of performing any duties as necessary for the Corporation and its Affiliates, as required by law or legal process or to enforce the terms of this Agreement, shall keep and retain in the strictest confidence and not disclose to any Person all confidential matters of the Corporation or the Existing Stockholders acquired pursuant to this Agreement. This Section 7.12 shall not apply to (i) any information that has been made publicly available by the Corporation or any of its Affiliates, becomes public knowledge (except as a result of an act of any Existing Stockholder in violation of this Agreement) or is generally known to the business community; and (ii) the disclosure of information to the extent necessary for any Existing Stockholder to prepare and file its Tax returns, to respond to any inquiries regarding the same from any Taxing Authority or to prosecute or defend any action, proceeding or audit by any taxing authority with respect to such returns.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40"/>
          </w:cols>
          <w:pgMar w:left="520" w:top="273" w:right="539" w:bottom="1440" w:gutter="0" w:footer="0" w:header="0"/>
        </w:sectPr>
      </w:pPr>
    </w:p>
    <w:bookmarkStart w:id="369" w:name="page370"/>
    <w:bookmarkEnd w:id="36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Notwithstanding anything to the contrary herein, each Existing Stockholder (and each employee, representative or other agent of such Existing Stockholder) may disclose to any and all Persons, without limitation of any kind, the tax treatment and tax structure of (x) the Corporation and (y) any of its transactions, and all materials of any kind (including opinions or other tax analyses) that are provided to such Existing Stockholder relating to such tax treatment and tax structure.</w:t>
      </w:r>
    </w:p>
    <w:p>
      <w:pPr>
        <w:spacing w:after="0" w:line="85" w:lineRule="exact"/>
        <w:rPr>
          <w:sz w:val="20"/>
          <w:szCs w:val="20"/>
          <w:color w:val="auto"/>
        </w:rPr>
      </w:pPr>
    </w:p>
    <w:p>
      <w:pPr>
        <w:ind w:right="100" w:firstLine="976"/>
        <w:spacing w:after="0" w:line="268" w:lineRule="auto"/>
        <w:tabs>
          <w:tab w:leader="none" w:pos="1227"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the Existing Stockholders Representative or any of its assignees commits a breach, or threatens to commit a breach, of any of the provisions of this Section 7.12, the Corporation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Subsidiaries and the accounts and funds managed by the Corporation and that money damages alone shall not provide an adequate remedy to such Persons. Such rights and remedies shall be in addition to, and not in lieu of, any other rights and remedies available at law or in equity.</w:t>
      </w:r>
    </w:p>
    <w:p>
      <w:pPr>
        <w:spacing w:after="0" w:line="179" w:lineRule="exact"/>
        <w:rPr>
          <w:sz w:val="20"/>
          <w:szCs w:val="20"/>
          <w:color w:val="auto"/>
        </w:rPr>
      </w:pPr>
    </w:p>
    <w:p>
      <w:pPr>
        <w:ind w:right="140" w:firstLine="434"/>
        <w:spacing w:after="0" w:line="26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Appointment of Existing Stockholders Representative</w:t>
      </w:r>
      <w:r>
        <w:rPr>
          <w:rFonts w:ascii="Arial" w:cs="Arial" w:eastAsia="Arial" w:hAnsi="Arial"/>
          <w:sz w:val="18"/>
          <w:szCs w:val="18"/>
          <w:color w:val="auto"/>
        </w:rPr>
        <w:t>.</w:t>
      </w:r>
    </w:p>
    <w:p>
      <w:pPr>
        <w:spacing w:after="0" w:line="112" w:lineRule="exact"/>
        <w:rPr>
          <w:sz w:val="20"/>
          <w:szCs w:val="20"/>
          <w:color w:val="auto"/>
        </w:rPr>
      </w:pPr>
    </w:p>
    <w:p>
      <w:pPr>
        <w:ind w:right="80" w:firstLine="976"/>
        <w:spacing w:after="0" w:line="265" w:lineRule="auto"/>
        <w:tabs>
          <w:tab w:leader="none" w:pos="1217"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Without further action of any of the Corporation, the Existing Stockholders Representative or any Existing Stockholder, and as partial consideration of the benefits conferred by this Agreement, the Existing Stockholders Representative is hereby irrevocably constituted and appointed, with full power of substitution, to act in the name, place and stead of each Existing Stockholder with respect to the taking by the Existing Stockholders Representative of any and all actions and the making of any decisions required or permitted to be taken by the Existing Stockholders Representatives under this Agreement (and any potential agreement with the Corporation to terminate this Agreement earlier than such time as is provided in Section 4.1 provided that (for the absence of doubt, except in the case of a termination covered by Section 4.1(e)) any payment made by the Corporation upon such an early termination shall be paid to each Existing Stockholder based on such Existing Stockholder’s Ownership Percentage). The power of attorney granted herein is coupled with an interest and is irrevocable and may be delegated by the Existing Stockholders Representatives. No bond shall be required of the Existing Stockholders Representatives, and the Existing Stockholders Representatives shall receive no compensation for its services.</w:t>
      </w:r>
    </w:p>
    <w:p>
      <w:pPr>
        <w:spacing w:after="0" w:line="75" w:lineRule="exact"/>
        <w:rPr>
          <w:rFonts w:ascii="Arial" w:cs="Arial" w:eastAsia="Arial" w:hAnsi="Arial"/>
          <w:sz w:val="17"/>
          <w:szCs w:val="17"/>
          <w:color w:val="auto"/>
        </w:rPr>
      </w:pPr>
    </w:p>
    <w:p>
      <w:pPr>
        <w:ind w:right="40" w:firstLine="976"/>
        <w:spacing w:after="0" w:line="251" w:lineRule="auto"/>
        <w:tabs>
          <w:tab w:leader="none" w:pos="1227"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If at any time the Existing Stockholders Representative shall incur out of pocket expenses in connection with the exercise of its duties hereunder, upon written notice to the Corporation from the Existing Stockholders Representative of documented costs and expenses (including fees and disbursements of counsel and accountants) incurred by the Existing Stockholders Representative in connection with the performance of its rights or obligations under this Agreement and the taking of any and all actions in connection therewith, the Corporation shall reduce any future payments (if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40"/>
          </w:cols>
          <w:pgMar w:left="520" w:top="273" w:right="539" w:bottom="1440" w:gutter="0" w:footer="0" w:header="0"/>
        </w:sectPr>
      </w:pPr>
    </w:p>
    <w:bookmarkStart w:id="370" w:name="page371"/>
    <w:bookmarkEnd w:id="370"/>
    <w:p>
      <w:pPr>
        <w:ind w:right="2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any) due to the Existing Stockholders hereunder pro rata (based on their respective ownership percentages in the Corporation) by the amount of such expenses which it shall instead remit directly to the Existing Stockholders Representative. In connection with the performance of its rights and obligations under this Agreement and the taking of any and all actions in connection therewith, the Existing Stockholders Representative shall not be required to expend any of its own funds (though, for the avoidance of doubt, it may do so at any time and from time to time in its sole discretion).</w:t>
      </w:r>
    </w:p>
    <w:p>
      <w:pPr>
        <w:spacing w:after="0" w:line="56" w:lineRule="exact"/>
        <w:rPr>
          <w:sz w:val="20"/>
          <w:szCs w:val="20"/>
          <w:color w:val="auto"/>
        </w:rPr>
      </w:pPr>
    </w:p>
    <w:p>
      <w:pPr>
        <w:ind w:right="20" w:firstLine="976"/>
        <w:spacing w:after="0" w:line="280" w:lineRule="auto"/>
        <w:tabs>
          <w:tab w:leader="none" w:pos="1217"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Limitation on Liability</w:t>
      </w:r>
      <w:r>
        <w:rPr>
          <w:rFonts w:ascii="Arial" w:cs="Arial" w:eastAsia="Arial" w:hAnsi="Arial"/>
          <w:sz w:val="16"/>
          <w:szCs w:val="16"/>
          <w:color w:val="auto"/>
        </w:rPr>
        <w:t xml:space="preserve">. The Existing Stockholders Representative shall not be liable to any Existing Stockholder for any act of the Existing Stockholders Representative arising out of or in connection with the acceptance or administration of its duties under this Agreement, except to the extent any liability, loss, damage, penalty, fine, cost or expense is actually incurred by such Existing Stockholder as a proximate result of the gross negligence, bad faith or willful misconduct of the Existing Stockholders Representative (it being understood that any act done or omitted pursuant to the advice of legal counsel shall be conclusive evidence of such good faith and reasonable judgment). The Existing Stockholders Representative shall not be liable for, and shall be indemnified by the Existing Stockholders (on a several but not joint basis) for, any liability, loss, damage, penalty or fine incurred by the Existing Stockholders Representative (and any cost or expense incurred by the Existing Stockholders Representative in connection therewith and herewith and not previously reimbursed pursuant to subsection (b) above) arising out of or in connection with the acceptance or administration of its duties under this Agreement, except to the extent that any such liability, loss, damage, penalty, fine, cost or expense is the proximate result of the gross negligence, bad faith or willful misconduct of the Existing Stockholders Representative (it being understood that any act done or omitted pursuant to the advice of legal counsel shall be conclusive evidence of such good faith and reasonable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any Existing Stockholder be obligated to indemnify the Existing Stockholders Representative hereunder for any liability, loss, damage, penalty, fine, cost or expense to the extent (and only to the extent) that the aggregate amount of all liabilities, losses, damages, penalties, fines, costs and expenses indemnified by such Existing Stockholder hereunder is or would be in excess of the aggregate payments under this Agreement actually remitted to such Existing Stockholder. Each Existing Stockholder’s receipt of any and all benefits to which such Existing Stockholder is entitled under this Agreement, if any, is conditioned upon and subject to such Existing Stockholder’s acceptance of all obligations, including the obligations of this Section 7.14(c), applicable to such Existing Stockholder under this Agreement.</w:t>
      </w:r>
    </w:p>
    <w:p>
      <w:pPr>
        <w:spacing w:after="0" w:line="73" w:lineRule="exact"/>
        <w:rPr>
          <w:rFonts w:ascii="Arial" w:cs="Arial" w:eastAsia="Arial" w:hAnsi="Arial"/>
          <w:sz w:val="16"/>
          <w:szCs w:val="16"/>
          <w:color w:val="auto"/>
        </w:rPr>
      </w:pPr>
    </w:p>
    <w:p>
      <w:pPr>
        <w:ind w:firstLine="976"/>
        <w:spacing w:after="0" w:line="269" w:lineRule="auto"/>
        <w:tabs>
          <w:tab w:leader="none" w:pos="1227"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Actions of the Existing Stockholders Representative</w:t>
      </w:r>
      <w:r>
        <w:rPr>
          <w:rFonts w:ascii="Arial" w:cs="Arial" w:eastAsia="Arial" w:hAnsi="Arial"/>
          <w:sz w:val="17"/>
          <w:szCs w:val="17"/>
          <w:color w:val="auto"/>
        </w:rPr>
        <w:t>. Any decision, act, consent or instruction of the Existing Stockholders Representative shall constitute a decision of all Existing Stockholders and shall be final, binding and conclusive upon each Existing Stockholder, and the Corporation may rely upon any decision, act, consent or instruction of the Existing Stockholders Representative as being the decision, act, consent or instruction of each Existing Stockholder. The Corporation is hereby relieved from any liability to any person for any acts done by the Corporation in accordance with any such decision, act, consent or instruction of the Existing Stockholders Representative.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40"/>
          </w:cols>
          <w:pgMar w:left="520" w:top="273" w:right="5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6"/>
          <w:szCs w:val="16"/>
          <w:i w:val="1"/>
          <w:iCs w:val="1"/>
          <w:color w:val="auto"/>
        </w:rPr>
        <w:t>Signatures pages follow</w:t>
      </w:r>
      <w:r>
        <w:rPr>
          <w:rFonts w:ascii="Arial" w:cs="Arial" w:eastAsia="Arial" w:hAnsi="Arial"/>
          <w:sz w:val="16"/>
          <w:szCs w:val="16"/>
          <w:color w:val="auto"/>
        </w:rPr>
        <w:t>]</w:t>
      </w:r>
    </w:p>
    <w:p>
      <w:pPr>
        <w:sectPr>
          <w:pgSz w:w="11900" w:h="16838" w:orient="portrait"/>
          <w:cols w:equalWidth="0" w:num="1">
            <w:col w:w="9019"/>
          </w:cols>
          <w:pgMar w:left="1440" w:top="273"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273" w:right="1440" w:bottom="1440" w:gutter="0" w:footer="0" w:header="0"/>
          <w:type w:val="continuous"/>
        </w:sectPr>
      </w:pPr>
    </w:p>
    <w:bookmarkStart w:id="372" w:name="page373"/>
    <w:bookmarkEnd w:id="372"/>
    <w:p>
      <w:pPr>
        <w:ind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the Corporation and the Existing Stockholders Representative have duly executed this Agreement as of the date first written above.</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SUN COUNTRY AIRLINES HOLDINGS, INC.</w:t>
      </w:r>
    </w:p>
    <w:p>
      <w:pPr>
        <w:spacing w:after="0" w:line="25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5">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 as Existing Stockholders Representative</w:t>
      </w:r>
    </w:p>
    <w:p>
      <w:pPr>
        <w:spacing w:after="0" w:line="25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520"/>
          </w:cols>
          <w:pgMar w:left="520" w:top="273" w:right="85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10.48</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4" w:lineRule="exact"/>
        <w:rPr>
          <w:sz w:val="20"/>
          <w:szCs w:val="20"/>
          <w:color w:val="auto"/>
        </w:rPr>
      </w:pPr>
    </w:p>
    <w:p>
      <w:pPr>
        <w:ind w:right="40" w:firstLine="434"/>
        <w:spacing w:after="0" w:line="256"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7, 2021, by and among PAR Investment Partners, L.P., a Delaware limited partnership (“</w:t>
      </w:r>
      <w:r>
        <w:rPr>
          <w:rFonts w:ascii="Arial" w:cs="Arial" w:eastAsia="Arial" w:hAnsi="Arial"/>
          <w:sz w:val="18"/>
          <w:szCs w:val="18"/>
          <w:u w:val="single" w:color="auto"/>
          <w:color w:val="auto"/>
        </w:rPr>
        <w:t>Buyer</w:t>
      </w:r>
      <w:r>
        <w:rPr>
          <w:rFonts w:ascii="Arial" w:cs="Arial" w:eastAsia="Arial" w:hAnsi="Arial"/>
          <w:sz w:val="18"/>
          <w:szCs w:val="18"/>
          <w:color w:val="auto"/>
        </w:rPr>
        <w:t>”),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SCA Horus Holdings,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189" w:lineRule="exact"/>
        <w:rPr>
          <w:sz w:val="20"/>
          <w:szCs w:val="20"/>
          <w:color w:val="auto"/>
        </w:rPr>
      </w:pPr>
    </w:p>
    <w:p>
      <w:pPr>
        <w:ind w:right="280" w:firstLine="434"/>
        <w:spacing w:after="0" w:line="256" w:lineRule="auto"/>
        <w:rPr>
          <w:sz w:val="20"/>
          <w:szCs w:val="20"/>
          <w:color w:val="auto"/>
        </w:rPr>
      </w:pPr>
      <w:r>
        <w:rPr>
          <w:rFonts w:ascii="Arial" w:cs="Arial" w:eastAsia="Arial" w:hAnsi="Arial"/>
          <w:sz w:val="18"/>
          <w:szCs w:val="18"/>
          <w:color w:val="auto"/>
        </w:rPr>
        <w:t>Capitalized terms used but not defined in this Agreement have the meanings ascribed thereto in the Underwriting Agreement to be entered into among Barclays Capital Inc. and Morgan Stanley &amp; Co. LLC, as representatives of the several underwriters, and the Company (the “</w:t>
      </w:r>
      <w:r>
        <w:rPr>
          <w:rFonts w:ascii="Arial" w:cs="Arial" w:eastAsia="Arial" w:hAnsi="Arial"/>
          <w:sz w:val="18"/>
          <w:szCs w:val="18"/>
          <w:u w:val="single" w:color="auto"/>
          <w:color w:val="auto"/>
        </w:rPr>
        <w:t>Underwriting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9" w:lineRule="exact"/>
        <w:rPr>
          <w:sz w:val="20"/>
          <w:szCs w:val="20"/>
          <w:color w:val="auto"/>
        </w:rPr>
      </w:pPr>
    </w:p>
    <w:p>
      <w:pPr>
        <w:jc w:val="both"/>
        <w:ind w:right="120" w:firstLine="434"/>
        <w:spacing w:after="0" w:line="256" w:lineRule="auto"/>
        <w:rPr>
          <w:sz w:val="20"/>
          <w:szCs w:val="20"/>
          <w:color w:val="auto"/>
        </w:rPr>
      </w:pPr>
      <w:r>
        <w:rPr>
          <w:rFonts w:ascii="Arial" w:cs="Arial" w:eastAsia="Arial" w:hAnsi="Arial"/>
          <w:sz w:val="18"/>
          <w:szCs w:val="18"/>
          <w:color w:val="auto"/>
        </w:rPr>
        <w:t>WHEREAS, in connection with the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the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pursuant to the Registration Statement, Buyer desires to purchase from Seller and Seller desires to sell to Buyer shares of Common Stock pursuant to the terms and subject to the conditions set forth in this Agreement;</w:t>
      </w:r>
    </w:p>
    <w:p>
      <w:pPr>
        <w:spacing w:after="0" w:line="189" w:lineRule="exact"/>
        <w:rPr>
          <w:sz w:val="20"/>
          <w:szCs w:val="20"/>
          <w:color w:val="auto"/>
        </w:rPr>
      </w:pPr>
    </w:p>
    <w:p>
      <w:pPr>
        <w:ind w:right="40" w:firstLine="434"/>
        <w:spacing w:after="0" w:line="266" w:lineRule="auto"/>
        <w:rPr>
          <w:sz w:val="20"/>
          <w:szCs w:val="20"/>
          <w:color w:val="auto"/>
        </w:rPr>
      </w:pPr>
      <w:r>
        <w:rPr>
          <w:rFonts w:ascii="Arial" w:cs="Arial" w:eastAsia="Arial" w:hAnsi="Arial"/>
          <w:sz w:val="18"/>
          <w:szCs w:val="18"/>
          <w:color w:val="auto"/>
        </w:rPr>
        <w:t>WHEREAS, the closing of the purchase and sale of the Shares (as defined below) pursuant hereto is conditioned upon the simultaneous closing of the IPO; and</w:t>
      </w:r>
    </w:p>
    <w:p>
      <w:pPr>
        <w:spacing w:after="0" w:line="179" w:lineRule="exact"/>
        <w:rPr>
          <w:sz w:val="20"/>
          <w:szCs w:val="20"/>
          <w:color w:val="auto"/>
        </w:rPr>
      </w:pPr>
    </w:p>
    <w:p>
      <w:pPr>
        <w:ind w:right="100" w:firstLine="434"/>
        <w:spacing w:after="0" w:line="296" w:lineRule="auto"/>
        <w:rPr>
          <w:sz w:val="20"/>
          <w:szCs w:val="20"/>
          <w:color w:val="auto"/>
        </w:rPr>
      </w:pPr>
      <w:r>
        <w:rPr>
          <w:rFonts w:ascii="Arial" w:cs="Arial" w:eastAsia="Arial" w:hAnsi="Arial"/>
          <w:sz w:val="17"/>
          <w:szCs w:val="17"/>
          <w:color w:val="auto"/>
        </w:rPr>
        <w:t>WHEREAS, in connection with the execution of this Agreement, Buyer shall execute and deliver to the Company the Lock-Up Agreement in the form agreed upon by the Company and Buyer and the FINRA questionnaire in the form delivered to Buyer by the Underwriters.</w:t>
      </w:r>
    </w:p>
    <w:p>
      <w:pPr>
        <w:spacing w:after="0" w:line="156" w:lineRule="exact"/>
        <w:rPr>
          <w:sz w:val="20"/>
          <w:szCs w:val="20"/>
          <w:color w:val="auto"/>
        </w:rPr>
      </w:pPr>
    </w:p>
    <w:p>
      <w:pPr>
        <w:ind w:right="100" w:firstLine="434"/>
        <w:spacing w:after="0" w:line="266" w:lineRule="auto"/>
        <w:rPr>
          <w:sz w:val="20"/>
          <w:szCs w:val="20"/>
          <w:color w:val="auto"/>
        </w:rPr>
      </w:pPr>
      <w:r>
        <w:rPr>
          <w:rFonts w:ascii="Arial" w:cs="Arial" w:eastAsia="Arial" w:hAnsi="Arial"/>
          <w:sz w:val="18"/>
          <w:szCs w:val="18"/>
          <w:color w:val="auto"/>
        </w:rPr>
        <w:t>NOW, THEREFORE, in consideration of the foregoing and the mutual promises and covenants set forth below, the parties hereto hereby agree as follows:</w:t>
      </w:r>
    </w:p>
    <w:p>
      <w:pPr>
        <w:spacing w:after="0" w:line="73" w:lineRule="exact"/>
        <w:rPr>
          <w:sz w:val="20"/>
          <w:szCs w:val="20"/>
          <w:color w:val="auto"/>
        </w:rPr>
      </w:pPr>
    </w:p>
    <w:p>
      <w:pPr>
        <w:ind w:left="620" w:hanging="187"/>
        <w:spacing w:after="0"/>
        <w:tabs>
          <w:tab w:leader="none" w:pos="62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Sale of Shares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firstLine="976"/>
        <w:spacing w:after="0" w:line="290" w:lineRule="auto"/>
        <w:tabs>
          <w:tab w:leader="none" w:pos="1217"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Subject to the terms and conditions set forth in this Agreement, Seller hereby agrees to sell to Buyer, and Buyer hereby agrees to purchase from Seller, a number of shares of Common Stock (rounded down to the nearest whole share) equal to (i) $50,000,000 divided by (ii) 94% of the price per share of Common Stock paid by the public in the IPO (the “</w:t>
      </w:r>
      <w:r>
        <w:rPr>
          <w:rFonts w:ascii="Arial" w:cs="Arial" w:eastAsia="Arial" w:hAnsi="Arial"/>
          <w:sz w:val="16"/>
          <w:szCs w:val="16"/>
          <w:u w:val="single" w:color="auto"/>
          <w:color w:val="auto"/>
        </w:rPr>
        <w:t>Shares</w:t>
      </w:r>
      <w:r>
        <w:rPr>
          <w:rFonts w:ascii="Arial" w:cs="Arial" w:eastAsia="Arial" w:hAnsi="Arial"/>
          <w:sz w:val="16"/>
          <w:szCs w:val="16"/>
          <w:color w:val="auto"/>
        </w:rPr>
        <w:t>”). The purchase price per Share to be paid by Buyer (the “</w:t>
      </w:r>
      <w:r>
        <w:rPr>
          <w:rFonts w:ascii="Arial" w:cs="Arial" w:eastAsia="Arial" w:hAnsi="Arial"/>
          <w:sz w:val="16"/>
          <w:szCs w:val="16"/>
          <w:u w:val="single" w:color="auto"/>
          <w:color w:val="auto"/>
        </w:rPr>
        <w:t>Price Per Share</w:t>
      </w:r>
      <w:r>
        <w:rPr>
          <w:rFonts w:ascii="Arial" w:cs="Arial" w:eastAsia="Arial" w:hAnsi="Arial"/>
          <w:sz w:val="16"/>
          <w:szCs w:val="16"/>
          <w:color w:val="auto"/>
        </w:rPr>
        <w:t>”) is equal to 94% of the price per share of Common Stock paid by the public in the IPO. The total purchase price to be paid by Buyer for the Shares is equal to (x) the number of Shares multiplied by (y) the Price Per Share (the “</w:t>
      </w:r>
      <w:r>
        <w:rPr>
          <w:rFonts w:ascii="Arial" w:cs="Arial" w:eastAsia="Arial" w:hAnsi="Arial"/>
          <w:sz w:val="16"/>
          <w:szCs w:val="16"/>
          <w:u w:val="single" w:color="auto"/>
          <w:color w:val="auto"/>
        </w:rPr>
        <w:t>Purchase Price</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jc w:val="both"/>
        <w:ind w:firstLine="976"/>
        <w:spacing w:after="0" w:line="253" w:lineRule="auto"/>
        <w:tabs>
          <w:tab w:leader="none" w:pos="122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sale and purchase of the Shares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Paul, Weiss, Rifkind, Wharton &amp; Garrison LLP, 1285 Avenue of the Americas, New York, New York 10019, or at such other place as shall be agreed upon by the parties hereto, on the date that all of the conditions set forth in Section 4 of this Agreement are either satisfied or waived. At the Closing, Buyer shall deliver the Purchase Price to Seller in exchange for delivery of the Shares to Buyer by transfer via DWAC.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0"/>
          </w:cols>
          <w:pgMar w:left="520" w:top="121" w:right="539" w:bottom="1440" w:gutter="0" w:footer="0" w:header="0"/>
        </w:sectPr>
      </w:pPr>
    </w:p>
    <w:bookmarkStart w:id="374" w:name="page375"/>
    <w:bookmarkEnd w:id="374"/>
    <w:p>
      <w:pPr>
        <w:ind w:left="-40" w:right="120" w:firstLine="976"/>
        <w:spacing w:after="0" w:line="266" w:lineRule="auto"/>
        <w:tabs>
          <w:tab w:leader="none" w:pos="1177"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Payment of Purchase Price</w:t>
      </w:r>
      <w:r>
        <w:rPr>
          <w:rFonts w:ascii="Arial" w:cs="Arial" w:eastAsia="Arial" w:hAnsi="Arial"/>
          <w:sz w:val="18"/>
          <w:szCs w:val="18"/>
          <w:color w:val="auto"/>
        </w:rPr>
        <w:t>. Payment by Buyer of the Purchase Price to Seller shall be made by wire transfer of immediately available funds to an account specified in writing by Seller.</w:t>
      </w:r>
    </w:p>
    <w:p>
      <w:pPr>
        <w:spacing w:after="0" w:line="73" w:lineRule="exact"/>
        <w:rPr>
          <w:rFonts w:ascii="Arial" w:cs="Arial" w:eastAsia="Arial" w:hAnsi="Arial"/>
          <w:sz w:val="18"/>
          <w:szCs w:val="18"/>
          <w:color w:val="auto"/>
        </w:rPr>
      </w:pPr>
    </w:p>
    <w:p>
      <w:pPr>
        <w:ind w:left="580" w:hanging="187"/>
        <w:spacing w:after="0"/>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Buyer as follows:</w:t>
      </w:r>
    </w:p>
    <w:p>
      <w:pPr>
        <w:spacing w:after="0" w:line="112" w:lineRule="exact"/>
        <w:rPr>
          <w:sz w:val="20"/>
          <w:szCs w:val="20"/>
          <w:color w:val="auto"/>
        </w:rPr>
      </w:pPr>
    </w:p>
    <w:p>
      <w:pPr>
        <w:ind w:left="-40" w:right="20" w:firstLine="976"/>
        <w:spacing w:after="0" w:line="287" w:lineRule="auto"/>
        <w:tabs>
          <w:tab w:leader="none" w:pos="117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Registration Statement will not, as of the Effective Date, contain an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The Commission has not issued an order preventing or suspending the use of any Preliminary Prospectus, any Issuer Free Writing Prospectus or the Prospectus relating to the proposed IPO, and no proceeding for that purpose or pursuant to Section 8A of the Act has been instituted or, to the Company’s knowledge, threatened by the Commission.</w:t>
      </w:r>
    </w:p>
    <w:p>
      <w:pPr>
        <w:spacing w:after="0" w:line="62" w:lineRule="exact"/>
        <w:rPr>
          <w:rFonts w:ascii="Arial" w:cs="Arial" w:eastAsia="Arial" w:hAnsi="Arial"/>
          <w:sz w:val="16"/>
          <w:szCs w:val="16"/>
          <w:color w:val="auto"/>
        </w:rPr>
      </w:pPr>
    </w:p>
    <w:p>
      <w:pPr>
        <w:ind w:left="-40" w:firstLine="976"/>
        <w:spacing w:after="0" w:line="272" w:lineRule="auto"/>
        <w:tabs>
          <w:tab w:leader="none" w:pos="118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The Prospectus will not, as of its date,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w:t>
      </w:r>
    </w:p>
    <w:p>
      <w:pPr>
        <w:spacing w:after="0" w:line="71" w:lineRule="exact"/>
        <w:rPr>
          <w:rFonts w:ascii="Arial" w:cs="Arial" w:eastAsia="Arial" w:hAnsi="Arial"/>
          <w:sz w:val="17"/>
          <w:szCs w:val="17"/>
          <w:color w:val="auto"/>
        </w:rPr>
      </w:pPr>
    </w:p>
    <w:p>
      <w:pPr>
        <w:ind w:left="-40" w:firstLine="976"/>
        <w:spacing w:after="0" w:line="251" w:lineRule="auto"/>
        <w:tabs>
          <w:tab w:leader="none" w:pos="117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The Pricing Disclosure Package will not, as of the Applicable Time,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w:t>
      </w:r>
    </w:p>
    <w:p>
      <w:pPr>
        <w:spacing w:after="0" w:line="87" w:lineRule="exact"/>
        <w:rPr>
          <w:rFonts w:ascii="Arial" w:cs="Arial" w:eastAsia="Arial" w:hAnsi="Arial"/>
          <w:sz w:val="18"/>
          <w:szCs w:val="18"/>
          <w:color w:val="auto"/>
        </w:rPr>
      </w:pPr>
    </w:p>
    <w:p>
      <w:pPr>
        <w:ind w:left="-40" w:right="60" w:firstLine="976"/>
        <w:spacing w:after="0" w:line="284" w:lineRule="auto"/>
        <w:tabs>
          <w:tab w:leader="none" w:pos="118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Each Issuer Free Writing Prospectus listed in Schedule IV to the Underwriting Agreement, when taken together with the Pricing Disclosure Package, will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Issuer Free Writing Prospectus listed in Schedule IV to the Underwriting Agreement in reliance upon and in conformity with written information furnished to the Company through the Representatives by or on behalf of any Underwriter specifically for inclusion therein. No Issuer Free Writing Prospectus conflicts or will conflict with the information contained in the Registration Statement or the Prospectus, and any preliminary or other prospectus deemed to be a part thereof that has not been superseded or modified. The foregoing sentence does not apply to statements in or omissions from any Issuer Free Writing Prospectus in reliance upon, and in conformity with, written information furnished to the Company by or on behalf of any Underwriter through the Representatives, specifically for use therein.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560" w:top="274" w:right="559" w:bottom="1440" w:gutter="0" w:footer="0" w:header="0"/>
        </w:sectPr>
      </w:pPr>
    </w:p>
    <w:bookmarkStart w:id="375" w:name="page376"/>
    <w:bookmarkEnd w:id="375"/>
    <w:p>
      <w:pPr>
        <w:ind w:left="-20" w:firstLine="976"/>
        <w:spacing w:after="0" w:line="265" w:lineRule="auto"/>
        <w:tabs>
          <w:tab w:leader="none" w:pos="1197" w:val="left"/>
        </w:tabs>
        <w:numPr>
          <w:ilvl w:val="0"/>
          <w:numId w:val="2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(a) have a material adverse effect on the condition (financial or otherwise), results of operations, stockholders’ equity, properties, management or business of the Company and its subsidiaries taken as a whole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or (b) prevent the consummation of the transactions contemplated by this Agreement . The Company and each of its subsidiaries has all power and authority necessary to own or hold its properties and to conduct the businesses in which it is engaged as described in the most recent Preliminary Prospectus. None of the subsidiaries of the Company (other than any subsidiaries listed in Exhibit 21 to the Registration Statement) is a “significant subsidiary” (as defined in Rule 405 under the Securities Act).</w:t>
      </w:r>
    </w:p>
    <w:p>
      <w:pPr>
        <w:spacing w:after="0" w:line="75" w:lineRule="exact"/>
        <w:rPr>
          <w:rFonts w:ascii="Arial" w:cs="Arial" w:eastAsia="Arial" w:hAnsi="Arial"/>
          <w:sz w:val="17"/>
          <w:szCs w:val="17"/>
          <w:color w:val="auto"/>
        </w:rPr>
      </w:pPr>
    </w:p>
    <w:p>
      <w:pPr>
        <w:ind w:left="-20" w:firstLine="976"/>
        <w:spacing w:after="0" w:line="264" w:lineRule="auto"/>
        <w:tabs>
          <w:tab w:leader="none" w:pos="117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under the heading “Capitalization” in each of the most recent Preliminary Prospectus and the Prospectus as of the date or dates set forth therein, and 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 Neither the filing of the Registration Statement nor the offering or sale of the Shares as contemplated by this Agreement gives rise to any rights, other than those which have been waived or satisfied, for or relating to the registration of any shares of Common Stock.</w:t>
      </w:r>
    </w:p>
    <w:p>
      <w:pPr>
        <w:spacing w:after="0" w:line="76" w:lineRule="exact"/>
        <w:rPr>
          <w:rFonts w:ascii="Arial" w:cs="Arial" w:eastAsia="Arial" w:hAnsi="Arial"/>
          <w:sz w:val="17"/>
          <w:szCs w:val="17"/>
          <w:color w:val="auto"/>
        </w:rPr>
      </w:pPr>
    </w:p>
    <w:p>
      <w:pPr>
        <w:ind w:left="-20" w:right="340" w:firstLine="976"/>
        <w:spacing w:after="0" w:line="266" w:lineRule="auto"/>
        <w:tabs>
          <w:tab w:leader="none" w:pos="120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540" w:top="273" w:right="539" w:bottom="1440" w:gutter="0" w:footer="0" w:header="0"/>
        </w:sectPr>
      </w:pPr>
    </w:p>
    <w:bookmarkStart w:id="376" w:name="page377"/>
    <w:bookmarkEnd w:id="376"/>
    <w:p>
      <w:pPr>
        <w:ind w:right="100" w:firstLine="976"/>
        <w:spacing w:after="0" w:line="284" w:lineRule="auto"/>
        <w:tabs>
          <w:tab w:leader="none" w:pos="1227" w:val="left"/>
        </w:tabs>
        <w:numPr>
          <w:ilvl w:val="0"/>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execution, delivery and performance of this Agreement by the Company and the consummation of the transactions contemplated hereby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61" w:lineRule="exact"/>
        <w:rPr>
          <w:rFonts w:ascii="Arial" w:cs="Arial" w:eastAsia="Arial" w:hAnsi="Arial"/>
          <w:sz w:val="16"/>
          <w:szCs w:val="16"/>
          <w:color w:val="auto"/>
        </w:rPr>
      </w:pPr>
    </w:p>
    <w:p>
      <w:pPr>
        <w:ind w:right="160" w:firstLine="976"/>
        <w:spacing w:after="0" w:line="278" w:lineRule="auto"/>
        <w:tabs>
          <w:tab w:leader="none" w:pos="118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w:t>
      </w:r>
    </w:p>
    <w:p>
      <w:pPr>
        <w:spacing w:after="0" w:line="65" w:lineRule="exact"/>
        <w:rPr>
          <w:rFonts w:ascii="Arial" w:cs="Arial" w:eastAsia="Arial" w:hAnsi="Arial"/>
          <w:sz w:val="17"/>
          <w:szCs w:val="17"/>
          <w:color w:val="auto"/>
        </w:rPr>
      </w:pPr>
    </w:p>
    <w:p>
      <w:pPr>
        <w:ind w:firstLine="976"/>
        <w:spacing w:after="0" w:line="265" w:lineRule="auto"/>
        <w:tabs>
          <w:tab w:leader="none" w:pos="118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75" w:lineRule="exact"/>
        <w:rPr>
          <w:rFonts w:ascii="Arial" w:cs="Arial" w:eastAsia="Arial" w:hAnsi="Arial"/>
          <w:sz w:val="17"/>
          <w:szCs w:val="17"/>
          <w:color w:val="auto"/>
        </w:rPr>
      </w:pPr>
    </w:p>
    <w:p>
      <w:pPr>
        <w:ind w:right="140" w:firstLine="976"/>
        <w:spacing w:after="0" w:line="396" w:lineRule="auto"/>
        <w:tabs>
          <w:tab w:leader="none" w:pos="1227" w:val="left"/>
        </w:tabs>
        <w:numPr>
          <w:ilvl w:val="0"/>
          <w:numId w:val="287"/>
        </w:numPr>
        <w:rPr>
          <w:rFonts w:ascii="Arial" w:cs="Arial" w:eastAsia="Arial" w:hAnsi="Arial"/>
          <w:sz w:val="14"/>
          <w:szCs w:val="14"/>
          <w:color w:val="auto"/>
        </w:rPr>
      </w:pPr>
      <w:r>
        <w:rPr>
          <w:rFonts w:ascii="Arial" w:cs="Arial" w:eastAsia="Arial" w:hAnsi="Arial"/>
          <w:sz w:val="14"/>
          <w:szCs w:val="14"/>
          <w:color w:val="auto"/>
        </w:rPr>
        <w:t>KPMG LLP, who have audited certain financial statements of the Company and its consolidated subsidiaries, whose report appears in the most recent Preliminary Prospectus, are independent public accountants as required by the Securities Act and the rules and regulations thereunder.</w:t>
      </w:r>
    </w:p>
    <w:p>
      <w:pPr>
        <w:jc w:val="both"/>
        <w:ind w:right="140" w:firstLine="976"/>
        <w:spacing w:after="0" w:line="253" w:lineRule="auto"/>
        <w:tabs>
          <w:tab w:leader="none" w:pos="11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520" w:top="273" w:right="539" w:bottom="1440" w:gutter="0" w:footer="0" w:header="0"/>
        </w:sectPr>
      </w:pPr>
    </w:p>
    <w:bookmarkStart w:id="377" w:name="page378"/>
    <w:bookmarkEnd w:id="377"/>
    <w:p>
      <w:pPr>
        <w:ind w:right="6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As of the date of the most recent balance sheet of the Company and its consolidated subsidiaries reviewed or audited by KPMG LLP, there were no material weaknesses in the Company’s internal controls.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72" w:lineRule="exact"/>
        <w:rPr>
          <w:sz w:val="20"/>
          <w:szCs w:val="20"/>
          <w:color w:val="auto"/>
        </w:rPr>
      </w:pPr>
    </w:p>
    <w:p>
      <w:pPr>
        <w:ind w:right="60" w:firstLine="976"/>
        <w:spacing w:after="0" w:line="290" w:lineRule="auto"/>
        <w:tabs>
          <w:tab w:leader="none" w:pos="127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such disclosure controls and procedures are effective in all material respects to perform the functions for which they were established.</w:t>
      </w:r>
    </w:p>
    <w:p>
      <w:pPr>
        <w:spacing w:after="0" w:line="58" w:lineRule="exact"/>
        <w:rPr>
          <w:rFonts w:ascii="Arial" w:cs="Arial" w:eastAsia="Arial" w:hAnsi="Arial"/>
          <w:sz w:val="16"/>
          <w:szCs w:val="16"/>
          <w:color w:val="auto"/>
        </w:rPr>
      </w:pPr>
    </w:p>
    <w:p>
      <w:pPr>
        <w:ind w:firstLine="976"/>
        <w:spacing w:after="0" w:line="264" w:lineRule="auto"/>
        <w:tabs>
          <w:tab w:leader="none" w:pos="1227"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or as would not, individually or in the aggregate, reasonably be expected to have a Material Adverse Effect, 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 (ii) incurred any liability or obligation, direct or contingent, other than liabilities and obligations that were incurred in the ordinary course of business, (iii) 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520" w:top="273" w:right="539" w:bottom="1440" w:gutter="0" w:footer="0" w:header="0"/>
        </w:sectPr>
      </w:pPr>
    </w:p>
    <w:bookmarkStart w:id="378" w:name="page379"/>
    <w:bookmarkEnd w:id="378"/>
    <w:p>
      <w:pPr>
        <w:ind w:firstLine="976"/>
        <w:spacing w:after="0" w:line="290" w:lineRule="auto"/>
        <w:tabs>
          <w:tab w:leader="none" w:pos="1227" w:val="left"/>
        </w:tabs>
        <w:numPr>
          <w:ilvl w:val="0"/>
          <w:numId w:val="2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(i) 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firstLine="976"/>
        <w:spacing w:after="0" w:line="284" w:lineRule="auto"/>
        <w:tabs>
          <w:tab w:leader="none" w:pos="122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Company and each of its subsidiaries have, and are operating in compliance with, such permits, licenses, patents, franchises, certificates of need and other approvals or authorizations of governmental or regulatory authorities (“</w:t>
      </w:r>
      <w:r>
        <w:rPr>
          <w:rFonts w:ascii="Arial" w:cs="Arial" w:eastAsia="Arial" w:hAnsi="Arial"/>
          <w:sz w:val="16"/>
          <w:szCs w:val="16"/>
          <w:u w:val="single" w:color="auto"/>
          <w:color w:val="auto"/>
        </w:rPr>
        <w:t>Permits</w:t>
      </w:r>
      <w:r>
        <w:rPr>
          <w:rFonts w:ascii="Arial" w:cs="Arial" w:eastAsia="Arial" w:hAnsi="Arial"/>
          <w:sz w:val="16"/>
          <w:szCs w:val="16"/>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61" w:lineRule="exact"/>
        <w:rPr>
          <w:rFonts w:ascii="Arial" w:cs="Arial" w:eastAsia="Arial" w:hAnsi="Arial"/>
          <w:sz w:val="16"/>
          <w:szCs w:val="16"/>
          <w:color w:val="auto"/>
        </w:rPr>
      </w:pPr>
    </w:p>
    <w:p>
      <w:pPr>
        <w:ind w:right="80" w:firstLine="976"/>
        <w:spacing w:after="0" w:line="282" w:lineRule="auto"/>
        <w:tabs>
          <w:tab w:leader="none" w:pos="122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520" w:top="273" w:right="539" w:bottom="1440" w:gutter="0" w:footer="0" w:header="0"/>
        </w:sectPr>
      </w:pPr>
    </w:p>
    <w:bookmarkStart w:id="379" w:name="page380"/>
    <w:bookmarkEnd w:id="379"/>
    <w:p>
      <w:pPr>
        <w:ind w:left="-40" w:right="160" w:firstLine="976"/>
        <w:spacing w:after="0" w:line="290" w:lineRule="auto"/>
        <w:tabs>
          <w:tab w:leader="none" w:pos="1158" w:val="left"/>
        </w:tabs>
        <w:numPr>
          <w:ilvl w:val="0"/>
          <w:numId w:val="2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and to the Company’s knowledge, no such proceedings are threatened by governmental authorities or others.</w:t>
      </w:r>
    </w:p>
    <w:p>
      <w:pPr>
        <w:spacing w:after="0" w:line="58" w:lineRule="exact"/>
        <w:rPr>
          <w:rFonts w:ascii="Arial" w:cs="Arial" w:eastAsia="Arial" w:hAnsi="Arial"/>
          <w:sz w:val="16"/>
          <w:szCs w:val="16"/>
          <w:color w:val="auto"/>
        </w:rPr>
      </w:pPr>
    </w:p>
    <w:p>
      <w:pPr>
        <w:jc w:val="both"/>
        <w:ind w:left="-40" w:right="40" w:firstLine="976"/>
        <w:spacing w:after="0" w:line="253" w:lineRule="auto"/>
        <w:tabs>
          <w:tab w:leader="none" w:pos="116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84" w:lineRule="exact"/>
        <w:rPr>
          <w:rFonts w:ascii="Arial" w:cs="Arial" w:eastAsia="Arial" w:hAnsi="Arial"/>
          <w:sz w:val="18"/>
          <w:szCs w:val="18"/>
          <w:color w:val="auto"/>
        </w:rPr>
      </w:pPr>
    </w:p>
    <w:p>
      <w:pPr>
        <w:jc w:val="both"/>
        <w:ind w:left="-40" w:firstLine="976"/>
        <w:spacing w:after="0" w:line="294" w:lineRule="auto"/>
        <w:tabs>
          <w:tab w:leader="none" w:pos="114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statements made in the most recent Preliminary Prospectus and Prospectus under the captions “Risk Factors—Risks Related to Our Industry”, “Risk Factors—Risks Related to Our Business” and “Business—Government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55" w:lineRule="exact"/>
        <w:rPr>
          <w:rFonts w:ascii="Arial" w:cs="Arial" w:eastAsia="Arial" w:hAnsi="Arial"/>
          <w:sz w:val="16"/>
          <w:szCs w:val="16"/>
          <w:color w:val="auto"/>
        </w:rPr>
      </w:pPr>
    </w:p>
    <w:p>
      <w:pPr>
        <w:ind w:left="-40" w:right="60" w:firstLine="976"/>
        <w:spacing w:after="0" w:line="283" w:lineRule="auto"/>
        <w:tabs>
          <w:tab w:leader="none" w:pos="11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64" w:lineRule="exact"/>
        <w:rPr>
          <w:rFonts w:ascii="Arial" w:cs="Arial" w:eastAsia="Arial" w:hAnsi="Arial"/>
          <w:sz w:val="16"/>
          <w:szCs w:val="16"/>
          <w:color w:val="auto"/>
        </w:rPr>
      </w:pPr>
    </w:p>
    <w:p>
      <w:pPr>
        <w:ind w:left="-40" w:right="260" w:firstLine="976"/>
        <w:spacing w:after="0" w:line="256" w:lineRule="auto"/>
        <w:tabs>
          <w:tab w:leader="none" w:pos="118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560" w:top="273" w:right="559" w:bottom="1440" w:gutter="0" w:footer="0" w:header="0"/>
        </w:sectPr>
      </w:pPr>
    </w:p>
    <w:bookmarkStart w:id="380" w:name="page381"/>
    <w:bookmarkEnd w:id="380"/>
    <w:p>
      <w:pPr>
        <w:ind w:left="1" w:right="340" w:firstLine="976"/>
        <w:spacing w:after="0" w:line="266" w:lineRule="auto"/>
        <w:tabs>
          <w:tab w:leader="none" w:pos="1268" w:val="left"/>
        </w:tabs>
        <w:numPr>
          <w:ilvl w:val="1"/>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No labor disturbance by or dispute with the employees of the Company or any of its subsidiaries exists or, to the knowledge of the Company, is imminent that would reasonably be expected to have a Material Adverse Effect.</w:t>
      </w:r>
    </w:p>
    <w:p>
      <w:pPr>
        <w:spacing w:after="0" w:line="73" w:lineRule="exact"/>
        <w:rPr>
          <w:rFonts w:ascii="Arial" w:cs="Arial" w:eastAsia="Arial" w:hAnsi="Arial"/>
          <w:sz w:val="18"/>
          <w:szCs w:val="18"/>
          <w:color w:val="auto"/>
        </w:rPr>
      </w:pPr>
    </w:p>
    <w:p>
      <w:pPr>
        <w:ind w:left="1" w:right="40" w:firstLine="976"/>
        <w:spacing w:after="0" w:line="280" w:lineRule="auto"/>
        <w:tabs>
          <w:tab w:leader="none" w:pos="122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w:t>
      </w:r>
    </w:p>
    <w:p>
      <w:pPr>
        <w:spacing w:after="0" w:line="1" w:lineRule="exact"/>
        <w:rPr>
          <w:rFonts w:ascii="Arial" w:cs="Arial" w:eastAsia="Arial" w:hAnsi="Arial"/>
          <w:sz w:val="16"/>
          <w:szCs w:val="16"/>
          <w:color w:val="auto"/>
        </w:rPr>
      </w:pPr>
    </w:p>
    <w:p>
      <w:pPr>
        <w:ind w:left="1" w:right="240" w:hanging="1"/>
        <w:spacing w:after="0" w:line="248" w:lineRule="auto"/>
        <w:tabs>
          <w:tab w:leader="none" w:pos="30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90" w:lineRule="exact"/>
        <w:rPr>
          <w:rFonts w:ascii="Arial" w:cs="Arial" w:eastAsia="Arial" w:hAnsi="Arial"/>
          <w:sz w:val="18"/>
          <w:szCs w:val="18"/>
          <w:color w:val="auto"/>
        </w:rPr>
      </w:pPr>
    </w:p>
    <w:p>
      <w:pPr>
        <w:ind w:left="1" w:firstLine="976"/>
        <w:spacing w:after="0" w:line="280" w:lineRule="auto"/>
        <w:tabs>
          <w:tab w:leader="none" w:pos="1228"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1"/>
          </w:cols>
          <w:pgMar w:left="519" w:top="273" w:right="539" w:bottom="1440" w:gutter="0" w:footer="0" w:header="0"/>
        </w:sectPr>
      </w:pPr>
    </w:p>
    <w:bookmarkStart w:id="381" w:name="page382"/>
    <w:bookmarkEnd w:id="381"/>
    <w:p>
      <w:pPr>
        <w:ind w:right="40" w:firstLine="976"/>
        <w:spacing w:after="0" w:line="335" w:lineRule="auto"/>
        <w:tabs>
          <w:tab w:leader="none" w:pos="1217" w:val="left"/>
        </w:tabs>
        <w:numPr>
          <w:ilvl w:val="0"/>
          <w:numId w:val="29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34" w:lineRule="exact"/>
        <w:rPr>
          <w:sz w:val="20"/>
          <w:szCs w:val="20"/>
          <w:color w:val="auto"/>
        </w:rPr>
      </w:pPr>
    </w:p>
    <w:p>
      <w:pPr>
        <w:ind w:firstLine="976"/>
        <w:spacing w:after="0" w:line="280" w:lineRule="auto"/>
        <w:tabs>
          <w:tab w:leader="none" w:pos="129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would have any liability (each a “</w:t>
      </w:r>
      <w:r>
        <w:rPr>
          <w:rFonts w:ascii="Arial" w:cs="Arial" w:eastAsia="Arial" w:hAnsi="Arial"/>
          <w:sz w:val="16"/>
          <w:szCs w:val="16"/>
          <w:u w:val="single" w:color="auto"/>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 (D) 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(iv) no Multiemployer Plan is, or is expected to be, “insolvent” (within the meaning of Section 4245 of 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70" w:lineRule="exact"/>
        <w:rPr>
          <w:rFonts w:ascii="Arial" w:cs="Arial" w:eastAsia="Arial" w:hAnsi="Arial"/>
          <w:sz w:val="16"/>
          <w:szCs w:val="16"/>
          <w:color w:val="auto"/>
        </w:rPr>
      </w:pPr>
    </w:p>
    <w:p>
      <w:pPr>
        <w:ind w:right="180" w:firstLine="976"/>
        <w:spacing w:after="0" w:line="266" w:lineRule="auto"/>
        <w:tabs>
          <w:tab w:leader="none" w:pos="131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most recent Preliminary Prospectus are based on or derived from sources that the Company reasonably believes to be reliable in all material respects.</w:t>
      </w:r>
    </w:p>
    <w:p>
      <w:pPr>
        <w:spacing w:after="0" w:line="73" w:lineRule="exact"/>
        <w:rPr>
          <w:rFonts w:ascii="Arial" w:cs="Arial" w:eastAsia="Arial" w:hAnsi="Arial"/>
          <w:sz w:val="18"/>
          <w:szCs w:val="18"/>
          <w:color w:val="auto"/>
        </w:rPr>
      </w:pPr>
    </w:p>
    <w:p>
      <w:pPr>
        <w:ind w:right="60" w:firstLine="976"/>
        <w:spacing w:after="0" w:line="251" w:lineRule="auto"/>
        <w:tabs>
          <w:tab w:leader="none" w:pos="129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and, after giving effect to the offer and sale of the Common Stock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and the rules and regulations of the Commission thereunder, or (ii) a “business development company” (as defined in Section 2(a)(48) of the Investment Company 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73" w:right="539" w:bottom="1440" w:gutter="0" w:footer="0" w:header="0"/>
        </w:sectPr>
      </w:pPr>
    </w:p>
    <w:bookmarkStart w:id="382" w:name="page383"/>
    <w:bookmarkEnd w:id="382"/>
    <w:p>
      <w:pPr>
        <w:ind w:left="-40" w:right="60" w:firstLine="976"/>
        <w:spacing w:after="0" w:line="256" w:lineRule="auto"/>
        <w:tabs>
          <w:tab w:leader="none" w:pos="1276"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82" w:lineRule="exact"/>
        <w:rPr>
          <w:rFonts w:ascii="Arial" w:cs="Arial" w:eastAsia="Arial" w:hAnsi="Arial"/>
          <w:sz w:val="18"/>
          <w:szCs w:val="18"/>
          <w:color w:val="auto"/>
        </w:rPr>
      </w:pPr>
    </w:p>
    <w:p>
      <w:pPr>
        <w:ind w:left="-40" w:right="100" w:firstLine="976"/>
        <w:spacing w:after="0" w:line="251" w:lineRule="auto"/>
        <w:tabs>
          <w:tab w:leader="none" w:pos="125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87" w:lineRule="exact"/>
        <w:rPr>
          <w:rFonts w:ascii="Arial" w:cs="Arial" w:eastAsia="Arial" w:hAnsi="Arial"/>
          <w:sz w:val="18"/>
          <w:szCs w:val="18"/>
          <w:color w:val="auto"/>
        </w:rPr>
      </w:pPr>
    </w:p>
    <w:p>
      <w:pPr>
        <w:ind w:left="-40" w:right="40" w:firstLine="976"/>
        <w:spacing w:after="0" w:line="256" w:lineRule="auto"/>
        <w:tabs>
          <w:tab w:leader="none" w:pos="121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the Underwriting Agreement) that would give rise to a valid claim against any of them for a brokerage commission, finder’s fee or like payment in connection with the offering and sale of the Common Stock.</w:t>
      </w:r>
    </w:p>
    <w:p>
      <w:pPr>
        <w:spacing w:after="0" w:line="82" w:lineRule="exact"/>
        <w:rPr>
          <w:rFonts w:ascii="Arial" w:cs="Arial" w:eastAsia="Arial" w:hAnsi="Arial"/>
          <w:sz w:val="18"/>
          <w:szCs w:val="18"/>
          <w:color w:val="auto"/>
        </w:rPr>
      </w:pPr>
    </w:p>
    <w:p>
      <w:pPr>
        <w:ind w:left="1280" w:hanging="344"/>
        <w:spacing w:after="0"/>
        <w:tabs>
          <w:tab w:leader="none" w:pos="12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has applied to list the Common Stock on the Nasdaq Global Select Market.</w:t>
      </w:r>
    </w:p>
    <w:p>
      <w:pPr>
        <w:spacing w:after="0" w:line="112" w:lineRule="exact"/>
        <w:rPr>
          <w:rFonts w:ascii="Arial" w:cs="Arial" w:eastAsia="Arial" w:hAnsi="Arial"/>
          <w:sz w:val="18"/>
          <w:szCs w:val="18"/>
          <w:color w:val="auto"/>
        </w:rPr>
      </w:pPr>
    </w:p>
    <w:p>
      <w:pPr>
        <w:ind w:left="-40" w:firstLine="976"/>
        <w:spacing w:after="0" w:line="282" w:lineRule="auto"/>
        <w:tabs>
          <w:tab w:leader="none" w:pos="1276" w:val="left"/>
        </w:tabs>
        <w:numPr>
          <w:ilvl w:val="0"/>
          <w:numId w:val="295"/>
        </w:numPr>
        <w:rPr>
          <w:rFonts w:ascii="Arial" w:cs="Arial" w:eastAsia="Arial" w:hAnsi="Arial"/>
          <w:sz w:val="16"/>
          <w:szCs w:val="16"/>
          <w:color w:val="auto"/>
        </w:rPr>
      </w:pPr>
      <w:r>
        <w:rPr>
          <w:rFonts w:ascii="Arial" w:cs="Arial" w:eastAsia="Arial" w:hAnsi="Arial"/>
          <w:sz w:val="16"/>
          <w:szCs w:val="16"/>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Arial" w:cs="Arial" w:eastAsia="Arial" w:hAnsi="Arial"/>
          <w:sz w:val="16"/>
          <w:szCs w:val="16"/>
          <w:u w:val="single" w:color="auto"/>
          <w:color w:val="auto"/>
        </w:rPr>
        <w:t>FCPA</w:t>
      </w:r>
      <w:r>
        <w:rPr>
          <w:rFonts w:ascii="Arial" w:cs="Arial" w:eastAsia="Arial" w:hAnsi="Arial"/>
          <w:sz w:val="16"/>
          <w:szCs w:val="16"/>
          <w:color w:val="auto"/>
        </w:rPr>
        <w:t>”)) or domestic government official; or (iii) violated or is in violation of any provision of the FCPA, the Bribery Act 2010 of the United Kingdom, as amended (the “</w:t>
      </w:r>
      <w:r>
        <w:rPr>
          <w:rFonts w:ascii="Arial" w:cs="Arial" w:eastAsia="Arial" w:hAnsi="Arial"/>
          <w:sz w:val="16"/>
          <w:szCs w:val="16"/>
          <w:u w:val="single" w:color="auto"/>
          <w:color w:val="auto"/>
        </w:rPr>
        <w:t>Bribery Act 2010</w:t>
      </w:r>
      <w:r>
        <w:rPr>
          <w:rFonts w:ascii="Arial" w:cs="Arial" w:eastAsia="Arial" w:hAnsi="Arial"/>
          <w:sz w:val="16"/>
          <w:szCs w:val="16"/>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560" w:top="273" w:right="579" w:bottom="1440" w:gutter="0" w:footer="0" w:header="0"/>
        </w:sectPr>
      </w:pPr>
    </w:p>
    <w:bookmarkStart w:id="383" w:name="page384"/>
    <w:bookmarkEnd w:id="383"/>
    <w:p>
      <w:pPr>
        <w:ind w:right="100" w:firstLine="976"/>
        <w:spacing w:after="0" w:line="267" w:lineRule="auto"/>
        <w:tabs>
          <w:tab w:leader="none" w:pos="1237" w:val="left"/>
        </w:tabs>
        <w:numPr>
          <w:ilvl w:val="0"/>
          <w:numId w:val="2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73" w:lineRule="exact"/>
        <w:rPr>
          <w:rFonts w:ascii="Arial" w:cs="Arial" w:eastAsia="Arial" w:hAnsi="Arial"/>
          <w:sz w:val="17"/>
          <w:szCs w:val="17"/>
          <w:color w:val="auto"/>
        </w:rPr>
      </w:pPr>
    </w:p>
    <w:p>
      <w:pPr>
        <w:ind w:firstLine="976"/>
        <w:spacing w:after="0" w:line="264" w:lineRule="auto"/>
        <w:tabs>
          <w:tab w:leader="none" w:pos="123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w:t>
      </w:r>
      <w:r>
        <w:rPr>
          <w:rFonts w:ascii="Arial" w:cs="Arial" w:eastAsia="Arial" w:hAnsi="Arial"/>
          <w:sz w:val="17"/>
          <w:szCs w:val="17"/>
          <w:u w:val="single" w:color="auto"/>
          <w:color w:val="auto"/>
        </w:rPr>
        <w:t>Person</w:t>
      </w:r>
      <w:r>
        <w:rPr>
          <w:rFonts w:ascii="Arial" w:cs="Arial" w:eastAsia="Arial" w:hAnsi="Arial"/>
          <w:sz w:val="17"/>
          <w:szCs w:val="17"/>
          <w:color w:val="auto"/>
        </w:rPr>
        <w:t>”)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(ii) located, organized or resident in a country or territory that is the subject or target of Sanctions (including, without limitation, Cuba, Iran, North Korea, Syria and Crimea); and the Company will not directly 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76" w:lineRule="exact"/>
        <w:rPr>
          <w:rFonts w:ascii="Arial" w:cs="Arial" w:eastAsia="Arial" w:hAnsi="Arial"/>
          <w:sz w:val="17"/>
          <w:szCs w:val="17"/>
          <w:color w:val="auto"/>
        </w:rPr>
      </w:pPr>
    </w:p>
    <w:p>
      <w:pPr>
        <w:ind w:right="40" w:firstLine="976"/>
        <w:spacing w:after="0" w:line="284" w:lineRule="auto"/>
        <w:tabs>
          <w:tab w:leader="none" w:pos="131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adequate for the operation of the business of the Company or its subsidiaries as currently conducted, free and clear, to the knowledge of the Company,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273" w:right="539" w:bottom="1440" w:gutter="0" w:footer="0" w:header="0"/>
        </w:sectPr>
      </w:pPr>
    </w:p>
    <w:bookmarkStart w:id="384" w:name="page385"/>
    <w:bookmarkEnd w:id="384"/>
    <w:p>
      <w:pPr>
        <w:ind w:right="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disclosed or otherwise used in connection with their businesses (collectively, “</w:t>
      </w:r>
      <w:r>
        <w:rPr>
          <w:rFonts w:ascii="Arial" w:cs="Arial" w:eastAsia="Arial" w:hAnsi="Arial"/>
          <w:sz w:val="16"/>
          <w:szCs w:val="16"/>
          <w:u w:val="single" w:color="auto"/>
          <w:color w:val="auto"/>
        </w:rPr>
        <w:t>Personal Data</w:t>
      </w:r>
      <w:r>
        <w:rPr>
          <w:rFonts w:ascii="Arial" w:cs="Arial" w:eastAsia="Arial" w:hAnsi="Arial"/>
          <w:sz w:val="16"/>
          <w:szCs w:val="16"/>
          <w:color w:val="auto"/>
        </w:rPr>
        <w:t>”)) and, except as would not, individually or in the aggregate, reasonably be expected to have a Material Adverse Effect, there has been no breach, violation, outage, disablement, loss, destruction or unauthorized use, access, distribution or modification of or to any IT System or Personal Data of the Company or its subsidiaries.</w:t>
      </w:r>
    </w:p>
    <w:p>
      <w:pPr>
        <w:spacing w:after="0" w:line="48" w:lineRule="exact"/>
        <w:rPr>
          <w:sz w:val="20"/>
          <w:szCs w:val="20"/>
          <w:color w:val="auto"/>
        </w:rPr>
      </w:pPr>
    </w:p>
    <w:p>
      <w:pPr>
        <w:ind w:firstLine="976"/>
        <w:spacing w:after="0" w:line="284" w:lineRule="auto"/>
        <w:tabs>
          <w:tab w:leader="none" w:pos="123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Company and each of its subsidiaries are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Arial" w:cs="Arial" w:eastAsia="Arial" w:hAnsi="Arial"/>
          <w:sz w:val="16"/>
          <w:szCs w:val="16"/>
          <w:u w:val="single" w:color="auto"/>
          <w:color w:val="auto"/>
        </w:rPr>
        <w:t>Privacy Obligations</w:t>
      </w:r>
      <w:r>
        <w:rPr>
          <w:rFonts w:ascii="Arial" w:cs="Arial" w:eastAsia="Arial" w:hAnsi="Arial"/>
          <w:sz w:val="16"/>
          <w:szCs w:val="16"/>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Arial" w:cs="Arial" w:eastAsia="Arial" w:hAnsi="Arial"/>
          <w:sz w:val="16"/>
          <w:szCs w:val="16"/>
          <w:u w:val="single" w:color="auto"/>
          <w:color w:val="auto"/>
        </w:rPr>
        <w:t>Policies</w:t>
      </w:r>
      <w:r>
        <w:rPr>
          <w:rFonts w:ascii="Arial" w:cs="Arial" w:eastAsia="Arial" w:hAnsi="Arial"/>
          <w:sz w:val="16"/>
          <w:szCs w:val="16"/>
          <w:color w:val="auto"/>
        </w:rPr>
        <w:t>”). Since January 1, 2019,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61" w:lineRule="exact"/>
        <w:rPr>
          <w:rFonts w:ascii="Arial" w:cs="Arial" w:eastAsia="Arial" w:hAnsi="Arial"/>
          <w:sz w:val="16"/>
          <w:szCs w:val="16"/>
          <w:color w:val="auto"/>
        </w:rPr>
      </w:pPr>
    </w:p>
    <w:p>
      <w:pPr>
        <w:ind w:firstLine="976"/>
        <w:spacing w:after="0" w:line="264" w:lineRule="auto"/>
        <w:tabs>
          <w:tab w:leader="none" w:pos="141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Arial" w:cs="Arial" w:eastAsia="Arial" w:hAnsi="Arial"/>
          <w:sz w:val="17"/>
          <w:szCs w:val="17"/>
          <w:u w:val="single" w:color="auto"/>
          <w:color w:val="auto"/>
        </w:rPr>
        <w:t>FAA</w:t>
      </w:r>
      <w:r>
        <w:rPr>
          <w:rFonts w:ascii="Arial" w:cs="Arial" w:eastAsia="Arial" w:hAnsi="Arial"/>
          <w:sz w:val="17"/>
          <w:szCs w:val="17"/>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Disclosure Package and the Prospectus (exclusive of any supplement thereto).</w:t>
      </w:r>
    </w:p>
    <w:p>
      <w:pPr>
        <w:spacing w:after="0" w:line="81" w:lineRule="exact"/>
        <w:rPr>
          <w:rFonts w:ascii="Arial" w:cs="Arial" w:eastAsia="Arial" w:hAnsi="Arial"/>
          <w:sz w:val="17"/>
          <w:szCs w:val="17"/>
          <w:color w:val="auto"/>
        </w:rPr>
      </w:pPr>
    </w:p>
    <w:p>
      <w:pPr>
        <w:ind w:firstLine="976"/>
        <w:spacing w:after="0" w:line="290" w:lineRule="auto"/>
        <w:tabs>
          <w:tab w:leader="none" w:pos="131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00"/>
          </w:cols>
          <w:pgMar w:left="520" w:top="273" w:right="579" w:bottom="1440" w:gutter="0" w:footer="0" w:header="0"/>
        </w:sectPr>
      </w:pPr>
    </w:p>
    <w:bookmarkStart w:id="385" w:name="page386"/>
    <w:bookmarkEnd w:id="385"/>
    <w:p>
      <w:pPr>
        <w:ind w:right="3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Governmental License. The Company (x) 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65" w:lineRule="exact"/>
        <w:rPr>
          <w:sz w:val="20"/>
          <w:szCs w:val="20"/>
          <w:color w:val="auto"/>
        </w:rPr>
      </w:pPr>
    </w:p>
    <w:p>
      <w:pPr>
        <w:ind w:firstLine="976"/>
        <w:spacing w:after="0" w:line="296" w:lineRule="auto"/>
        <w:tabs>
          <w:tab w:leader="none" w:pos="131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Seller represents and warrants to Buyer as follows:</w:t>
      </w:r>
    </w:p>
    <w:p>
      <w:pPr>
        <w:spacing w:after="0" w:line="112" w:lineRule="exact"/>
        <w:rPr>
          <w:sz w:val="20"/>
          <w:szCs w:val="20"/>
          <w:color w:val="auto"/>
        </w:rPr>
      </w:pPr>
    </w:p>
    <w:p>
      <w:pPr>
        <w:ind w:firstLine="976"/>
        <w:spacing w:after="0" w:line="284" w:lineRule="auto"/>
        <w:tabs>
          <w:tab w:leader="none" w:pos="121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Seller has reviewed and is familiar with the Registration Statement. As of the date of this Agreement, the Registration Statement does not contain any untrue statement of a material fact or omit to state a material fact required to be stated therein or necessary in order to make the statements therein not misleading; provided, however, that the foregoing representation and warranty is limited to the name and address of Seller, which information has been furnished in writing by or on behalf of Seller to the Company expressly for use therein. As of the date of this Agreement, Seller is not relying upon any material information concerning the Company or any subsidiary of the Company which is not set forth in the Registration Statement (and is otherwise required to be set forth in the Registration Statement) in making its decision to sell the Shares to be sold by Seller hereunder. Buyer has not made any representation to Seller about the advisability of the decision to sell the Shares or the potential future value of the Shares, and Seller has not relied on any representations of Buyer except those expressly set forth in Section 2.3 of this Agreement.</w:t>
      </w:r>
    </w:p>
    <w:p>
      <w:pPr>
        <w:spacing w:after="0" w:line="66" w:lineRule="exact"/>
        <w:rPr>
          <w:rFonts w:ascii="Arial" w:cs="Arial" w:eastAsia="Arial" w:hAnsi="Arial"/>
          <w:sz w:val="16"/>
          <w:szCs w:val="16"/>
          <w:color w:val="auto"/>
        </w:rPr>
      </w:pPr>
    </w:p>
    <w:p>
      <w:pPr>
        <w:ind w:right="140" w:firstLine="976"/>
        <w:spacing w:after="0" w:line="251" w:lineRule="auto"/>
        <w:tabs>
          <w:tab w:leader="none" w:pos="122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At the closing of the transactions contemplated hereby Seller will have valid title to the Shares free and clear of all security interests, claims, liens, equities or other encumbrances and the legal right and power, and all authorization and approval required by law, to enter into this Agreement and to sell, transfer and deliver the Shares. Upon payment by Buyer for the Shares, delivery of the Shares will pass valid title to the Shares, free and clear of any adverse claim within the meaning of Section 8-102 of the New York Uniform Commercial Code, to Buyer without notice of an adverse claim.</w:t>
      </w:r>
    </w:p>
    <w:p>
      <w:pPr>
        <w:spacing w:after="0" w:line="87" w:lineRule="exact"/>
        <w:rPr>
          <w:rFonts w:ascii="Arial" w:cs="Arial" w:eastAsia="Arial" w:hAnsi="Arial"/>
          <w:sz w:val="18"/>
          <w:szCs w:val="18"/>
          <w:color w:val="auto"/>
        </w:rPr>
      </w:pPr>
    </w:p>
    <w:p>
      <w:pPr>
        <w:ind w:right="40" w:firstLine="976"/>
        <w:spacing w:after="0" w:line="266" w:lineRule="auto"/>
        <w:tabs>
          <w:tab w:leader="none" w:pos="1217"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execution and delivery by Seller of, and the performance by Seller of its obligations under this Agreement, the sale and delivery of the Shares, the consummation of the transactions contemplated herein and compliance by Seller with its obligations hereunder does not and will not contravene any provision of applicable law, or the certificate of formation or limited liability company agreement or other organizational documents of Seller, or any agreement or other instrument binding upon Seller or any judgment, order or decree of any governmental body, agency or court having jurisdiction over Seller, and no consent, approval, authorization or order of, or qualification with, any governmental body or agency is required for the performance by Seller of its obligations under this Agreement, except, in each case, where any such contravention or where the failure to obtain any such consent, approval, authorization or order would not reasonably be expected to have a material adverse effect on the consummation of the transactions contemplated hereby.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520" w:top="273" w:right="539" w:bottom="1440" w:gutter="0" w:footer="0" w:header="0"/>
        </w:sectPr>
      </w:pPr>
    </w:p>
    <w:bookmarkStart w:id="386" w:name="page387"/>
    <w:bookmarkEnd w:id="386"/>
    <w:p>
      <w:pPr>
        <w:ind w:left="1" w:right="240" w:firstLine="976"/>
        <w:spacing w:after="0" w:line="294" w:lineRule="auto"/>
        <w:tabs>
          <w:tab w:leader="none" w:pos="1228" w:val="left"/>
        </w:tabs>
        <w:numPr>
          <w:ilvl w:val="1"/>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execution and delivery of, and the performance by Seller of its obligations under, this Agreement has been duly and validly authorized by all necessary limited liability company action on the part of Seller. This Agreement has been duly executed and delivered by Seller and constitutes the valid and legally binding obligation of Seller, enforceable against Seller in accordance with its terms, subject to bankruptcy, reorganization, insolvency and other similar laws affecting the enforcement of creditors’ rights generally and to general principles of equity.</w:t>
      </w:r>
    </w:p>
    <w:p>
      <w:pPr>
        <w:spacing w:after="0" w:line="55" w:lineRule="exact"/>
        <w:rPr>
          <w:rFonts w:ascii="Arial" w:cs="Arial" w:eastAsia="Arial" w:hAnsi="Arial"/>
          <w:sz w:val="16"/>
          <w:szCs w:val="16"/>
          <w:color w:val="auto"/>
        </w:rPr>
      </w:pPr>
    </w:p>
    <w:p>
      <w:pPr>
        <w:ind w:left="1" w:right="40" w:firstLine="976"/>
        <w:spacing w:after="0" w:line="280" w:lineRule="auto"/>
        <w:tabs>
          <w:tab w:leader="none" w:pos="121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Within the six month period prior to the date of this Agreement, Seller has not (i) offered any Shares by means of any general solicitation or general advertising within the meaning of Rule 502(c) under Regulation D under the Securities Act; (ii) contacted anyone (other than Buyer and the other entities that are executing a similar securities purchase agreement on the date hereof) seeking to sell its ownership interest in the Company; (iii) provided information to anyone (other than Buyer and the other entities that are executing a similar securities purchase agreement on the date hereof) seeking to acquire its ownership interest in the Company; or (iv) engaged or authorized anyone to take any of the actions described in (i),</w:t>
      </w:r>
    </w:p>
    <w:p>
      <w:pPr>
        <w:spacing w:after="0" w:line="1" w:lineRule="exact"/>
        <w:rPr>
          <w:rFonts w:ascii="Arial" w:cs="Arial" w:eastAsia="Arial" w:hAnsi="Arial"/>
          <w:sz w:val="16"/>
          <w:szCs w:val="16"/>
          <w:color w:val="auto"/>
        </w:rPr>
      </w:pPr>
    </w:p>
    <w:p>
      <w:pPr>
        <w:ind w:left="261" w:hanging="261"/>
        <w:spacing w:after="0"/>
        <w:tabs>
          <w:tab w:leader="none" w:pos="26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or (iii) above on its behalf.</w:t>
      </w:r>
    </w:p>
    <w:p>
      <w:pPr>
        <w:spacing w:after="0" w:line="100" w:lineRule="exact"/>
        <w:rPr>
          <w:rFonts w:ascii="Arial" w:cs="Arial" w:eastAsia="Arial" w:hAnsi="Arial"/>
          <w:sz w:val="18"/>
          <w:szCs w:val="18"/>
          <w:color w:val="auto"/>
        </w:rPr>
      </w:pPr>
    </w:p>
    <w:p>
      <w:pPr>
        <w:ind w:left="1" w:right="100" w:firstLine="976"/>
        <w:spacing w:after="0" w:line="266" w:lineRule="auto"/>
        <w:tabs>
          <w:tab w:leader="none" w:pos="1199"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Seller has not taken any action which would reasonably be expected to cause the sale of the Shares by Seller to Buyer to fail to qualify as exempt from the registration requirements of the Securities Act.</w:t>
      </w:r>
    </w:p>
    <w:p>
      <w:pPr>
        <w:spacing w:after="0" w:line="73" w:lineRule="exact"/>
        <w:rPr>
          <w:rFonts w:ascii="Arial" w:cs="Arial" w:eastAsia="Arial" w:hAnsi="Arial"/>
          <w:sz w:val="18"/>
          <w:szCs w:val="18"/>
          <w:color w:val="auto"/>
        </w:rPr>
      </w:pPr>
    </w:p>
    <w:p>
      <w:pPr>
        <w:ind w:left="1" w:right="240" w:firstLine="976"/>
        <w:spacing w:after="0" w:line="329" w:lineRule="auto"/>
        <w:tabs>
          <w:tab w:leader="none" w:pos="1228" w:val="left"/>
        </w:tabs>
        <w:numPr>
          <w:ilvl w:val="1"/>
          <w:numId w:val="301"/>
        </w:numPr>
        <w:rPr>
          <w:rFonts w:ascii="Arial" w:cs="Arial" w:eastAsia="Arial" w:hAnsi="Arial"/>
          <w:sz w:val="16"/>
          <w:szCs w:val="16"/>
          <w:color w:val="auto"/>
        </w:rPr>
      </w:pPr>
      <w:r>
        <w:rPr>
          <w:rFonts w:ascii="Arial" w:cs="Arial" w:eastAsia="Arial" w:hAnsi="Arial"/>
          <w:sz w:val="16"/>
          <w:szCs w:val="16"/>
          <w:color w:val="auto"/>
        </w:rPr>
        <w:t>Seller is not a party to any contract, agreement or understanding with any person other than any of the Underwriters that would give rise to a valid claim for a brokerage commission, finder’s fee or like payment in connection with the offering and sale of the Shares.</w:t>
      </w:r>
    </w:p>
    <w:p>
      <w:pPr>
        <w:spacing w:after="0" w:line="2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Buyer Representations</w:t>
      </w:r>
      <w:r>
        <w:rPr>
          <w:rFonts w:ascii="Arial" w:cs="Arial" w:eastAsia="Arial" w:hAnsi="Arial"/>
          <w:sz w:val="18"/>
          <w:szCs w:val="18"/>
          <w:color w:val="auto"/>
        </w:rPr>
        <w:t>.</w:t>
      </w:r>
    </w:p>
    <w:p>
      <w:pPr>
        <w:spacing w:after="0" w:line="112" w:lineRule="exact"/>
        <w:rPr>
          <w:sz w:val="20"/>
          <w:szCs w:val="20"/>
          <w:color w:val="auto"/>
        </w:rPr>
      </w:pPr>
    </w:p>
    <w:p>
      <w:pPr>
        <w:ind w:left="981"/>
        <w:spacing w:after="0"/>
        <w:rPr>
          <w:sz w:val="20"/>
          <w:szCs w:val="20"/>
          <w:color w:val="auto"/>
        </w:rPr>
      </w:pPr>
      <w:r>
        <w:rPr>
          <w:rFonts w:ascii="Arial" w:cs="Arial" w:eastAsia="Arial" w:hAnsi="Arial"/>
          <w:sz w:val="17"/>
          <w:szCs w:val="17"/>
          <w:color w:val="auto"/>
        </w:rPr>
        <w:t>(a) Buyer represents and warrants to Seller and the Company that: (i) it is (A) an institutional “accredited investor” as defined in</w:t>
      </w:r>
    </w:p>
    <w:p>
      <w:pPr>
        <w:spacing w:after="0" w:line="28" w:lineRule="exact"/>
        <w:rPr>
          <w:sz w:val="20"/>
          <w:szCs w:val="20"/>
          <w:color w:val="auto"/>
        </w:rPr>
      </w:pPr>
    </w:p>
    <w:p>
      <w:pPr>
        <w:ind w:left="1"/>
        <w:spacing w:after="0" w:line="247" w:lineRule="auto"/>
        <w:rPr>
          <w:sz w:val="20"/>
          <w:szCs w:val="20"/>
          <w:color w:val="auto"/>
        </w:rPr>
      </w:pPr>
      <w:r>
        <w:rPr>
          <w:rFonts w:ascii="Arial" w:cs="Arial" w:eastAsia="Arial" w:hAnsi="Arial"/>
          <w:sz w:val="18"/>
          <w:szCs w:val="18"/>
          <w:color w:val="auto"/>
        </w:rPr>
        <w:t>Rule 501(a) promulgated under the Securities Act and (B) a “qualified institutional buyer” as defined in Rule 144A under the Securities Act; (ii) it has sufficient knowledge and experience in investing in companies similar to the Company so as to be able to evaluate the risks and merits of its investment in the Company and it is able financially to bear the risks thereof; (iii) it has had an opportunity to discuss the Company’s business, management and financial affairs with the Company’s management; (iv) all documents, records, and information pertaining to its investment in the Common Stock and the Company that have been requested by it, if any, have been made available or delivered to it prior to the date hereof; (v) its financial condition is such that it is able to bear the risk of holding the Shares for an indefinite period of time and can bear the loss of the entire investment in such Shares; (vi) it is not purchasing the Shares as the result of any form of general solicitation or general advertising or as a result of Buyer’s review of public filings by the Company.</w:t>
      </w:r>
    </w:p>
    <w:p>
      <w:pPr>
        <w:spacing w:after="0" w:line="93" w:lineRule="exact"/>
        <w:rPr>
          <w:sz w:val="20"/>
          <w:szCs w:val="20"/>
          <w:color w:val="auto"/>
        </w:rPr>
      </w:pPr>
    </w:p>
    <w:p>
      <w:pPr>
        <w:ind w:left="1" w:firstLine="976"/>
        <w:spacing w:after="0" w:line="266" w:lineRule="auto"/>
        <w:tabs>
          <w:tab w:leader="none" w:pos="122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Buyer represents and warrants to Seller and the Company that, to the best of its knowledge after reasonable inquiry, each of its partners is either an individual or an entity that is considered a United States person for federal tax purposes.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1"/>
          </w:cols>
          <w:pgMar w:left="519" w:top="273" w:right="559" w:bottom="1440" w:gutter="0" w:footer="0" w:header="0"/>
        </w:sectPr>
      </w:pPr>
    </w:p>
    <w:bookmarkStart w:id="387" w:name="page388"/>
    <w:bookmarkEnd w:id="387"/>
    <w:p>
      <w:pPr>
        <w:jc w:val="both"/>
        <w:ind w:right="20" w:firstLine="976"/>
        <w:spacing w:after="0" w:line="290" w:lineRule="auto"/>
        <w:tabs>
          <w:tab w:leader="none" w:pos="1217" w:val="left"/>
        </w:tabs>
        <w:numPr>
          <w:ilvl w:val="0"/>
          <w:numId w:val="3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This Agreement is made in reliance upon Buyer’s express representations, which it hereby represents and warrants to the Company and Seller, that (i) the Shares being purchased by Buyer are being acquired for Buyer’s own account (and not on behalf of any other person or entity) for the purpose of investment and not with a view to, or for sale in connection with, the distribution thereof, nor with any present intention of distributing or selling the Shares or any portion thereof, (ii) Buyer was not organized for the specific purpose of acquiring the Shares and (iii) the Shares will not be sold by Buyer without registration under the Securities Act or applicable state securities laws, or an exemption therefrom.</w:t>
      </w:r>
    </w:p>
    <w:p>
      <w:pPr>
        <w:spacing w:after="0" w:line="58" w:lineRule="exact"/>
        <w:rPr>
          <w:rFonts w:ascii="Arial" w:cs="Arial" w:eastAsia="Arial" w:hAnsi="Arial"/>
          <w:sz w:val="16"/>
          <w:szCs w:val="16"/>
          <w:color w:val="auto"/>
        </w:rPr>
      </w:pPr>
    </w:p>
    <w:p>
      <w:pPr>
        <w:ind w:right="20" w:firstLine="976"/>
        <w:spacing w:after="0" w:line="265" w:lineRule="auto"/>
        <w:tabs>
          <w:tab w:leader="none" w:pos="122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Buyer understands that the Shares being purchased by Buyer hereunder have not been registered under the Securities Act or any state securities laws and are instead being offered and sold in reliance on an exemption from such registration requirements and may not be offered, sold, transferred, resold or otherwise disposed of, except pursuant to an effective registration statement under the Securities Act or pursuant to an exemption from the registration requirements of the Securities Act and any state securities laws. Buyer represents and warrants to the Company and Seller that, to Buyer’s knowledge, Buyer has not taken any action which could reasonably be expected to cause the sale of the Shares to fail to qualify as exempt from the registration requirements of the Securities Act. Buyer further understands that unless the Shares are being resold pursuant to an effective registration statement under the Securities Act, Buyer will inform any subsequent purchaser of the Shares that the Shares being resold by Buyer have not been registered under the Securities Act or any state securities laws and may not be offered, sold, transferred, resold or otherwise disposed of, except pursuant to an effective registration statement under the Securities Act or pursuant to an exemption from the registration requirements of the Securities Act and any state securities laws.</w:t>
      </w:r>
    </w:p>
    <w:p>
      <w:pPr>
        <w:spacing w:after="0" w:line="182" w:lineRule="exact"/>
        <w:rPr>
          <w:sz w:val="20"/>
          <w:szCs w:val="20"/>
          <w:color w:val="auto"/>
        </w:rPr>
      </w:pPr>
    </w:p>
    <w:p>
      <w:pPr>
        <w:ind w:firstLine="434"/>
        <w:spacing w:after="0" w:line="250" w:lineRule="auto"/>
        <w:rPr>
          <w:sz w:val="20"/>
          <w:szCs w:val="20"/>
          <w:color w:val="auto"/>
        </w:rPr>
      </w:pPr>
      <w:r>
        <w:rPr>
          <w:rFonts w:ascii="Arial" w:cs="Arial" w:eastAsia="Arial" w:hAnsi="Arial"/>
          <w:sz w:val="18"/>
          <w:szCs w:val="18"/>
          <w:color w:val="auto"/>
        </w:rPr>
        <w:t>Buyer further understands that Buyer’s representations and warranties hereunder will not preclude disposition of the Shares without registration thereof, in compliance with Rule 144 promulgated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Buyer understands and acknowledges, however, that there may not be available when Buyer wishes to sell the Shares, or any portion thereof, the adequate current public information with respect to the Company which would permit offers or sales of such securities pursuant to Rule 144, and, therefore, compliance with the Securities Act or some other exemption from the registration and prospectus delivery requirements of the Securities Act may be required for any such offer or sale. Buyer also understands that Seller is an affiliate of the Company.</w:t>
      </w:r>
    </w:p>
    <w:p>
      <w:pPr>
        <w:spacing w:after="0" w:line="89" w:lineRule="exact"/>
        <w:rPr>
          <w:sz w:val="20"/>
          <w:szCs w:val="20"/>
          <w:color w:val="auto"/>
        </w:rPr>
      </w:pPr>
    </w:p>
    <w:p>
      <w:pPr>
        <w:ind w:right="80" w:firstLine="976"/>
        <w:spacing w:after="0" w:line="294" w:lineRule="auto"/>
        <w:tabs>
          <w:tab w:leader="none" w:pos="121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Buyer represents and warrants to the Company and Seller that (i) Buyer is validly existing as a limited partnership in good standing under the laws of the State of Delaware; (ii) Buyer has all requisite partnership power and authority to execute and deliver this Agreement; and (iii) this Agreement constitutes the valid and legally binding obligation of Buyer, enforceable against Buyer in accordance with its terms, subject to bankruptcy, reorganization, insolvency and other similar laws affecting the enforcement of creditors’ rights generally and to general principles of equity.</w:t>
      </w:r>
    </w:p>
    <w:p>
      <w:pPr>
        <w:spacing w:after="0" w:line="55" w:lineRule="exact"/>
        <w:rPr>
          <w:rFonts w:ascii="Arial" w:cs="Arial" w:eastAsia="Arial" w:hAnsi="Arial"/>
          <w:sz w:val="16"/>
          <w:szCs w:val="16"/>
          <w:color w:val="auto"/>
        </w:rPr>
      </w:pPr>
    </w:p>
    <w:p>
      <w:pPr>
        <w:ind w:right="80" w:firstLine="976"/>
        <w:spacing w:after="0" w:line="329" w:lineRule="auto"/>
        <w:tabs>
          <w:tab w:leader="none" w:pos="119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Buyer represents and warrants to the Company and Seller that Buyer is not a party to any contract, agreement or understanding with any person that would give rise to a valid claim for a brokerage commission, finder’s fee or like payment in connection with the purchase of the Shares.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520" w:top="273" w:right="539" w:bottom="1440" w:gutter="0" w:footer="0" w:header="0"/>
        </w:sectPr>
      </w:pPr>
    </w:p>
    <w:bookmarkStart w:id="388" w:name="page389"/>
    <w:bookmarkEnd w:id="388"/>
    <w:p>
      <w:pPr>
        <w:ind w:left="-20" w:firstLine="976"/>
        <w:spacing w:after="0" w:line="269" w:lineRule="auto"/>
        <w:tabs>
          <w:tab w:leader="none" w:pos="1207" w:val="left"/>
        </w:tabs>
        <w:numPr>
          <w:ilvl w:val="2"/>
          <w:numId w:val="3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Buyer acknowledges that there are no representations, warranties, agreements or undertakings of Seller or the Company with respect to the transactions contemplated by this Agreement other than those set forth in this Agreement. Buyer acknowledges that neither the Company nor Seller has made any representation to Buyer about the advisability of the decision to purchase the Shares or the potential future value of the Shares. Buyer further represents and warrants to the Company and Seller that, in executing and delivering this Agreement, it has not relied on any statement or representation made by any legal counsel or investment advisor to, or other agent of, Seller or the Company.</w:t>
      </w:r>
    </w:p>
    <w:p>
      <w:pPr>
        <w:spacing w:after="0" w:line="74" w:lineRule="exact"/>
        <w:rPr>
          <w:rFonts w:ascii="Arial" w:cs="Arial" w:eastAsia="Arial" w:hAnsi="Arial"/>
          <w:sz w:val="17"/>
          <w:szCs w:val="17"/>
          <w:color w:val="auto"/>
        </w:rPr>
      </w:pPr>
    </w:p>
    <w:p>
      <w:pPr>
        <w:ind w:left="-20" w:firstLine="433"/>
        <w:spacing w:after="0" w:line="283" w:lineRule="auto"/>
        <w:tabs>
          <w:tab w:leader="none" w:pos="591"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Amendment to Registration Statement</w:t>
      </w:r>
      <w:r>
        <w:rPr>
          <w:rFonts w:ascii="Arial" w:cs="Arial" w:eastAsia="Arial" w:hAnsi="Arial"/>
          <w:sz w:val="16"/>
          <w:szCs w:val="16"/>
          <w:color w:val="auto"/>
        </w:rPr>
        <w:t>. At least two (2) hours prior to the filing of any such amendment with the Commission, the Company shall provide notice to Buyer of any amendment to the Registration Statement that would increase the top end of the price range reflected on the cover page of the prospectus forming a part of Amendment No. 2 to the Registration Statement (i.e., between $21.00 and $23.00 per share) (the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In the event that Buyer receives an Amendment Notice, Buyer shall have the right, but not the obligation, within the two (2) hour period following receipt of the Amendment Notice, to terminate this Agreement by giving notice to the Company and Seller. Notwithstanding anything to the contrary contained in Section 8 hereof, notices under this Section 3 shall be given both by live telephone conversation and by email to be effective, in the case of Buyer, to [***] (provided that the email is sent to both of such persons at the following email addresses: [***]), in the case of Seller, to Brian M. Janson, Esq., (212) 373-3588 (provided that the email is sent to such person at the following email address: bjanson@paulweiss.com) and, in the case of the Company, to Dave Davis and Eric Levenhagen (provided that the email is sent to such persons at the following email addresses: dave.davis@suncountry.com and eric.levenhagen@suncountry.com).</w:t>
      </w:r>
    </w:p>
    <w:p>
      <w:pPr>
        <w:spacing w:after="0" w:line="64" w:lineRule="exact"/>
        <w:rPr>
          <w:rFonts w:ascii="Arial" w:cs="Arial" w:eastAsia="Arial" w:hAnsi="Arial"/>
          <w:sz w:val="16"/>
          <w:szCs w:val="16"/>
          <w:color w:val="auto"/>
        </w:rPr>
      </w:pPr>
    </w:p>
    <w:p>
      <w:pPr>
        <w:ind w:left="-20" w:firstLine="433"/>
        <w:spacing w:after="0" w:line="268" w:lineRule="auto"/>
        <w:tabs>
          <w:tab w:leader="none" w:pos="591" w:val="left"/>
        </w:tabs>
        <w:numPr>
          <w:ilvl w:val="1"/>
          <w:numId w:val="306"/>
        </w:numPr>
        <w:rPr>
          <w:rFonts w:ascii="Arial" w:cs="Arial" w:eastAsia="Arial" w:hAnsi="Arial"/>
          <w:sz w:val="17"/>
          <w:szCs w:val="17"/>
          <w:color w:val="auto"/>
        </w:rPr>
      </w:pPr>
      <w:r>
        <w:rPr>
          <w:rFonts w:ascii="Arial" w:cs="Arial" w:eastAsia="Arial" w:hAnsi="Arial"/>
          <w:sz w:val="17"/>
          <w:szCs w:val="17"/>
          <w:u w:val="single" w:color="auto"/>
          <w:color w:val="auto"/>
        </w:rPr>
        <w:t>Conditions to the Closing</w:t>
      </w:r>
      <w:r>
        <w:rPr>
          <w:rFonts w:ascii="Arial" w:cs="Arial" w:eastAsia="Arial" w:hAnsi="Arial"/>
          <w:sz w:val="17"/>
          <w:szCs w:val="17"/>
          <w:color w:val="auto"/>
        </w:rPr>
        <w:t>. The obligations of Seller and Buyer hereunder are subject to the satisfaction of the conditions set forth below on or before the Closing. If for any reason any of the conditions set forth in this Section 4 are not satisfied or waived by each party entitled to the benefit of such conditions at or prior to the Closing, or if the Closing shall not have occurred by April 7, 2021, then each party by written notice given to the other parties hereto shall have the right to elect to terminate this Agreement and each party shall be released from their obligations hereunder and shall have no further liability hereunder, provided, however, that nothing contained in this Section 4 shall relieve either party from liabilities or damages arising out of any fraud or willful breach by such party of this Agreement prior to such termination.</w:t>
      </w:r>
    </w:p>
    <w:p>
      <w:pPr>
        <w:spacing w:after="0" w:line="73" w:lineRule="exact"/>
        <w:rPr>
          <w:rFonts w:ascii="Arial" w:cs="Arial" w:eastAsia="Arial" w:hAnsi="Arial"/>
          <w:sz w:val="17"/>
          <w:szCs w:val="17"/>
          <w:color w:val="auto"/>
        </w:rPr>
      </w:pPr>
    </w:p>
    <w:p>
      <w:pPr>
        <w:ind w:left="-20" w:right="640" w:firstLine="976"/>
        <w:spacing w:after="0" w:line="266" w:lineRule="auto"/>
        <w:tabs>
          <w:tab w:leader="none" w:pos="1197" w:val="left"/>
        </w:tabs>
        <w:numPr>
          <w:ilvl w:val="2"/>
          <w:numId w:val="306"/>
        </w:numPr>
        <w:rPr>
          <w:rFonts w:ascii="Arial" w:cs="Arial" w:eastAsia="Arial" w:hAnsi="Arial"/>
          <w:sz w:val="18"/>
          <w:szCs w:val="18"/>
          <w:color w:val="auto"/>
        </w:rPr>
      </w:pPr>
      <w:r>
        <w:rPr>
          <w:rFonts w:ascii="Arial" w:cs="Arial" w:eastAsia="Arial" w:hAnsi="Arial"/>
          <w:sz w:val="18"/>
          <w:szCs w:val="18"/>
          <w:u w:val="single" w:color="auto"/>
          <w:color w:val="auto"/>
        </w:rPr>
        <w:t>Conditions to Buyer’s Obligations</w:t>
      </w:r>
      <w:r>
        <w:rPr>
          <w:rFonts w:ascii="Arial" w:cs="Arial" w:eastAsia="Arial" w:hAnsi="Arial"/>
          <w:sz w:val="18"/>
          <w:szCs w:val="18"/>
          <w:color w:val="auto"/>
        </w:rPr>
        <w:t>. Buyer’s obligation to purchase the Shares at the Closing is subject to the satisfaction of the following conditions: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00"/>
          </w:cols>
          <w:pgMar w:left="540" w:top="273" w:right="559" w:bottom="1440" w:gutter="0" w:footer="0" w:header="0"/>
        </w:sectPr>
      </w:pPr>
    </w:p>
    <w:bookmarkStart w:id="389" w:name="page390"/>
    <w:bookmarkEnd w:id="389"/>
    <w:p>
      <w:pPr>
        <w:ind w:left="440" w:right="100" w:firstLine="930"/>
        <w:spacing w:after="0" w:line="290" w:lineRule="auto"/>
        <w:tabs>
          <w:tab w:leader="none" w:pos="1589"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Representations and Warranties</w:t>
      </w:r>
      <w:r>
        <w:rPr>
          <w:rFonts w:ascii="Arial" w:cs="Arial" w:eastAsia="Arial" w:hAnsi="Arial"/>
          <w:sz w:val="16"/>
          <w:szCs w:val="16"/>
          <w:color w:val="auto"/>
        </w:rPr>
        <w:t>. The representations and warranties made by the Company and Seller in this Agreement shall have been true and correct as of the date hereof and shall be true and correct in all material respects (provided that the representations and warranties of Seller contained in Sections 2.2(a) through 2.2(g) shall be true and correct in all respects) as of the Closing with the same effect as though such representations and warranties had been made on and as of such date (except to the extent such representations and warranties speak as of a specific date, which shall be true and correct in all material respects as of such specific date).</w:t>
      </w:r>
    </w:p>
    <w:p>
      <w:pPr>
        <w:spacing w:after="0" w:line="58" w:lineRule="exact"/>
        <w:rPr>
          <w:rFonts w:ascii="Arial" w:cs="Arial" w:eastAsia="Arial" w:hAnsi="Arial"/>
          <w:sz w:val="16"/>
          <w:szCs w:val="16"/>
          <w:color w:val="auto"/>
        </w:rPr>
      </w:pPr>
    </w:p>
    <w:p>
      <w:pPr>
        <w:ind w:left="440" w:right="100" w:firstLine="930"/>
        <w:spacing w:after="0" w:line="296" w:lineRule="auto"/>
        <w:tabs>
          <w:tab w:leader="none" w:pos="1638"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Initial Public Offering</w:t>
      </w:r>
      <w:r>
        <w:rPr>
          <w:rFonts w:ascii="Arial" w:cs="Arial" w:eastAsia="Arial" w:hAnsi="Arial"/>
          <w:sz w:val="17"/>
          <w:szCs w:val="17"/>
          <w:color w:val="auto"/>
        </w:rPr>
        <w:t>. This Agreement shall not have been terminated pursuant to Section 3 hereof. The Registration Statement shall have been declared effective and the IPO shall close simultaneously with the transactions contemplated hereby.</w:t>
      </w:r>
    </w:p>
    <w:p>
      <w:pPr>
        <w:spacing w:after="0" w:line="49" w:lineRule="exact"/>
        <w:rPr>
          <w:rFonts w:ascii="Arial" w:cs="Arial" w:eastAsia="Arial" w:hAnsi="Arial"/>
          <w:sz w:val="17"/>
          <w:szCs w:val="17"/>
          <w:color w:val="auto"/>
        </w:rPr>
      </w:pPr>
    </w:p>
    <w:p>
      <w:pPr>
        <w:ind w:left="1680" w:hanging="310"/>
        <w:spacing w:after="0"/>
        <w:tabs>
          <w:tab w:leader="none" w:pos="168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IPO Proceeds</w:t>
      </w:r>
      <w:r>
        <w:rPr>
          <w:rFonts w:ascii="Arial" w:cs="Arial" w:eastAsia="Arial" w:hAnsi="Arial"/>
          <w:sz w:val="16"/>
          <w:szCs w:val="16"/>
          <w:color w:val="auto"/>
        </w:rPr>
        <w:t>. Gross proceeds from the sale of shares of Common Stock by the Company in the IPO shall not be less than</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$175,000,000.</w:t>
      </w:r>
    </w:p>
    <w:p>
      <w:pPr>
        <w:spacing w:after="0" w:line="101" w:lineRule="exact"/>
        <w:rPr>
          <w:sz w:val="20"/>
          <w:szCs w:val="20"/>
          <w:color w:val="auto"/>
        </w:rPr>
      </w:pPr>
    </w:p>
    <w:p>
      <w:pPr>
        <w:ind w:left="440" w:right="460" w:firstLine="930"/>
        <w:spacing w:after="0" w:line="329" w:lineRule="auto"/>
        <w:tabs>
          <w:tab w:leader="none" w:pos="1677" w:val="left"/>
        </w:tabs>
        <w:numPr>
          <w:ilvl w:val="2"/>
          <w:numId w:val="308"/>
        </w:numPr>
        <w:rPr>
          <w:rFonts w:ascii="Arial" w:cs="Arial" w:eastAsia="Arial" w:hAnsi="Arial"/>
          <w:sz w:val="16"/>
          <w:szCs w:val="16"/>
          <w:color w:val="auto"/>
        </w:rPr>
      </w:pP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The Company, Seller and Buyer shall have executed and delivered the Registration Rights Agreement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which shall provide for “piggyback” rights in favor of Buyer.</w:t>
      </w:r>
    </w:p>
    <w:p>
      <w:pPr>
        <w:spacing w:after="0" w:line="27" w:lineRule="exact"/>
        <w:rPr>
          <w:rFonts w:ascii="Arial" w:cs="Arial" w:eastAsia="Arial" w:hAnsi="Arial"/>
          <w:sz w:val="16"/>
          <w:szCs w:val="16"/>
          <w:color w:val="auto"/>
        </w:rPr>
      </w:pPr>
    </w:p>
    <w:p>
      <w:pPr>
        <w:ind w:left="1620" w:hanging="250"/>
        <w:spacing w:after="0"/>
        <w:tabs>
          <w:tab w:leader="none" w:pos="1620" w:val="left"/>
        </w:tabs>
        <w:numPr>
          <w:ilvl w:val="2"/>
          <w:numId w:val="308"/>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The Shares shall have been delivered to Buyer’s account via DWAC.</w:t>
      </w:r>
    </w:p>
    <w:p>
      <w:pPr>
        <w:spacing w:after="0" w:line="112" w:lineRule="exact"/>
        <w:rPr>
          <w:rFonts w:ascii="Arial" w:cs="Arial" w:eastAsia="Arial" w:hAnsi="Arial"/>
          <w:sz w:val="18"/>
          <w:szCs w:val="18"/>
          <w:color w:val="auto"/>
        </w:rPr>
      </w:pPr>
    </w:p>
    <w:p>
      <w:pPr>
        <w:ind w:left="1220" w:hanging="244"/>
        <w:spacing w:after="0"/>
        <w:tabs>
          <w:tab w:leader="none" w:pos="1220"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Conditions to Seller’s Obligations</w:t>
      </w:r>
      <w:r>
        <w:rPr>
          <w:rFonts w:ascii="Arial" w:cs="Arial" w:eastAsia="Arial" w:hAnsi="Arial"/>
          <w:sz w:val="16"/>
          <w:szCs w:val="16"/>
          <w:color w:val="auto"/>
        </w:rPr>
        <w:t>. Seller’s obligation to sell the Shares at the Closing is subject to the satisfaction of the following</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00" w:lineRule="exact"/>
        <w:rPr>
          <w:rFonts w:ascii="Arial" w:cs="Arial" w:eastAsia="Arial" w:hAnsi="Arial"/>
          <w:sz w:val="16"/>
          <w:szCs w:val="16"/>
          <w:color w:val="auto"/>
        </w:rPr>
      </w:pPr>
    </w:p>
    <w:p>
      <w:pPr>
        <w:ind w:left="440" w:right="60" w:firstLine="930"/>
        <w:spacing w:after="0" w:line="253" w:lineRule="auto"/>
        <w:tabs>
          <w:tab w:leader="none" w:pos="1589" w:val="left"/>
        </w:tabs>
        <w:numPr>
          <w:ilvl w:val="2"/>
          <w:numId w:val="3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Buyer in this Agreement shall have been true and correct as of the date hereof and shall be true and correct as of the Closing with the same effect as though such representations and warranties had been made on and as of such date (except to the extent such representations and warranties speak as of a specific date, which shall be true and correct as of such specific date).</w:t>
      </w:r>
    </w:p>
    <w:p>
      <w:pPr>
        <w:spacing w:after="0" w:line="84" w:lineRule="exact"/>
        <w:rPr>
          <w:rFonts w:ascii="Arial" w:cs="Arial" w:eastAsia="Arial" w:hAnsi="Arial"/>
          <w:sz w:val="18"/>
          <w:szCs w:val="18"/>
          <w:color w:val="auto"/>
        </w:rPr>
      </w:pPr>
    </w:p>
    <w:p>
      <w:pPr>
        <w:ind w:left="440" w:firstLine="930"/>
        <w:spacing w:after="0" w:line="266" w:lineRule="auto"/>
        <w:tabs>
          <w:tab w:leader="none" w:pos="1638" w:val="left"/>
        </w:tabs>
        <w:numPr>
          <w:ilvl w:val="2"/>
          <w:numId w:val="309"/>
        </w:numPr>
        <w:rPr>
          <w:rFonts w:ascii="Arial" w:cs="Arial" w:eastAsia="Arial" w:hAnsi="Arial"/>
          <w:sz w:val="18"/>
          <w:szCs w:val="18"/>
          <w:color w:val="auto"/>
        </w:rPr>
      </w:pPr>
      <w:r>
        <w:rPr>
          <w:rFonts w:ascii="Arial" w:cs="Arial" w:eastAsia="Arial" w:hAnsi="Arial"/>
          <w:sz w:val="18"/>
          <w:szCs w:val="18"/>
          <w:u w:val="single" w:color="auto"/>
          <w:color w:val="auto"/>
        </w:rPr>
        <w:t>Initial Public Offering</w:t>
      </w:r>
      <w:r>
        <w:rPr>
          <w:rFonts w:ascii="Arial" w:cs="Arial" w:eastAsia="Arial" w:hAnsi="Arial"/>
          <w:sz w:val="18"/>
          <w:szCs w:val="18"/>
          <w:color w:val="auto"/>
        </w:rPr>
        <w:t>. The Registration Statement shall have been declared effective and the IPO shall close simultaneously with the transactions contemplated hereby.</w:t>
      </w:r>
    </w:p>
    <w:p>
      <w:pPr>
        <w:spacing w:after="0" w:line="73" w:lineRule="exact"/>
        <w:rPr>
          <w:rFonts w:ascii="Arial" w:cs="Arial" w:eastAsia="Arial" w:hAnsi="Arial"/>
          <w:sz w:val="18"/>
          <w:szCs w:val="18"/>
          <w:color w:val="auto"/>
        </w:rPr>
      </w:pPr>
    </w:p>
    <w:p>
      <w:pPr>
        <w:ind w:left="440" w:right="560" w:firstLine="930"/>
        <w:spacing w:after="0" w:line="266" w:lineRule="auto"/>
        <w:tabs>
          <w:tab w:leader="none" w:pos="1687" w:val="left"/>
        </w:tabs>
        <w:numPr>
          <w:ilvl w:val="2"/>
          <w:numId w:val="309"/>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Buyer shall have paid the applicable Purchase Price to Seller by wire transfer of immediately available funds to an account specified by Seller.</w:t>
      </w:r>
    </w:p>
    <w:p>
      <w:pPr>
        <w:spacing w:after="0" w:line="73" w:lineRule="exact"/>
        <w:rPr>
          <w:rFonts w:ascii="Arial" w:cs="Arial" w:eastAsia="Arial" w:hAnsi="Arial"/>
          <w:sz w:val="18"/>
          <w:szCs w:val="18"/>
          <w:color w:val="auto"/>
        </w:rPr>
      </w:pPr>
    </w:p>
    <w:p>
      <w:pPr>
        <w:ind w:right="360" w:firstLine="433"/>
        <w:spacing w:after="0" w:line="266" w:lineRule="auto"/>
        <w:tabs>
          <w:tab w:leader="none" w:pos="611"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of the Company, Buyer and Seller shall pay all of its own expenses in connection with this Agreement and the transactions contemplated hereby.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520" w:top="273" w:right="559" w:bottom="1440" w:gutter="0" w:footer="0" w:header="0"/>
        </w:sectPr>
      </w:pPr>
    </w:p>
    <w:bookmarkStart w:id="390" w:name="page391"/>
    <w:bookmarkEnd w:id="390"/>
    <w:p>
      <w:pPr>
        <w:jc w:val="both"/>
        <w:ind w:left="1" w:right="20" w:firstLine="433"/>
        <w:spacing w:after="0" w:line="322" w:lineRule="auto"/>
        <w:tabs>
          <w:tab w:leader="none" w:pos="612" w:val="left"/>
        </w:tabs>
        <w:numPr>
          <w:ilvl w:val="1"/>
          <w:numId w:val="31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Waiver and Release</w:t>
      </w:r>
      <w:r>
        <w:rPr>
          <w:rFonts w:ascii="Arial" w:cs="Arial" w:eastAsia="Arial" w:hAnsi="Arial"/>
          <w:sz w:val="14"/>
          <w:szCs w:val="14"/>
          <w:color w:val="auto"/>
        </w:rPr>
        <w:t>. Buyer hereby (a) waives and releases any claim (whether for rescission, damages or otherwise) it may have against Seller, the Company, any affiliate of any of the foregoing or any director, officer or agent of the foregoing (collectively, “</w:t>
      </w:r>
      <w:r>
        <w:rPr>
          <w:rFonts w:ascii="Arial" w:cs="Arial" w:eastAsia="Arial" w:hAnsi="Arial"/>
          <w:sz w:val="14"/>
          <w:szCs w:val="14"/>
          <w:u w:val="single" w:color="auto"/>
          <w:color w:val="auto"/>
        </w:rPr>
        <w:t>Seller Parties</w:t>
      </w:r>
      <w:r>
        <w:rPr>
          <w:rFonts w:ascii="Arial" w:cs="Arial" w:eastAsia="Arial" w:hAnsi="Arial"/>
          <w:sz w:val="14"/>
          <w:szCs w:val="14"/>
          <w:color w:val="auto"/>
        </w:rPr>
        <w:t>”) arising solely out of or based solely on any aspect of the sale of the Shares to Buyer being not exempt from registration or qualification under federal or state securities laws,</w:t>
      </w:r>
    </w:p>
    <w:p>
      <w:pPr>
        <w:spacing w:after="0" w:line="1" w:lineRule="exact"/>
        <w:rPr>
          <w:rFonts w:ascii="Arial" w:cs="Arial" w:eastAsia="Arial" w:hAnsi="Arial"/>
          <w:sz w:val="14"/>
          <w:szCs w:val="14"/>
          <w:color w:val="auto"/>
        </w:rPr>
      </w:pPr>
    </w:p>
    <w:p>
      <w:pPr>
        <w:ind w:left="1" w:hanging="1"/>
        <w:spacing w:after="0" w:line="263" w:lineRule="auto"/>
        <w:tabs>
          <w:tab w:leader="none" w:pos="25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agrees not, under any circumstances, to exercise any right of rescission arising solely out of or based solely on any aspect of the sale of the Shares to Buyer being not exempt from registration or qualification under federal or state securities laws, and (c) if it is ultimately determined that the agreements and waivers contained in the preceding clauses (a) and (b) are unenforceable, irrevocably agrees to contribute to Seller any proceeds received by Buyer from Seller as a result of any rescission action brought by Buyer based solely on any aspect of the sale of the Shares to Buyer being not exempt from registration or qualification under federal or state securities laws; provided, however, that (a), (b) and (c) shall not apply and Buyer will be free to pursue any claim against the Seller Parties and exercise any right of rescission arising out of or based on any aspect of the sale of the Shares to Buyer being not exempt from registration or qualification under federal or state securities laws if (i) any of the representations and warranties of Seller contained in Sections 2.2(e) and (f) are not true and correct in all respects and/or (ii) there is any fraud by any of the Seller Parties in connection with the transactions contemplated by this Agreement.</w:t>
      </w:r>
    </w:p>
    <w:p>
      <w:pPr>
        <w:spacing w:after="0" w:line="81" w:lineRule="exact"/>
        <w:rPr>
          <w:rFonts w:ascii="Arial" w:cs="Arial" w:eastAsia="Arial" w:hAnsi="Arial"/>
          <w:sz w:val="17"/>
          <w:szCs w:val="17"/>
          <w:color w:val="auto"/>
        </w:rPr>
      </w:pPr>
    </w:p>
    <w:p>
      <w:pPr>
        <w:ind w:left="1" w:right="40" w:firstLine="433"/>
        <w:spacing w:after="0" w:line="266" w:lineRule="auto"/>
        <w:tabs>
          <w:tab w:leader="none" w:pos="612"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73" w:lineRule="exact"/>
        <w:rPr>
          <w:rFonts w:ascii="Arial" w:cs="Arial" w:eastAsia="Arial" w:hAnsi="Arial"/>
          <w:sz w:val="18"/>
          <w:szCs w:val="18"/>
          <w:color w:val="auto"/>
        </w:rPr>
      </w:pPr>
    </w:p>
    <w:p>
      <w:pPr>
        <w:ind w:left="621" w:hanging="187"/>
        <w:spacing w:after="0"/>
        <w:tabs>
          <w:tab w:leader="none" w:pos="621"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given hereunder shall be deemed to have been duly given, only if given in writing, and on (i) the date of personal delivery, or</w:t>
      </w:r>
    </w:p>
    <w:p>
      <w:pPr>
        <w:spacing w:after="0" w:line="39" w:lineRule="exact"/>
        <w:rPr>
          <w:rFonts w:ascii="Arial" w:cs="Arial" w:eastAsia="Arial" w:hAnsi="Arial"/>
          <w:sz w:val="16"/>
          <w:szCs w:val="16"/>
          <w:color w:val="auto"/>
        </w:rPr>
      </w:pPr>
    </w:p>
    <w:p>
      <w:pPr>
        <w:ind w:left="1" w:hanging="1"/>
        <w:spacing w:after="0" w:line="315" w:lineRule="auto"/>
        <w:tabs>
          <w:tab w:leader="none" w:pos="2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on the date one day after being delivered to a reputable overnight courier with proper delivery instructions, to the party being notified at his, her, or its address specified on the applicable signature page hereto or such other address as the addressee may subsequently notify the other party of in writing.</w:t>
      </w:r>
    </w:p>
    <w:p>
      <w:pPr>
        <w:spacing w:after="0" w:line="37" w:lineRule="exact"/>
        <w:rPr>
          <w:rFonts w:ascii="Arial" w:cs="Arial" w:eastAsia="Arial" w:hAnsi="Arial"/>
          <w:sz w:val="16"/>
          <w:szCs w:val="16"/>
          <w:color w:val="auto"/>
        </w:rPr>
      </w:pPr>
    </w:p>
    <w:p>
      <w:pPr>
        <w:ind w:left="1" w:right="20" w:firstLine="433"/>
        <w:spacing w:after="0" w:line="303" w:lineRule="auto"/>
        <w:tabs>
          <w:tab w:leader="none" w:pos="612"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Entire Agreement and Amendments</w:t>
      </w:r>
      <w:r>
        <w:rPr>
          <w:rFonts w:ascii="Arial" w:cs="Arial" w:eastAsia="Arial" w:hAnsi="Arial"/>
          <w:sz w:val="16"/>
          <w:szCs w:val="16"/>
          <w:color w:val="auto"/>
        </w:rPr>
        <w:t>. This Agreement constitutes the entire agreement of the parties with respect to the subject matter hereof. This Agreement may be amended or waived if, and only if, such amendment or waiver is in writing and signed, in the case of an amendment, by each of the parties hereto or, in the case of a waiver, by the party waiving compliance. No waiver shall be deemed a waiver of any subsequent breach or default.</w:t>
      </w:r>
    </w:p>
    <w:p>
      <w:pPr>
        <w:spacing w:after="0" w:line="47" w:lineRule="exact"/>
        <w:rPr>
          <w:rFonts w:ascii="Arial" w:cs="Arial" w:eastAsia="Arial" w:hAnsi="Arial"/>
          <w:sz w:val="16"/>
          <w:szCs w:val="16"/>
          <w:color w:val="auto"/>
        </w:rPr>
      </w:pPr>
    </w:p>
    <w:p>
      <w:pPr>
        <w:ind w:left="1" w:right="60" w:firstLine="433"/>
        <w:spacing w:after="0" w:line="266" w:lineRule="auto"/>
        <w:tabs>
          <w:tab w:leader="none" w:pos="700"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interpreted in accordance with the laws of the State of New York without regard to the conflict of laws principles thereof.</w:t>
      </w:r>
    </w:p>
    <w:p>
      <w:pPr>
        <w:spacing w:after="0" w:line="73" w:lineRule="exact"/>
        <w:rPr>
          <w:rFonts w:ascii="Arial" w:cs="Arial" w:eastAsia="Arial" w:hAnsi="Arial"/>
          <w:sz w:val="18"/>
          <w:szCs w:val="18"/>
          <w:color w:val="auto"/>
        </w:rPr>
      </w:pPr>
    </w:p>
    <w:p>
      <w:pPr>
        <w:ind w:left="701" w:hanging="267"/>
        <w:spacing w:after="0"/>
        <w:tabs>
          <w:tab w:leader="none" w:pos="701"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particular provision of this Agreement shall not affect the other provisions hereof.</w:t>
      </w:r>
    </w:p>
    <w:p>
      <w:pPr>
        <w:spacing w:after="0" w:line="123" w:lineRule="exact"/>
        <w:rPr>
          <w:rFonts w:ascii="Arial" w:cs="Arial" w:eastAsia="Arial" w:hAnsi="Arial"/>
          <w:sz w:val="17"/>
          <w:szCs w:val="17"/>
          <w:color w:val="auto"/>
        </w:rPr>
      </w:pPr>
    </w:p>
    <w:p>
      <w:pPr>
        <w:ind w:left="701" w:hanging="267"/>
        <w:spacing w:after="0"/>
        <w:tabs>
          <w:tab w:leader="none" w:pos="701"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may not be assigned by any party hereto without the prior written consent of the other parties hereto.</w:t>
      </w:r>
    </w:p>
    <w:p>
      <w:pPr>
        <w:spacing w:after="0" w:line="123" w:lineRule="exact"/>
        <w:rPr>
          <w:rFonts w:ascii="Arial" w:cs="Arial" w:eastAsia="Arial" w:hAnsi="Arial"/>
          <w:sz w:val="17"/>
          <w:szCs w:val="17"/>
          <w:color w:val="auto"/>
        </w:rPr>
      </w:pPr>
    </w:p>
    <w:p>
      <w:pPr>
        <w:ind w:left="1" w:right="100" w:firstLine="433"/>
        <w:spacing w:after="0" w:line="266" w:lineRule="auto"/>
        <w:tabs>
          <w:tab w:leader="none" w:pos="700"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are for convenience only and are not deemed to be part of this Agreement. All references herein to numbered Sections are to Sections of this Agreement unless otherwise indicated.</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1"/>
          </w:cols>
          <w:pgMar w:left="519" w:top="273" w:right="559" w:bottom="1440" w:gutter="0" w:footer="0" w:header="0"/>
        </w:sectPr>
      </w:pPr>
    </w:p>
    <w:bookmarkStart w:id="391" w:name="page392"/>
    <w:bookmarkEnd w:id="391"/>
    <w:p>
      <w:pPr>
        <w:ind w:left="440" w:hanging="267"/>
        <w:spacing w:after="0"/>
        <w:tabs>
          <w:tab w:leader="none" w:pos="44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Survival</w:t>
      </w:r>
      <w:r>
        <w:rPr>
          <w:rFonts w:ascii="Arial" w:cs="Arial" w:eastAsia="Arial" w:hAnsi="Arial"/>
          <w:sz w:val="18"/>
          <w:szCs w:val="18"/>
          <w:color w:val="auto"/>
        </w:rPr>
        <w:t>. The representations and warranties contained herein shall survive the Closing.</w:t>
      </w:r>
    </w:p>
    <w:p>
      <w:pPr>
        <w:spacing w:after="0" w:line="112" w:lineRule="exact"/>
        <w:rPr>
          <w:rFonts w:ascii="Arial" w:cs="Arial" w:eastAsia="Arial" w:hAnsi="Arial"/>
          <w:sz w:val="18"/>
          <w:szCs w:val="18"/>
          <w:color w:val="auto"/>
        </w:rPr>
      </w:pPr>
    </w:p>
    <w:p>
      <w:pPr>
        <w:ind w:left="-260" w:right="300" w:firstLine="433"/>
        <w:spacing w:after="0" w:line="266" w:lineRule="auto"/>
        <w:tabs>
          <w:tab w:leader="none" w:pos="439"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pdf and in counterparts, each of which shall be deemed an original, but all of which together shall constitute one and the same instrument.</w:t>
      </w:r>
    </w:p>
    <w:p>
      <w:pPr>
        <w:spacing w:after="0" w:line="73" w:lineRule="exact"/>
        <w:rPr>
          <w:rFonts w:ascii="Arial" w:cs="Arial" w:eastAsia="Arial" w:hAnsi="Arial"/>
          <w:sz w:val="18"/>
          <w:szCs w:val="18"/>
          <w:color w:val="auto"/>
        </w:rPr>
      </w:pPr>
    </w:p>
    <w:p>
      <w:pPr>
        <w:ind w:left="-260" w:firstLine="433"/>
        <w:spacing w:after="0" w:line="266" w:lineRule="auto"/>
        <w:tabs>
          <w:tab w:leader="none" w:pos="439"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agree to execute such further instruments and to take such further action as may reasonably be necessary to carry out the intent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20"/>
          </w:cols>
          <w:pgMar w:left="780" w:top="273" w:right="79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this Securities Purchase Agreement has been executed as of the date and year first above written.</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BUYER:</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PAR INVESTMENT PARTNERS, L.P.</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PAR Group II, L.P., its general partner</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By: PAR Capital Management, Inc., its general partner</w:t>
      </w:r>
    </w:p>
    <w:p>
      <w:pPr>
        <w:spacing w:after="0" w:line="2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11430</wp:posOffset>
            </wp:positionV>
            <wp:extent cx="25330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5">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Steven M. Smith</w:t>
      </w:r>
    </w:p>
    <w:p>
      <w:pPr>
        <w:spacing w:after="0" w:line="17" w:lineRule="exact"/>
        <w:rPr>
          <w:sz w:val="20"/>
          <w:szCs w:val="20"/>
          <w:color w:val="auto"/>
        </w:rPr>
      </w:pPr>
    </w:p>
    <w:p>
      <w:pPr>
        <w:ind w:left="6420"/>
        <w:spacing w:after="0"/>
        <w:tabs>
          <w:tab w:leader="none" w:pos="6980" w:val="left"/>
        </w:tabs>
        <w:rPr>
          <w:sz w:val="20"/>
          <w:szCs w:val="20"/>
          <w:color w:val="auto"/>
        </w:rPr>
      </w:pPr>
      <w:r>
        <w:rPr>
          <w:rFonts w:ascii="Arial" w:cs="Arial" w:eastAsia="Arial" w:hAnsi="Arial"/>
          <w:sz w:val="16"/>
          <w:szCs w:val="16"/>
          <w:color w:val="auto"/>
        </w:rPr>
        <w:t>Title:</w:t>
        <w:tab/>
        <w:t>Chief Operating Officer and General Counsel</w:t>
      </w:r>
    </w:p>
    <w:p>
      <w:pPr>
        <w:spacing w:after="0" w:line="2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Address: [***]</w:t>
      </w:r>
    </w:p>
    <w:p>
      <w:pPr>
        <w:spacing w:after="0" w:line="23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Stock Purchase Agreement]</w:t>
      </w:r>
    </w:p>
    <w:p>
      <w:pPr>
        <w:sectPr>
          <w:pgSz w:w="11900" w:h="16838" w:orient="portrait"/>
          <w:cols w:equalWidth="0" w:num="1">
            <w:col w:w="10220"/>
          </w:cols>
          <w:pgMar w:left="960" w:top="273" w:right="71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IN WITNESS WHEREOF, this Securities Purchase Agreement has been executed as of the date and year first above written.</w:t>
      </w:r>
    </w:p>
    <w:p>
      <w:pPr>
        <w:spacing w:after="0" w:line="239"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SELLER:</w:t>
      </w:r>
    </w:p>
    <w:p>
      <w:pPr>
        <w:spacing w:after="0" w:line="22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SCA HORUS HOLDINGS, LLC</w:t>
      </w:r>
    </w:p>
    <w:p>
      <w:pPr>
        <w:spacing w:after="0" w:line="12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By: AP VIII (SCA Stock AIV), LLC, its sole shareholder</w:t>
      </w:r>
    </w:p>
    <w:p>
      <w:pPr>
        <w:spacing w:after="0" w:line="25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7">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Laurie D. Medley</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Address:  c/o SCA Horus Holdings, LLC</w:t>
      </w:r>
    </w:p>
    <w:p>
      <w:pPr>
        <w:spacing w:after="0" w:line="1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9 West 57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New York, NY 10019</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Stock Purchase Agreement]</w:t>
      </w:r>
    </w:p>
    <w:p>
      <w:pPr>
        <w:sectPr>
          <w:pgSz w:w="11900" w:h="16838" w:orient="portrait"/>
          <w:cols w:equalWidth="0" w:num="1">
            <w:col w:w="10580"/>
          </w:cols>
          <w:pgMar w:left="520" w:top="273" w:right="79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this Securities Purchase Agreement has been executed as of the date and year first above written.</w:t>
      </w:r>
    </w:p>
    <w:p>
      <w:pPr>
        <w:spacing w:after="0" w:line="239"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COMPANY:</w:t>
      </w:r>
    </w:p>
    <w:p>
      <w:pPr>
        <w:spacing w:after="0" w:line="22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SUN COUNTRY AIRLINES HOLDINGS, INC.</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9">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Eric Levenhagen</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Title: Chief Administrative Officer, General Counsel</w:t>
      </w:r>
    </w:p>
    <w:p>
      <w:pPr>
        <w:spacing w:after="0" w:line="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and Secretary</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Address:  2005 Cargo Road</w:t>
      </w:r>
    </w:p>
    <w:p>
      <w:pPr>
        <w:spacing w:after="0" w:line="1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Minneapolis, MN 55450</w:t>
      </w:r>
    </w:p>
    <w:p>
      <w:pPr>
        <w:spacing w:after="0" w:line="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Attn: Eric Levenhagen</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Stock Purchase Agreement]</w:t>
      </w:r>
    </w:p>
    <w:p>
      <w:pPr>
        <w:sectPr>
          <w:pgSz w:w="11900" w:h="16838" w:orient="portrait"/>
          <w:cols w:equalWidth="0" w:num="1">
            <w:col w:w="10620"/>
          </w:cols>
          <w:pgMar w:left="520" w:top="273" w:right="75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Purchase Agreement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Registration Rights Agreement</w:t>
      </w:r>
    </w:p>
    <w:p>
      <w:pPr>
        <w:sectPr>
          <w:pgSz w:w="11900" w:h="16838" w:orient="portrait"/>
          <w:cols w:equalWidth="0" w:num="1">
            <w:col w:w="9019"/>
          </w:cols>
          <w:pgMar w:left="1440" w:top="267" w:right="1440"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10.49</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4" w:lineRule="exact"/>
        <w:rPr>
          <w:sz w:val="20"/>
          <w:szCs w:val="20"/>
          <w:color w:val="auto"/>
        </w:rPr>
      </w:pPr>
    </w:p>
    <w:p>
      <w:pPr>
        <w:ind w:right="40" w:firstLine="434"/>
        <w:spacing w:after="0" w:line="256"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7, 2021, by and among each of the several buyers set forth on Schedule A hereto (each, a “</w:t>
      </w:r>
      <w:r>
        <w:rPr>
          <w:rFonts w:ascii="Arial" w:cs="Arial" w:eastAsia="Arial" w:hAnsi="Arial"/>
          <w:sz w:val="18"/>
          <w:szCs w:val="18"/>
          <w:u w:val="single" w:color="auto"/>
          <w:color w:val="auto"/>
        </w:rPr>
        <w:t>Buyer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Buyers</w:t>
      </w:r>
      <w:r>
        <w:rPr>
          <w:rFonts w:ascii="Arial" w:cs="Arial" w:eastAsia="Arial" w:hAnsi="Arial"/>
          <w:sz w:val="18"/>
          <w:szCs w:val="18"/>
          <w:color w:val="auto"/>
        </w:rPr>
        <w:t>”),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SCA Horus Holdings,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189" w:lineRule="exact"/>
        <w:rPr>
          <w:sz w:val="20"/>
          <w:szCs w:val="20"/>
          <w:color w:val="auto"/>
        </w:rPr>
      </w:pPr>
    </w:p>
    <w:p>
      <w:pPr>
        <w:ind w:right="280" w:firstLine="434"/>
        <w:spacing w:after="0" w:line="256" w:lineRule="auto"/>
        <w:rPr>
          <w:sz w:val="20"/>
          <w:szCs w:val="20"/>
          <w:color w:val="auto"/>
        </w:rPr>
      </w:pPr>
      <w:r>
        <w:rPr>
          <w:rFonts w:ascii="Arial" w:cs="Arial" w:eastAsia="Arial" w:hAnsi="Arial"/>
          <w:sz w:val="18"/>
          <w:szCs w:val="18"/>
          <w:color w:val="auto"/>
        </w:rPr>
        <w:t>Capitalized terms used but not defined in this Agreement have the meanings ascribed thereto in the Underwriting Agreement to be entered into among Barclays Capital Inc. and Morgan Stanley &amp; Co. LLC, as representatives of the several underwriters, and the Company (the “</w:t>
      </w:r>
      <w:r>
        <w:rPr>
          <w:rFonts w:ascii="Arial" w:cs="Arial" w:eastAsia="Arial" w:hAnsi="Arial"/>
          <w:sz w:val="18"/>
          <w:szCs w:val="18"/>
          <w:u w:val="single" w:color="auto"/>
          <w:color w:val="auto"/>
        </w:rPr>
        <w:t>Underwriting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9" w:lineRule="exact"/>
        <w:rPr>
          <w:sz w:val="20"/>
          <w:szCs w:val="20"/>
          <w:color w:val="auto"/>
        </w:rPr>
      </w:pPr>
    </w:p>
    <w:p>
      <w:pPr>
        <w:ind w:right="120" w:firstLine="434"/>
        <w:spacing w:after="0" w:line="278" w:lineRule="auto"/>
        <w:rPr>
          <w:sz w:val="20"/>
          <w:szCs w:val="20"/>
          <w:color w:val="auto"/>
        </w:rPr>
      </w:pPr>
      <w:r>
        <w:rPr>
          <w:rFonts w:ascii="Arial" w:cs="Arial" w:eastAsia="Arial" w:hAnsi="Arial"/>
          <w:sz w:val="17"/>
          <w:szCs w:val="17"/>
          <w:color w:val="auto"/>
        </w:rPr>
        <w:t>WHEREAS, in connection with the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the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pursuant to the Registration Statement, each Buyer, severally and not jointly, desires to purchase from Seller and Seller desires to sell to each Buyer shares of Common Stock pursuant to the terms and subject to the conditions set forth in this Agreement;</w:t>
      </w:r>
    </w:p>
    <w:p>
      <w:pPr>
        <w:spacing w:after="0" w:line="172" w:lineRule="exact"/>
        <w:rPr>
          <w:sz w:val="20"/>
          <w:szCs w:val="20"/>
          <w:color w:val="auto"/>
        </w:rPr>
      </w:pPr>
    </w:p>
    <w:p>
      <w:pPr>
        <w:ind w:right="40" w:firstLine="434"/>
        <w:spacing w:after="0" w:line="266" w:lineRule="auto"/>
        <w:rPr>
          <w:sz w:val="20"/>
          <w:szCs w:val="20"/>
          <w:color w:val="auto"/>
        </w:rPr>
      </w:pPr>
      <w:r>
        <w:rPr>
          <w:rFonts w:ascii="Arial" w:cs="Arial" w:eastAsia="Arial" w:hAnsi="Arial"/>
          <w:sz w:val="18"/>
          <w:szCs w:val="18"/>
          <w:color w:val="auto"/>
        </w:rPr>
        <w:t>WHEREAS, the closing of the purchase and sale of the Shares (as defined below) pursuant hereto is conditioned upon the simultaneous closing of the IPO; and</w:t>
      </w:r>
    </w:p>
    <w:p>
      <w:pPr>
        <w:spacing w:after="0" w:line="179" w:lineRule="exact"/>
        <w:rPr>
          <w:sz w:val="20"/>
          <w:szCs w:val="20"/>
          <w:color w:val="auto"/>
        </w:rPr>
      </w:pPr>
    </w:p>
    <w:p>
      <w:pPr>
        <w:ind w:right="140" w:firstLine="434"/>
        <w:spacing w:after="0" w:line="266" w:lineRule="auto"/>
        <w:rPr>
          <w:sz w:val="20"/>
          <w:szCs w:val="20"/>
          <w:color w:val="auto"/>
        </w:rPr>
      </w:pPr>
      <w:r>
        <w:rPr>
          <w:rFonts w:ascii="Arial" w:cs="Arial" w:eastAsia="Arial" w:hAnsi="Arial"/>
          <w:sz w:val="18"/>
          <w:szCs w:val="18"/>
          <w:color w:val="auto"/>
        </w:rPr>
        <w:t>WHEREAS, in connection with the execution of this Agreement, each Buyer shall execute and deliver to the Company a Lock-Up Agreement in the form agreed upon by the Company and the Buyers.</w:t>
      </w:r>
    </w:p>
    <w:p>
      <w:pPr>
        <w:spacing w:after="0" w:line="179" w:lineRule="exact"/>
        <w:rPr>
          <w:sz w:val="20"/>
          <w:szCs w:val="20"/>
          <w:color w:val="auto"/>
        </w:rPr>
      </w:pPr>
    </w:p>
    <w:p>
      <w:pPr>
        <w:ind w:right="100" w:firstLine="434"/>
        <w:spacing w:after="0" w:line="266" w:lineRule="auto"/>
        <w:rPr>
          <w:sz w:val="20"/>
          <w:szCs w:val="20"/>
          <w:color w:val="auto"/>
        </w:rPr>
      </w:pPr>
      <w:r>
        <w:rPr>
          <w:rFonts w:ascii="Arial" w:cs="Arial" w:eastAsia="Arial" w:hAnsi="Arial"/>
          <w:sz w:val="18"/>
          <w:szCs w:val="18"/>
          <w:color w:val="auto"/>
        </w:rPr>
        <w:t>NOW, THEREFORE, in consideration of the foregoing and the mutual promises and covenants set forth below, the parties hereto hereby agree as follows:</w:t>
      </w:r>
    </w:p>
    <w:p>
      <w:pPr>
        <w:spacing w:after="0" w:line="73" w:lineRule="exact"/>
        <w:rPr>
          <w:sz w:val="20"/>
          <w:szCs w:val="20"/>
          <w:color w:val="auto"/>
        </w:rPr>
      </w:pPr>
    </w:p>
    <w:p>
      <w:pPr>
        <w:ind w:left="620" w:hanging="187"/>
        <w:spacing w:after="0"/>
        <w:tabs>
          <w:tab w:leader="none" w:pos="62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Sale of Shares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firstLine="976"/>
        <w:spacing w:after="0" w:line="249" w:lineRule="auto"/>
        <w:tabs>
          <w:tab w:leader="none" w:pos="1217"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set forth in this Agreement, Seller hereby agrees to sell to each Buyer, and each Buyer hereby agrees, severally and not jointly, to purchase from Seller, a number of shares of Common Stock (rounded down to the nearest whole share) equal to (i) the amount set forth opposite such Buyer’s name on Schedule A hereto divided by (ii) 94% of the price per share of Common Stock paid by the public in the IPO as set forth on the cover page of the final prospectus for the IPO (such number of shares of Common Stock being purchased by such Buyer, the “</w:t>
      </w:r>
      <w:r>
        <w:rPr>
          <w:rFonts w:ascii="Arial" w:cs="Arial" w:eastAsia="Arial" w:hAnsi="Arial"/>
          <w:sz w:val="18"/>
          <w:szCs w:val="18"/>
          <w:u w:val="single" w:color="auto"/>
          <w:color w:val="auto"/>
        </w:rPr>
        <w:t>Shares</w:t>
      </w:r>
      <w:r>
        <w:rPr>
          <w:rFonts w:ascii="Arial" w:cs="Arial" w:eastAsia="Arial" w:hAnsi="Arial"/>
          <w:sz w:val="18"/>
          <w:szCs w:val="18"/>
          <w:color w:val="auto"/>
        </w:rPr>
        <w:t>”). The purchase price per Share to be paid by each Buyer (the “</w:t>
      </w:r>
      <w:r>
        <w:rPr>
          <w:rFonts w:ascii="Arial" w:cs="Arial" w:eastAsia="Arial" w:hAnsi="Arial"/>
          <w:sz w:val="18"/>
          <w:szCs w:val="18"/>
          <w:u w:val="single" w:color="auto"/>
          <w:color w:val="auto"/>
        </w:rPr>
        <w:t>Price Per Share</w:t>
      </w:r>
      <w:r>
        <w:rPr>
          <w:rFonts w:ascii="Arial" w:cs="Arial" w:eastAsia="Arial" w:hAnsi="Arial"/>
          <w:sz w:val="18"/>
          <w:szCs w:val="18"/>
          <w:color w:val="auto"/>
        </w:rPr>
        <w:t>”) is equal to 94% of the price per share of Common Stock paid by the public in the IPO as set forth on the cover page of the final prospectus for the IPO. The total purchase price to be paid by each Buyer for the Shares is equal to (x) the number of Shares being purchased by such Buyer multiplied by (y) the Price Per Share (the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0"/>
          </w:cols>
          <w:pgMar w:left="520" w:top="121" w:right="539" w:bottom="1440" w:gutter="0" w:footer="0" w:header="0"/>
        </w:sectPr>
      </w:pPr>
    </w:p>
    <w:bookmarkStart w:id="397" w:name="page398"/>
    <w:bookmarkEnd w:id="397"/>
    <w:p>
      <w:pPr>
        <w:ind w:left="-40" w:right="60" w:firstLine="976"/>
        <w:spacing w:after="0" w:line="268" w:lineRule="auto"/>
        <w:tabs>
          <w:tab w:leader="none" w:pos="1187"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Closing</w:t>
      </w:r>
      <w:r>
        <w:rPr>
          <w:rFonts w:ascii="Arial" w:cs="Arial" w:eastAsia="Arial" w:hAnsi="Arial"/>
          <w:sz w:val="17"/>
          <w:szCs w:val="17"/>
          <w:color w:val="auto"/>
        </w:rPr>
        <w:t>. The closing of the sale and purchase of the Shares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the offices of Paul, Weiss, Rifkind, Wharton &amp; Garrison LLP, 1285 Avenue of the Americas, New York, New York 10019, or at such other place as shall be agreed upon by the parties hereto, on the date that all of the conditions set forth in Section 4 of this Agreement are either satisfied or waived. At the Closing, each Buyer shall deliver the Purchase Price to Seller in exchange for delivery of the Shares to such Buyer by transfer via DWAC. For the avoidance of doubt, on the date of the Closing each Buyer will own the Shares purchased by such Buyer at the Closing, as set forth in this Agreement, contingent on and against payment of the Purchase Price relating thereto by such Buyer to the Seller pursuant to this Agreement.</w:t>
      </w:r>
    </w:p>
    <w:p>
      <w:pPr>
        <w:spacing w:after="0" w:line="73" w:lineRule="exact"/>
        <w:rPr>
          <w:rFonts w:ascii="Arial" w:cs="Arial" w:eastAsia="Arial" w:hAnsi="Arial"/>
          <w:sz w:val="17"/>
          <w:szCs w:val="17"/>
          <w:color w:val="auto"/>
        </w:rPr>
      </w:pPr>
    </w:p>
    <w:p>
      <w:pPr>
        <w:ind w:left="-40" w:right="440" w:firstLine="976"/>
        <w:spacing w:after="0" w:line="266" w:lineRule="auto"/>
        <w:tabs>
          <w:tab w:leader="none" w:pos="1177" w:val="left"/>
        </w:tabs>
        <w:numPr>
          <w:ilvl w:val="1"/>
          <w:numId w:val="316"/>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Payment by each Buyer of the Purchase Price to Seller shall be made by wire transfer of immediately available funds to an account specified in writing by Seller.</w:t>
      </w:r>
    </w:p>
    <w:p>
      <w:pPr>
        <w:spacing w:after="0" w:line="73" w:lineRule="exact"/>
        <w:rPr>
          <w:rFonts w:ascii="Arial" w:cs="Arial" w:eastAsia="Arial" w:hAnsi="Arial"/>
          <w:sz w:val="18"/>
          <w:szCs w:val="18"/>
          <w:color w:val="auto"/>
        </w:rPr>
      </w:pPr>
    </w:p>
    <w:p>
      <w:pPr>
        <w:ind w:left="580" w:hanging="187"/>
        <w:spacing w:after="0"/>
        <w:tabs>
          <w:tab w:leader="none" w:pos="58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Buyer as follows:</w:t>
      </w:r>
    </w:p>
    <w:p>
      <w:pPr>
        <w:spacing w:after="0" w:line="112" w:lineRule="exact"/>
        <w:rPr>
          <w:sz w:val="20"/>
          <w:szCs w:val="20"/>
          <w:color w:val="auto"/>
        </w:rPr>
      </w:pPr>
    </w:p>
    <w:p>
      <w:pPr>
        <w:ind w:left="-40" w:right="20" w:firstLine="976"/>
        <w:spacing w:after="0" w:line="287" w:lineRule="auto"/>
        <w:tabs>
          <w:tab w:leader="none" w:pos="117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Registration Statement will not, as of the Effective Date, contain an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The Commission has not issued an order preventing or suspending the use of any Preliminary Prospectus, any Issuer Free Writing Prospectus or the Prospectus relating to the proposed IPO, and no proceeding for that purpose or pursuant to Section 8A of the Act has been instituted or, to the Company’s knowledge, threatened by the Commission.</w:t>
      </w:r>
    </w:p>
    <w:p>
      <w:pPr>
        <w:spacing w:after="0" w:line="62" w:lineRule="exact"/>
        <w:rPr>
          <w:rFonts w:ascii="Arial" w:cs="Arial" w:eastAsia="Arial" w:hAnsi="Arial"/>
          <w:sz w:val="16"/>
          <w:szCs w:val="16"/>
          <w:color w:val="auto"/>
        </w:rPr>
      </w:pPr>
    </w:p>
    <w:p>
      <w:pPr>
        <w:ind w:left="-40" w:firstLine="976"/>
        <w:spacing w:after="0" w:line="272" w:lineRule="auto"/>
        <w:tabs>
          <w:tab w:leader="none" w:pos="1187"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The Prospectus will not, as of its date,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w:t>
      </w:r>
    </w:p>
    <w:p>
      <w:pPr>
        <w:spacing w:after="0" w:line="71" w:lineRule="exact"/>
        <w:rPr>
          <w:rFonts w:ascii="Arial" w:cs="Arial" w:eastAsia="Arial" w:hAnsi="Arial"/>
          <w:sz w:val="17"/>
          <w:szCs w:val="17"/>
          <w:color w:val="auto"/>
        </w:rPr>
      </w:pPr>
    </w:p>
    <w:p>
      <w:pPr>
        <w:ind w:left="-40" w:firstLine="976"/>
        <w:spacing w:after="0" w:line="251" w:lineRule="auto"/>
        <w:tabs>
          <w:tab w:leader="none" w:pos="117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The Pricing Disclosure Package will not, as of the Applicable Time,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w:t>
      </w:r>
    </w:p>
    <w:p>
      <w:pPr>
        <w:spacing w:after="0" w:line="87" w:lineRule="exact"/>
        <w:rPr>
          <w:rFonts w:ascii="Arial" w:cs="Arial" w:eastAsia="Arial" w:hAnsi="Arial"/>
          <w:sz w:val="18"/>
          <w:szCs w:val="18"/>
          <w:color w:val="auto"/>
        </w:rPr>
      </w:pPr>
    </w:p>
    <w:p>
      <w:pPr>
        <w:ind w:left="-40" w:right="60" w:firstLine="976"/>
        <w:spacing w:after="0" w:line="256" w:lineRule="auto"/>
        <w:tabs>
          <w:tab w:leader="none" w:pos="118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Issuer Free Writing Prospectus listed in Schedule IV to the Underwriting Agreement, when taken together with the Pricing Disclosure Package, will not, as of the Applicable Time, contain an untrue statement of a material fact or omit to state a material fact necessary to make the statements therein, in the light of the circumstances under which they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560" w:top="273" w:right="559" w:bottom="1440" w:gutter="0" w:footer="0" w:header="0"/>
        </w:sectPr>
      </w:pPr>
    </w:p>
    <w:bookmarkStart w:id="398" w:name="page399"/>
    <w:bookmarkEnd w:id="398"/>
    <w:p>
      <w:pPr>
        <w:ind w:right="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representation or warranty is made as to information contained in or omitted from such Issuer Free Writing Prospectus listed in Schedule IV to the Underwriting Agreement in reliance upon and in conformity with written information furnished to the Company through the Representatives by or on behalf of any Underwriter specifically for inclusion therein. No Issuer Free Writing Prospectus conflicts or will conflict with the information contained in the Registration Statement or the Prospectus, and any preliminary or other prospectus deemed to be a part thereof that has not been superseded or modified. The foregoing sentence does not apply to statements in or omissions from any Issuer Free Writing Prospectus in reliance upon, and in conformity with, written information furnished to the Company by or on behalf of any Underwriter through the Representatives, specifically for use therein.</w:t>
      </w:r>
    </w:p>
    <w:p>
      <w:pPr>
        <w:spacing w:after="0" w:line="73" w:lineRule="exact"/>
        <w:rPr>
          <w:sz w:val="20"/>
          <w:szCs w:val="20"/>
          <w:color w:val="auto"/>
        </w:rPr>
      </w:pPr>
    </w:p>
    <w:p>
      <w:pPr>
        <w:ind w:firstLine="976"/>
        <w:spacing w:after="0" w:line="265" w:lineRule="auto"/>
        <w:tabs>
          <w:tab w:leader="none" w:pos="121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(a) have a material adverse effect on the condition (financial or otherwise), results of operations, stockholders’ equity, properties, management or business of the Company and its subsidiaries taken as a whole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or (b) prevent the consummation of the transactions contemplated by this Agreement . The Company and each of its subsidiaries has all power and authority necessary to own or hold its properties and to conduct the businesses in which it is engaged as described in the most recent Preliminary Prospectus. None of the subsidiaries of the Company (other than any subsidiaries listed in Exhibit 21 to the Registration Statement) is a “significant subsidiary” (as defined in Rule 405 under the Securities Act).</w:t>
      </w:r>
    </w:p>
    <w:p>
      <w:pPr>
        <w:spacing w:after="0" w:line="75" w:lineRule="exact"/>
        <w:rPr>
          <w:rFonts w:ascii="Arial" w:cs="Arial" w:eastAsia="Arial" w:hAnsi="Arial"/>
          <w:sz w:val="17"/>
          <w:szCs w:val="17"/>
          <w:color w:val="auto"/>
        </w:rPr>
      </w:pPr>
    </w:p>
    <w:p>
      <w:pPr>
        <w:ind w:firstLine="976"/>
        <w:spacing w:after="0" w:line="264" w:lineRule="auto"/>
        <w:tabs>
          <w:tab w:leader="none" w:pos="1198"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under the heading “Capitalization” in each of the most recent Preliminary Prospectus and the Prospectus as of the date or dates set forth therein, and 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 Neither the filing of the Registration Statement nor the offering or sale of the Shares as contemplated by this Agreement gives rise to any rights, other than those which have been waived or satisfied, for or relating to the registration of any shares of Common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73" w:right="539" w:bottom="1440" w:gutter="0" w:footer="0" w:header="0"/>
        </w:sectPr>
      </w:pPr>
    </w:p>
    <w:bookmarkStart w:id="399" w:name="page400"/>
    <w:bookmarkEnd w:id="399"/>
    <w:p>
      <w:pPr>
        <w:ind w:right="340" w:firstLine="976"/>
        <w:spacing w:after="0" w:line="266" w:lineRule="auto"/>
        <w:tabs>
          <w:tab w:leader="none" w:pos="1227"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The Company has all requisite corporate power and authority to execute, deliver and perform its obligations under this Agreement. This Agreement has been duly and validly authorized, executed and delivered by the Company.</w:t>
      </w:r>
    </w:p>
    <w:p>
      <w:pPr>
        <w:spacing w:after="0" w:line="73" w:lineRule="exact"/>
        <w:rPr>
          <w:rFonts w:ascii="Arial" w:cs="Arial" w:eastAsia="Arial" w:hAnsi="Arial"/>
          <w:sz w:val="18"/>
          <w:szCs w:val="18"/>
          <w:color w:val="auto"/>
        </w:rPr>
      </w:pPr>
    </w:p>
    <w:p>
      <w:pPr>
        <w:ind w:right="100" w:firstLine="976"/>
        <w:spacing w:after="0" w:line="284" w:lineRule="auto"/>
        <w:tabs>
          <w:tab w:leader="none" w:pos="122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and the consummation of the transactions contemplated hereby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61" w:lineRule="exact"/>
        <w:rPr>
          <w:rFonts w:ascii="Arial" w:cs="Arial" w:eastAsia="Arial" w:hAnsi="Arial"/>
          <w:sz w:val="16"/>
          <w:szCs w:val="16"/>
          <w:color w:val="auto"/>
        </w:rPr>
      </w:pPr>
    </w:p>
    <w:p>
      <w:pPr>
        <w:ind w:right="160" w:firstLine="976"/>
        <w:spacing w:after="0" w:line="278" w:lineRule="auto"/>
        <w:tabs>
          <w:tab w:leader="none" w:pos="118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w:t>
      </w:r>
    </w:p>
    <w:p>
      <w:pPr>
        <w:spacing w:after="0" w:line="65" w:lineRule="exact"/>
        <w:rPr>
          <w:rFonts w:ascii="Arial" w:cs="Arial" w:eastAsia="Arial" w:hAnsi="Arial"/>
          <w:sz w:val="17"/>
          <w:szCs w:val="17"/>
          <w:color w:val="auto"/>
        </w:rPr>
      </w:pPr>
    </w:p>
    <w:p>
      <w:pPr>
        <w:ind w:firstLine="976"/>
        <w:spacing w:after="0" w:line="265" w:lineRule="auto"/>
        <w:tabs>
          <w:tab w:leader="none" w:pos="118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75" w:lineRule="exact"/>
        <w:rPr>
          <w:rFonts w:ascii="Arial" w:cs="Arial" w:eastAsia="Arial" w:hAnsi="Arial"/>
          <w:sz w:val="17"/>
          <w:szCs w:val="17"/>
          <w:color w:val="auto"/>
        </w:rPr>
      </w:pPr>
    </w:p>
    <w:p>
      <w:pPr>
        <w:ind w:right="140" w:firstLine="976"/>
        <w:spacing w:after="0" w:line="410" w:lineRule="auto"/>
        <w:tabs>
          <w:tab w:leader="none" w:pos="1227" w:val="left"/>
        </w:tabs>
        <w:numPr>
          <w:ilvl w:val="0"/>
          <w:numId w:val="320"/>
        </w:numPr>
        <w:rPr>
          <w:rFonts w:ascii="Arial" w:cs="Arial" w:eastAsia="Arial" w:hAnsi="Arial"/>
          <w:sz w:val="14"/>
          <w:szCs w:val="14"/>
          <w:color w:val="auto"/>
        </w:rPr>
      </w:pPr>
      <w:r>
        <w:rPr>
          <w:rFonts w:ascii="Arial" w:cs="Arial" w:eastAsia="Arial" w:hAnsi="Arial"/>
          <w:sz w:val="14"/>
          <w:szCs w:val="14"/>
          <w:color w:val="auto"/>
        </w:rPr>
        <w:t>KPMG LLP, who have audited certain financial statements of the Company and its consolidated subsidiaries, whose report appears in the most recent Preliminary Prospectus, are independent public accountants as required by the Securities Act and the rules and regulations thereunder.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520" w:top="273" w:right="539" w:bottom="1440" w:gutter="0" w:footer="0" w:header="0"/>
        </w:sectPr>
      </w:pPr>
    </w:p>
    <w:bookmarkStart w:id="400" w:name="page401"/>
    <w:bookmarkEnd w:id="400"/>
    <w:p>
      <w:pPr>
        <w:ind w:left="-20" w:right="60" w:firstLine="976"/>
        <w:spacing w:after="0" w:line="280" w:lineRule="auto"/>
        <w:tabs>
          <w:tab w:leader="none" w:pos="1168" w:val="left"/>
        </w:tabs>
        <w:numPr>
          <w:ilvl w:val="0"/>
          <w:numId w:val="3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As of the date of the most recent balance sheet of the Company and its consolidated subsidiaries reviewed or audited by KPMG LLP, there were no material weaknesses in the Company’s internal controls.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75" w:lineRule="exact"/>
        <w:rPr>
          <w:rFonts w:ascii="Arial" w:cs="Arial" w:eastAsia="Arial" w:hAnsi="Arial"/>
          <w:sz w:val="16"/>
          <w:szCs w:val="16"/>
          <w:color w:val="auto"/>
        </w:rPr>
      </w:pPr>
    </w:p>
    <w:p>
      <w:pPr>
        <w:ind w:left="-20" w:right="60" w:firstLine="976"/>
        <w:spacing w:after="0" w:line="290" w:lineRule="auto"/>
        <w:tabs>
          <w:tab w:leader="none" w:pos="125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such disclosure controls and procedures are effective in all material respects to perform the functions for which they were established.</w:t>
      </w:r>
    </w:p>
    <w:p>
      <w:pPr>
        <w:spacing w:after="0" w:line="58" w:lineRule="exact"/>
        <w:rPr>
          <w:rFonts w:ascii="Arial" w:cs="Arial" w:eastAsia="Arial" w:hAnsi="Arial"/>
          <w:sz w:val="16"/>
          <w:szCs w:val="16"/>
          <w:color w:val="auto"/>
        </w:rPr>
      </w:pPr>
    </w:p>
    <w:p>
      <w:pPr>
        <w:ind w:left="-20" w:firstLine="976"/>
        <w:spacing w:after="0" w:line="340" w:lineRule="auto"/>
        <w:tabs>
          <w:tab w:leader="none" w:pos="1207" w:val="left"/>
        </w:tabs>
        <w:numPr>
          <w:ilvl w:val="0"/>
          <w:numId w:val="321"/>
        </w:numPr>
        <w:rPr>
          <w:rFonts w:ascii="Arial" w:cs="Arial" w:eastAsia="Arial" w:hAnsi="Arial"/>
          <w:sz w:val="14"/>
          <w:szCs w:val="14"/>
          <w:color w:val="auto"/>
        </w:rPr>
      </w:pPr>
      <w:r>
        <w:rPr>
          <w:rFonts w:ascii="Arial" w:cs="Arial" w:eastAsia="Arial" w:hAnsi="Arial"/>
          <w:sz w:val="14"/>
          <w:szCs w:val="14"/>
          <w:color w:val="auto"/>
        </w:rPr>
        <w:t>Except as described in the most recent Preliminary Prospectus or as would not, individually or in the aggregate, reasonably be expected to have a Material Adverse Effect, 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 (ii) incurred any liability or obligation, direct or contingent, other than liabilities and obligations that were incurred in the ordinary course of business, (iii) entered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540" w:top="273" w:right="539" w:bottom="1440" w:gutter="0" w:footer="0" w:header="0"/>
        </w:sectPr>
      </w:pPr>
    </w:p>
    <w:bookmarkStart w:id="401" w:name="page402"/>
    <w:bookmarkEnd w:id="40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73" w:lineRule="exact"/>
        <w:rPr>
          <w:sz w:val="20"/>
          <w:szCs w:val="20"/>
          <w:color w:val="auto"/>
        </w:rPr>
      </w:pPr>
    </w:p>
    <w:p>
      <w:pPr>
        <w:ind w:firstLine="976"/>
        <w:spacing w:after="0" w:line="290" w:lineRule="auto"/>
        <w:tabs>
          <w:tab w:leader="none" w:pos="122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(i) 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firstLine="976"/>
        <w:spacing w:after="0" w:line="284" w:lineRule="auto"/>
        <w:tabs>
          <w:tab w:leader="none" w:pos="122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Company and each of its subsidiaries have, and are operating in compliance with, such permits, licenses, patents, franchises, certificates of need and other approvals or authorizations of governmental or regulatory authorities (“</w:t>
      </w:r>
      <w:r>
        <w:rPr>
          <w:rFonts w:ascii="Arial" w:cs="Arial" w:eastAsia="Arial" w:hAnsi="Arial"/>
          <w:sz w:val="16"/>
          <w:szCs w:val="16"/>
          <w:u w:val="single" w:color="auto"/>
          <w:color w:val="auto"/>
        </w:rPr>
        <w:t>Permits</w:t>
      </w:r>
      <w:r>
        <w:rPr>
          <w:rFonts w:ascii="Arial" w:cs="Arial" w:eastAsia="Arial" w:hAnsi="Arial"/>
          <w:sz w:val="16"/>
          <w:szCs w:val="16"/>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61" w:lineRule="exact"/>
        <w:rPr>
          <w:rFonts w:ascii="Arial" w:cs="Arial" w:eastAsia="Arial" w:hAnsi="Arial"/>
          <w:sz w:val="16"/>
          <w:szCs w:val="16"/>
          <w:color w:val="auto"/>
        </w:rPr>
      </w:pPr>
    </w:p>
    <w:p>
      <w:pPr>
        <w:ind w:right="80" w:firstLine="976"/>
        <w:spacing w:after="0" w:line="266" w:lineRule="auto"/>
        <w:tabs>
          <w:tab w:leader="none" w:pos="122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520" w:top="273" w:right="539" w:bottom="1440" w:gutter="0" w:footer="0" w:header="0"/>
        </w:sectPr>
      </w:pPr>
    </w:p>
    <w:bookmarkStart w:id="402" w:name="page403"/>
    <w:bookmarkEnd w:id="40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56" w:lineRule="exact"/>
        <w:rPr>
          <w:sz w:val="20"/>
          <w:szCs w:val="20"/>
          <w:color w:val="auto"/>
        </w:rPr>
      </w:pPr>
    </w:p>
    <w:p>
      <w:pPr>
        <w:ind w:right="180" w:firstLine="976"/>
        <w:spacing w:after="0" w:line="290" w:lineRule="auto"/>
        <w:tabs>
          <w:tab w:leader="none" w:pos="119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and to the Company’s knowledge, no such proceedings are threatened by governmental authorities or others.</w:t>
      </w:r>
    </w:p>
    <w:p>
      <w:pPr>
        <w:spacing w:after="0" w:line="58" w:lineRule="exact"/>
        <w:rPr>
          <w:rFonts w:ascii="Arial" w:cs="Arial" w:eastAsia="Arial" w:hAnsi="Arial"/>
          <w:sz w:val="16"/>
          <w:szCs w:val="16"/>
          <w:color w:val="auto"/>
        </w:rPr>
      </w:pPr>
    </w:p>
    <w:p>
      <w:pPr>
        <w:jc w:val="both"/>
        <w:ind w:right="40" w:firstLine="976"/>
        <w:spacing w:after="0" w:line="253" w:lineRule="auto"/>
        <w:tabs>
          <w:tab w:leader="none" w:pos="120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84" w:lineRule="exact"/>
        <w:rPr>
          <w:rFonts w:ascii="Arial" w:cs="Arial" w:eastAsia="Arial" w:hAnsi="Arial"/>
          <w:sz w:val="18"/>
          <w:szCs w:val="18"/>
          <w:color w:val="auto"/>
        </w:rPr>
      </w:pPr>
    </w:p>
    <w:p>
      <w:pPr>
        <w:jc w:val="both"/>
        <w:ind w:firstLine="976"/>
        <w:spacing w:after="0" w:line="294" w:lineRule="auto"/>
        <w:tabs>
          <w:tab w:leader="none" w:pos="118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statements made in the most recent Preliminary Prospectus and Prospectus under the captions “Risk Factors—Risks Related to Our Industry”, “Risk Factors—Risks Related to Our Business” and “Business—Government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55" w:lineRule="exact"/>
        <w:rPr>
          <w:rFonts w:ascii="Arial" w:cs="Arial" w:eastAsia="Arial" w:hAnsi="Arial"/>
          <w:sz w:val="16"/>
          <w:szCs w:val="16"/>
          <w:color w:val="auto"/>
        </w:rPr>
      </w:pPr>
    </w:p>
    <w:p>
      <w:pPr>
        <w:ind w:right="60" w:firstLine="976"/>
        <w:spacing w:after="0" w:line="283" w:lineRule="auto"/>
        <w:tabs>
          <w:tab w:leader="none" w:pos="122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520" w:top="273" w:right="559" w:bottom="1440" w:gutter="0" w:footer="0" w:header="0"/>
        </w:sectPr>
      </w:pPr>
    </w:p>
    <w:bookmarkStart w:id="403" w:name="page404"/>
    <w:bookmarkEnd w:id="403"/>
    <w:p>
      <w:pPr>
        <w:ind w:left="1" w:right="280" w:firstLine="976"/>
        <w:spacing w:after="0" w:line="256" w:lineRule="auto"/>
        <w:tabs>
          <w:tab w:leader="none" w:pos="1228" w:val="left"/>
        </w:tabs>
        <w:numPr>
          <w:ilvl w:val="1"/>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82" w:lineRule="exact"/>
        <w:rPr>
          <w:rFonts w:ascii="Arial" w:cs="Arial" w:eastAsia="Arial" w:hAnsi="Arial"/>
          <w:sz w:val="18"/>
          <w:szCs w:val="18"/>
          <w:color w:val="auto"/>
        </w:rPr>
      </w:pPr>
    </w:p>
    <w:p>
      <w:pPr>
        <w:ind w:left="1" w:right="340" w:firstLine="976"/>
        <w:spacing w:after="0" w:line="266" w:lineRule="auto"/>
        <w:tabs>
          <w:tab w:leader="none" w:pos="126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73" w:lineRule="exact"/>
        <w:rPr>
          <w:rFonts w:ascii="Arial" w:cs="Arial" w:eastAsia="Arial" w:hAnsi="Arial"/>
          <w:sz w:val="18"/>
          <w:szCs w:val="18"/>
          <w:color w:val="auto"/>
        </w:rPr>
      </w:pPr>
    </w:p>
    <w:p>
      <w:pPr>
        <w:ind w:left="1" w:right="40" w:firstLine="976"/>
        <w:spacing w:after="0" w:line="280" w:lineRule="auto"/>
        <w:tabs>
          <w:tab w:leader="none" w:pos="1228" w:val="left"/>
        </w:tabs>
        <w:numPr>
          <w:ilvl w:val="1"/>
          <w:numId w:val="32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w:t>
      </w:r>
    </w:p>
    <w:p>
      <w:pPr>
        <w:spacing w:after="0" w:line="1" w:lineRule="exact"/>
        <w:rPr>
          <w:rFonts w:ascii="Arial" w:cs="Arial" w:eastAsia="Arial" w:hAnsi="Arial"/>
          <w:sz w:val="16"/>
          <w:szCs w:val="16"/>
          <w:color w:val="auto"/>
        </w:rPr>
      </w:pPr>
    </w:p>
    <w:p>
      <w:pPr>
        <w:ind w:left="1" w:right="240" w:hanging="1"/>
        <w:spacing w:after="0" w:line="248" w:lineRule="auto"/>
        <w:tabs>
          <w:tab w:leader="none" w:pos="30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90" w:lineRule="exact"/>
        <w:rPr>
          <w:rFonts w:ascii="Arial" w:cs="Arial" w:eastAsia="Arial" w:hAnsi="Arial"/>
          <w:sz w:val="18"/>
          <w:szCs w:val="18"/>
          <w:color w:val="auto"/>
        </w:rPr>
      </w:pPr>
    </w:p>
    <w:p>
      <w:pPr>
        <w:ind w:left="1" w:firstLine="976"/>
        <w:spacing w:after="0" w:line="281" w:lineRule="auto"/>
        <w:tabs>
          <w:tab w:leader="none" w:pos="1228" w:val="left"/>
        </w:tabs>
        <w:numPr>
          <w:ilvl w:val="1"/>
          <w:numId w:val="325"/>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 the Company and its subsidiaries are not aware of any issues regarding compliance with Environmental Laws, including any pending or proposed Environmental Laws, or liabilities or other obligations under Environmental Laws or concerning</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1"/>
          </w:cols>
          <w:pgMar w:left="519" w:top="273" w:right="539" w:bottom="1440" w:gutter="0" w:footer="0" w:header="0"/>
        </w:sectPr>
      </w:pPr>
    </w:p>
    <w:bookmarkStart w:id="404" w:name="page405"/>
    <w:bookmarkEnd w:id="404"/>
    <w:p>
      <w:pPr>
        <w:jc w:val="both"/>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82" w:lineRule="exact"/>
        <w:rPr>
          <w:sz w:val="20"/>
          <w:szCs w:val="20"/>
          <w:color w:val="auto"/>
        </w:rPr>
      </w:pPr>
    </w:p>
    <w:p>
      <w:pPr>
        <w:ind w:right="40" w:firstLine="976"/>
        <w:spacing w:after="0" w:line="335" w:lineRule="auto"/>
        <w:tabs>
          <w:tab w:leader="none" w:pos="1217" w:val="left"/>
        </w:tabs>
        <w:numPr>
          <w:ilvl w:val="0"/>
          <w:numId w:val="326"/>
        </w:numPr>
        <w:rPr>
          <w:rFonts w:ascii="Arial" w:cs="Arial" w:eastAsia="Arial" w:hAnsi="Arial"/>
          <w:sz w:val="14"/>
          <w:szCs w:val="14"/>
          <w:color w:val="auto"/>
        </w:rPr>
      </w:pPr>
      <w:r>
        <w:rPr>
          <w:rFonts w:ascii="Arial" w:cs="Arial" w:eastAsia="Arial" w:hAnsi="Arial"/>
          <w:sz w:val="14"/>
          <w:szCs w:val="14"/>
          <w:color w:val="auto"/>
        </w:rPr>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34" w:lineRule="exact"/>
        <w:rPr>
          <w:sz w:val="20"/>
          <w:szCs w:val="20"/>
          <w:color w:val="auto"/>
        </w:rPr>
      </w:pPr>
    </w:p>
    <w:p>
      <w:pPr>
        <w:ind w:firstLine="976"/>
        <w:spacing w:after="0" w:line="280" w:lineRule="auto"/>
        <w:tabs>
          <w:tab w:leader="none" w:pos="129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would have any liability (each a “</w:t>
      </w:r>
      <w:r>
        <w:rPr>
          <w:rFonts w:ascii="Arial" w:cs="Arial" w:eastAsia="Arial" w:hAnsi="Arial"/>
          <w:sz w:val="16"/>
          <w:szCs w:val="16"/>
          <w:u w:val="single" w:color="auto"/>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 (D) 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(iv) no Multiemployer Plan is, or is expected to be, “insolvent” (within the meaning of Section 4245 of 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73" w:right="539" w:bottom="1440" w:gutter="0" w:footer="0" w:header="0"/>
        </w:sectPr>
      </w:pPr>
    </w:p>
    <w:bookmarkStart w:id="405" w:name="page406"/>
    <w:bookmarkEnd w:id="405"/>
    <w:p>
      <w:pPr>
        <w:ind w:left="-40" w:right="140" w:firstLine="976"/>
        <w:spacing w:after="0" w:line="266" w:lineRule="auto"/>
        <w:tabs>
          <w:tab w:leader="none" w:pos="1276"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statistical and market-related data included in the most recent Preliminary Prospectus are based on or derived from sources that the Company reasonably believes to be reliable in all material respects.</w:t>
      </w:r>
    </w:p>
    <w:p>
      <w:pPr>
        <w:spacing w:after="0" w:line="73" w:lineRule="exact"/>
        <w:rPr>
          <w:rFonts w:ascii="Arial" w:cs="Arial" w:eastAsia="Arial" w:hAnsi="Arial"/>
          <w:sz w:val="18"/>
          <w:szCs w:val="18"/>
          <w:color w:val="auto"/>
        </w:rPr>
      </w:pPr>
    </w:p>
    <w:p>
      <w:pPr>
        <w:ind w:left="-40" w:right="20" w:firstLine="976"/>
        <w:spacing w:after="0" w:line="251" w:lineRule="auto"/>
        <w:tabs>
          <w:tab w:leader="none" w:pos="125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and, after giving effect to the offer and sale of the Common Stock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and the rules and regulations of the Commission thereunder, or (ii) a “business development company” (as defined in Section 2(a)(48) of the Investment Company Act).</w:t>
      </w:r>
    </w:p>
    <w:p>
      <w:pPr>
        <w:spacing w:after="0" w:line="87" w:lineRule="exact"/>
        <w:rPr>
          <w:rFonts w:ascii="Arial" w:cs="Arial" w:eastAsia="Arial" w:hAnsi="Arial"/>
          <w:sz w:val="18"/>
          <w:szCs w:val="18"/>
          <w:color w:val="auto"/>
        </w:rPr>
      </w:pPr>
    </w:p>
    <w:p>
      <w:pPr>
        <w:ind w:left="-40" w:right="60" w:firstLine="976"/>
        <w:spacing w:after="0" w:line="256" w:lineRule="auto"/>
        <w:tabs>
          <w:tab w:leader="none" w:pos="127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82" w:lineRule="exact"/>
        <w:rPr>
          <w:rFonts w:ascii="Arial" w:cs="Arial" w:eastAsia="Arial" w:hAnsi="Arial"/>
          <w:sz w:val="18"/>
          <w:szCs w:val="18"/>
          <w:color w:val="auto"/>
        </w:rPr>
      </w:pPr>
    </w:p>
    <w:p>
      <w:pPr>
        <w:ind w:left="-40" w:right="100" w:firstLine="976"/>
        <w:spacing w:after="0" w:line="251" w:lineRule="auto"/>
        <w:tabs>
          <w:tab w:leader="none" w:pos="125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87" w:lineRule="exact"/>
        <w:rPr>
          <w:rFonts w:ascii="Arial" w:cs="Arial" w:eastAsia="Arial" w:hAnsi="Arial"/>
          <w:sz w:val="18"/>
          <w:szCs w:val="18"/>
          <w:color w:val="auto"/>
        </w:rPr>
      </w:pPr>
    </w:p>
    <w:p>
      <w:pPr>
        <w:ind w:left="-40" w:right="40" w:firstLine="976"/>
        <w:spacing w:after="0" w:line="256" w:lineRule="auto"/>
        <w:tabs>
          <w:tab w:leader="none" w:pos="121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the Underwriting Agreement) that would give rise to a valid claim against any of them for a brokerage commission, finder’s fee or like payment in connection with the offering and sale of the Common Stock.</w:t>
      </w:r>
    </w:p>
    <w:p>
      <w:pPr>
        <w:spacing w:after="0" w:line="82" w:lineRule="exact"/>
        <w:rPr>
          <w:rFonts w:ascii="Arial" w:cs="Arial" w:eastAsia="Arial" w:hAnsi="Arial"/>
          <w:sz w:val="18"/>
          <w:szCs w:val="18"/>
          <w:color w:val="auto"/>
        </w:rPr>
      </w:pPr>
    </w:p>
    <w:p>
      <w:pPr>
        <w:ind w:left="1280" w:hanging="344"/>
        <w:spacing w:after="0"/>
        <w:tabs>
          <w:tab w:leader="none" w:pos="12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Company has applied to list the Common Stock on the Nasdaq Global Select Market.</w:t>
      </w:r>
    </w:p>
    <w:p>
      <w:pPr>
        <w:spacing w:after="0" w:line="112" w:lineRule="exact"/>
        <w:rPr>
          <w:rFonts w:ascii="Arial" w:cs="Arial" w:eastAsia="Arial" w:hAnsi="Arial"/>
          <w:sz w:val="18"/>
          <w:szCs w:val="18"/>
          <w:color w:val="auto"/>
        </w:rPr>
      </w:pPr>
    </w:p>
    <w:p>
      <w:pPr>
        <w:ind w:left="-40" w:firstLine="976"/>
        <w:spacing w:after="0" w:line="249" w:lineRule="auto"/>
        <w:tabs>
          <w:tab w:leader="none" w:pos="127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Arial" w:cs="Arial" w:eastAsia="Arial" w:hAnsi="Arial"/>
          <w:sz w:val="18"/>
          <w:szCs w:val="18"/>
          <w:u w:val="single" w:color="auto"/>
          <w:color w:val="auto"/>
        </w:rPr>
        <w:t>FCPA</w:t>
      </w:r>
      <w:r>
        <w:rPr>
          <w:rFonts w:ascii="Arial" w:cs="Arial" w:eastAsia="Arial" w:hAnsi="Arial"/>
          <w:sz w:val="18"/>
          <w:szCs w:val="18"/>
          <w:color w:val="auto"/>
        </w:rPr>
        <w:t>”)) or domestic government official; or (iii) violated or is in violation of any provision of the FCPA, the Bribery Act 2010 of the United Kingdom, as amended (the “</w:t>
      </w:r>
      <w:r>
        <w:rPr>
          <w:rFonts w:ascii="Arial" w:cs="Arial" w:eastAsia="Arial" w:hAnsi="Arial"/>
          <w:sz w:val="18"/>
          <w:szCs w:val="18"/>
          <w:u w:val="single" w:color="auto"/>
          <w:color w:val="auto"/>
        </w:rPr>
        <w:t>Bribery Act 2010</w:t>
      </w:r>
      <w:r>
        <w:rPr>
          <w:rFonts w:ascii="Arial" w:cs="Arial" w:eastAsia="Arial" w:hAnsi="Arial"/>
          <w:sz w:val="18"/>
          <w:szCs w:val="18"/>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560" w:top="273" w:right="579" w:bottom="1440" w:gutter="0" w:footer="0" w:header="0"/>
        </w:sectPr>
      </w:pPr>
    </w:p>
    <w:bookmarkStart w:id="406" w:name="page407"/>
    <w:bookmarkEnd w:id="406"/>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2010 and all other applicable anti-corruption and anti-bribery statutes or regulations, and have instituted and maintain policies and procedures designed to ensure, and which are reasonably expected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1" w:lineRule="exact"/>
        <w:rPr>
          <w:sz w:val="20"/>
          <w:szCs w:val="20"/>
          <w:color w:val="auto"/>
        </w:rPr>
      </w:pPr>
    </w:p>
    <w:p>
      <w:pPr>
        <w:ind w:right="100" w:firstLine="976"/>
        <w:spacing w:after="0" w:line="267" w:lineRule="auto"/>
        <w:tabs>
          <w:tab w:leader="none" w:pos="1237"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73" w:lineRule="exact"/>
        <w:rPr>
          <w:rFonts w:ascii="Arial" w:cs="Arial" w:eastAsia="Arial" w:hAnsi="Arial"/>
          <w:sz w:val="17"/>
          <w:szCs w:val="17"/>
          <w:color w:val="auto"/>
        </w:rPr>
      </w:pPr>
    </w:p>
    <w:p>
      <w:pPr>
        <w:ind w:firstLine="976"/>
        <w:spacing w:after="0" w:line="264" w:lineRule="auto"/>
        <w:tabs>
          <w:tab w:leader="none" w:pos="1237" w:val="left"/>
        </w:tabs>
        <w:numPr>
          <w:ilvl w:val="0"/>
          <w:numId w:val="329"/>
        </w:numPr>
        <w:rPr>
          <w:rFonts w:ascii="Arial" w:cs="Arial" w:eastAsia="Arial" w:hAnsi="Arial"/>
          <w:sz w:val="17"/>
          <w:szCs w:val="17"/>
          <w:color w:val="auto"/>
        </w:rPr>
      </w:pPr>
      <w:r>
        <w:rPr>
          <w:rFonts w:ascii="Arial" w:cs="Arial" w:eastAsia="Arial" w:hAnsi="Arial"/>
          <w:sz w:val="17"/>
          <w:szCs w:val="17"/>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w:t>
      </w:r>
      <w:r>
        <w:rPr>
          <w:rFonts w:ascii="Arial" w:cs="Arial" w:eastAsia="Arial" w:hAnsi="Arial"/>
          <w:sz w:val="17"/>
          <w:szCs w:val="17"/>
          <w:u w:val="single" w:color="auto"/>
          <w:color w:val="auto"/>
        </w:rPr>
        <w:t>Person</w:t>
      </w:r>
      <w:r>
        <w:rPr>
          <w:rFonts w:ascii="Arial" w:cs="Arial" w:eastAsia="Arial" w:hAnsi="Arial"/>
          <w:sz w:val="17"/>
          <w:szCs w:val="17"/>
          <w:color w:val="auto"/>
        </w:rPr>
        <w:t>”)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(ii) located, organized or resident in a country or territory that is the subject or target of Sanctions (including, without limitation, Cuba, Iran, North Korea, Syria and Crimea); and the Company will not directly 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76" w:lineRule="exact"/>
        <w:rPr>
          <w:rFonts w:ascii="Arial" w:cs="Arial" w:eastAsia="Arial" w:hAnsi="Arial"/>
          <w:sz w:val="17"/>
          <w:szCs w:val="17"/>
          <w:color w:val="auto"/>
        </w:rPr>
      </w:pPr>
    </w:p>
    <w:p>
      <w:pPr>
        <w:ind w:right="40" w:firstLine="976"/>
        <w:spacing w:after="0" w:line="251" w:lineRule="auto"/>
        <w:tabs>
          <w:tab w:leader="none" w:pos="131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Arial" w:cs="Arial" w:eastAsia="Arial" w:hAnsi="Arial"/>
          <w:sz w:val="18"/>
          <w:szCs w:val="18"/>
          <w:u w:val="single" w:color="auto"/>
          <w:color w:val="auto"/>
        </w:rPr>
        <w:t>IT Systems</w:t>
      </w:r>
      <w:r>
        <w:rPr>
          <w:rFonts w:ascii="Arial" w:cs="Arial" w:eastAsia="Arial" w:hAnsi="Arial"/>
          <w:sz w:val="18"/>
          <w:szCs w:val="18"/>
          <w:color w:val="auto"/>
        </w:rPr>
        <w:t>”) are adequate for the operation of the business of the Company or its subsidiaries as currently conducted, free and clear, to the knowledge of the Company, of all material bugs, errors, defects, Trojan horses, time bombs, malware and other corruptants. The Company and its subsidiaries have implemented and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273" w:right="539" w:bottom="1440" w:gutter="0" w:footer="0" w:header="0"/>
        </w:sectPr>
      </w:pPr>
    </w:p>
    <w:bookmarkStart w:id="407" w:name="page408"/>
    <w:bookmarkEnd w:id="407"/>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Arial" w:cs="Arial" w:eastAsia="Arial" w:hAnsi="Arial"/>
          <w:sz w:val="17"/>
          <w:szCs w:val="17"/>
          <w:u w:val="single" w:color="auto"/>
          <w:color w:val="auto"/>
        </w:rPr>
        <w:t>Personal Data</w:t>
      </w:r>
      <w:r>
        <w:rPr>
          <w:rFonts w:ascii="Arial" w:cs="Arial" w:eastAsia="Arial" w:hAnsi="Arial"/>
          <w:sz w:val="17"/>
          <w:szCs w:val="17"/>
          <w:color w:val="auto"/>
        </w:rPr>
        <w:t>”)) and, except as would not, individually or in the aggregate, reasonably be expected to have a Material Adverse Effect, there has been no breach, violation, outage, disablement, loss, destruction or unauthorized use, access, distribution or modification of or to any IT System or Personal Data of the Company or its subsidiaries.</w:t>
      </w:r>
    </w:p>
    <w:p>
      <w:pPr>
        <w:spacing w:after="0" w:line="75" w:lineRule="exact"/>
        <w:rPr>
          <w:sz w:val="20"/>
          <w:szCs w:val="20"/>
          <w:color w:val="auto"/>
        </w:rPr>
      </w:pPr>
    </w:p>
    <w:p>
      <w:pPr>
        <w:ind w:right="20" w:firstLine="976"/>
        <w:spacing w:after="0" w:line="284" w:lineRule="auto"/>
        <w:tabs>
          <w:tab w:leader="none" w:pos="123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Company and each of its subsidiaries are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Arial" w:cs="Arial" w:eastAsia="Arial" w:hAnsi="Arial"/>
          <w:sz w:val="16"/>
          <w:szCs w:val="16"/>
          <w:u w:val="single" w:color="auto"/>
          <w:color w:val="auto"/>
        </w:rPr>
        <w:t>Privacy Obligations</w:t>
      </w:r>
      <w:r>
        <w:rPr>
          <w:rFonts w:ascii="Arial" w:cs="Arial" w:eastAsia="Arial" w:hAnsi="Arial"/>
          <w:sz w:val="16"/>
          <w:szCs w:val="16"/>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Arial" w:cs="Arial" w:eastAsia="Arial" w:hAnsi="Arial"/>
          <w:sz w:val="16"/>
          <w:szCs w:val="16"/>
          <w:u w:val="single" w:color="auto"/>
          <w:color w:val="auto"/>
        </w:rPr>
        <w:t>Policies</w:t>
      </w:r>
      <w:r>
        <w:rPr>
          <w:rFonts w:ascii="Arial" w:cs="Arial" w:eastAsia="Arial" w:hAnsi="Arial"/>
          <w:sz w:val="16"/>
          <w:szCs w:val="16"/>
          <w:color w:val="auto"/>
        </w:rPr>
        <w:t>”). Since January 1, 2019,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61" w:lineRule="exact"/>
        <w:rPr>
          <w:rFonts w:ascii="Arial" w:cs="Arial" w:eastAsia="Arial" w:hAnsi="Arial"/>
          <w:sz w:val="16"/>
          <w:szCs w:val="16"/>
          <w:color w:val="auto"/>
        </w:rPr>
      </w:pPr>
    </w:p>
    <w:p>
      <w:pPr>
        <w:ind w:right="20" w:firstLine="976"/>
        <w:spacing w:after="0" w:line="264" w:lineRule="auto"/>
        <w:tabs>
          <w:tab w:leader="none" w:pos="141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Arial" w:cs="Arial" w:eastAsia="Arial" w:hAnsi="Arial"/>
          <w:sz w:val="17"/>
          <w:szCs w:val="17"/>
          <w:u w:val="single" w:color="auto"/>
          <w:color w:val="auto"/>
        </w:rPr>
        <w:t>FAA</w:t>
      </w:r>
      <w:r>
        <w:rPr>
          <w:rFonts w:ascii="Arial" w:cs="Arial" w:eastAsia="Arial" w:hAnsi="Arial"/>
          <w:sz w:val="17"/>
          <w:szCs w:val="17"/>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Disclosure Package and the Prospectus (exclusive of any supplement thereto).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520" w:top="273" w:right="559" w:bottom="1440" w:gutter="0" w:footer="0" w:header="0"/>
        </w:sectPr>
      </w:pPr>
    </w:p>
    <w:bookmarkStart w:id="408" w:name="page409"/>
    <w:bookmarkEnd w:id="408"/>
    <w:p>
      <w:pPr>
        <w:ind w:right="40" w:firstLine="976"/>
        <w:spacing w:after="0" w:line="266" w:lineRule="auto"/>
        <w:tabs>
          <w:tab w:leader="none" w:pos="1316" w:val="left"/>
        </w:tabs>
        <w:numPr>
          <w:ilvl w:val="0"/>
          <w:numId w:val="3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w:t>
      </w:r>
      <w:r>
        <w:rPr>
          <w:rFonts w:ascii="Arial" w:cs="Arial" w:eastAsia="Arial" w:hAnsi="Arial"/>
          <w:sz w:val="17"/>
          <w:szCs w:val="17"/>
          <w:u w:val="single" w:color="auto"/>
          <w:color w:val="auto"/>
        </w:rPr>
        <w:t>Governmental Licenses</w:t>
      </w:r>
      <w:r>
        <w:rPr>
          <w:rFonts w:ascii="Arial" w:cs="Arial" w:eastAsia="Arial" w:hAnsi="Arial"/>
          <w:sz w:val="17"/>
          <w:szCs w:val="17"/>
          <w:color w:val="auto"/>
        </w:rPr>
        <w:t>”),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 (x) 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75" w:lineRule="exact"/>
        <w:rPr>
          <w:rFonts w:ascii="Arial" w:cs="Arial" w:eastAsia="Arial" w:hAnsi="Arial"/>
          <w:sz w:val="17"/>
          <w:szCs w:val="17"/>
          <w:color w:val="auto"/>
        </w:rPr>
      </w:pPr>
    </w:p>
    <w:p>
      <w:pPr>
        <w:ind w:firstLine="976"/>
        <w:spacing w:after="0" w:line="296" w:lineRule="auto"/>
        <w:tabs>
          <w:tab w:leader="none" w:pos="1316" w:val="left"/>
        </w:tabs>
        <w:numPr>
          <w:ilvl w:val="0"/>
          <w:numId w:val="331"/>
        </w:numPr>
        <w:rPr>
          <w:rFonts w:ascii="Arial" w:cs="Arial" w:eastAsia="Arial" w:hAnsi="Arial"/>
          <w:sz w:val="17"/>
          <w:szCs w:val="17"/>
          <w:color w:val="auto"/>
        </w:rPr>
      </w:pPr>
      <w:r>
        <w:rPr>
          <w:rFonts w:ascii="Arial" w:cs="Arial" w:eastAsia="Arial" w:hAnsi="Arial"/>
          <w:sz w:val="17"/>
          <w:szCs w:val="17"/>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Seller represents and warrants to each Buyer as follows:</w:t>
      </w:r>
    </w:p>
    <w:p>
      <w:pPr>
        <w:spacing w:after="0" w:line="112" w:lineRule="exact"/>
        <w:rPr>
          <w:sz w:val="20"/>
          <w:szCs w:val="20"/>
          <w:color w:val="auto"/>
        </w:rPr>
      </w:pPr>
    </w:p>
    <w:p>
      <w:pPr>
        <w:ind w:firstLine="976"/>
        <w:spacing w:after="0" w:line="284" w:lineRule="auto"/>
        <w:tabs>
          <w:tab w:leader="none" w:pos="1217" w:val="left"/>
        </w:tabs>
        <w:numPr>
          <w:ilvl w:val="0"/>
          <w:numId w:val="332"/>
        </w:numPr>
        <w:rPr>
          <w:rFonts w:ascii="Arial" w:cs="Arial" w:eastAsia="Arial" w:hAnsi="Arial"/>
          <w:sz w:val="16"/>
          <w:szCs w:val="16"/>
          <w:color w:val="auto"/>
        </w:rPr>
      </w:pPr>
      <w:r>
        <w:rPr>
          <w:rFonts w:ascii="Arial" w:cs="Arial" w:eastAsia="Arial" w:hAnsi="Arial"/>
          <w:sz w:val="16"/>
          <w:szCs w:val="16"/>
          <w:color w:val="auto"/>
        </w:rPr>
        <w:t>Seller has reviewed and is familiar with the Registration Statement. As of the date of this Agreement, the Registration Statement does not contain any untrue statement of a material fact or omit to state a material fact required to be stated therein or necessary in order to make the statements therein not misleading; provided, however, that the foregoing representation and warranty is limited to the name and address of Seller, which information has been furnished in writing by or on behalf of Seller to the Company expressly for use therein. As of the date of this Agreement, Seller is not relying upon any material information concerning the Company or any subsidiary of the Company which is not set forth in the Registration Statement (and is otherwise required to be set forth in the Registration Statement) in making its decision to sell the Shares to be sold by Seller hereunder. Such Buyer has not made any representation to Seller about the advisability of the decision to sell the Shares or the potential future value of the Shares, and Seller has not relied on any representations of such Buyer except those expressly set forth in Section 2.3 of this Agreement.</w:t>
      </w:r>
    </w:p>
    <w:p>
      <w:pPr>
        <w:spacing w:after="0" w:line="66" w:lineRule="exact"/>
        <w:rPr>
          <w:rFonts w:ascii="Arial" w:cs="Arial" w:eastAsia="Arial" w:hAnsi="Arial"/>
          <w:sz w:val="16"/>
          <w:szCs w:val="16"/>
          <w:color w:val="auto"/>
        </w:rPr>
      </w:pPr>
    </w:p>
    <w:p>
      <w:pPr>
        <w:ind w:right="200" w:firstLine="976"/>
        <w:spacing w:after="0" w:line="251" w:lineRule="auto"/>
        <w:tabs>
          <w:tab w:leader="none" w:pos="122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At the closing of the transactions contemplated hereby Seller will have valid title to the Shares free and clear of all security interests, claims, liens, equities or other encumbrances and the legal right and power, and all authorization and approval required by law, to enter into this Agreement and to sell, transfer and deliver the Shares. Upon payment by such Buyer for the Shares being purchased by such Buyer, delivery of such Shares will pass valid title to such Shares, free and clear of any adverse claim within the meaning of Section 8-102 of the New York Uniform Commercial Code, to such Buyer without notice of an adverse claim.</w:t>
      </w:r>
    </w:p>
    <w:p>
      <w:pPr>
        <w:spacing w:after="0" w:line="87" w:lineRule="exact"/>
        <w:rPr>
          <w:rFonts w:ascii="Arial" w:cs="Arial" w:eastAsia="Arial" w:hAnsi="Arial"/>
          <w:sz w:val="18"/>
          <w:szCs w:val="18"/>
          <w:color w:val="auto"/>
        </w:rPr>
      </w:pPr>
    </w:p>
    <w:p>
      <w:pPr>
        <w:ind w:right="40" w:firstLine="976"/>
        <w:spacing w:after="0" w:line="256" w:lineRule="auto"/>
        <w:tabs>
          <w:tab w:leader="none" w:pos="121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execution and delivery by Seller of, and the performance by Seller of its obligations under this Agreement, the sale and delivery of the Shares, the consummation of the transactions contemplated herein and compliance by Seller with its obligations hereunder does not and will not contravene any provision of applicable law, or the certificate of formation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520" w:top="273" w:right="539" w:bottom="1440" w:gutter="0" w:footer="0" w:header="0"/>
        </w:sectPr>
      </w:pPr>
    </w:p>
    <w:bookmarkStart w:id="409" w:name="page410"/>
    <w:bookmarkEnd w:id="40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or limited liability company agreement or other organizational documents of Seller, or any agreement or other instrument binding upon Seller or any judgment, order or decree of any governmental body, agency or court having jurisdiction over Seller, and no consent, approval, authorization or order of, or qualification with, any governmental body or agency is required for the performance by Seller of its obligations under this Agreement, except, in each case, where any such contravention or where the failure to obtain any such consent, approval, authorization or order would not reasonably be expected to have a material adverse effect on the consummation of the transactions contemplated hereby.</w:t>
      </w:r>
    </w:p>
    <w:p>
      <w:pPr>
        <w:spacing w:after="0" w:line="75" w:lineRule="exact"/>
        <w:rPr>
          <w:sz w:val="20"/>
          <w:szCs w:val="20"/>
          <w:color w:val="auto"/>
        </w:rPr>
      </w:pPr>
    </w:p>
    <w:p>
      <w:pPr>
        <w:ind w:right="260" w:firstLine="976"/>
        <w:spacing w:after="0" w:line="294" w:lineRule="auto"/>
        <w:tabs>
          <w:tab w:leader="none" w:pos="122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Seller of its obligations under, this Agreement has been duly and validly authorized by all necessary limited liability company action on the part of Seller. This Agreement has been duly executed and delivered by Seller and constitutes the valid and legally binding obligation of Seller, enforceable against Seller in accordance with its terms, subject to bankruptcy, reorganization, insolvency and other similar laws affecting the enforcement of creditors’ rights generally and to general principles of equity.</w:t>
      </w:r>
    </w:p>
    <w:p>
      <w:pPr>
        <w:spacing w:after="0" w:line="55" w:lineRule="exact"/>
        <w:rPr>
          <w:rFonts w:ascii="Arial" w:cs="Arial" w:eastAsia="Arial" w:hAnsi="Arial"/>
          <w:sz w:val="16"/>
          <w:szCs w:val="16"/>
          <w:color w:val="auto"/>
        </w:rPr>
      </w:pPr>
    </w:p>
    <w:p>
      <w:pPr>
        <w:ind w:right="120" w:firstLine="976"/>
        <w:spacing w:after="0" w:line="250" w:lineRule="auto"/>
        <w:tabs>
          <w:tab w:leader="none" w:pos="121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Within the six month period prior to the date of this Agreement, Seller has not (i) offered any Shares by means of any general solicitation or general advertising within the meaning of Rule 502(c) under Regulation D under the Securities Act; (ii) contacted anyone (other than the Buyers and the other entity that is executing a similar securities purchase agreement on the date hereof) seeking to sell its ownership interest in the Company; (iii) provided information to anyone (other than the Buyers and the other entity that is executing a similar securities purchase agreement on the date hereof) seeking to acquire its ownership interest in the Company; or (iv) engaged or authorized anyone to take any of the actions described in (i), (ii) or (iii) above on its behalf.</w:t>
      </w:r>
    </w:p>
    <w:p>
      <w:pPr>
        <w:spacing w:after="0" w:line="89" w:lineRule="exact"/>
        <w:rPr>
          <w:rFonts w:ascii="Arial" w:cs="Arial" w:eastAsia="Arial" w:hAnsi="Arial"/>
          <w:sz w:val="18"/>
          <w:szCs w:val="18"/>
          <w:color w:val="auto"/>
        </w:rPr>
      </w:pPr>
    </w:p>
    <w:p>
      <w:pPr>
        <w:ind w:right="280" w:firstLine="976"/>
        <w:spacing w:after="0" w:line="266" w:lineRule="auto"/>
        <w:tabs>
          <w:tab w:leader="none" w:pos="119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Seller has not taken any action which would reasonably be expected to cause the sale of the Shares by Seller to such Buyer to fail to qualify as exempt from the registration requirements of the Securities Act.</w:t>
      </w:r>
    </w:p>
    <w:p>
      <w:pPr>
        <w:spacing w:after="0" w:line="73" w:lineRule="exact"/>
        <w:rPr>
          <w:rFonts w:ascii="Arial" w:cs="Arial" w:eastAsia="Arial" w:hAnsi="Arial"/>
          <w:sz w:val="18"/>
          <w:szCs w:val="18"/>
          <w:color w:val="auto"/>
        </w:rPr>
      </w:pPr>
    </w:p>
    <w:p>
      <w:pPr>
        <w:ind w:right="260" w:firstLine="976"/>
        <w:spacing w:after="0" w:line="329" w:lineRule="auto"/>
        <w:tabs>
          <w:tab w:leader="none" w:pos="122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Seller is not a party to any contract, agreement or understanding with any person other than any of the Underwriters that would give rise to a valid claim for a brokerage commission, finder’s fee or like payment in connection with the offering and sale of the Shares.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Buyer Representations</w:t>
      </w:r>
      <w:r>
        <w:rPr>
          <w:rFonts w:ascii="Arial" w:cs="Arial" w:eastAsia="Arial" w:hAnsi="Arial"/>
          <w:sz w:val="18"/>
          <w:szCs w:val="18"/>
          <w:color w:val="auto"/>
        </w:rPr>
        <w:t>. Each Buyer, severally and not jointly, represents and warrants as follows:</w:t>
      </w:r>
    </w:p>
    <w:p>
      <w:pPr>
        <w:spacing w:after="0" w:line="112" w:lineRule="exact"/>
        <w:rPr>
          <w:sz w:val="20"/>
          <w:szCs w:val="20"/>
          <w:color w:val="auto"/>
        </w:rPr>
      </w:pPr>
    </w:p>
    <w:p>
      <w:pPr>
        <w:ind w:right="80" w:firstLine="976"/>
        <w:spacing w:after="0" w:line="287" w:lineRule="auto"/>
        <w:tabs>
          <w:tab w:leader="none" w:pos="121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Such Buyer represents and warrants to Seller and the Company that: (i) it is (A) an institutional “accredited investor” as defined in Rule 501(a) promulgated under the Securities Act and (B) a “qualified institutional buyer” as defined in Rule 144A under the Securities Act; (ii) it has sufficient knowledge and experience in investing in companies similar to the Company so as to be able to evaluate the risks and merits of its investment in the Company and it is able financially to bear the risks thereof; (iii) it has had an opportunity to discuss the Company’s business, management and financial affairs with the Company’s management; (iv) all documents, records, and information pertaining to its investment in the Common Stock and the Company that have been requested by it, if any, have been made available or delivered to 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520" w:top="273" w:right="539" w:bottom="1440" w:gutter="0" w:footer="0" w:header="0"/>
        </w:sectPr>
      </w:pPr>
    </w:p>
    <w:bookmarkStart w:id="410" w:name="page411"/>
    <w:bookmarkEnd w:id="410"/>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prior to the date hereof; (v) its financial condition is such that it is able to bear the risk of holding the Shares for an indefinite period of time and can bear the loss of the entire investment in such Shares; (vi) it is not purchasing the Shares as the result of any form of general solicitation or general advertising or as a result of such Buyer’s review of public filings by the Company. The foregoing, however, does not limit or modify the representations and warranties of the Company in Section 2.1 of this Agreement, the representations and warranties of the Seller in Section 2.2 of this Agreement, or the right of the Buyers to rely thereon.</w:t>
      </w:r>
    </w:p>
    <w:p>
      <w:pPr>
        <w:spacing w:after="0" w:line="88" w:lineRule="exact"/>
        <w:rPr>
          <w:sz w:val="20"/>
          <w:szCs w:val="20"/>
          <w:color w:val="auto"/>
        </w:rPr>
      </w:pPr>
    </w:p>
    <w:p>
      <w:pPr>
        <w:ind w:right="20" w:firstLine="976"/>
        <w:spacing w:after="0" w:line="250" w:lineRule="auto"/>
        <w:tabs>
          <w:tab w:leader="none" w:pos="122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This Agreement is made in reliance upon such Buyer’s express representations, which it hereby represents and warrants to the Company and Seller, that (i) the Shares being purchased by such Buyer are being acquired for such Buyer’s own account (and not on behalf of any other person or entity) for the purpose of investment and not with a view to, or for sale in connection with, the distribution thereof, nor with any present intention of distributing or selling the Shares or any portion thereof, (ii) such Buyer was not organized for the specific purpose of acquiring the Shares and (iii) the Shares will not be sold by such Buyer without registration under the Securities Act or applicable state securities laws, or an exemption therefrom.</w:t>
      </w:r>
    </w:p>
    <w:p>
      <w:pPr>
        <w:spacing w:after="0" w:line="89" w:lineRule="exact"/>
        <w:rPr>
          <w:rFonts w:ascii="Arial" w:cs="Arial" w:eastAsia="Arial" w:hAnsi="Arial"/>
          <w:sz w:val="18"/>
          <w:szCs w:val="18"/>
          <w:color w:val="auto"/>
        </w:rPr>
      </w:pPr>
    </w:p>
    <w:p>
      <w:pPr>
        <w:ind w:right="60" w:firstLine="976"/>
        <w:spacing w:after="0" w:line="283" w:lineRule="auto"/>
        <w:tabs>
          <w:tab w:leader="none" w:pos="121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Such Buyer understands that the Shares being purchased by such Buyer hereunder have not been registered under the Securities Act or any state securities laws and are instead being offered and sold in reliance on an exemption from such registration requirements and may not be offered, sold, transferred, resold or otherwise disposed of, except pursuant to an effective registration statement under the Securities Act or pursuant to an exemption from the registration requirements of the Securities Act and any state securities laws. Such Buyer represents and warrants to the Company and Seller that, to such Buyer’s knowledge, such Buyer has not taken any action which could reasonably be expected to cause the sale of the Shares to fail to qualify as exempt from the registration requirements of the Securities Act. Such Buyer further understands that unless the Shares are being resold pursuant to an effective registration statement under the Securities Act, such Buyer will inform any subsequent purchaser of the Shares that the Shares being resold by such Buyer have not been registered under the Securities Act or any state securities laws and may not be offered, sold, transferred, resold or otherwise disposed of, except pursuant to an effective registration statement under the Securities Act or pursuant to an exemption from the registration requirements of the Securities Act and any state securities laws.</w:t>
      </w:r>
    </w:p>
    <w:p>
      <w:pPr>
        <w:spacing w:after="0" w:line="171" w:lineRule="exact"/>
        <w:rPr>
          <w:sz w:val="20"/>
          <w:szCs w:val="20"/>
          <w:color w:val="auto"/>
        </w:rPr>
      </w:pPr>
    </w:p>
    <w:p>
      <w:pPr>
        <w:ind w:right="20" w:firstLine="434"/>
        <w:spacing w:after="0" w:line="268" w:lineRule="auto"/>
        <w:rPr>
          <w:sz w:val="20"/>
          <w:szCs w:val="20"/>
          <w:color w:val="auto"/>
        </w:rPr>
      </w:pPr>
      <w:r>
        <w:rPr>
          <w:rFonts w:ascii="Arial" w:cs="Arial" w:eastAsia="Arial" w:hAnsi="Arial"/>
          <w:sz w:val="17"/>
          <w:szCs w:val="17"/>
          <w:color w:val="auto"/>
        </w:rPr>
        <w:t>Such Buyer further understands that such Buyer’s representations and warranties hereunder will not preclude disposition of the Shares without registration thereof, in compliance with Rule 144 promulgated under the Securities Act (“</w:t>
      </w:r>
      <w:r>
        <w:rPr>
          <w:rFonts w:ascii="Arial" w:cs="Arial" w:eastAsia="Arial" w:hAnsi="Arial"/>
          <w:sz w:val="17"/>
          <w:szCs w:val="17"/>
          <w:u w:val="single" w:color="auto"/>
          <w:color w:val="auto"/>
        </w:rPr>
        <w:t>Rule 144</w:t>
      </w:r>
      <w:r>
        <w:rPr>
          <w:rFonts w:ascii="Arial" w:cs="Arial" w:eastAsia="Arial" w:hAnsi="Arial"/>
          <w:sz w:val="17"/>
          <w:szCs w:val="17"/>
          <w:color w:val="auto"/>
        </w:rPr>
        <w:t>”). Such Buyer understands and acknowledges, however, that there may not be available when such Buyer wishes to sell the Shares, or any portion thereof, the adequate current public information with respect to the Company which would permit offers or sales of such securities pursuant to Rule 144, and, therefore, compliance with the Securities Act or some other exemption from the registration and prospectus delivery requirements of the Securities Act may be required for any such offer or sale. Such Buyer also understands that Seller is an affiliate of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520" w:top="273" w:right="539" w:bottom="1440" w:gutter="0" w:footer="0" w:header="0"/>
        </w:sectPr>
      </w:pPr>
    </w:p>
    <w:bookmarkStart w:id="411" w:name="page412"/>
    <w:bookmarkEnd w:id="411"/>
    <w:p>
      <w:pPr>
        <w:ind w:left="1" w:right="20" w:firstLine="976"/>
        <w:spacing w:after="0" w:line="294" w:lineRule="auto"/>
        <w:tabs>
          <w:tab w:leader="none" w:pos="1228" w:val="left"/>
        </w:tabs>
        <w:numPr>
          <w:ilvl w:val="2"/>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Such Buyer represents and warrants to the Company and Seller that (i) such Buyer is validly existing and in good standing under the laws of its jurisdiction of organization; (ii) such Buyer has all requisite power and authority to execute and deliver this Agreement; and (iii) this Agreement constitutes the valid and legally binding obligation of such Buyer, enforceable against such Buyer in accordance with its terms, subject to bankruptcy, reorganization, insolvency and other similar laws affecting the enforcement of creditors’ rights generally and to general principles of equity.</w:t>
      </w:r>
    </w:p>
    <w:p>
      <w:pPr>
        <w:spacing w:after="0" w:line="55" w:lineRule="exact"/>
        <w:rPr>
          <w:rFonts w:ascii="Arial" w:cs="Arial" w:eastAsia="Arial" w:hAnsi="Arial"/>
          <w:sz w:val="16"/>
          <w:szCs w:val="16"/>
          <w:color w:val="auto"/>
        </w:rPr>
      </w:pPr>
    </w:p>
    <w:p>
      <w:pPr>
        <w:ind w:left="1" w:right="340" w:firstLine="976"/>
        <w:spacing w:after="0" w:line="256" w:lineRule="auto"/>
        <w:tabs>
          <w:tab w:leader="none" w:pos="1218" w:val="left"/>
        </w:tabs>
        <w:numPr>
          <w:ilvl w:val="2"/>
          <w:numId w:val="336"/>
        </w:numPr>
        <w:rPr>
          <w:rFonts w:ascii="Arial" w:cs="Arial" w:eastAsia="Arial" w:hAnsi="Arial"/>
          <w:sz w:val="18"/>
          <w:szCs w:val="18"/>
          <w:color w:val="auto"/>
        </w:rPr>
      </w:pPr>
      <w:r>
        <w:rPr>
          <w:rFonts w:ascii="Arial" w:cs="Arial" w:eastAsia="Arial" w:hAnsi="Arial"/>
          <w:sz w:val="18"/>
          <w:szCs w:val="18"/>
          <w:color w:val="auto"/>
        </w:rPr>
        <w:t>Such Buyer represents and warrants to the Company and Seller that such Buyer is not a party to any contract, agreement or understanding with any person that would give rise to a valid claim for a brokerage commission, finder’s fee or like payment in connection with the purchase of the Shares.</w:t>
      </w:r>
    </w:p>
    <w:p>
      <w:pPr>
        <w:spacing w:after="0" w:line="82" w:lineRule="exact"/>
        <w:rPr>
          <w:rFonts w:ascii="Arial" w:cs="Arial" w:eastAsia="Arial" w:hAnsi="Arial"/>
          <w:sz w:val="18"/>
          <w:szCs w:val="18"/>
          <w:color w:val="auto"/>
        </w:rPr>
      </w:pPr>
    </w:p>
    <w:p>
      <w:pPr>
        <w:ind w:left="1" w:firstLine="976"/>
        <w:spacing w:after="0" w:line="267" w:lineRule="auto"/>
        <w:tabs>
          <w:tab w:leader="none" w:pos="1199" w:val="left"/>
        </w:tabs>
        <w:numPr>
          <w:ilvl w:val="2"/>
          <w:numId w:val="336"/>
        </w:numPr>
        <w:rPr>
          <w:rFonts w:ascii="Arial" w:cs="Arial" w:eastAsia="Arial" w:hAnsi="Arial"/>
          <w:sz w:val="17"/>
          <w:szCs w:val="17"/>
          <w:color w:val="auto"/>
        </w:rPr>
      </w:pPr>
      <w:r>
        <w:rPr>
          <w:rFonts w:ascii="Arial" w:cs="Arial" w:eastAsia="Arial" w:hAnsi="Arial"/>
          <w:sz w:val="17"/>
          <w:szCs w:val="17"/>
          <w:color w:val="auto"/>
        </w:rPr>
        <w:t>Such Buyer acknowledges that there are no representations, warranties, agreements or undertakings of Seller or the Company with respect to the transactions contemplated by this Agreement other than those set forth in this Agreement. Such Buyer acknowledges that neither the Company nor Seller has made any representation to such Buyer about the advisability of the decision to purchase the Shares or the potential future value of the Shares. Such Buyer further represents and warrants to the Company and Seller that, in executing and delivering this Agreement, it has not relied on any statement or representation made by any legal counsel or investment advisor to, or other agent of, Seller or the Company. The foregoing, however, does not limit or modify the representations and warranties of the Company in Section 2.1 of this Agreement, the representations and warranties of the Seller in Section 2.2 of this Agreement, or the right of the Buyers to rely thereon.</w:t>
      </w:r>
    </w:p>
    <w:p>
      <w:pPr>
        <w:spacing w:after="0" w:line="73" w:lineRule="exact"/>
        <w:rPr>
          <w:rFonts w:ascii="Arial" w:cs="Arial" w:eastAsia="Arial" w:hAnsi="Arial"/>
          <w:sz w:val="17"/>
          <w:szCs w:val="17"/>
          <w:color w:val="auto"/>
        </w:rPr>
      </w:pPr>
    </w:p>
    <w:p>
      <w:pPr>
        <w:ind w:left="1" w:right="60" w:firstLine="433"/>
        <w:spacing w:after="0" w:line="279" w:lineRule="auto"/>
        <w:tabs>
          <w:tab w:leader="none" w:pos="612"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Amendment to Registration Statement</w:t>
      </w:r>
      <w:r>
        <w:rPr>
          <w:rFonts w:ascii="Arial" w:cs="Arial" w:eastAsia="Arial" w:hAnsi="Arial"/>
          <w:sz w:val="16"/>
          <w:szCs w:val="16"/>
          <w:color w:val="auto"/>
        </w:rPr>
        <w:t>. At least three (3) hours prior to the filing of any such amendment with the Commission, the Company shall provide notice to each Buyer of any amendment to the Registration Statement that would increase the top end of the price range reflected on the cover page of the prospectus forming a part of Amendment No. 2 to the Registration Statement (i.e., between $21.00 and $23.00 per share) (the “</w:t>
      </w:r>
      <w:r>
        <w:rPr>
          <w:rFonts w:ascii="Arial" w:cs="Arial" w:eastAsia="Arial" w:hAnsi="Arial"/>
          <w:sz w:val="16"/>
          <w:szCs w:val="16"/>
          <w:u w:val="single" w:color="auto"/>
          <w:color w:val="auto"/>
        </w:rPr>
        <w:t>Amendment Notice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Amendment Notice may only be sent between the hours of 8:00 a.m. and 6:00 p.m. Eastern Standard Time on a day other than a Saturday, a Sunday, or any day on which commercial banks New York City, New York are permitted to be closed. In the event that a Buyer receives an Amendment Notice in accordance with the prior sentence, such Buyer’s obligations under this Agreement shall automatically terminate at the end of the three (3) hour period following receipt of the Amendment Notice unless such Buyer gives notice to the Company and Seller within such three (3) hour period of its intent not to terminate this Agreement. Notwithstanding anything to the contrary contained in Section 8 hereof,</w:t>
      </w:r>
    </w:p>
    <w:p>
      <w:pPr>
        <w:spacing w:after="0" w:line="2" w:lineRule="exact"/>
        <w:rPr>
          <w:rFonts w:ascii="Arial" w:cs="Arial" w:eastAsia="Arial" w:hAnsi="Arial"/>
          <w:sz w:val="16"/>
          <w:szCs w:val="16"/>
          <w:color w:val="auto"/>
        </w:rPr>
      </w:pPr>
    </w:p>
    <w:p>
      <w:pPr>
        <w:ind w:left="1" w:right="40" w:hanging="1"/>
        <w:spacing w:after="0" w:line="247" w:lineRule="auto"/>
        <w:tabs>
          <w:tab w:leader="none" w:pos="21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notices under this Section 3 to the Buyers shall be given by both email and telephone (including voicemail, in the event such party does not answer such telephone call; </w:t>
      </w:r>
      <w:r>
        <w:rPr>
          <w:rFonts w:ascii="Arial" w:cs="Arial" w:eastAsia="Arial" w:hAnsi="Arial"/>
          <w:sz w:val="18"/>
          <w:szCs w:val="18"/>
          <w:i w:val="1"/>
          <w:iCs w:val="1"/>
          <w:color w:val="auto"/>
        </w:rPr>
        <w:t>provided</w:t>
      </w:r>
      <w:r>
        <w:rPr>
          <w:rFonts w:ascii="Arial" w:cs="Arial" w:eastAsia="Arial" w:hAnsi="Arial"/>
          <w:sz w:val="18"/>
          <w:szCs w:val="18"/>
          <w:color w:val="auto"/>
        </w:rPr>
        <w:t>, that in such case notice shall also be given by telephone to [***] and a voicemail shall be left regarding such notice if such person does not answer such telephone call) to be effective, in the case of each Buyer, to [***], and (ii) in the case of Seller notices under this Section 3 shall be given by email to be effective, to Brian M. Janson, Esq. (provided that the email is sent to such person at the following email address: bjanson@paulweiss.com) and (iii) in the case of the Company notices under this Section 3 shall be given by email to be effective, to Dave Davis and Eric Levenhagen (provided that the email is sent to such persons at the following email addresses: dave.davis@suncountry.com and eric.levenhagen@suncountry.com).</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1"/>
          </w:cols>
          <w:pgMar w:left="519" w:top="273" w:right="559" w:bottom="1440" w:gutter="0" w:footer="0" w:header="0"/>
        </w:sectPr>
      </w:pPr>
    </w:p>
    <w:bookmarkStart w:id="412" w:name="page413"/>
    <w:bookmarkEnd w:id="412"/>
    <w:p>
      <w:pPr>
        <w:ind w:left="-20" w:firstLine="433"/>
        <w:spacing w:after="0" w:line="268" w:lineRule="auto"/>
        <w:tabs>
          <w:tab w:leader="none" w:pos="591"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Conditions to the Closing</w:t>
      </w:r>
      <w:r>
        <w:rPr>
          <w:rFonts w:ascii="Arial" w:cs="Arial" w:eastAsia="Arial" w:hAnsi="Arial"/>
          <w:sz w:val="17"/>
          <w:szCs w:val="17"/>
          <w:color w:val="auto"/>
        </w:rPr>
        <w:t>. The obligations of Seller and each Buyer hereunder are subject to the satisfaction of the conditions set forth below on or before the Closing. If for any reason any of the conditions set forth in this Section 4 are not satisfied or waived by each party entitled to the benefit of such conditions at or prior to the Closing, or if the Closing shall not have occurred by April 7, 2021, then each party by written notice given to the other parties hereto shall have the right to elect to terminate this Agreement and each party shall be released from their obligations hereunder and shall have no further liability hereunder, provided, however, that nothing contained in this Section 4 shall relieve either party from liabilities or damages arising out of any fraud or willful breach by such party of this Agreement prior to such termination.</w:t>
      </w:r>
    </w:p>
    <w:p>
      <w:pPr>
        <w:spacing w:after="0" w:line="73" w:lineRule="exact"/>
        <w:rPr>
          <w:rFonts w:ascii="Arial" w:cs="Arial" w:eastAsia="Arial" w:hAnsi="Arial"/>
          <w:sz w:val="17"/>
          <w:szCs w:val="17"/>
          <w:color w:val="auto"/>
        </w:rPr>
      </w:pPr>
    </w:p>
    <w:p>
      <w:pPr>
        <w:ind w:left="-20" w:right="260" w:firstLine="976"/>
        <w:spacing w:after="0" w:line="266" w:lineRule="auto"/>
        <w:tabs>
          <w:tab w:leader="none" w:pos="1197" w:val="left"/>
        </w:tabs>
        <w:numPr>
          <w:ilvl w:val="1"/>
          <w:numId w:val="339"/>
        </w:numPr>
        <w:rPr>
          <w:rFonts w:ascii="Arial" w:cs="Arial" w:eastAsia="Arial" w:hAnsi="Arial"/>
          <w:sz w:val="18"/>
          <w:szCs w:val="18"/>
          <w:color w:val="auto"/>
        </w:rPr>
      </w:pPr>
      <w:r>
        <w:rPr>
          <w:rFonts w:ascii="Arial" w:cs="Arial" w:eastAsia="Arial" w:hAnsi="Arial"/>
          <w:sz w:val="18"/>
          <w:szCs w:val="18"/>
          <w:u w:val="single" w:color="auto"/>
          <w:color w:val="auto"/>
        </w:rPr>
        <w:t>Conditions to Buyer’s Obligations</w:t>
      </w:r>
      <w:r>
        <w:rPr>
          <w:rFonts w:ascii="Arial" w:cs="Arial" w:eastAsia="Arial" w:hAnsi="Arial"/>
          <w:sz w:val="18"/>
          <w:szCs w:val="18"/>
          <w:color w:val="auto"/>
        </w:rPr>
        <w:t>. Each Buyer’s obligation to purchase the Shares at the Closing is subject to the satisfaction of the following conditions:</w:t>
      </w:r>
    </w:p>
    <w:p>
      <w:pPr>
        <w:spacing w:after="0" w:line="73" w:lineRule="exact"/>
        <w:rPr>
          <w:rFonts w:ascii="Arial" w:cs="Arial" w:eastAsia="Arial" w:hAnsi="Arial"/>
          <w:sz w:val="18"/>
          <w:szCs w:val="18"/>
          <w:color w:val="auto"/>
        </w:rPr>
      </w:pPr>
    </w:p>
    <w:p>
      <w:pPr>
        <w:ind w:left="420" w:right="120" w:firstLine="930"/>
        <w:spacing w:after="0" w:line="290" w:lineRule="auto"/>
        <w:tabs>
          <w:tab w:leader="none" w:pos="1569" w:val="left"/>
        </w:tabs>
        <w:numPr>
          <w:ilvl w:val="2"/>
          <w:numId w:val="33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the Company and Seller in this Agreement shall have been true and correct as of the date hereof and shall be true and correct in all material respects (provided that the representations and warranties of Seller contained in Sections 2.2(a) through 2.2(g) shall be true and correct in all respects) as of the Closing with the same effect as though such representations and warranties had been made on and as of such date (except to the extent such representations and warranties speak as of a specific date, which shall be true and correct in all material respects as of such specific date).</w:t>
      </w:r>
    </w:p>
    <w:p>
      <w:pPr>
        <w:spacing w:after="0" w:line="58" w:lineRule="exact"/>
        <w:rPr>
          <w:rFonts w:ascii="Arial" w:cs="Arial" w:eastAsia="Arial" w:hAnsi="Arial"/>
          <w:sz w:val="16"/>
          <w:szCs w:val="16"/>
          <w:color w:val="auto"/>
        </w:rPr>
      </w:pPr>
    </w:p>
    <w:p>
      <w:pPr>
        <w:ind w:left="420" w:right="120" w:firstLine="930"/>
        <w:spacing w:after="0" w:line="296" w:lineRule="auto"/>
        <w:tabs>
          <w:tab w:leader="none" w:pos="1618" w:val="left"/>
        </w:tabs>
        <w:numPr>
          <w:ilvl w:val="2"/>
          <w:numId w:val="339"/>
        </w:numPr>
        <w:rPr>
          <w:rFonts w:ascii="Arial" w:cs="Arial" w:eastAsia="Arial" w:hAnsi="Arial"/>
          <w:sz w:val="17"/>
          <w:szCs w:val="17"/>
          <w:color w:val="auto"/>
        </w:rPr>
      </w:pPr>
      <w:r>
        <w:rPr>
          <w:rFonts w:ascii="Arial" w:cs="Arial" w:eastAsia="Arial" w:hAnsi="Arial"/>
          <w:sz w:val="17"/>
          <w:szCs w:val="17"/>
          <w:u w:val="single" w:color="auto"/>
          <w:color w:val="auto"/>
        </w:rPr>
        <w:t>Initial Public Offering</w:t>
      </w:r>
      <w:r>
        <w:rPr>
          <w:rFonts w:ascii="Arial" w:cs="Arial" w:eastAsia="Arial" w:hAnsi="Arial"/>
          <w:sz w:val="17"/>
          <w:szCs w:val="17"/>
          <w:color w:val="auto"/>
        </w:rPr>
        <w:t>. This Agreement shall not have been terminated pursuant to Section 3 hereof. The Registration Statement shall have been declared effective and the IPO shall close simultaneously with the transactions contemplated hereby.</w:t>
      </w:r>
    </w:p>
    <w:p>
      <w:pPr>
        <w:spacing w:after="0" w:line="49" w:lineRule="exact"/>
        <w:rPr>
          <w:rFonts w:ascii="Arial" w:cs="Arial" w:eastAsia="Arial" w:hAnsi="Arial"/>
          <w:sz w:val="17"/>
          <w:szCs w:val="17"/>
          <w:color w:val="auto"/>
        </w:rPr>
      </w:pPr>
    </w:p>
    <w:p>
      <w:pPr>
        <w:ind w:left="1660" w:hanging="310"/>
        <w:spacing w:after="0"/>
        <w:tabs>
          <w:tab w:leader="none" w:pos="1660" w:val="left"/>
        </w:tabs>
        <w:numPr>
          <w:ilvl w:val="2"/>
          <w:numId w:val="339"/>
        </w:numPr>
        <w:rPr>
          <w:rFonts w:ascii="Arial" w:cs="Arial" w:eastAsia="Arial" w:hAnsi="Arial"/>
          <w:sz w:val="16"/>
          <w:szCs w:val="16"/>
          <w:color w:val="auto"/>
        </w:rPr>
      </w:pPr>
      <w:r>
        <w:rPr>
          <w:rFonts w:ascii="Arial" w:cs="Arial" w:eastAsia="Arial" w:hAnsi="Arial"/>
          <w:sz w:val="16"/>
          <w:szCs w:val="16"/>
          <w:u w:val="single" w:color="auto"/>
          <w:color w:val="auto"/>
        </w:rPr>
        <w:t>IPO Proceeds</w:t>
      </w:r>
      <w:r>
        <w:rPr>
          <w:rFonts w:ascii="Arial" w:cs="Arial" w:eastAsia="Arial" w:hAnsi="Arial"/>
          <w:sz w:val="16"/>
          <w:szCs w:val="16"/>
          <w:color w:val="auto"/>
        </w:rPr>
        <w:t>. Gross proceeds from the sale of shares of Common Stock by the Company in the IPO shall not be less than</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$175,000,000.</w:t>
      </w:r>
    </w:p>
    <w:p>
      <w:pPr>
        <w:spacing w:after="0" w:line="101" w:lineRule="exact"/>
        <w:rPr>
          <w:sz w:val="20"/>
          <w:szCs w:val="20"/>
          <w:color w:val="auto"/>
        </w:rPr>
      </w:pPr>
    </w:p>
    <w:p>
      <w:pPr>
        <w:ind w:left="420" w:right="760" w:firstLine="930"/>
        <w:spacing w:after="0" w:line="266" w:lineRule="auto"/>
        <w:tabs>
          <w:tab w:leader="none" w:pos="1657"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Common Stock shall have been approved for listing, subject to official notice of issuance and evidence of satisfactory distribution, on the Nasdaq Global Select Market.</w:t>
      </w:r>
    </w:p>
    <w:p>
      <w:pPr>
        <w:spacing w:after="0" w:line="73" w:lineRule="exact"/>
        <w:rPr>
          <w:rFonts w:ascii="Arial" w:cs="Arial" w:eastAsia="Arial" w:hAnsi="Arial"/>
          <w:sz w:val="18"/>
          <w:szCs w:val="18"/>
          <w:color w:val="auto"/>
        </w:rPr>
      </w:pPr>
    </w:p>
    <w:p>
      <w:pPr>
        <w:ind w:left="1600" w:hanging="250"/>
        <w:spacing w:after="0"/>
        <w:tabs>
          <w:tab w:leader="none" w:pos="1600"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The Shares shall have been delivered to such Buyer’s account via DWAC.</w:t>
      </w:r>
    </w:p>
    <w:p>
      <w:pPr>
        <w:spacing w:after="0" w:line="112" w:lineRule="exact"/>
        <w:rPr>
          <w:rFonts w:ascii="Arial" w:cs="Arial" w:eastAsia="Arial" w:hAnsi="Arial"/>
          <w:sz w:val="18"/>
          <w:szCs w:val="18"/>
          <w:color w:val="auto"/>
        </w:rPr>
      </w:pPr>
    </w:p>
    <w:p>
      <w:pPr>
        <w:ind w:left="-20" w:right="40" w:firstLine="976"/>
        <w:spacing w:after="0" w:line="266" w:lineRule="auto"/>
        <w:tabs>
          <w:tab w:leader="none" w:pos="1207"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Conditions to Seller’s Obligations</w:t>
      </w:r>
      <w:r>
        <w:rPr>
          <w:rFonts w:ascii="Arial" w:cs="Arial" w:eastAsia="Arial" w:hAnsi="Arial"/>
          <w:sz w:val="18"/>
          <w:szCs w:val="18"/>
          <w:color w:val="auto"/>
        </w:rPr>
        <w:t>. Seller’s obligation to sell the Shares to each Buyer at the Closing is subject to the satisfaction of the following conditions:</w:t>
      </w:r>
    </w:p>
    <w:p>
      <w:pPr>
        <w:spacing w:after="0" w:line="73" w:lineRule="exact"/>
        <w:rPr>
          <w:rFonts w:ascii="Arial" w:cs="Arial" w:eastAsia="Arial" w:hAnsi="Arial"/>
          <w:sz w:val="18"/>
          <w:szCs w:val="18"/>
          <w:color w:val="auto"/>
        </w:rPr>
      </w:pPr>
    </w:p>
    <w:p>
      <w:pPr>
        <w:ind w:left="420" w:right="60" w:firstLine="930"/>
        <w:spacing w:after="0" w:line="253" w:lineRule="auto"/>
        <w:tabs>
          <w:tab w:leader="none" w:pos="1569" w:val="left"/>
        </w:tabs>
        <w:numPr>
          <w:ilvl w:val="1"/>
          <w:numId w:val="34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such Buyer in this Agreement shall have been true and correct as of the date hereof and shall be true and correct as of the Closing with the same effect as though such representations and warranties had been made on and as of such date (except to the extent such representations and warranties speak as of a specific date, which shall be true and correct as of such specific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540" w:top="273" w:right="539" w:bottom="1440" w:gutter="0" w:footer="0" w:header="0"/>
        </w:sectPr>
      </w:pPr>
    </w:p>
    <w:bookmarkStart w:id="413" w:name="page414"/>
    <w:bookmarkEnd w:id="413"/>
    <w:p>
      <w:pPr>
        <w:ind w:left="441" w:firstLine="930"/>
        <w:spacing w:after="0" w:line="266" w:lineRule="auto"/>
        <w:tabs>
          <w:tab w:leader="none" w:pos="1639" w:val="left"/>
        </w:tabs>
        <w:numPr>
          <w:ilvl w:val="2"/>
          <w:numId w:val="3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Initial Public Offering</w:t>
      </w:r>
      <w:r>
        <w:rPr>
          <w:rFonts w:ascii="Arial" w:cs="Arial" w:eastAsia="Arial" w:hAnsi="Arial"/>
          <w:sz w:val="18"/>
          <w:szCs w:val="18"/>
          <w:color w:val="auto"/>
        </w:rPr>
        <w:t>. The Registration Statement shall have been declared effective and the IPO shall close simultaneously with the transactions contemplated hereby.</w:t>
      </w:r>
    </w:p>
    <w:p>
      <w:pPr>
        <w:spacing w:after="0" w:line="73" w:lineRule="exact"/>
        <w:rPr>
          <w:rFonts w:ascii="Arial" w:cs="Arial" w:eastAsia="Arial" w:hAnsi="Arial"/>
          <w:sz w:val="18"/>
          <w:szCs w:val="18"/>
          <w:color w:val="auto"/>
        </w:rPr>
      </w:pPr>
    </w:p>
    <w:p>
      <w:pPr>
        <w:ind w:left="441" w:right="160" w:firstLine="930"/>
        <w:spacing w:after="0" w:line="266" w:lineRule="auto"/>
        <w:tabs>
          <w:tab w:leader="none" w:pos="1688" w:val="left"/>
        </w:tabs>
        <w:numPr>
          <w:ilvl w:val="2"/>
          <w:numId w:val="342"/>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Such Buyer shall have paid the applicable Purchase Price to Seller by wire transfer of immediately available funds to an account specified by Seller.</w:t>
      </w:r>
    </w:p>
    <w:p>
      <w:pPr>
        <w:spacing w:after="0" w:line="73" w:lineRule="exact"/>
        <w:rPr>
          <w:rFonts w:ascii="Arial" w:cs="Arial" w:eastAsia="Arial" w:hAnsi="Arial"/>
          <w:sz w:val="18"/>
          <w:szCs w:val="18"/>
          <w:color w:val="auto"/>
        </w:rPr>
      </w:pPr>
    </w:p>
    <w:p>
      <w:pPr>
        <w:ind w:left="1" w:firstLine="433"/>
        <w:spacing w:after="0" w:line="266" w:lineRule="auto"/>
        <w:tabs>
          <w:tab w:leader="none" w:pos="612"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of the Company, each Buyer and Seller shall pay all of its own expenses in connection with this Agreement and the transactions contemplated hereby.</w:t>
      </w:r>
    </w:p>
    <w:p>
      <w:pPr>
        <w:spacing w:after="0" w:line="73" w:lineRule="exact"/>
        <w:rPr>
          <w:rFonts w:ascii="Arial" w:cs="Arial" w:eastAsia="Arial" w:hAnsi="Arial"/>
          <w:sz w:val="18"/>
          <w:szCs w:val="18"/>
          <w:color w:val="auto"/>
        </w:rPr>
      </w:pPr>
    </w:p>
    <w:p>
      <w:pPr>
        <w:ind w:left="1" w:right="60" w:firstLine="433"/>
        <w:spacing w:after="0" w:line="279" w:lineRule="auto"/>
        <w:tabs>
          <w:tab w:leader="none" w:pos="612"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Each Buyer hereby (a) waives and releases any claim (whether for rescission, damages or otherwise) it may have against Seller, the Company, any affiliate of any of the foregoing or any director, officer or agent of the foregoing (collectively, “</w:t>
      </w:r>
      <w:r>
        <w:rPr>
          <w:rFonts w:ascii="Arial" w:cs="Arial" w:eastAsia="Arial" w:hAnsi="Arial"/>
          <w:sz w:val="16"/>
          <w:szCs w:val="16"/>
          <w:u w:val="single" w:color="auto"/>
          <w:color w:val="auto"/>
        </w:rPr>
        <w:t>Seller Parties</w:t>
      </w:r>
      <w:r>
        <w:rPr>
          <w:rFonts w:ascii="Arial" w:cs="Arial" w:eastAsia="Arial" w:hAnsi="Arial"/>
          <w:sz w:val="16"/>
          <w:szCs w:val="16"/>
          <w:color w:val="auto"/>
        </w:rPr>
        <w:t>”) arising solely out of or based solely on any aspect of the sale of the Shares to such Buyer being not exempt from registration or qualification under federal or state securities laws, (b) agrees not, under any circumstances, to exercise any right of rescission arising solely out of or based solely on any aspect of the sale of the Shares to such Buyer being not exempt from registration or qualification under federal or state securities laws, and (c) if it is ultimately determined that the agreements and waivers contained in the preceding clauses (a) and (b) are unenforceable, irrevocably agrees to contribute to Seller any proceeds received by such Buyer from Seller as a result of any rescission action brought by such Buyer based solely on any aspect of the sale of the Shares to such Buyer being not exempt from registration or qualification under federal or state securities laws; provided, however, that (a), (b) and</w:t>
      </w:r>
    </w:p>
    <w:p>
      <w:pPr>
        <w:spacing w:after="0" w:line="2" w:lineRule="exact"/>
        <w:rPr>
          <w:rFonts w:ascii="Arial" w:cs="Arial" w:eastAsia="Arial" w:hAnsi="Arial"/>
          <w:sz w:val="16"/>
          <w:szCs w:val="16"/>
          <w:color w:val="auto"/>
        </w:rPr>
      </w:pPr>
    </w:p>
    <w:p>
      <w:pPr>
        <w:jc w:val="both"/>
        <w:ind w:left="1" w:right="60" w:hanging="1"/>
        <w:spacing w:after="0" w:line="268" w:lineRule="auto"/>
        <w:tabs>
          <w:tab w:leader="none" w:pos="242" w:val="left"/>
        </w:tabs>
        <w:numPr>
          <w:ilvl w:val="0"/>
          <w:numId w:val="344"/>
        </w:numPr>
        <w:rPr>
          <w:rFonts w:ascii="Arial" w:cs="Arial" w:eastAsia="Arial" w:hAnsi="Arial"/>
          <w:sz w:val="17"/>
          <w:szCs w:val="17"/>
          <w:color w:val="auto"/>
        </w:rPr>
      </w:pPr>
      <w:r>
        <w:rPr>
          <w:rFonts w:ascii="Arial" w:cs="Arial" w:eastAsia="Arial" w:hAnsi="Arial"/>
          <w:sz w:val="17"/>
          <w:szCs w:val="17"/>
          <w:color w:val="auto"/>
        </w:rPr>
        <w:t>shall not apply and such Buyer will be free to pursue any claim against the Seller Parties and exercise any right of rescission arising out of or based on any aspect of the sale of the Shares to such Buyer being not exempt from registration or qualification under federal or state securities laws if (i) any of the representations and warranties of Seller contained in Sections 2.2(e) and (f) are not true and correct in all respects and/or (ii) there is any fraud by any of the Seller Parties in connection with the transactions contemplated by this Agreement.</w:t>
      </w:r>
    </w:p>
    <w:p>
      <w:pPr>
        <w:spacing w:after="0" w:line="73" w:lineRule="exact"/>
        <w:rPr>
          <w:rFonts w:ascii="Arial" w:cs="Arial" w:eastAsia="Arial" w:hAnsi="Arial"/>
          <w:sz w:val="17"/>
          <w:szCs w:val="17"/>
          <w:color w:val="auto"/>
        </w:rPr>
      </w:pPr>
    </w:p>
    <w:p>
      <w:pPr>
        <w:ind w:left="1" w:right="40" w:firstLine="433"/>
        <w:spacing w:after="0" w:line="266" w:lineRule="auto"/>
        <w:tabs>
          <w:tab w:leader="none" w:pos="612"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73" w:lineRule="exact"/>
        <w:rPr>
          <w:rFonts w:ascii="Arial" w:cs="Arial" w:eastAsia="Arial" w:hAnsi="Arial"/>
          <w:sz w:val="18"/>
          <w:szCs w:val="18"/>
          <w:color w:val="auto"/>
        </w:rPr>
      </w:pPr>
    </w:p>
    <w:p>
      <w:pPr>
        <w:ind w:left="1" w:right="160" w:firstLine="433"/>
        <w:spacing w:after="0" w:line="253" w:lineRule="auto"/>
        <w:tabs>
          <w:tab w:leader="none" w:pos="612"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given hereunder shall be deemed to have been duly given, only if given in writing, and on (i) the date of personal delivery or receipt by email, or (ii) on the date one day after being delivered to a reputable overnight courier with proper delivery instructions, to the party being notified at his, her, or its address specified on the applicable signature page hereto or such other address as the addressee may subsequently notify the other party of in writing.</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1"/>
          </w:cols>
          <w:pgMar w:left="519" w:top="273" w:right="559" w:bottom="1440" w:gutter="0" w:footer="0" w:header="0"/>
        </w:sectPr>
      </w:pPr>
    </w:p>
    <w:bookmarkStart w:id="414" w:name="page415"/>
    <w:bookmarkEnd w:id="414"/>
    <w:p>
      <w:pPr>
        <w:ind w:left="-60" w:firstLine="433"/>
        <w:spacing w:after="0" w:line="303" w:lineRule="auto"/>
        <w:tabs>
          <w:tab w:leader="none" w:pos="551"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Entire Agreement and Amendments</w:t>
      </w:r>
      <w:r>
        <w:rPr>
          <w:rFonts w:ascii="Arial" w:cs="Arial" w:eastAsia="Arial" w:hAnsi="Arial"/>
          <w:sz w:val="16"/>
          <w:szCs w:val="16"/>
          <w:color w:val="auto"/>
        </w:rPr>
        <w:t>. This Agreement constitutes the entire agreement of the parties with respect to the subject matter hereof. This Agreement may be amended or waived if, and only if, such amendment or waiver is in writing and signed, in the case of an amendment, by each of the parties hereto or, in the case of a waiver, by the party waiving compliance. No waiver shall be deemed a waiver of any subsequent breach or default.</w:t>
      </w:r>
    </w:p>
    <w:p>
      <w:pPr>
        <w:spacing w:after="0" w:line="47" w:lineRule="exact"/>
        <w:rPr>
          <w:rFonts w:ascii="Arial" w:cs="Arial" w:eastAsia="Arial" w:hAnsi="Arial"/>
          <w:sz w:val="16"/>
          <w:szCs w:val="16"/>
          <w:color w:val="auto"/>
        </w:rPr>
      </w:pPr>
    </w:p>
    <w:p>
      <w:pPr>
        <w:ind w:left="-60" w:right="40" w:firstLine="433"/>
        <w:spacing w:after="0" w:line="266" w:lineRule="auto"/>
        <w:tabs>
          <w:tab w:leader="none" w:pos="639"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interpreted in accordance with the laws of the State of New York without regard to the conflict of laws principles thereof.</w:t>
      </w:r>
    </w:p>
    <w:p>
      <w:pPr>
        <w:spacing w:after="0" w:line="73" w:lineRule="exact"/>
        <w:rPr>
          <w:rFonts w:ascii="Arial" w:cs="Arial" w:eastAsia="Arial" w:hAnsi="Arial"/>
          <w:sz w:val="18"/>
          <w:szCs w:val="18"/>
          <w:color w:val="auto"/>
        </w:rPr>
      </w:pPr>
    </w:p>
    <w:p>
      <w:pPr>
        <w:ind w:left="640" w:hanging="267"/>
        <w:spacing w:after="0"/>
        <w:tabs>
          <w:tab w:leader="none" w:pos="640"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particular provision of this Agreement shall not affect the other provisions hereof.</w:t>
      </w:r>
    </w:p>
    <w:p>
      <w:pPr>
        <w:spacing w:after="0" w:line="123" w:lineRule="exact"/>
        <w:rPr>
          <w:rFonts w:ascii="Arial" w:cs="Arial" w:eastAsia="Arial" w:hAnsi="Arial"/>
          <w:sz w:val="17"/>
          <w:szCs w:val="17"/>
          <w:color w:val="auto"/>
        </w:rPr>
      </w:pPr>
    </w:p>
    <w:p>
      <w:pPr>
        <w:ind w:left="640" w:hanging="267"/>
        <w:spacing w:after="0"/>
        <w:tabs>
          <w:tab w:leader="none" w:pos="640"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may not be assigned by any party hereto without the prior written consent of the other parties hereto.</w:t>
      </w:r>
    </w:p>
    <w:p>
      <w:pPr>
        <w:spacing w:after="0" w:line="123" w:lineRule="exact"/>
        <w:rPr>
          <w:rFonts w:ascii="Arial" w:cs="Arial" w:eastAsia="Arial" w:hAnsi="Arial"/>
          <w:sz w:val="17"/>
          <w:szCs w:val="17"/>
          <w:color w:val="auto"/>
        </w:rPr>
      </w:pPr>
    </w:p>
    <w:p>
      <w:pPr>
        <w:ind w:left="-60" w:right="80" w:firstLine="433"/>
        <w:spacing w:after="0" w:line="266" w:lineRule="auto"/>
        <w:tabs>
          <w:tab w:leader="none" w:pos="639"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are for convenience only and are not deemed to be part of this Agreement. All references herein to numbered Sections are to Sections of this Agreement unless otherwise indicated.</w:t>
      </w:r>
    </w:p>
    <w:p>
      <w:pPr>
        <w:spacing w:after="0" w:line="73" w:lineRule="exact"/>
        <w:rPr>
          <w:rFonts w:ascii="Arial" w:cs="Arial" w:eastAsia="Arial" w:hAnsi="Arial"/>
          <w:sz w:val="18"/>
          <w:szCs w:val="18"/>
          <w:color w:val="auto"/>
        </w:rPr>
      </w:pPr>
    </w:p>
    <w:p>
      <w:pPr>
        <w:ind w:left="640" w:hanging="267"/>
        <w:spacing w:after="0"/>
        <w:tabs>
          <w:tab w:leader="none" w:pos="64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w:t>
      </w:r>
    </w:p>
    <w:p>
      <w:pPr>
        <w:spacing w:after="0" w:line="112" w:lineRule="exact"/>
        <w:rPr>
          <w:rFonts w:ascii="Arial" w:cs="Arial" w:eastAsia="Arial" w:hAnsi="Arial"/>
          <w:sz w:val="18"/>
          <w:szCs w:val="18"/>
          <w:color w:val="auto"/>
        </w:rPr>
      </w:pPr>
    </w:p>
    <w:p>
      <w:pPr>
        <w:ind w:left="-60" w:right="520" w:firstLine="433"/>
        <w:spacing w:after="0" w:line="266" w:lineRule="auto"/>
        <w:tabs>
          <w:tab w:leader="none" w:pos="639"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pdf and in counterparts, each of which shall be deemed an original, but all of which together shall constitute one and the same instrument.</w:t>
      </w:r>
    </w:p>
    <w:p>
      <w:pPr>
        <w:spacing w:after="0" w:line="73" w:lineRule="exact"/>
        <w:rPr>
          <w:rFonts w:ascii="Arial" w:cs="Arial" w:eastAsia="Arial" w:hAnsi="Arial"/>
          <w:sz w:val="18"/>
          <w:szCs w:val="18"/>
          <w:color w:val="auto"/>
        </w:rPr>
      </w:pPr>
    </w:p>
    <w:p>
      <w:pPr>
        <w:ind w:left="-60" w:right="220" w:firstLine="433"/>
        <w:spacing w:after="0" w:line="266" w:lineRule="auto"/>
        <w:tabs>
          <w:tab w:leader="none" w:pos="639"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agree to execute such further instruments and to take such further action as may reasonably be necessary to carry out the intent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580" w:top="273" w:right="57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this Securities Purchase Agreement has been executed as of the date and year first above written.</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BUYERS:</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BLACKROCK GLOBAL ALLOCATION FUND, INC.</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BlackRock Advisors, LLC, its Investment Adviser</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11430</wp:posOffset>
            </wp:positionV>
            <wp:extent cx="25247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0">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20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BLACKROCK GLOBAL ALLOCATION V.I. FUND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OF BLACKROCK VARIABLE SERIES FUNDS, INC.</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BlackRock Advisors, LLC, its Investment Adviser</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11430</wp:posOffset>
            </wp:positionV>
            <wp:extent cx="25247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1">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201"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BLACKROCK GLOBAL ALLOCATION PORTFOLIO</w:t>
      </w:r>
    </w:p>
    <w:p>
      <w:pPr>
        <w:spacing w:after="0" w:line="34"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OF BLACKROCK SERIES FUND, INC.</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BlackRock Advisors, LLC, its Investment Adviser</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11430</wp:posOffset>
            </wp:positionV>
            <wp:extent cx="25247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2">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4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80"/>
          </w:cols>
          <w:pgMar w:left="960" w:top="274" w:right="559" w:bottom="1440" w:gutter="0" w:footer="0" w:header="0"/>
        </w:sectPr>
      </w:pPr>
    </w:p>
    <w:bookmarkStart w:id="416" w:name="page417"/>
    <w:bookmarkEnd w:id="41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BLACKROCK GLOBAL ALLOCATION FUND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(AUST)</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BlackRock Investment Management, LLC, as</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Investment Manager for BlackRock Investment</w:t>
      </w:r>
    </w:p>
    <w:p>
      <w:pPr>
        <w:spacing w:after="0" w:line="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Management (Australia) Limited, the Responsible Entity of</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BlackRock Global Allocation Fund (Australia)</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4">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BLACKROCK GLOBAL FUNDS – GLOBAL</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ALLOCATION FUND</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BlackRock Investment Management, LLC, as</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Investment Sub-Adviser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5">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BLACKROCK GLOBAL FUNDS – GLOBAL</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DYNAMIC EQUITY FUND</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BlackRock Investment Management, LLC, as</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Investment Sub-Adviser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6">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1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820"/>
          </w:cols>
          <w:pgMar w:left="1440" w:top="267" w:right="639" w:bottom="1440" w:gutter="0" w:footer="0" w:header="0"/>
        </w:sectPr>
      </w:pPr>
    </w:p>
    <w:bookmarkStart w:id="417" w:name="page418"/>
    <w:bookmarkEnd w:id="41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BLACKROCK GLOBAL ALLOCATION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COLLECTIVE FUND</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BlackRock Institutional Trust Company, N.A., not in its</w:t>
      </w:r>
    </w:p>
    <w:p>
      <w:pPr>
        <w:spacing w:after="0" w:line="4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individual capacity but as Trustee of the BlackRock Global</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Allocation Collective Fund</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8">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BLACKROCK CAPITAL ALLOCATION TRUST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BlackRock Advisors, LLC, its Investment Adviser</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9">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Clayton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Notices for all Buyers:</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860"/>
          </w:cols>
          <w:pgMar w:left="1440" w:top="267" w:right="59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IN WITNESS WHEREOF, this Securities Purchase Agreement has been executed as of the date and year first above written.</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SELLER:</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SCA HORUS HOLDINGS, LLC</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 AP VIII (SCA Stock AIV), LLC, its sole shareholder</w:t>
      </w: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11430</wp:posOffset>
            </wp:positionV>
            <wp:extent cx="25412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1">
                      <a:extLst>
                        <a:ext uri="{28A0092B-C50C-407E-A947-70E740481C1C}"/>
                      </a:extLst>
                    </a:blip>
                    <a:srcRect/>
                    <a:stretch>
                      <a:fillRect/>
                    </a:stretch>
                  </pic:blipFill>
                  <pic:spPr bwMode="auto">
                    <a:xfrm>
                      <a:off x="0" y="0"/>
                      <a:ext cx="2541270" cy="8255"/>
                    </a:xfrm>
                    <a:prstGeom prst="rect">
                      <a:avLst/>
                    </a:prstGeom>
                    <a:noFill/>
                  </pic:spPr>
                </pic:pic>
              </a:graphicData>
            </a:graphic>
          </wp:anchor>
        </w:drawing>
      </w:r>
    </w:p>
    <w:p>
      <w:pPr>
        <w:spacing w:after="0" w:line="12" w:lineRule="exact"/>
        <w:rPr>
          <w:sz w:val="20"/>
          <w:szCs w:val="20"/>
          <w:color w:val="auto"/>
        </w:rPr>
      </w:pPr>
    </w:p>
    <w:p>
      <w:pPr>
        <w:ind w:left="6380"/>
        <w:spacing w:after="0"/>
        <w:tabs>
          <w:tab w:leader="none" w:pos="7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11430</wp:posOffset>
            </wp:positionV>
            <wp:extent cx="214439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2">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2" w:lineRule="exact"/>
        <w:rPr>
          <w:sz w:val="20"/>
          <w:szCs w:val="20"/>
          <w:color w:val="auto"/>
        </w:rPr>
      </w:pPr>
    </w:p>
    <w:p>
      <w:pPr>
        <w:ind w:left="638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11430</wp:posOffset>
            </wp:positionV>
            <wp:extent cx="222885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Address:  c/o SCA Horus Holdings, LLC</w:t>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9 West 57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New York, NY 10019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40"/>
          </w:cols>
          <w:pgMar w:left="960" w:top="273" w:right="799" w:bottom="1440" w:gutter="0" w:footer="0" w:header="0"/>
        </w:sectPr>
      </w:pPr>
    </w:p>
    <w:bookmarkStart w:id="419" w:name="page420"/>
    <w:bookmarkEnd w:id="4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this Securities Purchase Agreement has been executed as of the date and year first above written.</w:t>
      </w:r>
    </w:p>
    <w:p>
      <w:pPr>
        <w:spacing w:after="0" w:line="25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COMPANY:</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SUN COUNTRY AIRLINES HOLDINGS, INC.</w:t>
      </w:r>
    </w:p>
    <w:p>
      <w:pPr>
        <w:spacing w:after="0" w:line="2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11430</wp:posOffset>
            </wp:positionV>
            <wp:extent cx="25412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5">
                      <a:extLst>
                        <a:ext uri="{28A0092B-C50C-407E-A947-70E740481C1C}"/>
                      </a:extLst>
                    </a:blip>
                    <a:srcRect/>
                    <a:stretch>
                      <a:fillRect/>
                    </a:stretch>
                  </pic:blipFill>
                  <pic:spPr bwMode="auto">
                    <a:xfrm>
                      <a:off x="0" y="0"/>
                      <a:ext cx="2541270" cy="8255"/>
                    </a:xfrm>
                    <a:prstGeom prst="rect">
                      <a:avLst/>
                    </a:prstGeom>
                    <a:noFill/>
                  </pic:spPr>
                </pic:pic>
              </a:graphicData>
            </a:graphic>
          </wp:anchor>
        </w:drawing>
      </w:r>
    </w:p>
    <w:p>
      <w:pPr>
        <w:spacing w:after="0" w:line="12" w:lineRule="exact"/>
        <w:rPr>
          <w:sz w:val="20"/>
          <w:szCs w:val="20"/>
          <w:color w:val="auto"/>
        </w:rPr>
      </w:pPr>
    </w:p>
    <w:p>
      <w:pPr>
        <w:ind w:left="6380"/>
        <w:spacing w:after="0"/>
        <w:tabs>
          <w:tab w:leader="none" w:pos="7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11430</wp:posOffset>
            </wp:positionV>
            <wp:extent cx="214439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6">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2" w:lineRule="exact"/>
        <w:rPr>
          <w:sz w:val="20"/>
          <w:szCs w:val="20"/>
          <w:color w:val="auto"/>
        </w:rPr>
      </w:pPr>
    </w:p>
    <w:p>
      <w:pPr>
        <w:ind w:left="638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w:t>
      </w:r>
    </w:p>
    <w:p>
      <w:pPr>
        <w:spacing w:after="0" w:line="1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4445</wp:posOffset>
            </wp:positionV>
            <wp:extent cx="22288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Address:  2005 Cargo Road</w:t>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Minneapolis, MN 55450</w:t>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Attn: Eric Levenhagen</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560"/>
          </w:cols>
          <w:pgMar w:left="960" w:top="273" w:right="137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 Our report contains an explanatory paragraph that states that the Company has changed its method of accounting for revenue recognition and leases as of January 1, 2019 due to the adoption of Accounting Standards Update 2014-09</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xml:space="preserve"> and Accounting Standards Update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sectPr>
      <w:pgSz w:w="11900" w:h="16838" w:orient="portrait"/>
      <w:cols w:equalWidth="0" w:num="1">
        <w:col w:w="10840"/>
      </w:cols>
      <w:pgMar w:left="52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60401"/>
    <w:multiLevelType w:val="hybridMultilevel"/>
    <w:lvl w:ilvl="0">
      <w:lvlJc w:val="left"/>
      <w:lvlText w:val="(%1)"/>
      <w:numFmt w:val="decimal"/>
      <w:start w:val="1"/>
    </w:lvl>
  </w:abstractNum>
  <w:abstractNum w:abstractNumId="1">
    <w:nsid w:val="2A6AD9BE"/>
    <w:multiLevelType w:val="hybridMultilevel"/>
    <w:lvl w:ilvl="0">
      <w:lvlJc w:val="left"/>
      <w:lvlText w:val="(%1)"/>
      <w:numFmt w:val="decimal"/>
      <w:start w:val="1"/>
    </w:lvl>
  </w:abstractNum>
  <w:abstractNum w:abstractNumId="2">
    <w:nsid w:val="BAAC1B4"/>
    <w:multiLevelType w:val="hybridMultilevel"/>
    <w:lvl w:ilvl="0">
      <w:lvlJc w:val="left"/>
      <w:lvlText w:val="•"/>
      <w:numFmt w:val="bullet"/>
      <w:start w:val="1"/>
    </w:lvl>
  </w:abstractNum>
  <w:abstractNum w:abstractNumId="3">
    <w:nsid w:val="36B2ACBC"/>
    <w:multiLevelType w:val="hybridMultilevel"/>
    <w:lvl w:ilvl="0">
      <w:lvlJc w:val="left"/>
      <w:lvlText w:val="•"/>
      <w:numFmt w:val="bullet"/>
      <w:start w:val="1"/>
    </w:lvl>
  </w:abstractNum>
  <w:abstractNum w:abstractNumId="4">
    <w:nsid w:val="779D8544"/>
    <w:multiLevelType w:val="hybridMultilevel"/>
    <w:lvl w:ilvl="0">
      <w:lvlJc w:val="left"/>
      <w:lvlText w:val="•"/>
      <w:numFmt w:val="bullet"/>
      <w:start w:val="1"/>
    </w:lvl>
  </w:abstractNum>
  <w:abstractNum w:abstractNumId="5">
    <w:nsid w:val="4AB26E78"/>
    <w:multiLevelType w:val="hybridMultilevel"/>
    <w:lvl w:ilvl="0">
      <w:lvlJc w:val="left"/>
      <w:lvlText w:val="•"/>
      <w:numFmt w:val="bullet"/>
      <w:start w:val="1"/>
    </w:lvl>
  </w:abstractNum>
  <w:abstractNum w:abstractNumId="6">
    <w:nsid w:val="21FAA2FA"/>
    <w:multiLevelType w:val="hybridMultilevel"/>
    <w:lvl w:ilvl="0">
      <w:lvlJc w:val="left"/>
      <w:lvlText w:val="•"/>
      <w:numFmt w:val="bullet"/>
      <w:start w:val="1"/>
    </w:lvl>
  </w:abstractNum>
  <w:abstractNum w:abstractNumId="7">
    <w:nsid w:val="5451CF49"/>
    <w:multiLevelType w:val="hybridMultilevel"/>
    <w:lvl w:ilvl="0">
      <w:lvlJc w:val="left"/>
      <w:lvlText w:val="•"/>
      <w:numFmt w:val="bullet"/>
      <w:start w:val="1"/>
    </w:lvl>
  </w:abstractNum>
  <w:abstractNum w:abstractNumId="8">
    <w:nsid w:val="6181EF69"/>
    <w:multiLevelType w:val="hybridMultilevel"/>
    <w:lvl w:ilvl="0">
      <w:lvlJc w:val="left"/>
      <w:lvlText w:val="•"/>
      <w:numFmt w:val="bullet"/>
      <w:start w:val="1"/>
    </w:lvl>
  </w:abstractNum>
  <w:abstractNum w:abstractNumId="9">
    <w:nsid w:val="3E6400E6"/>
    <w:multiLevelType w:val="hybridMultilevel"/>
    <w:lvl w:ilvl="0">
      <w:lvlJc w:val="left"/>
      <w:lvlText w:val="•"/>
      <w:numFmt w:val="bullet"/>
      <w:start w:val="1"/>
    </w:lvl>
  </w:abstractNum>
  <w:abstractNum w:abstractNumId="10">
    <w:nsid w:val="14217E23"/>
    <w:multiLevelType w:val="hybridMultilevel"/>
    <w:lvl w:ilvl="0">
      <w:lvlJc w:val="left"/>
      <w:lvlText w:val="•"/>
      <w:numFmt w:val="bullet"/>
      <w:start w:val="1"/>
    </w:lvl>
  </w:abstractNum>
  <w:abstractNum w:abstractNumId="11">
    <w:nsid w:val="710757D0"/>
    <w:multiLevelType w:val="hybridMultilevel"/>
    <w:lvl w:ilvl="0">
      <w:lvlJc w:val="left"/>
      <w:lvlText w:val="•"/>
      <w:numFmt w:val="bullet"/>
      <w:start w:val="1"/>
    </w:lvl>
  </w:abstractNum>
  <w:abstractNum w:abstractNumId="12">
    <w:nsid w:val="5015CD1A"/>
    <w:multiLevelType w:val="hybridMultilevel"/>
    <w:lvl w:ilvl="0">
      <w:lvlJc w:val="left"/>
      <w:lvlText w:val="(%1)"/>
      <w:numFmt w:val="decimal"/>
      <w:start w:val="1"/>
    </w:lvl>
  </w:abstractNum>
  <w:abstractNum w:abstractNumId="13">
    <w:nsid w:val="424479DA"/>
    <w:multiLevelType w:val="hybridMultilevel"/>
    <w:lvl w:ilvl="0">
      <w:lvlJc w:val="left"/>
      <w:lvlText w:val="(%1)"/>
      <w:numFmt w:val="decimal"/>
      <w:start w:val="1"/>
    </w:lvl>
  </w:abstractNum>
  <w:abstractNum w:abstractNumId="14">
    <w:nsid w:val="1A9A9E69"/>
    <w:multiLevelType w:val="hybridMultilevel"/>
    <w:lvl w:ilvl="0">
      <w:lvlJc w:val="left"/>
      <w:lvlText w:val="(%1)"/>
      <w:numFmt w:val="decimal"/>
      <w:start w:val="1"/>
    </w:lvl>
  </w:abstractNum>
  <w:abstractNum w:abstractNumId="15">
    <w:nsid w:val="475E256A"/>
    <w:multiLevelType w:val="hybridMultilevel"/>
    <w:lvl w:ilvl="0">
      <w:lvlJc w:val="left"/>
      <w:lvlText w:val="(%1)"/>
      <w:numFmt w:val="decimal"/>
      <w:start w:val="2"/>
    </w:lvl>
  </w:abstractNum>
  <w:abstractNum w:abstractNumId="16">
    <w:nsid w:val="368DB37E"/>
    <w:multiLevelType w:val="hybridMultilevel"/>
    <w:lvl w:ilvl="0">
      <w:lvlJc w:val="left"/>
      <w:lvlText w:val="$"/>
      <w:numFmt w:val="bullet"/>
      <w:start w:val="1"/>
    </w:lvl>
  </w:abstractNum>
  <w:abstractNum w:abstractNumId="17">
    <w:nsid w:val="6A3B714C"/>
    <w:multiLevelType w:val="hybridMultilevel"/>
    <w:lvl w:ilvl="0">
      <w:lvlJc w:val="left"/>
      <w:lvlText w:val="(%1)"/>
      <w:numFmt w:val="decimal"/>
      <w:start w:val="1"/>
    </w:lvl>
  </w:abstractNum>
  <w:abstractNum w:abstractNumId="18">
    <w:nsid w:val="327B517E"/>
    <w:multiLevelType w:val="hybridMultilevel"/>
    <w:lvl w:ilvl="0">
      <w:lvlJc w:val="left"/>
      <w:lvlText w:val="$"/>
      <w:numFmt w:val="bullet"/>
      <w:start w:val="1"/>
    </w:lvl>
  </w:abstractNum>
  <w:abstractNum w:abstractNumId="19">
    <w:nsid w:val="1F461B51"/>
    <w:multiLevelType w:val="hybridMultilevel"/>
    <w:lvl w:ilvl="0">
      <w:lvlJc w:val="left"/>
      <w:lvlText w:val="$"/>
      <w:numFmt w:val="bullet"/>
      <w:start w:val="1"/>
    </w:lvl>
  </w:abstractNum>
  <w:abstractNum w:abstractNumId="20">
    <w:nsid w:val="29BACF25"/>
    <w:multiLevelType w:val="hybridMultilevel"/>
    <w:lvl w:ilvl="0">
      <w:lvlJc w:val="left"/>
      <w:lvlText w:val="(%1)"/>
      <w:numFmt w:val="lowerLetter"/>
      <w:start w:val="1"/>
    </w:lvl>
  </w:abstractNum>
  <w:abstractNum w:abstractNumId="21">
    <w:nsid w:val="5D5BABB3"/>
    <w:multiLevelType w:val="hybridMultilevel"/>
    <w:lvl w:ilvl="0">
      <w:lvlJc w:val="left"/>
      <w:lvlText w:val="$"/>
      <w:numFmt w:val="bullet"/>
      <w:start w:val="1"/>
    </w:lvl>
  </w:abstractNum>
  <w:abstractNum w:abstractNumId="22">
    <w:nsid w:val="51BF6B48"/>
    <w:multiLevelType w:val="hybridMultilevel"/>
    <w:lvl w:ilvl="0">
      <w:lvlJc w:val="left"/>
      <w:lvlText w:val="$"/>
      <w:numFmt w:val="bullet"/>
      <w:start w:val="1"/>
    </w:lvl>
  </w:abstractNum>
  <w:abstractNum w:abstractNumId="23">
    <w:nsid w:val="7E0F6384"/>
    <w:multiLevelType w:val="hybridMultilevel"/>
    <w:lvl w:ilvl="0">
      <w:lvlJc w:val="left"/>
      <w:lvlText w:val="(%1)"/>
      <w:numFmt w:val="lowerLetter"/>
      <w:start w:val="1"/>
    </w:lvl>
  </w:abstractNum>
  <w:abstractNum w:abstractNumId="24">
    <w:nsid w:val="2B4B8B53"/>
    <w:multiLevelType w:val="hybridMultilevel"/>
    <w:lvl w:ilvl="0">
      <w:lvlJc w:val="left"/>
      <w:lvlText w:val="*"/>
      <w:numFmt w:val="bullet"/>
      <w:start w:val="1"/>
    </w:lvl>
  </w:abstractNum>
  <w:abstractNum w:abstractNumId="25">
    <w:nsid w:val="72E3413A"/>
    <w:multiLevelType w:val="hybridMultilevel"/>
    <w:lvl w:ilvl="0">
      <w:lvlJc w:val="left"/>
      <w:lvlText w:val="(%1)"/>
      <w:numFmt w:val="decimal"/>
      <w:start w:val="1"/>
    </w:lvl>
  </w:abstractNum>
  <w:abstractNum w:abstractNumId="26">
    <w:nsid w:val="116AE494"/>
    <w:multiLevelType w:val="hybridMultilevel"/>
    <w:lvl w:ilvl="0">
      <w:lvlJc w:val="left"/>
      <w:lvlText w:val="(%1)"/>
      <w:numFmt w:val="decimal"/>
      <w:start w:val="5"/>
    </w:lvl>
  </w:abstractNum>
  <w:abstractNum w:abstractNumId="27">
    <w:nsid w:val="3494B2FB"/>
    <w:multiLevelType w:val="hybridMultilevel"/>
    <w:lvl w:ilvl="0">
      <w:lvlJc w:val="left"/>
      <w:lvlText w:val="•"/>
      <w:numFmt w:val="bullet"/>
      <w:start w:val="1"/>
    </w:lvl>
  </w:abstractNum>
  <w:abstractNum w:abstractNumId="28">
    <w:nsid w:val="B13A31"/>
    <w:multiLevelType w:val="hybridMultilevel"/>
    <w:lvl w:ilvl="0">
      <w:lvlJc w:val="left"/>
      <w:lvlText w:val="•"/>
      <w:numFmt w:val="bullet"/>
      <w:start w:val="1"/>
    </w:lvl>
  </w:abstractNum>
  <w:abstractNum w:abstractNumId="29">
    <w:nsid w:val="64429599"/>
    <w:multiLevelType w:val="hybridMultilevel"/>
    <w:lvl w:ilvl="0">
      <w:lvlJc w:val="left"/>
      <w:lvlText w:val="•"/>
      <w:numFmt w:val="bullet"/>
      <w:start w:val="1"/>
    </w:lvl>
  </w:abstractNum>
  <w:abstractNum w:abstractNumId="30">
    <w:nsid w:val="631F1690"/>
    <w:multiLevelType w:val="hybridMultilevel"/>
    <w:lvl w:ilvl="0">
      <w:lvlJc w:val="left"/>
      <w:lvlText w:val="(%1)"/>
      <w:numFmt w:val="lowerRoman"/>
      <w:start w:val="12"/>
    </w:lvl>
  </w:abstractNum>
  <w:abstractNum w:abstractNumId="31">
    <w:nsid w:val="25973E32"/>
    <w:multiLevelType w:val="hybridMultilevel"/>
    <w:lvl w:ilvl="0">
      <w:lvlJc w:val="left"/>
      <w:lvlText w:val="(%1)"/>
      <w:numFmt w:val="lowerRoman"/>
      <w:start w:val="15"/>
    </w:lvl>
  </w:abstractNum>
  <w:abstractNum w:abstractNumId="32">
    <w:nsid w:val="EAD6F57"/>
    <w:multiLevelType w:val="hybridMultilevel"/>
    <w:lvl w:ilvl="0">
      <w:lvlJc w:val="left"/>
      <w:lvlText w:val="•"/>
      <w:numFmt w:val="bullet"/>
      <w:start w:val="1"/>
    </w:lvl>
  </w:abstractNum>
  <w:abstractNum w:abstractNumId="33">
    <w:nsid w:val="6EC9D844"/>
    <w:multiLevelType w:val="hybridMultilevel"/>
    <w:lvl w:ilvl="0">
      <w:lvlJc w:val="left"/>
      <w:lvlText w:val="•"/>
      <w:numFmt w:val="bullet"/>
      <w:start w:val="1"/>
    </w:lvl>
  </w:abstractNum>
  <w:abstractNum w:abstractNumId="34">
    <w:nsid w:val="5C49EAEE"/>
    <w:multiLevelType w:val="hybridMultilevel"/>
    <w:lvl w:ilvl="0">
      <w:lvlJc w:val="left"/>
      <w:lvlText w:val="•"/>
      <w:numFmt w:val="bullet"/>
      <w:start w:val="1"/>
    </w:lvl>
  </w:abstractNum>
  <w:abstractNum w:abstractNumId="35">
    <w:nsid w:val="64AF49B"/>
    <w:multiLevelType w:val="hybridMultilevel"/>
    <w:lvl w:ilvl="0">
      <w:lvlJc w:val="left"/>
      <w:lvlText w:val="(%1)"/>
      <w:numFmt w:val="lowerRoman"/>
      <w:start w:val="1"/>
    </w:lvl>
  </w:abstractNum>
  <w:abstractNum w:abstractNumId="36">
    <w:nsid w:val="397C46BC"/>
    <w:multiLevelType w:val="hybridMultilevel"/>
    <w:lvl w:ilvl="0">
      <w:lvlJc w:val="left"/>
      <w:lvlText w:val="•"/>
      <w:numFmt w:val="bullet"/>
      <w:start w:val="1"/>
    </w:lvl>
  </w:abstractNum>
  <w:abstractNum w:abstractNumId="37">
    <w:nsid w:val="7E448DE9"/>
    <w:multiLevelType w:val="hybridMultilevel"/>
    <w:lvl w:ilvl="0">
      <w:lvlJc w:val="left"/>
      <w:lvlText w:val="•"/>
      <w:numFmt w:val="bullet"/>
      <w:start w:val="1"/>
    </w:lvl>
  </w:abstractNum>
  <w:abstractNum w:abstractNumId="38">
    <w:nsid w:val="5A9CC3E5"/>
    <w:multiLevelType w:val="hybridMultilevel"/>
    <w:lvl w:ilvl="0">
      <w:lvlJc w:val="left"/>
      <w:lvlText w:val="•"/>
      <w:numFmt w:val="bullet"/>
      <w:start w:val="1"/>
    </w:lvl>
  </w:abstractNum>
  <w:abstractNum w:abstractNumId="39">
    <w:nsid w:val="1AFE3625"/>
    <w:multiLevelType w:val="hybridMultilevel"/>
    <w:lvl w:ilvl="0">
      <w:lvlJc w:val="left"/>
      <w:lvlText w:val="•"/>
      <w:numFmt w:val="bullet"/>
      <w:start w:val="1"/>
    </w:lvl>
  </w:abstractNum>
  <w:abstractNum w:abstractNumId="40">
    <w:nsid w:val="3CA88ECF"/>
    <w:multiLevelType w:val="hybridMultilevel"/>
    <w:lvl w:ilvl="0">
      <w:lvlJc w:val="left"/>
      <w:lvlText w:val="•"/>
      <w:numFmt w:val="bullet"/>
      <w:start w:val="1"/>
    </w:lvl>
  </w:abstractNum>
  <w:abstractNum w:abstractNumId="41">
    <w:nsid w:val="6EBE4208"/>
    <w:multiLevelType w:val="hybridMultilevel"/>
    <w:lvl w:ilvl="0">
      <w:lvlJc w:val="left"/>
      <w:lvlText w:val="•"/>
      <w:numFmt w:val="bullet"/>
      <w:start w:val="1"/>
    </w:lvl>
  </w:abstractNum>
  <w:abstractNum w:abstractNumId="42">
    <w:nsid w:val="C058DF5"/>
    <w:multiLevelType w:val="hybridMultilevel"/>
    <w:lvl w:ilvl="0">
      <w:lvlJc w:val="left"/>
      <w:lvlText w:val="•"/>
      <w:numFmt w:val="bullet"/>
      <w:start w:val="1"/>
    </w:lvl>
  </w:abstractNum>
  <w:abstractNum w:abstractNumId="43">
    <w:nsid w:val="CBE5BE9"/>
    <w:multiLevelType w:val="hybridMultilevel"/>
    <w:lvl w:ilvl="0">
      <w:lvlJc w:val="left"/>
      <w:lvlText w:val="(%1)"/>
      <w:numFmt w:val="decimal"/>
      <w:start w:val="1"/>
    </w:lvl>
  </w:abstractNum>
  <w:abstractNum w:abstractNumId="44">
    <w:nsid w:val="3102BBE2"/>
    <w:multiLevelType w:val="hybridMultilevel"/>
    <w:lvl w:ilvl="0">
      <w:lvlJc w:val="left"/>
      <w:lvlText w:val="•"/>
      <w:numFmt w:val="bullet"/>
      <w:start w:val="1"/>
    </w:lvl>
  </w:abstractNum>
  <w:abstractNum w:abstractNumId="45">
    <w:nsid w:val="26A02C5E"/>
    <w:multiLevelType w:val="hybridMultilevel"/>
    <w:lvl w:ilvl="0">
      <w:lvlJc w:val="left"/>
      <w:lvlText w:val="(%1)"/>
      <w:numFmt w:val="decimal"/>
      <w:start w:val="2"/>
    </w:lvl>
  </w:abstractNum>
  <w:abstractNum w:abstractNumId="46">
    <w:nsid w:val="541C8153"/>
    <w:multiLevelType w:val="hybridMultilevel"/>
    <w:lvl w:ilvl="0">
      <w:lvlJc w:val="left"/>
      <w:lvlText w:val="(%1)"/>
      <w:numFmt w:val="decimal"/>
      <w:start w:val="1"/>
    </w:lvl>
  </w:abstractNum>
  <w:abstractNum w:abstractNumId="47">
    <w:nsid w:val="67906F60"/>
    <w:multiLevelType w:val="hybridMultilevel"/>
    <w:lvl w:ilvl="0">
      <w:lvlJc w:val="left"/>
      <w:lvlText w:val="(%1)"/>
      <w:numFmt w:val="decimal"/>
      <w:start w:val="1"/>
    </w:lvl>
  </w:abstractNum>
  <w:abstractNum w:abstractNumId="48">
    <w:nsid w:val="10DB9DAA"/>
    <w:multiLevelType w:val="hybridMultilevel"/>
    <w:lvl w:ilvl="0">
      <w:lvlJc w:val="left"/>
      <w:lvlText w:val="•"/>
      <w:numFmt w:val="bullet"/>
      <w:start w:val="1"/>
    </w:lvl>
  </w:abstractNum>
  <w:abstractNum w:abstractNumId="49">
    <w:nsid w:val="697D2D2"/>
    <w:multiLevelType w:val="hybridMultilevel"/>
    <w:lvl w:ilvl="0">
      <w:lvlJc w:val="left"/>
      <w:lvlText w:val="•"/>
      <w:numFmt w:val="bullet"/>
      <w:start w:val="1"/>
    </w:lvl>
  </w:abstractNum>
  <w:abstractNum w:abstractNumId="50">
    <w:nsid w:val="6D68AB2"/>
    <w:multiLevelType w:val="hybridMultilevel"/>
    <w:lvl w:ilvl="0">
      <w:lvlJc w:val="left"/>
      <w:lvlText w:val="(%1)"/>
      <w:numFmt w:val="decimal"/>
      <w:start w:val="1"/>
    </w:lvl>
  </w:abstractNum>
  <w:abstractNum w:abstractNumId="51">
    <w:nsid w:val="3A966CD0"/>
    <w:multiLevelType w:val="hybridMultilevel"/>
    <w:lvl w:ilvl="0">
      <w:lvlJc w:val="left"/>
      <w:lvlText w:val="(%1)"/>
      <w:numFmt w:val="decimal"/>
      <w:start w:val="1"/>
    </w:lvl>
  </w:abstractNum>
  <w:abstractNum w:abstractNumId="52">
    <w:nsid w:val="63F37E85"/>
    <w:multiLevelType w:val="hybridMultilevel"/>
    <w:lvl w:ilvl="0">
      <w:lvlJc w:val="left"/>
      <w:lvlText w:val="(%1)"/>
      <w:numFmt w:val="decimal"/>
      <w:start w:val="1"/>
    </w:lvl>
  </w:abstractNum>
  <w:abstractNum w:abstractNumId="53">
    <w:nsid w:val="5895F5FA"/>
    <w:multiLevelType w:val="hybridMultilevel"/>
    <w:lvl w:ilvl="0">
      <w:lvlJc w:val="left"/>
      <w:lvlText w:val="(%1)"/>
      <w:numFmt w:val="decimal"/>
      <w:start w:val="3"/>
    </w:lvl>
  </w:abstractNum>
  <w:abstractNum w:abstractNumId="54">
    <w:nsid w:val="38A5D054"/>
    <w:multiLevelType w:val="hybridMultilevel"/>
    <w:lvl w:ilvl="0">
      <w:lvlJc w:val="left"/>
      <w:lvlText w:val="$"/>
      <w:numFmt w:val="bullet"/>
      <w:start w:val="1"/>
    </w:lvl>
  </w:abstractNum>
  <w:abstractNum w:abstractNumId="55">
    <w:nsid w:val="F3F09D8"/>
    <w:multiLevelType w:val="hybridMultilevel"/>
    <w:lvl w:ilvl="0">
      <w:lvlJc w:val="left"/>
      <w:lvlText w:val="$"/>
      <w:numFmt w:val="bullet"/>
      <w:start w:val="1"/>
    </w:lvl>
  </w:abstractNum>
  <w:abstractNum w:abstractNumId="56">
    <w:nsid w:val="4B793735"/>
    <w:multiLevelType w:val="hybridMultilevel"/>
    <w:lvl w:ilvl="0">
      <w:lvlJc w:val="left"/>
      <w:lvlText w:val="(%1)"/>
      <w:numFmt w:val="decimal"/>
      <w:start w:val="1"/>
    </w:lvl>
  </w:abstractNum>
  <w:abstractNum w:abstractNumId="57">
    <w:nsid w:val="4A10B4E8"/>
    <w:multiLevelType w:val="hybridMultilevel"/>
    <w:lvl w:ilvl="0">
      <w:lvlJc w:val="left"/>
      <w:lvlText w:val="$"/>
      <w:numFmt w:val="bullet"/>
      <w:start w:val="1"/>
    </w:lvl>
  </w:abstractNum>
  <w:abstractNum w:abstractNumId="58">
    <w:nsid w:val="43D3BCD4"/>
    <w:multiLevelType w:val="hybridMultilevel"/>
    <w:lvl w:ilvl="0">
      <w:lvlJc w:val="left"/>
      <w:lvlText w:val="$"/>
      <w:numFmt w:val="bullet"/>
      <w:start w:val="1"/>
    </w:lvl>
  </w:abstractNum>
  <w:abstractNum w:abstractNumId="59">
    <w:nsid w:val="4C2A7166"/>
    <w:multiLevelType w:val="hybridMultilevel"/>
    <w:lvl w:ilvl="0">
      <w:lvlJc w:val="left"/>
      <w:lvlText w:val="$"/>
      <w:numFmt w:val="bullet"/>
      <w:start w:val="1"/>
    </w:lvl>
  </w:abstractNum>
  <w:abstractNum w:abstractNumId="60">
    <w:nsid w:val="2E534A82"/>
    <w:multiLevelType w:val="hybridMultilevel"/>
    <w:lvl w:ilvl="0">
      <w:lvlJc w:val="left"/>
      <w:lvlText w:val="$"/>
      <w:numFmt w:val="bullet"/>
      <w:start w:val="1"/>
    </w:lvl>
  </w:abstractNum>
  <w:abstractNum w:abstractNumId="61">
    <w:nsid w:val="26F2D364"/>
    <w:multiLevelType w:val="hybridMultilevel"/>
    <w:lvl w:ilvl="0">
      <w:lvlJc w:val="left"/>
      <w:lvlText w:val="(%1)"/>
      <w:numFmt w:val="lowerLetter"/>
      <w:start w:val="1"/>
    </w:lvl>
  </w:abstractNum>
  <w:abstractNum w:abstractNumId="62">
    <w:nsid w:val="71C1AF98"/>
    <w:multiLevelType w:val="hybridMultilevel"/>
    <w:lvl w:ilvl="0">
      <w:lvlJc w:val="left"/>
      <w:lvlText w:val="(%1)"/>
      <w:numFmt w:val="lowerLetter"/>
      <w:start w:val="1"/>
    </w:lvl>
  </w:abstractNum>
  <w:abstractNum w:abstractNumId="63">
    <w:nsid w:val="3D00B9D9"/>
    <w:multiLevelType w:val="hybridMultilevel"/>
    <w:lvl w:ilvl="0">
      <w:lvlJc w:val="left"/>
      <w:lvlText w:val="$"/>
      <w:numFmt w:val="bullet"/>
      <w:start w:val="1"/>
    </w:lvl>
  </w:abstractNum>
  <w:abstractNum w:abstractNumId="64">
    <w:nsid w:val="15BCABA8"/>
    <w:multiLevelType w:val="hybridMultilevel"/>
    <w:lvl w:ilvl="0">
      <w:lvlJc w:val="left"/>
      <w:lvlText w:val="$"/>
      <w:numFmt w:val="bullet"/>
      <w:start w:val="1"/>
    </w:lvl>
  </w:abstractNum>
  <w:abstractNum w:abstractNumId="65">
    <w:nsid w:val="4E0B9A87"/>
    <w:multiLevelType w:val="hybridMultilevel"/>
    <w:lvl w:ilvl="0">
      <w:lvlJc w:val="left"/>
      <w:lvlText w:val="(%1)"/>
      <w:numFmt w:val="lowerLetter"/>
      <w:start w:val="1"/>
    </w:lvl>
  </w:abstractNum>
  <w:abstractNum w:abstractNumId="66">
    <w:nsid w:val="434BAE75"/>
    <w:multiLevelType w:val="hybridMultilevel"/>
    <w:lvl w:ilvl="0">
      <w:lvlJc w:val="left"/>
      <w:lvlText w:val="(%1)"/>
      <w:numFmt w:val="lowerLetter"/>
      <w:start w:val="24"/>
    </w:lvl>
  </w:abstractNum>
  <w:abstractNum w:abstractNumId="67">
    <w:nsid w:val="4F38F265"/>
    <w:multiLevelType w:val="hybridMultilevel"/>
    <w:lvl w:ilvl="0">
      <w:lvlJc w:val="left"/>
      <w:lvlText w:val="(%1)"/>
      <w:numFmt w:val="decimal"/>
      <w:start w:val="1"/>
    </w:lvl>
  </w:abstractNum>
  <w:abstractNum w:abstractNumId="68">
    <w:nsid w:val="4C502870"/>
    <w:multiLevelType w:val="hybridMultilevel"/>
    <w:lvl w:ilvl="0">
      <w:lvlJc w:val="left"/>
      <w:lvlText w:val="$"/>
      <w:numFmt w:val="bullet"/>
      <w:start w:val="1"/>
    </w:lvl>
  </w:abstractNum>
  <w:abstractNum w:abstractNumId="69">
    <w:nsid w:val="1DE8725A"/>
    <w:multiLevelType w:val="hybridMultilevel"/>
    <w:lvl w:ilvl="0">
      <w:lvlJc w:val="left"/>
      <w:lvlText w:val="(%1)"/>
      <w:numFmt w:val="decimal"/>
      <w:start w:val="1"/>
    </w:lvl>
  </w:abstractNum>
  <w:abstractNum w:abstractNumId="70">
    <w:nsid w:val="6A37288A"/>
    <w:multiLevelType w:val="hybridMultilevel"/>
    <w:lvl w:ilvl="0">
      <w:lvlJc w:val="left"/>
      <w:lvlText w:val="•"/>
      <w:numFmt w:val="bullet"/>
      <w:start w:val="1"/>
    </w:lvl>
  </w:abstractNum>
  <w:abstractNum w:abstractNumId="71">
    <w:nsid w:val="8F8B73F"/>
    <w:multiLevelType w:val="hybridMultilevel"/>
    <w:lvl w:ilvl="0">
      <w:lvlJc w:val="left"/>
      <w:lvlText w:val="•"/>
      <w:numFmt w:val="bullet"/>
      <w:start w:val="1"/>
    </w:lvl>
  </w:abstractNum>
  <w:abstractNum w:abstractNumId="72">
    <w:nsid w:val="CA6B462"/>
    <w:multiLevelType w:val="hybridMultilevel"/>
    <w:lvl w:ilvl="0">
      <w:lvlJc w:val="left"/>
      <w:lvlText w:val="•"/>
      <w:numFmt w:val="bullet"/>
      <w:start w:val="1"/>
    </w:lvl>
  </w:abstractNum>
  <w:abstractNum w:abstractNumId="73">
    <w:nsid w:val="763CB680"/>
    <w:multiLevelType w:val="hybridMultilevel"/>
    <w:lvl w:ilvl="0">
      <w:lvlJc w:val="left"/>
      <w:lvlText w:val="•"/>
      <w:numFmt w:val="bullet"/>
      <w:start w:val="1"/>
    </w:lvl>
  </w:abstractNum>
  <w:abstractNum w:abstractNumId="74">
    <w:nsid w:val="15B71329"/>
    <w:multiLevelType w:val="hybridMultilevel"/>
    <w:lvl w:ilvl="0">
      <w:lvlJc w:val="left"/>
      <w:lvlText w:val="•"/>
      <w:numFmt w:val="bullet"/>
      <w:start w:val="1"/>
    </w:lvl>
  </w:abstractNum>
  <w:abstractNum w:abstractNumId="75">
    <w:nsid w:val="3DA97044"/>
    <w:multiLevelType w:val="hybridMultilevel"/>
    <w:lvl w:ilvl="0">
      <w:lvlJc w:val="left"/>
      <w:lvlText w:val="•"/>
      <w:numFmt w:val="bullet"/>
      <w:start w:val="1"/>
    </w:lvl>
  </w:abstractNum>
  <w:abstractNum w:abstractNumId="76">
    <w:nsid w:val="1CDCE2DE"/>
    <w:multiLevelType w:val="hybridMultilevel"/>
    <w:lvl w:ilvl="0">
      <w:lvlJc w:val="left"/>
      <w:lvlText w:val="•"/>
      <w:numFmt w:val="bullet"/>
      <w:start w:val="1"/>
    </w:lvl>
  </w:abstractNum>
  <w:abstractNum w:abstractNumId="77">
    <w:nsid w:val="69D3947C"/>
    <w:multiLevelType w:val="hybridMultilevel"/>
    <w:lvl w:ilvl="0">
      <w:lvlJc w:val="left"/>
      <w:lvlText w:val="•"/>
      <w:numFmt w:val="bullet"/>
      <w:start w:val="1"/>
    </w:lvl>
  </w:abstractNum>
  <w:abstractNum w:abstractNumId="78">
    <w:nsid w:val="2539DFA5"/>
    <w:multiLevelType w:val="hybridMultilevel"/>
    <w:lvl w:ilvl="0">
      <w:lvlJc w:val="left"/>
      <w:lvlText w:val="•"/>
      <w:numFmt w:val="bullet"/>
      <w:start w:val="1"/>
    </w:lvl>
  </w:abstractNum>
  <w:abstractNum w:abstractNumId="79">
    <w:nsid w:val="2DB88089"/>
    <w:multiLevelType w:val="hybridMultilevel"/>
    <w:lvl w:ilvl="0">
      <w:lvlJc w:val="left"/>
      <w:lvlText w:val="•"/>
      <w:numFmt w:val="bullet"/>
      <w:start w:val="1"/>
    </w:lvl>
  </w:abstractNum>
  <w:abstractNum w:abstractNumId="80">
    <w:nsid w:val="706B674E"/>
    <w:multiLevelType w:val="hybridMultilevel"/>
    <w:lvl w:ilvl="0">
      <w:lvlJc w:val="left"/>
      <w:lvlText w:val="•"/>
      <w:numFmt w:val="bullet"/>
      <w:start w:val="1"/>
    </w:lvl>
  </w:abstractNum>
  <w:abstractNum w:abstractNumId="81">
    <w:nsid w:val="2C106A57"/>
    <w:multiLevelType w:val="hybridMultilevel"/>
    <w:lvl w:ilvl="0">
      <w:lvlJc w:val="left"/>
      <w:lvlText w:val="(%1)"/>
      <w:numFmt w:val="decimal"/>
      <w:start w:val="1"/>
    </w:lvl>
  </w:abstractNum>
  <w:abstractNum w:abstractNumId="82">
    <w:nsid w:val="684EED59"/>
    <w:multiLevelType w:val="hybridMultilevel"/>
    <w:lvl w:ilvl="0">
      <w:lvlJc w:val="left"/>
      <w:lvlText w:val="(%1)"/>
      <w:numFmt w:val="decimal"/>
      <w:start w:val="1"/>
    </w:lvl>
  </w:abstractNum>
  <w:abstractNum w:abstractNumId="83">
    <w:nsid w:val="545EE5D3"/>
    <w:multiLevelType w:val="hybridMultilevel"/>
    <w:lvl w:ilvl="0">
      <w:lvlJc w:val="left"/>
      <w:lvlText w:val="(%1)"/>
      <w:numFmt w:val="upperLetter"/>
      <w:start w:val="1"/>
    </w:lvl>
  </w:abstractNum>
  <w:abstractNum w:abstractNumId="84">
    <w:nsid w:val="4A66051"/>
    <w:multiLevelType w:val="hybridMultilevel"/>
    <w:lvl w:ilvl="0">
      <w:lvlJc w:val="left"/>
      <w:lvlText w:val="(%1)"/>
      <w:numFmt w:val="lowerRoman"/>
      <w:start w:val="1"/>
    </w:lvl>
  </w:abstractNum>
  <w:abstractNum w:abstractNumId="85">
    <w:nsid w:val="20F4BDAD"/>
    <w:multiLevelType w:val="hybridMultilevel"/>
    <w:lvl w:ilvl="0">
      <w:lvlJc w:val="left"/>
      <w:lvlText w:val="(%1)"/>
      <w:numFmt w:val="decimal"/>
      <w:start w:val="1"/>
    </w:lvl>
  </w:abstractNum>
  <w:abstractNum w:abstractNumId="86">
    <w:nsid w:val="639DEFAC"/>
    <w:multiLevelType w:val="hybridMultilevel"/>
    <w:lvl w:ilvl="0">
      <w:lvlJc w:val="left"/>
      <w:lvlText w:val="•"/>
      <w:numFmt w:val="bullet"/>
      <w:start w:val="1"/>
    </w:lvl>
  </w:abstractNum>
  <w:abstractNum w:abstractNumId="87">
    <w:nsid w:val="501F9786"/>
    <w:multiLevelType w:val="hybridMultilevel"/>
    <w:lvl w:ilvl="0">
      <w:lvlJc w:val="left"/>
      <w:lvlText w:val="•"/>
      <w:numFmt w:val="bullet"/>
      <w:start w:val="1"/>
    </w:lvl>
  </w:abstractNum>
  <w:abstractNum w:abstractNumId="88">
    <w:nsid w:val="6B057295"/>
    <w:multiLevelType w:val="hybridMultilevel"/>
    <w:lvl w:ilvl="0">
      <w:lvlJc w:val="left"/>
      <w:lvlText w:val="•"/>
      <w:numFmt w:val="bullet"/>
      <w:start w:val="1"/>
    </w:lvl>
    <w:lvl w:ilvl="1">
      <w:lvlJc w:val="left"/>
      <w:lvlText w:val="(%2)"/>
      <w:numFmt w:val="lowerRoman"/>
      <w:start w:val="2"/>
    </w:lvl>
  </w:abstractNum>
  <w:abstractNum w:abstractNumId="89">
    <w:nsid w:val="2771AC80"/>
    <w:multiLevelType w:val="hybridMultilevel"/>
    <w:lvl w:ilvl="0">
      <w:lvlJc w:val="left"/>
      <w:lvlText w:val="•"/>
      <w:numFmt w:val="bullet"/>
      <w:start w:val="1"/>
    </w:lvl>
  </w:abstractNum>
  <w:abstractNum w:abstractNumId="90">
    <w:nsid w:val="1C4A08EC"/>
    <w:multiLevelType w:val="hybridMultilevel"/>
    <w:lvl w:ilvl="0">
      <w:lvlJc w:val="left"/>
      <w:lvlText w:val="*"/>
      <w:numFmt w:val="bullet"/>
      <w:start w:val="1"/>
    </w:lvl>
  </w:abstractNum>
  <w:abstractNum w:abstractNumId="91">
    <w:nsid w:val="1958BD17"/>
    <w:multiLevelType w:val="hybridMultilevel"/>
    <w:lvl w:ilvl="0">
      <w:lvlJc w:val="left"/>
      <w:lvlText w:val="(%1)"/>
      <w:numFmt w:val="decimal"/>
      <w:start w:val="1"/>
    </w:lvl>
  </w:abstractNum>
  <w:abstractNum w:abstractNumId="92">
    <w:nsid w:val="4E647FE4"/>
    <w:multiLevelType w:val="hybridMultilevel"/>
    <w:lvl w:ilvl="0">
      <w:lvlJc w:val="left"/>
      <w:lvlText w:val="(%1)"/>
      <w:numFmt w:val="decimal"/>
      <w:start w:val="6"/>
    </w:lvl>
  </w:abstractNum>
  <w:abstractNum w:abstractNumId="93">
    <w:nsid w:val="E0BB885"/>
    <w:multiLevelType w:val="hybridMultilevel"/>
    <w:lvl w:ilvl="0">
      <w:lvlJc w:val="left"/>
      <w:lvlText w:val="•"/>
      <w:numFmt w:val="bullet"/>
      <w:start w:val="1"/>
    </w:lvl>
  </w:abstractNum>
  <w:abstractNum w:abstractNumId="94">
    <w:nsid w:val="565976F1"/>
    <w:multiLevelType w:val="hybridMultilevel"/>
    <w:lvl w:ilvl="0">
      <w:lvlJc w:val="left"/>
      <w:lvlText w:val="•"/>
      <w:numFmt w:val="bullet"/>
      <w:start w:val="1"/>
    </w:lvl>
  </w:abstractNum>
  <w:abstractNum w:abstractNumId="95">
    <w:nsid w:val="64212B8C"/>
    <w:multiLevelType w:val="hybridMultilevel"/>
    <w:lvl w:ilvl="0">
      <w:lvlJc w:val="left"/>
      <w:lvlText w:val="•"/>
      <w:numFmt w:val="bullet"/>
      <w:start w:val="1"/>
    </w:lvl>
  </w:abstractNum>
  <w:abstractNum w:abstractNumId="96">
    <w:nsid w:val="5C17530C"/>
    <w:multiLevelType w:val="hybridMultilevel"/>
    <w:lvl w:ilvl="0">
      <w:lvlJc w:val="left"/>
      <w:lvlText w:val="•"/>
      <w:numFmt w:val="bullet"/>
      <w:start w:val="1"/>
    </w:lvl>
  </w:abstractNum>
  <w:abstractNum w:abstractNumId="97">
    <w:nsid w:val="19A52566"/>
    <w:multiLevelType w:val="hybridMultilevel"/>
    <w:lvl w:ilvl="0">
      <w:lvlJc w:val="left"/>
      <w:lvlText w:val="(%1)"/>
      <w:numFmt w:val="upperLetter"/>
      <w:start w:val="1"/>
    </w:lvl>
  </w:abstractNum>
  <w:abstractNum w:abstractNumId="98">
    <w:nsid w:val="335A1DF1"/>
    <w:multiLevelType w:val="hybridMultilevel"/>
    <w:lvl w:ilvl="0">
      <w:lvlJc w:val="left"/>
      <w:lvlText w:val="(%1)"/>
      <w:numFmt w:val="upperLetter"/>
      <w:start w:val="3"/>
    </w:lvl>
  </w:abstractNum>
  <w:abstractNum w:abstractNumId="99">
    <w:nsid w:val="28677B7C"/>
    <w:multiLevelType w:val="hybridMultilevel"/>
    <w:lvl w:ilvl="0">
      <w:lvlJc w:val="left"/>
      <w:lvlText w:val="•"/>
      <w:numFmt w:val="bullet"/>
      <w:start w:val="1"/>
    </w:lvl>
  </w:abstractNum>
  <w:abstractNum w:abstractNumId="100">
    <w:nsid w:val="378D97C0"/>
    <w:multiLevelType w:val="hybridMultilevel"/>
    <w:lvl w:ilvl="0">
      <w:lvlJc w:val="left"/>
      <w:lvlText w:val="•"/>
      <w:numFmt w:val="bullet"/>
      <w:start w:val="1"/>
    </w:lvl>
  </w:abstractNum>
  <w:abstractNum w:abstractNumId="101">
    <w:nsid w:val="1D91467C"/>
    <w:multiLevelType w:val="hybridMultilevel"/>
    <w:lvl w:ilvl="0">
      <w:lvlJc w:val="left"/>
      <w:lvlText w:val="•"/>
      <w:numFmt w:val="bullet"/>
      <w:start w:val="1"/>
    </w:lvl>
  </w:abstractNum>
  <w:abstractNum w:abstractNumId="102">
    <w:nsid w:val="316032BB"/>
    <w:multiLevelType w:val="hybridMultilevel"/>
    <w:lvl w:ilvl="0">
      <w:lvlJc w:val="left"/>
      <w:lvlText w:val="•"/>
      <w:numFmt w:val="bullet"/>
      <w:start w:val="1"/>
    </w:lvl>
  </w:abstractNum>
  <w:abstractNum w:abstractNumId="103">
    <w:nsid w:val="44344C22"/>
    <w:multiLevelType w:val="hybridMultilevel"/>
    <w:lvl w:ilvl="0">
      <w:lvlJc w:val="left"/>
      <w:lvlText w:val="•"/>
      <w:numFmt w:val="bullet"/>
      <w:start w:val="1"/>
    </w:lvl>
  </w:abstractNum>
  <w:abstractNum w:abstractNumId="104">
    <w:nsid w:val="13CDFCFC"/>
    <w:multiLevelType w:val="hybridMultilevel"/>
    <w:lvl w:ilvl="0">
      <w:lvlJc w:val="left"/>
      <w:lvlText w:val="•"/>
      <w:numFmt w:val="bullet"/>
      <w:start w:val="1"/>
    </w:lvl>
  </w:abstractNum>
  <w:abstractNum w:abstractNumId="105">
    <w:nsid w:val="471745E4"/>
    <w:multiLevelType w:val="hybridMultilevel"/>
    <w:lvl w:ilvl="0">
      <w:lvlJc w:val="left"/>
      <w:lvlText w:val="(%1)"/>
      <w:numFmt w:val="upperLetter"/>
      <w:start w:val="3"/>
    </w:lvl>
  </w:abstractNum>
  <w:abstractNum w:abstractNumId="106">
    <w:nsid w:val="1DDBC66"/>
    <w:multiLevelType w:val="hybridMultilevel"/>
    <w:lvl w:ilvl="0">
      <w:lvlJc w:val="left"/>
      <w:lvlText w:val="(%1)"/>
      <w:numFmt w:val="lowerLetter"/>
      <w:start w:val="1"/>
    </w:lvl>
  </w:abstractNum>
  <w:abstractNum w:abstractNumId="107">
    <w:nsid w:val="30AADFDA"/>
    <w:multiLevelType w:val="hybridMultilevel"/>
    <w:lvl w:ilvl="0">
      <w:lvlJc w:val="left"/>
      <w:lvlText w:val="(%1)"/>
      <w:numFmt w:val="lowerLetter"/>
      <w:start w:val="1"/>
    </w:lvl>
  </w:abstractNum>
  <w:abstractNum w:abstractNumId="108">
    <w:nsid w:val="30EADA61"/>
    <w:multiLevelType w:val="hybridMultilevel"/>
    <w:lvl w:ilvl="0">
      <w:lvlJc w:val="left"/>
      <w:lvlText w:val="(%1)"/>
      <w:numFmt w:val="lowerLetter"/>
      <w:start w:val="1"/>
    </w:lvl>
  </w:abstractNum>
  <w:abstractNum w:abstractNumId="109">
    <w:nsid w:val="27179C0B"/>
    <w:multiLevelType w:val="hybridMultilevel"/>
    <w:lvl w:ilvl="0">
      <w:lvlJc w:val="left"/>
      <w:lvlText w:val="(%1)"/>
      <w:numFmt w:val="lowerLetter"/>
      <w:start w:val="2"/>
    </w:lvl>
  </w:abstractNum>
  <w:abstractNum w:abstractNumId="110">
    <w:nsid w:val="5E636063"/>
    <w:multiLevelType w:val="hybridMultilevel"/>
    <w:lvl w:ilvl="0">
      <w:lvlJc w:val="left"/>
      <w:lvlText w:val="(%1)"/>
      <w:numFmt w:val="decimal"/>
      <w:start w:val="1"/>
    </w:lvl>
  </w:abstractNum>
  <w:abstractNum w:abstractNumId="111">
    <w:nsid w:val="215641AF"/>
    <w:multiLevelType w:val="hybridMultilevel"/>
    <w:lvl w:ilvl="0">
      <w:lvlJc w:val="left"/>
      <w:lvlText w:val="%1."/>
      <w:numFmt w:val="decimal"/>
      <w:start w:val="1"/>
    </w:lvl>
  </w:abstractNum>
  <w:abstractNum w:abstractNumId="112">
    <w:nsid w:val="53280662"/>
    <w:multiLevelType w:val="hybridMultilevel"/>
    <w:lvl w:ilvl="0">
      <w:lvlJc w:val="left"/>
      <w:lvlText w:val="%1."/>
      <w:numFmt w:val="decimal"/>
      <w:start w:val="2"/>
    </w:lvl>
  </w:abstractNum>
  <w:abstractNum w:abstractNumId="113">
    <w:nsid w:val="46B24DBC"/>
    <w:multiLevelType w:val="hybridMultilevel"/>
    <w:lvl w:ilvl="0">
      <w:lvlJc w:val="left"/>
      <w:lvlText w:val="%1)"/>
      <w:numFmt w:val="decimal"/>
      <w:start w:val="718"/>
    </w:lvl>
  </w:abstractNum>
  <w:abstractNum w:abstractNumId="114">
    <w:nsid w:val="75B52783"/>
    <w:multiLevelType w:val="hybridMultilevel"/>
    <w:lvl w:ilvl="0">
      <w:lvlJc w:val="left"/>
      <w:lvlText w:val="%1."/>
      <w:numFmt w:val="decimal"/>
      <w:start w:val="3"/>
    </w:lvl>
  </w:abstractNum>
  <w:abstractNum w:abstractNumId="115">
    <w:nsid w:val="57CE66B4"/>
    <w:multiLevelType w:val="hybridMultilevel"/>
    <w:lvl w:ilvl="0">
      <w:lvlJc w:val="left"/>
      <w:lvlText w:val="%1."/>
      <w:numFmt w:val="decimal"/>
      <w:start w:val="4"/>
    </w:lvl>
  </w:abstractNum>
  <w:abstractNum w:abstractNumId="116">
    <w:nsid w:val="67A70B69"/>
    <w:multiLevelType w:val="hybridMultilevel"/>
    <w:lvl w:ilvl="0">
      <w:lvlJc w:val="left"/>
      <w:lvlText w:val="%1."/>
      <w:numFmt w:val="decimal"/>
      <w:start w:val="5"/>
    </w:lvl>
  </w:abstractNum>
  <w:abstractNum w:abstractNumId="117">
    <w:nsid w:val="5953172F"/>
    <w:multiLevelType w:val="hybridMultilevel"/>
    <w:lvl w:ilvl="0">
      <w:lvlJc w:val="left"/>
      <w:lvlText w:val="(%1)"/>
      <w:numFmt w:val="decimal"/>
      <w:start w:val="1"/>
    </w:lvl>
  </w:abstractNum>
  <w:abstractNum w:abstractNumId="118">
    <w:nsid w:val="27EDFE3A"/>
    <w:multiLevelType w:val="hybridMultilevel"/>
    <w:lvl w:ilvl="0">
      <w:lvlJc w:val="left"/>
      <w:lvlText w:val="$"/>
      <w:numFmt w:val="bullet"/>
      <w:start w:val="1"/>
    </w:lvl>
  </w:abstractNum>
  <w:abstractNum w:abstractNumId="119">
    <w:nsid w:val="52AC7DFF"/>
    <w:multiLevelType w:val="hybridMultilevel"/>
    <w:lvl w:ilvl="0">
      <w:lvlJc w:val="left"/>
      <w:lvlText w:val="$"/>
      <w:numFmt w:val="bullet"/>
      <w:start w:val="1"/>
    </w:lvl>
  </w:abstractNum>
  <w:abstractNum w:abstractNumId="120">
    <w:nsid w:val="C4C3AF"/>
    <w:multiLevelType w:val="hybridMultilevel"/>
    <w:lvl w:ilvl="0">
      <w:lvlJc w:val="left"/>
      <w:lvlText w:val="$"/>
      <w:numFmt w:val="bullet"/>
      <w:start w:val="1"/>
    </w:lvl>
  </w:abstractNum>
  <w:abstractNum w:abstractNumId="121">
    <w:nsid w:val="44380727"/>
    <w:multiLevelType w:val="hybridMultilevel"/>
    <w:lvl w:ilvl="0">
      <w:lvlJc w:val="left"/>
      <w:lvlText w:val="$"/>
      <w:numFmt w:val="bullet"/>
      <w:start w:val="1"/>
    </w:lvl>
  </w:abstractNum>
  <w:abstractNum w:abstractNumId="122">
    <w:nsid w:val="6C053B16"/>
    <w:multiLevelType w:val="hybridMultilevel"/>
    <w:lvl w:ilvl="0">
      <w:lvlJc w:val="left"/>
      <w:lvlText w:val="(%1)"/>
      <w:numFmt w:val="decimal"/>
      <w:start w:val="1"/>
    </w:lvl>
  </w:abstractNum>
  <w:abstractNum w:abstractNumId="123">
    <w:nsid w:val="4F294393"/>
    <w:multiLevelType w:val="hybridMultilevel"/>
    <w:lvl w:ilvl="0">
      <w:lvlJc w:val="left"/>
      <w:lvlText w:val="%1."/>
      <w:numFmt w:val="decimal"/>
      <w:start w:val="6"/>
    </w:lvl>
  </w:abstractNum>
  <w:abstractNum w:abstractNumId="124">
    <w:nsid w:val="5243BFAC"/>
    <w:multiLevelType w:val="hybridMultilevel"/>
    <w:lvl w:ilvl="0">
      <w:lvlJc w:val="left"/>
      <w:lvlText w:val="$"/>
      <w:numFmt w:val="bullet"/>
      <w:start w:val="1"/>
    </w:lvl>
  </w:abstractNum>
  <w:abstractNum w:abstractNumId="125">
    <w:nsid w:val="425EB207"/>
    <w:multiLevelType w:val="hybridMultilevel"/>
    <w:lvl w:ilvl="0">
      <w:lvlJc w:val="left"/>
      <w:lvlText w:val="$"/>
      <w:numFmt w:val="bullet"/>
      <w:start w:val="1"/>
    </w:lvl>
  </w:abstractNum>
  <w:abstractNum w:abstractNumId="126">
    <w:nsid w:val="334A6F1F"/>
    <w:multiLevelType w:val="hybridMultilevel"/>
    <w:lvl w:ilvl="0">
      <w:lvlJc w:val="left"/>
      <w:lvlText w:val="(%1)"/>
      <w:numFmt w:val="decimal"/>
      <w:start w:val="1"/>
    </w:lvl>
  </w:abstractNum>
  <w:abstractNum w:abstractNumId="127">
    <w:nsid w:val="2E5B12B8"/>
    <w:multiLevelType w:val="hybridMultilevel"/>
    <w:lvl w:ilvl="0">
      <w:lvlJc w:val="left"/>
      <w:lvlText w:val="%1."/>
      <w:numFmt w:val="decimal"/>
      <w:start w:val="7"/>
    </w:lvl>
  </w:abstractNum>
  <w:abstractNum w:abstractNumId="128">
    <w:nsid w:val="5C03D76D"/>
    <w:multiLevelType w:val="hybridMultilevel"/>
    <w:lvl w:ilvl="0">
      <w:lvlJc w:val="left"/>
      <w:lvlText w:val="%1."/>
      <w:numFmt w:val="decimal"/>
      <w:start w:val="8"/>
    </w:lvl>
  </w:abstractNum>
  <w:abstractNum w:abstractNumId="129">
    <w:nsid w:val="66A48D11"/>
    <w:multiLevelType w:val="hybridMultilevel"/>
    <w:lvl w:ilvl="0">
      <w:lvlJc w:val="left"/>
      <w:lvlText w:val="%1."/>
      <w:numFmt w:val="decimal"/>
      <w:start w:val="9"/>
    </w:lvl>
  </w:abstractNum>
  <w:abstractNum w:abstractNumId="130">
    <w:nsid w:val="56C28E34"/>
    <w:multiLevelType w:val="hybridMultilevel"/>
    <w:lvl w:ilvl="0">
      <w:lvlJc w:val="left"/>
      <w:lvlText w:val="%1)"/>
      <w:numFmt w:val="lowerLetter"/>
      <w:start w:val="3"/>
    </w:lvl>
  </w:abstractNum>
  <w:abstractNum w:abstractNumId="131">
    <w:nsid w:val="13916F2D"/>
    <w:multiLevelType w:val="hybridMultilevel"/>
    <w:lvl w:ilvl="0">
      <w:lvlJc w:val="left"/>
      <w:lvlText w:val="%1."/>
      <w:numFmt w:val="decimal"/>
      <w:start w:val="10"/>
    </w:lvl>
  </w:abstractNum>
  <w:abstractNum w:abstractNumId="132">
    <w:nsid w:val="435D38D"/>
    <w:multiLevelType w:val="hybridMultilevel"/>
    <w:lvl w:ilvl="0">
      <w:lvlJc w:val="left"/>
      <w:lvlText w:val="$"/>
      <w:numFmt w:val="bullet"/>
      <w:start w:val="1"/>
    </w:lvl>
  </w:abstractNum>
  <w:abstractNum w:abstractNumId="133">
    <w:nsid w:val="822C0EF"/>
    <w:multiLevelType w:val="hybridMultilevel"/>
    <w:lvl w:ilvl="0">
      <w:lvlJc w:val="left"/>
      <w:lvlText w:val="$"/>
      <w:numFmt w:val="bullet"/>
      <w:start w:val="1"/>
    </w:lvl>
  </w:abstractNum>
  <w:abstractNum w:abstractNumId="134">
    <w:nsid w:val="57C5BB4F"/>
    <w:multiLevelType w:val="hybridMultilevel"/>
    <w:lvl w:ilvl="0">
      <w:lvlJc w:val="left"/>
      <w:lvlText w:val="(%1)"/>
      <w:numFmt w:val="decimal"/>
      <w:start w:val="1"/>
    </w:lvl>
  </w:abstractNum>
  <w:abstractNum w:abstractNumId="135">
    <w:nsid w:val="1803D089"/>
    <w:multiLevelType w:val="hybridMultilevel"/>
    <w:lvl w:ilvl="0">
      <w:lvlJc w:val="left"/>
      <w:lvlText w:val="%1."/>
      <w:numFmt w:val="decimal"/>
      <w:start w:val="11"/>
    </w:lvl>
  </w:abstractNum>
  <w:abstractNum w:abstractNumId="136">
    <w:nsid w:val="4F3A06D4"/>
    <w:multiLevelType w:val="hybridMultilevel"/>
    <w:lvl w:ilvl="0">
      <w:lvlJc w:val="left"/>
      <w:lvlText w:val="%1."/>
      <w:numFmt w:val="decimal"/>
      <w:start w:val="12"/>
    </w:lvl>
  </w:abstractNum>
  <w:abstractNum w:abstractNumId="137">
    <w:nsid w:val="59A377B6"/>
    <w:multiLevelType w:val="hybridMultilevel"/>
    <w:lvl w:ilvl="0">
      <w:lvlJc w:val="left"/>
      <w:lvlText w:val="%1."/>
      <w:numFmt w:val="decimal"/>
      <w:start w:val="13"/>
    </w:lvl>
  </w:abstractNum>
  <w:abstractNum w:abstractNumId="138">
    <w:nsid w:val="48AEB063"/>
    <w:multiLevelType w:val="hybridMultilevel"/>
    <w:lvl w:ilvl="0">
      <w:lvlJc w:val="left"/>
      <w:lvlText w:val="%1."/>
      <w:numFmt w:val="decimal"/>
      <w:start w:val="14"/>
    </w:lvl>
  </w:abstractNum>
  <w:abstractNum w:abstractNumId="139">
    <w:nsid w:val="24E135"/>
    <w:multiLevelType w:val="hybridMultilevel"/>
    <w:lvl w:ilvl="0">
      <w:lvlJc w:val="left"/>
      <w:lvlText w:val="%1."/>
      <w:numFmt w:val="decimal"/>
      <w:start w:val="15"/>
    </w:lvl>
  </w:abstractNum>
  <w:abstractNum w:abstractNumId="140">
    <w:nsid w:val="BB13C1"/>
    <w:multiLevelType w:val="hybridMultilevel"/>
    <w:lvl w:ilvl="0">
      <w:lvlJc w:val="left"/>
      <w:lvlText w:val="%1."/>
      <w:numFmt w:val="decimal"/>
      <w:start w:val="16"/>
    </w:lvl>
  </w:abstractNum>
  <w:abstractNum w:abstractNumId="141">
    <w:nsid w:val="271210C7"/>
    <w:multiLevelType w:val="hybridMultilevel"/>
    <w:lvl w:ilvl="0">
      <w:lvlJc w:val="left"/>
      <w:lvlText w:val="$"/>
      <w:numFmt w:val="bullet"/>
      <w:start w:val="1"/>
    </w:lvl>
  </w:abstractNum>
  <w:abstractNum w:abstractNumId="142">
    <w:nsid w:val="217B22E4"/>
    <w:multiLevelType w:val="hybridMultilevel"/>
    <w:lvl w:ilvl="0">
      <w:lvlJc w:val="left"/>
      <w:lvlText w:val="$"/>
      <w:numFmt w:val="bullet"/>
      <w:start w:val="1"/>
    </w:lvl>
  </w:abstractNum>
  <w:abstractNum w:abstractNumId="143">
    <w:nsid w:val="53E31A24"/>
    <w:multiLevelType w:val="hybridMultilevel"/>
    <w:lvl w:ilvl="0">
      <w:lvlJc w:val="left"/>
      <w:lvlText w:val="(%1)"/>
      <w:numFmt w:val="decimal"/>
      <w:start w:val="1"/>
    </w:lvl>
  </w:abstractNum>
  <w:abstractNum w:abstractNumId="144">
    <w:nsid w:val="6DC45E83"/>
    <w:multiLevelType w:val="hybridMultilevel"/>
    <w:lvl w:ilvl="0">
      <w:lvlJc w:val="left"/>
      <w:lvlText w:val="(%1)"/>
      <w:numFmt w:val="decimal"/>
      <w:start w:val="3"/>
    </w:lvl>
  </w:abstractNum>
  <w:abstractNum w:abstractNumId="145">
    <w:nsid w:val="17304A67"/>
    <w:multiLevelType w:val="hybridMultilevel"/>
    <w:lvl w:ilvl="0">
      <w:lvlJc w:val="left"/>
      <w:lvlText w:val="%1."/>
      <w:numFmt w:val="decimal"/>
      <w:start w:val="17"/>
    </w:lvl>
  </w:abstractNum>
  <w:abstractNum w:abstractNumId="146">
    <w:nsid w:val="2BB180D8"/>
    <w:multiLevelType w:val="hybridMultilevel"/>
    <w:lvl w:ilvl="0">
      <w:lvlJc w:val="left"/>
      <w:lvlText w:val="%1."/>
      <w:numFmt w:val="decimal"/>
      <w:start w:val="18"/>
    </w:lvl>
  </w:abstractNum>
  <w:abstractNum w:abstractNumId="147">
    <w:nsid w:val="556B69ED"/>
    <w:multiLevelType w:val="hybridMultilevel"/>
    <w:lvl w:ilvl="0">
      <w:lvlJc w:val="left"/>
      <w:lvlText w:val="%1."/>
      <w:numFmt w:val="decimal"/>
      <w:start w:val="19"/>
    </w:lvl>
  </w:abstractNum>
  <w:abstractNum w:abstractNumId="148">
    <w:nsid w:val="70836196"/>
    <w:multiLevelType w:val="hybridMultilevel"/>
    <w:lvl w:ilvl="0">
      <w:lvlJc w:val="left"/>
      <w:lvlText w:val="%1."/>
      <w:numFmt w:val="decimal"/>
      <w:start w:val="20"/>
    </w:lvl>
  </w:abstractNum>
  <w:abstractNum w:abstractNumId="149">
    <w:nsid w:val="539F7F12"/>
    <w:multiLevelType w:val="hybridMultilevel"/>
    <w:lvl w:ilvl="0">
      <w:lvlJc w:val="left"/>
      <w:lvlText w:val="%1."/>
      <w:numFmt w:val="decimal"/>
      <w:start w:val="21"/>
    </w:lvl>
  </w:abstractNum>
  <w:abstractNum w:abstractNumId="150">
    <w:nsid w:val="2817E7EC"/>
    <w:multiLevelType w:val="hybridMultilevel"/>
    <w:lvl w:ilvl="0">
      <w:lvlJc w:val="left"/>
      <w:lvlText w:val="(%1)"/>
      <w:numFmt w:val="lowerRoman"/>
      <w:start w:val="4"/>
    </w:lvl>
  </w:abstractNum>
  <w:abstractNum w:abstractNumId="151">
    <w:nsid w:val="71482545"/>
    <w:multiLevelType w:val="hybridMultilevel"/>
    <w:lvl w:ilvl="0">
      <w:lvlJc w:val="left"/>
      <w:lvlText w:val="*"/>
      <w:numFmt w:val="bullet"/>
      <w:start w:val="1"/>
    </w:lvl>
  </w:abstractNum>
  <w:abstractNum w:abstractNumId="152">
    <w:nsid w:val="17D78639"/>
    <w:multiLevelType w:val="hybridMultilevel"/>
    <w:lvl w:ilvl="0">
      <w:lvlJc w:val="left"/>
      <w:lvlText w:val="†"/>
      <w:numFmt w:val="bullet"/>
      <w:start w:val="1"/>
    </w:lvl>
  </w:abstractNum>
  <w:abstractNum w:abstractNumId="153">
    <w:nsid w:val="141D2302"/>
    <w:multiLevelType w:val="hybridMultilevel"/>
    <w:lvl w:ilvl="0">
      <w:lvlJc w:val="left"/>
      <w:lvlText w:val="#"/>
      <w:numFmt w:val="bullet"/>
      <w:start w:val="1"/>
    </w:lvl>
  </w:abstractNum>
  <w:abstractNum w:abstractNumId="154">
    <w:nsid w:val="407168D8"/>
    <w:multiLevelType w:val="hybridMultilevel"/>
    <w:lvl w:ilvl="0">
      <w:lvlJc w:val="left"/>
      <w:lvlText w:val="(%1)"/>
      <w:numFmt w:val="decimal"/>
      <w:start w:val="1"/>
    </w:lvl>
  </w:abstractNum>
  <w:abstractNum w:abstractNumId="155">
    <w:nsid w:val="6A1B45E5"/>
    <w:multiLevelType w:val="hybridMultilevel"/>
    <w:lvl w:ilvl="0">
      <w:lvlJc w:val="left"/>
      <w:lvlText w:val="(%1)"/>
      <w:numFmt w:val="decimal"/>
      <w:start w:val="2"/>
    </w:lvl>
  </w:abstractNum>
  <w:abstractNum w:abstractNumId="156">
    <w:nsid w:val="567BD50A"/>
    <w:multiLevelType w:val="hybridMultilevel"/>
    <w:lvl w:ilvl="0">
      <w:lvlJc w:val="left"/>
      <w:lvlText w:val="*"/>
      <w:numFmt w:val="bullet"/>
      <w:start w:val="1"/>
    </w:lvl>
  </w:abstractNum>
  <w:abstractNum w:abstractNumId="157">
    <w:nsid w:val="73BBD7F8"/>
    <w:multiLevelType w:val="hybridMultilevel"/>
    <w:lvl w:ilvl="0">
      <w:lvlJc w:val="left"/>
      <w:lvlText w:val="†"/>
      <w:numFmt w:val="bullet"/>
      <w:start w:val="1"/>
    </w:lvl>
  </w:abstractNum>
  <w:abstractNum w:abstractNumId="158">
    <w:nsid w:val="1876589D"/>
    <w:multiLevelType w:val="hybridMultilevel"/>
    <w:lvl w:ilvl="0">
      <w:lvlJc w:val="left"/>
      <w:lvlText w:val="#"/>
      <w:numFmt w:val="bullet"/>
      <w:start w:val="1"/>
    </w:lvl>
  </w:abstractNum>
  <w:abstractNum w:abstractNumId="159">
    <w:nsid w:val="327FAC77"/>
    <w:multiLevelType w:val="hybridMultilevel"/>
    <w:lvl w:ilvl="0">
      <w:lvlJc w:val="left"/>
      <w:lvlText w:val="%1"/>
      <w:numFmt w:val="lowerLetter"/>
      <w:start w:val="1"/>
    </w:lvl>
    <w:lvl w:ilvl="1">
      <w:lvlJc w:val="left"/>
      <w:lvlText w:val="%2."/>
      <w:numFmt w:val="decimal"/>
      <w:start w:val="1"/>
    </w:lvl>
  </w:abstractNum>
  <w:abstractNum w:abstractNumId="160">
    <w:nsid w:val="5A606509"/>
    <w:multiLevelType w:val="hybridMultilevel"/>
    <w:lvl w:ilvl="0">
      <w:lvlJc w:val="left"/>
      <w:lvlText w:val="(%1)"/>
      <w:numFmt w:val="lowerLetter"/>
      <w:start w:val="1"/>
    </w:lvl>
    <w:lvl w:ilvl="1">
      <w:lvlJc w:val="left"/>
      <w:lvlText w:val="%2"/>
      <w:numFmt w:val="decimal"/>
      <w:start w:val="1"/>
    </w:lvl>
  </w:abstractNum>
  <w:abstractNum w:abstractNumId="161">
    <w:nsid w:val="6F38E6D1"/>
    <w:multiLevelType w:val="hybridMultilevel"/>
    <w:lvl w:ilvl="0">
      <w:lvlJc w:val="left"/>
      <w:lvlText w:val="(%1)"/>
      <w:numFmt w:val="lowerRoman"/>
      <w:start w:val="1"/>
    </w:lvl>
  </w:abstractNum>
  <w:abstractNum w:abstractNumId="162">
    <w:nsid w:val="46111BA5"/>
    <w:multiLevelType w:val="hybridMultilevel"/>
    <w:lvl w:ilvl="0">
      <w:lvlJc w:val="left"/>
      <w:lvlText w:val="(%1)"/>
      <w:numFmt w:val="lowerLetter"/>
      <w:start w:val="2"/>
    </w:lvl>
  </w:abstractNum>
  <w:abstractNum w:abstractNumId="163">
    <w:nsid w:val="5E963896"/>
    <w:multiLevelType w:val="hybridMultilevel"/>
    <w:lvl w:ilvl="0">
      <w:lvlJc w:val="left"/>
      <w:lvlText w:val="(%1)"/>
      <w:numFmt w:val="lowerLetter"/>
      <w:start w:val="8"/>
    </w:lvl>
  </w:abstractNum>
  <w:abstractNum w:abstractNumId="164">
    <w:nsid w:val="775BA7C1"/>
    <w:multiLevelType w:val="hybridMultilevel"/>
    <w:lvl w:ilvl="0">
      <w:lvlJc w:val="left"/>
      <w:lvlText w:val="(%1)"/>
      <w:numFmt w:val="lowerLetter"/>
      <w:start w:val="12"/>
    </w:lvl>
  </w:abstractNum>
  <w:abstractNum w:abstractNumId="165">
    <w:nsid w:val="1DD6D6F4"/>
    <w:multiLevelType w:val="hybridMultilevel"/>
    <w:lvl w:ilvl="0">
      <w:lvlJc w:val="left"/>
      <w:lvlText w:val="(%1)"/>
      <w:numFmt w:val="lowerLetter"/>
      <w:start w:val="17"/>
    </w:lvl>
  </w:abstractNum>
  <w:abstractNum w:abstractNumId="166">
    <w:nsid w:val="769A091F"/>
    <w:multiLevelType w:val="hybridMultilevel"/>
    <w:lvl w:ilvl="0">
      <w:lvlJc w:val="left"/>
      <w:lvlText w:val="(%1)"/>
      <w:numFmt w:val="lowerLetter"/>
      <w:start w:val="21"/>
    </w:lvl>
  </w:abstractNum>
  <w:abstractNum w:abstractNumId="167">
    <w:nsid w:val="4695AE95"/>
    <w:multiLevelType w:val="hybridMultilevel"/>
    <w:lvl w:ilvl="0">
      <w:lvlJc w:val="left"/>
      <w:lvlText w:val="%1"/>
      <w:numFmt w:val="lowerLetter"/>
      <w:start w:val="1"/>
    </w:lvl>
    <w:lvl w:ilvl="1">
      <w:lvlJc w:val="left"/>
      <w:lvlText w:val="(%2)"/>
      <w:numFmt w:val="lowerLetter"/>
      <w:start w:val="27"/>
    </w:lvl>
  </w:abstractNum>
  <w:abstractNum w:abstractNumId="168">
    <w:nsid w:val="777A4EAA"/>
    <w:multiLevelType w:val="hybridMultilevel"/>
    <w:lvl w:ilvl="0">
      <w:lvlJc w:val="left"/>
      <w:lvlText w:val="(%1)"/>
      <w:numFmt w:val="lowerLetter"/>
      <w:start w:val="9"/>
    </w:lvl>
    <w:lvl w:ilvl="1">
      <w:lvlJc w:val="left"/>
      <w:lvlText w:val="(%2)"/>
      <w:numFmt w:val="lowerLetter"/>
      <w:start w:val="28"/>
    </w:lvl>
  </w:abstractNum>
  <w:abstractNum w:abstractNumId="169">
    <w:nsid w:val="3F48B982"/>
    <w:multiLevelType w:val="hybridMultilevel"/>
    <w:lvl w:ilvl="0">
      <w:lvlJc w:val="left"/>
      <w:lvlText w:val="(%1)"/>
      <w:numFmt w:val="lowerLetter"/>
      <w:start w:val="30"/>
    </w:lvl>
  </w:abstractNum>
  <w:abstractNum w:abstractNumId="170">
    <w:nsid w:val="46BA8FCA"/>
    <w:multiLevelType w:val="hybridMultilevel"/>
    <w:lvl w:ilvl="0">
      <w:lvlJc w:val="left"/>
      <w:lvlText w:val="%1"/>
      <w:numFmt w:val="lowerRoman"/>
      <w:start w:val="1"/>
    </w:lvl>
    <w:lvl w:ilvl="1">
      <w:lvlJc w:val="left"/>
      <w:lvlText w:val="(%2)"/>
      <w:numFmt w:val="lowerLetter"/>
      <w:start w:val="34"/>
    </w:lvl>
  </w:abstractNum>
  <w:abstractNum w:abstractNumId="171">
    <w:nsid w:val="7835626C"/>
    <w:multiLevelType w:val="hybridMultilevel"/>
    <w:lvl w:ilvl="0">
      <w:lvlJc w:val="left"/>
      <w:lvlText w:val="(%1)"/>
      <w:numFmt w:val="lowerRoman"/>
      <w:start w:val="4"/>
    </w:lvl>
    <w:lvl w:ilvl="1">
      <w:lvlJc w:val="left"/>
      <w:lvlText w:val="(%2)"/>
      <w:numFmt w:val="lowerLetter"/>
      <w:start w:val="37"/>
    </w:lvl>
  </w:abstractNum>
  <w:abstractNum w:abstractNumId="172">
    <w:nsid w:val="665ACA49"/>
    <w:multiLevelType w:val="hybridMultilevel"/>
    <w:lvl w:ilvl="0">
      <w:lvlJc w:val="left"/>
      <w:lvlText w:val="(%1)"/>
      <w:numFmt w:val="lowerLetter"/>
      <w:start w:val="38"/>
    </w:lvl>
  </w:abstractNum>
  <w:abstractNum w:abstractNumId="173">
    <w:nsid w:val="6835B2AE"/>
    <w:multiLevelType w:val="hybridMultilevel"/>
    <w:lvl w:ilvl="0">
      <w:lvlJc w:val="left"/>
      <w:lvlText w:val="(%1)"/>
      <w:numFmt w:val="lowerLetter"/>
      <w:start w:val="40"/>
    </w:lvl>
  </w:abstractNum>
  <w:abstractNum w:abstractNumId="174">
    <w:nsid w:val="4C187C90"/>
    <w:multiLevelType w:val="hybridMultilevel"/>
    <w:lvl w:ilvl="0">
      <w:lvlJc w:val="left"/>
      <w:lvlText w:val="(%1)"/>
      <w:numFmt w:val="lowerLetter"/>
      <w:start w:val="49"/>
    </w:lvl>
  </w:abstractNum>
  <w:abstractNum w:abstractNumId="175">
    <w:nsid w:val="541F28CD"/>
    <w:multiLevelType w:val="hybridMultilevel"/>
    <w:lvl w:ilvl="0">
      <w:lvlJc w:val="left"/>
      <w:lvlText w:val="(%1)"/>
      <w:numFmt w:val="lowerLetter"/>
      <w:start w:val="53"/>
    </w:lvl>
  </w:abstractNum>
  <w:abstractNum w:abstractNumId="176">
    <w:nsid w:val="7F65FD16"/>
    <w:multiLevelType w:val="hybridMultilevel"/>
    <w:lvl w:ilvl="0">
      <w:lvlJc w:val="left"/>
      <w:lvlText w:val="(%1)"/>
      <w:numFmt w:val="lowerLetter"/>
      <w:start w:val="57"/>
    </w:lvl>
  </w:abstractNum>
  <w:abstractNum w:abstractNumId="177">
    <w:nsid w:val="77C9FD68"/>
    <w:multiLevelType w:val="hybridMultilevel"/>
    <w:lvl w:ilvl="0">
      <w:lvlJc w:val="left"/>
      <w:lvlText w:val="(%1)"/>
      <w:numFmt w:val="lowerLetter"/>
      <w:start w:val="61"/>
    </w:lvl>
  </w:abstractNum>
  <w:abstractNum w:abstractNumId="178">
    <w:nsid w:val="298A92BA"/>
    <w:multiLevelType w:val="hybridMultilevel"/>
    <w:lvl w:ilvl="0">
      <w:lvlJc w:val="left"/>
      <w:lvlText w:val="%1."/>
      <w:numFmt w:val="decimal"/>
      <w:start w:val="2"/>
    </w:lvl>
  </w:abstractNum>
  <w:abstractNum w:abstractNumId="179">
    <w:nsid w:val="6FE95EAC"/>
    <w:multiLevelType w:val="hybridMultilevel"/>
    <w:lvl w:ilvl="0">
      <w:lvlJc w:val="left"/>
      <w:lvlText w:val="%1."/>
      <w:numFmt w:val="decimal"/>
      <w:start w:val="3"/>
    </w:lvl>
  </w:abstractNum>
  <w:abstractNum w:abstractNumId="180">
    <w:nsid w:val="4B697C7A"/>
    <w:multiLevelType w:val="hybridMultilevel"/>
    <w:lvl w:ilvl="0">
      <w:lvlJc w:val="left"/>
      <w:lvlText w:val="%1."/>
      <w:numFmt w:val="decimal"/>
      <w:start w:val="4"/>
    </w:lvl>
  </w:abstractNum>
  <w:abstractNum w:abstractNumId="181">
    <w:nsid w:val="51A27AA6"/>
    <w:multiLevelType w:val="hybridMultilevel"/>
    <w:lvl w:ilvl="0">
      <w:lvlJc w:val="left"/>
      <w:lvlText w:val="%1."/>
      <w:numFmt w:val="decimal"/>
      <w:start w:val="5"/>
    </w:lvl>
  </w:abstractNum>
  <w:abstractNum w:abstractNumId="182">
    <w:nsid w:val="613183F2"/>
    <w:multiLevelType w:val="hybridMultilevel"/>
    <w:lvl w:ilvl="0">
      <w:lvlJc w:val="left"/>
      <w:lvlText w:val="(%1)"/>
      <w:numFmt w:val="lowerRoman"/>
      <w:start w:val="1"/>
    </w:lvl>
  </w:abstractNum>
  <w:abstractNum w:abstractNumId="183">
    <w:nsid w:val="634102B4"/>
    <w:multiLevelType w:val="hybridMultilevel"/>
    <w:lvl w:ilvl="0">
      <w:lvlJc w:val="left"/>
      <w:lvlText w:val="(%1)"/>
      <w:numFmt w:val="lowerRoman"/>
      <w:start w:val="2"/>
    </w:lvl>
  </w:abstractNum>
  <w:abstractNum w:abstractNumId="184">
    <w:nsid w:val="65BF9DA8"/>
    <w:multiLevelType w:val="hybridMultilevel"/>
    <w:lvl w:ilvl="0">
      <w:lvlJc w:val="left"/>
      <w:lvlText w:val="(%1)"/>
      <w:numFmt w:val="lowerRoman"/>
      <w:start w:val="8"/>
    </w:lvl>
  </w:abstractNum>
  <w:abstractNum w:abstractNumId="185">
    <w:nsid w:val="21A2ECCA"/>
    <w:multiLevelType w:val="hybridMultilevel"/>
    <w:lvl w:ilvl="0">
      <w:lvlJc w:val="left"/>
      <w:lvlText w:val="(%1)"/>
      <w:numFmt w:val="lowerRoman"/>
      <w:start w:val="11"/>
    </w:lvl>
  </w:abstractNum>
  <w:abstractNum w:abstractNumId="186">
    <w:nsid w:val="4D5C4899"/>
    <w:multiLevelType w:val="hybridMultilevel"/>
    <w:lvl w:ilvl="0">
      <w:lvlJc w:val="left"/>
      <w:lvlText w:val="(%1)"/>
      <w:numFmt w:val="lowerRoman"/>
      <w:start w:val="16"/>
    </w:lvl>
  </w:abstractNum>
  <w:abstractNum w:abstractNumId="187">
    <w:nsid w:val="3C3B72B2"/>
    <w:multiLevelType w:val="hybridMultilevel"/>
    <w:lvl w:ilvl="0">
      <w:lvlJc w:val="left"/>
      <w:lvlText w:val="(%1)"/>
      <w:numFmt w:val="lowerLetter"/>
      <w:start w:val="2"/>
    </w:lvl>
  </w:abstractNum>
  <w:abstractNum w:abstractNumId="188">
    <w:nsid w:val="155EC4C2"/>
    <w:multiLevelType w:val="hybridMultilevel"/>
    <w:lvl w:ilvl="0">
      <w:lvlJc w:val="left"/>
      <w:lvlText w:val="%1"/>
      <w:numFmt w:val="lowerLetter"/>
      <w:start w:val="1"/>
    </w:lvl>
    <w:lvl w:ilvl="1">
      <w:lvlJc w:val="left"/>
      <w:lvlText w:val="%2."/>
      <w:numFmt w:val="decimal"/>
      <w:start w:val="6"/>
    </w:lvl>
  </w:abstractNum>
  <w:abstractNum w:abstractNumId="189">
    <w:nsid w:val="65D2A137"/>
    <w:multiLevelType w:val="hybridMultilevel"/>
    <w:lvl w:ilvl="0">
      <w:lvlJc w:val="left"/>
      <w:lvlText w:val="(%1)"/>
      <w:numFmt w:val="lowerLetter"/>
      <w:start w:val="10"/>
    </w:lvl>
    <w:lvl w:ilvl="1">
      <w:lvlJc w:val="left"/>
      <w:lvlText w:val="%2"/>
      <w:numFmt w:val="decimal"/>
      <w:start w:val="1"/>
    </w:lvl>
  </w:abstractNum>
  <w:abstractNum w:abstractNumId="190">
    <w:nsid w:val="6EBB1F2A"/>
    <w:multiLevelType w:val="hybridMultilevel"/>
    <w:lvl w:ilvl="0">
      <w:lvlJc w:val="left"/>
      <w:lvlText w:val="%1."/>
      <w:numFmt w:val="decimal"/>
      <w:start w:val="7"/>
    </w:lvl>
  </w:abstractNum>
  <w:abstractNum w:abstractNumId="191">
    <w:nsid w:val="6FBF29CB"/>
    <w:multiLevelType w:val="hybridMultilevel"/>
    <w:lvl w:ilvl="0">
      <w:lvlJc w:val="left"/>
      <w:lvlText w:val="(%1)"/>
      <w:numFmt w:val="lowerLetter"/>
      <w:start w:val="1"/>
    </w:lvl>
  </w:abstractNum>
  <w:abstractNum w:abstractNumId="192">
    <w:nsid w:val="550B8808"/>
    <w:multiLevelType w:val="hybridMultilevel"/>
    <w:lvl w:ilvl="0">
      <w:lvlJc w:val="left"/>
      <w:lvlText w:val="(%1)"/>
      <w:numFmt w:val="lowerLetter"/>
      <w:start w:val="7"/>
    </w:lvl>
    <w:lvl w:ilvl="1">
      <w:lvlJc w:val="left"/>
      <w:lvlText w:val="(%2)"/>
      <w:numFmt w:val="lowerRoman"/>
      <w:start w:val="1"/>
    </w:lvl>
  </w:abstractNum>
  <w:abstractNum w:abstractNumId="193">
    <w:nsid w:val="34CC3ACF"/>
    <w:multiLevelType w:val="hybridMultilevel"/>
    <w:lvl w:ilvl="0">
      <w:lvlJc w:val="left"/>
      <w:lvlText w:val="%1"/>
      <w:numFmt w:val="lowerLetter"/>
      <w:start w:val="1"/>
    </w:lvl>
    <w:lvl w:ilvl="1">
      <w:lvlJc w:val="left"/>
      <w:lvlText w:val="(%2)"/>
      <w:numFmt w:val="lowerLetter"/>
      <w:start w:val="12"/>
    </w:lvl>
  </w:abstractNum>
  <w:abstractNum w:abstractNumId="194">
    <w:nsid w:val="4E556261"/>
    <w:multiLevelType w:val="hybridMultilevel"/>
    <w:lvl w:ilvl="0">
      <w:lvlJc w:val="left"/>
      <w:lvlText w:val="(%1)"/>
      <w:numFmt w:val="lowerLetter"/>
      <w:start w:val="15"/>
    </w:lvl>
    <w:lvl w:ilvl="1">
      <w:lvlJc w:val="left"/>
      <w:lvlText w:val="%2"/>
      <w:numFmt w:val="lowerLetter"/>
      <w:start w:val="1"/>
    </w:lvl>
  </w:abstractNum>
  <w:abstractNum w:abstractNumId="195">
    <w:nsid w:val="4C672FC9"/>
    <w:multiLevelType w:val="hybridMultilevel"/>
    <w:lvl w:ilvl="0">
      <w:lvlJc w:val="left"/>
      <w:lvlText w:val="(%1)"/>
      <w:numFmt w:val="lowerLetter"/>
      <w:start w:val="16"/>
    </w:lvl>
  </w:abstractNum>
  <w:abstractNum w:abstractNumId="196">
    <w:nsid w:val="52A311C3"/>
    <w:multiLevelType w:val="hybridMultilevel"/>
    <w:lvl w:ilvl="0">
      <w:lvlJc w:val="left"/>
      <w:lvlText w:val="%1."/>
      <w:numFmt w:val="decimal"/>
      <w:start w:val="8"/>
    </w:lvl>
  </w:abstractNum>
  <w:abstractNum w:abstractNumId="197">
    <w:nsid w:val="44EF6B80"/>
    <w:multiLevelType w:val="hybridMultilevel"/>
    <w:lvl w:ilvl="0">
      <w:lvlJc w:val="left"/>
      <w:lvlText w:val="(%1)"/>
      <w:numFmt w:val="lowerLetter"/>
      <w:start w:val="2"/>
    </w:lvl>
  </w:abstractNum>
  <w:abstractNum w:abstractNumId="198">
    <w:nsid w:val="12FCDE5E"/>
    <w:multiLevelType w:val="hybridMultilevel"/>
    <w:lvl w:ilvl="0">
      <w:lvlJc w:val="left"/>
      <w:lvlText w:val="%1"/>
      <w:numFmt w:val="lowerLetter"/>
      <w:start w:val="1"/>
    </w:lvl>
    <w:lvl w:ilvl="1">
      <w:lvlJc w:val="left"/>
      <w:lvlText w:val="(%2)"/>
      <w:numFmt w:val="lowerLetter"/>
      <w:start w:val="5"/>
    </w:lvl>
  </w:abstractNum>
  <w:abstractNum w:abstractNumId="199">
    <w:nsid w:val="4A1D606E"/>
    <w:multiLevelType w:val="hybridMultilevel"/>
    <w:lvl w:ilvl="0">
      <w:lvlJc w:val="left"/>
      <w:lvlText w:val="(%1)"/>
      <w:numFmt w:val="lowerLetter"/>
      <w:start w:val="35"/>
    </w:lvl>
    <w:lvl w:ilvl="1">
      <w:lvlJc w:val="left"/>
      <w:lvlText w:val="%2"/>
      <w:numFmt w:val="lowerLetter"/>
      <w:start w:val="1"/>
    </w:lvl>
  </w:abstractNum>
  <w:abstractNum w:abstractNumId="200">
    <w:nsid w:val="4382503"/>
    <w:multiLevelType w:val="hybridMultilevel"/>
    <w:lvl w:ilvl="0">
      <w:lvlJc w:val="left"/>
      <w:lvlText w:val="(%1)"/>
      <w:numFmt w:val="lowerLetter"/>
      <w:start w:val="6"/>
    </w:lvl>
  </w:abstractNum>
  <w:abstractNum w:abstractNumId="201">
    <w:nsid w:val="59B76E28"/>
    <w:multiLevelType w:val="hybridMultilevel"/>
    <w:lvl w:ilvl="0">
      <w:lvlJc w:val="left"/>
      <w:lvlText w:val="%1."/>
      <w:numFmt w:val="decimal"/>
      <w:start w:val="9"/>
    </w:lvl>
  </w:abstractNum>
  <w:abstractNum w:abstractNumId="202">
    <w:nsid w:val="4252C2DA"/>
    <w:multiLevelType w:val="hybridMultilevel"/>
    <w:lvl w:ilvl="0">
      <w:lvlJc w:val="left"/>
      <w:lvlText w:val="(%1)"/>
      <w:numFmt w:val="lowerLetter"/>
      <w:start w:val="1"/>
    </w:lvl>
  </w:abstractNum>
  <w:abstractNum w:abstractNumId="203">
    <w:nsid w:val="6A92EF4C"/>
    <w:multiLevelType w:val="hybridMultilevel"/>
    <w:lvl w:ilvl="0">
      <w:lvlJc w:val="left"/>
      <w:lvlText w:val="%1"/>
      <w:numFmt w:val="lowerLetter"/>
      <w:start w:val="1"/>
    </w:lvl>
    <w:lvl w:ilvl="1">
      <w:lvlJc w:val="left"/>
      <w:lvlText w:val="(%2)"/>
      <w:numFmt w:val="lowerLetter"/>
      <w:start w:val="3"/>
    </w:lvl>
  </w:abstractNum>
  <w:abstractNum w:abstractNumId="204">
    <w:nsid w:val="41ED20D7"/>
    <w:multiLevelType w:val="hybridMultilevel"/>
    <w:lvl w:ilvl="0">
      <w:lvlJc w:val="left"/>
      <w:lvlText w:val="(%1)"/>
      <w:numFmt w:val="lowerLetter"/>
      <w:start w:val="9"/>
    </w:lvl>
    <w:lvl w:ilvl="1">
      <w:lvlJc w:val="left"/>
      <w:lvlText w:val="%2"/>
      <w:numFmt w:val="lowerLetter"/>
      <w:start w:val="1"/>
    </w:lvl>
  </w:abstractNum>
  <w:abstractNum w:abstractNumId="205">
    <w:nsid w:val="E6B3F6A"/>
    <w:multiLevelType w:val="hybridMultilevel"/>
    <w:lvl w:ilvl="0">
      <w:lvlJc w:val="left"/>
      <w:lvlText w:val="%1"/>
      <w:numFmt w:val="lowerLetter"/>
      <w:start w:val="1"/>
    </w:lvl>
    <w:lvl w:ilvl="1">
      <w:lvlJc w:val="left"/>
      <w:lvlText w:val="%2."/>
      <w:numFmt w:val="decimal"/>
      <w:start w:val="10"/>
    </w:lvl>
  </w:abstractNum>
  <w:abstractNum w:abstractNumId="206">
    <w:nsid w:val="3EB21819"/>
    <w:multiLevelType w:val="hybridMultilevel"/>
    <w:lvl w:ilvl="0">
      <w:lvlJc w:val="left"/>
      <w:lvlText w:val="(%1)"/>
      <w:numFmt w:val="lowerLetter"/>
      <w:start w:val="1"/>
    </w:lvl>
    <w:lvl w:ilvl="1">
      <w:lvlJc w:val="left"/>
      <w:lvlText w:val="%2"/>
      <w:numFmt w:val="decimal"/>
      <w:start w:val="1"/>
    </w:lvl>
  </w:abstractNum>
  <w:abstractNum w:abstractNumId="207">
    <w:nsid w:val="41531DED"/>
    <w:multiLevelType w:val="hybridMultilevel"/>
    <w:lvl w:ilvl="0">
      <w:lvlJc w:val="left"/>
      <w:lvlText w:val="(%1)"/>
      <w:numFmt w:val="lowerLetter"/>
      <w:start w:val="1"/>
    </w:lvl>
  </w:abstractNum>
  <w:abstractNum w:abstractNumId="208">
    <w:nsid w:val="6353CD2"/>
    <w:multiLevelType w:val="hybridMultilevel"/>
    <w:lvl w:ilvl="0">
      <w:lvlJc w:val="left"/>
      <w:lvlText w:val="(%1)"/>
      <w:numFmt w:val="lowerLetter"/>
      <w:start w:val="4"/>
    </w:lvl>
    <w:lvl w:ilvl="1">
      <w:lvlJc w:val="left"/>
      <w:lvlText w:val="%2."/>
      <w:numFmt w:val="decimal"/>
      <w:start w:val="11"/>
    </w:lvl>
  </w:abstractNum>
  <w:abstractNum w:abstractNumId="209">
    <w:nsid w:val="683CAAD3"/>
    <w:multiLevelType w:val="hybridMultilevel"/>
    <w:lvl w:ilvl="0">
      <w:lvlJc w:val="left"/>
      <w:lvlText w:val="%1"/>
      <w:numFmt w:val="lowerLetter"/>
      <w:start w:val="1"/>
    </w:lvl>
    <w:lvl w:ilvl="1">
      <w:lvlJc w:val="left"/>
      <w:lvlText w:val="%2."/>
      <w:numFmt w:val="decimal"/>
      <w:start w:val="15"/>
    </w:lvl>
  </w:abstractNum>
  <w:abstractNum w:abstractNumId="210">
    <w:nsid w:val="313C7C99"/>
    <w:multiLevelType w:val="hybridMultilevel"/>
    <w:lvl w:ilvl="0">
      <w:lvlJc w:val="left"/>
      <w:lvlText w:val="(%1)"/>
      <w:numFmt w:val="lowerLetter"/>
      <w:start w:val="1"/>
    </w:lvl>
    <w:lvl w:ilvl="1">
      <w:lvlJc w:val="left"/>
      <w:lvlText w:val="%2"/>
      <w:numFmt w:val="decimal"/>
      <w:start w:val="1"/>
    </w:lvl>
  </w:abstractNum>
  <w:abstractNum w:abstractNumId="211">
    <w:nsid w:val="519EB94C"/>
    <w:multiLevelType w:val="hybridMultilevel"/>
    <w:lvl w:ilvl="0">
      <w:lvlJc w:val="left"/>
      <w:lvlText w:val="%1."/>
      <w:numFmt w:val="decimal"/>
      <w:start w:val="16"/>
    </w:lvl>
  </w:abstractNum>
  <w:abstractNum w:abstractNumId="212">
    <w:nsid w:val="39DF2579"/>
    <w:multiLevelType w:val="hybridMultilevel"/>
    <w:lvl w:ilvl="0">
      <w:lvlJc w:val="left"/>
      <w:lvlText w:val="%1"/>
      <w:numFmt w:val="lowerLetter"/>
      <w:start w:val="1"/>
    </w:lvl>
    <w:lvl w:ilvl="1">
      <w:lvlJc w:val="left"/>
      <w:lvlText w:val="%2."/>
      <w:numFmt w:val="decimal"/>
      <w:start w:val="17"/>
    </w:lvl>
  </w:abstractNum>
  <w:abstractNum w:abstractNumId="213">
    <w:nsid w:val="126E008B"/>
    <w:multiLevelType w:val="hybridMultilevel"/>
    <w:lvl w:ilvl="0">
      <w:lvlJc w:val="left"/>
      <w:lvlText w:val="(%1)"/>
      <w:numFmt w:val="lowerLetter"/>
      <w:start w:val="1"/>
    </w:lvl>
    <w:lvl w:ilvl="1">
      <w:lvlJc w:val="left"/>
      <w:lvlText w:val="%2"/>
      <w:numFmt w:val="decimal"/>
      <w:start w:val="1"/>
    </w:lvl>
  </w:abstractNum>
  <w:abstractNum w:abstractNumId="214">
    <w:nsid w:val="34DFBC00"/>
    <w:multiLevelType w:val="hybridMultilevel"/>
    <w:lvl w:ilvl="0">
      <w:lvlJc w:val="left"/>
      <w:lvlText w:val="(%1)"/>
      <w:numFmt w:val="lowerLetter"/>
      <w:start w:val="2"/>
    </w:lvl>
  </w:abstractNum>
  <w:abstractNum w:abstractNumId="215">
    <w:nsid w:val="1F9EC322"/>
    <w:multiLevelType w:val="hybridMultilevel"/>
    <w:lvl w:ilvl="0">
      <w:lvlJc w:val="left"/>
      <w:lvlText w:val="%1."/>
      <w:numFmt w:val="decimal"/>
      <w:start w:val="1"/>
    </w:lvl>
  </w:abstractNum>
  <w:abstractNum w:abstractNumId="216">
    <w:nsid w:val="3410ED56"/>
    <w:multiLevelType w:val="hybridMultilevel"/>
    <w:lvl w:ilvl="0">
      <w:lvlJc w:val="left"/>
      <w:lvlText w:val="(%1)"/>
      <w:numFmt w:val="lowerLetter"/>
      <w:start w:val="2"/>
    </w:lvl>
  </w:abstractNum>
  <w:abstractNum w:abstractNumId="217">
    <w:nsid w:val="23C049A"/>
    <w:multiLevelType w:val="hybridMultilevel"/>
    <w:lvl w:ilvl="0">
      <w:lvlJc w:val="left"/>
      <w:lvlText w:val="(%1)"/>
      <w:numFmt w:val="lowerLetter"/>
      <w:start w:val="1"/>
    </w:lvl>
  </w:abstractNum>
  <w:abstractNum w:abstractNumId="218">
    <w:nsid w:val="5BDA35D4"/>
    <w:multiLevelType w:val="hybridMultilevel"/>
    <w:lvl w:ilvl="0">
      <w:lvlJc w:val="left"/>
      <w:lvlText w:val="%1"/>
      <w:numFmt w:val="lowerLetter"/>
      <w:start w:val="1"/>
    </w:lvl>
    <w:lvl w:ilvl="1">
      <w:lvlJc w:val="left"/>
      <w:lvlText w:val="(%2)"/>
      <w:numFmt w:val="lowerRoman"/>
      <w:start w:val="1"/>
    </w:lvl>
  </w:abstractNum>
  <w:abstractNum w:abstractNumId="219">
    <w:nsid w:val="496FB218"/>
    <w:multiLevelType w:val="hybridMultilevel"/>
    <w:lvl w:ilvl="0">
      <w:lvlJc w:val="left"/>
      <w:lvlText w:val="(%1)"/>
      <w:numFmt w:val="lowerLetter"/>
      <w:start w:val="2"/>
    </w:lvl>
    <w:lvl w:ilvl="1">
      <w:lvlJc w:val="left"/>
      <w:lvlText w:val="%2"/>
      <w:numFmt w:val="lowerRoman"/>
      <w:start w:val="1"/>
    </w:lvl>
  </w:abstractNum>
  <w:abstractNum w:abstractNumId="220">
    <w:nsid w:val="680EA5D1"/>
    <w:multiLevelType w:val="hybridMultilevel"/>
    <w:lvl w:ilvl="0">
      <w:lvlJc w:val="left"/>
      <w:lvlText w:val="(%1)"/>
      <w:numFmt w:val="lowerLetter"/>
      <w:start w:val="5"/>
    </w:lvl>
  </w:abstractNum>
  <w:abstractNum w:abstractNumId="221">
    <w:nsid w:val="4A9554FE"/>
    <w:multiLevelType w:val="hybridMultilevel"/>
    <w:lvl w:ilvl="0">
      <w:lvlJc w:val="left"/>
      <w:lvlText w:val="(%1)"/>
      <w:numFmt w:val="lowerLetter"/>
      <w:start w:val="1"/>
    </w:lvl>
    <w:lvl w:ilvl="1">
      <w:lvlJc w:val="left"/>
      <w:lvlText w:val="(%2)"/>
      <w:numFmt w:val="lowerLetter"/>
      <w:start w:val="9"/>
    </w:lvl>
  </w:abstractNum>
  <w:abstractNum w:abstractNumId="222">
    <w:nsid w:val="392EDBE4"/>
    <w:multiLevelType w:val="hybridMultilevel"/>
    <w:lvl w:ilvl="0">
      <w:lvlJc w:val="left"/>
      <w:lvlText w:val="%1"/>
      <w:numFmt w:val="lowerLetter"/>
      <w:start w:val="1"/>
    </w:lvl>
    <w:lvl w:ilvl="1">
      <w:lvlJc w:val="left"/>
      <w:lvlText w:val="(%2)"/>
      <w:numFmt w:val="lowerRoman"/>
      <w:start w:val="2"/>
    </w:lvl>
  </w:abstractNum>
  <w:abstractNum w:abstractNumId="223">
    <w:nsid w:val="3D1A2DD9"/>
    <w:multiLevelType w:val="hybridMultilevel"/>
    <w:lvl w:ilvl="0">
      <w:lvlJc w:val="left"/>
      <w:lvlText w:val="(%1)"/>
      <w:numFmt w:val="lowerLetter"/>
      <w:start w:val="3"/>
    </w:lvl>
    <w:lvl w:ilvl="1">
      <w:lvlJc w:val="left"/>
      <w:lvlText w:val="(%2)"/>
      <w:numFmt w:val="lowerRoman"/>
      <w:start w:val="1"/>
    </w:lvl>
  </w:abstractNum>
  <w:abstractNum w:abstractNumId="224">
    <w:nsid w:val="7F618FCD"/>
    <w:multiLevelType w:val="hybridMultilevel"/>
    <w:lvl w:ilvl="0">
      <w:lvlJc w:val="left"/>
      <w:lvlText w:val="%1"/>
      <w:numFmt w:val="lowerLetter"/>
      <w:start w:val="1"/>
    </w:lvl>
    <w:lvl w:ilvl="1">
      <w:lvlJc w:val="left"/>
      <w:lvlText w:val="(%2)"/>
      <w:numFmt w:val="lowerLetter"/>
      <w:start w:val="61"/>
    </w:lvl>
  </w:abstractNum>
  <w:abstractNum w:abstractNumId="225">
    <w:nsid w:val="7843E45"/>
    <w:multiLevelType w:val="hybridMultilevel"/>
    <w:lvl w:ilvl="0">
      <w:lvlJc w:val="left"/>
      <w:lvlText w:val="(%1)"/>
      <w:numFmt w:val="lowerLetter"/>
      <w:start w:val="26"/>
    </w:lvl>
    <w:lvl w:ilvl="1">
      <w:lvlJc w:val="left"/>
      <w:lvlText w:val="%2"/>
      <w:numFmt w:val="lowerLetter"/>
      <w:start w:val="1"/>
    </w:lvl>
  </w:abstractNum>
  <w:abstractNum w:abstractNumId="226">
    <w:nsid w:val="9815D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7">
    <w:nsid w:val="5204A19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8">
    <w:nsid w:val="4C73A9C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9">
    <w:nsid w:val="1C7E3C01"/>
    <w:multiLevelType w:val="hybridMultilevel"/>
    <w:lvl w:ilvl="0">
      <w:lvlJc w:val="left"/>
      <w:lvlText w:val="(%1)"/>
      <w:numFmt w:val="lowerLetter"/>
      <w:start w:val="5"/>
    </w:lvl>
  </w:abstractNum>
  <w:abstractNum w:abstractNumId="230">
    <w:nsid w:val="1C2201FF"/>
    <w:multiLevelType w:val="hybridMultilevel"/>
    <w:lvl w:ilvl="0">
      <w:lvlJc w:val="left"/>
      <w:lvlText w:val="(%1)"/>
      <w:numFmt w:val="lowerLetter"/>
      <w:start w:val="1"/>
    </w:lvl>
  </w:abstractNum>
  <w:abstractNum w:abstractNumId="231">
    <w:nsid w:val="50ABCEC9"/>
    <w:multiLevelType w:val="hybridMultilevel"/>
    <w:lvl w:ilvl="0">
      <w:lvlJc w:val="left"/>
      <w:lvlText w:val="(%1)"/>
      <w:numFmt w:val="lowerLetter"/>
      <w:start w:val="2"/>
    </w:lvl>
  </w:abstractNum>
  <w:abstractNum w:abstractNumId="232">
    <w:nsid w:val="7635AA2A"/>
    <w:multiLevelType w:val="hybridMultilevel"/>
    <w:lvl w:ilvl="0">
      <w:lvlJc w:val="left"/>
      <w:lvlText w:val="(%1)"/>
      <w:numFmt w:val="lowerLetter"/>
      <w:start w:val="1"/>
    </w:lvl>
    <w:lvl w:ilvl="1">
      <w:lvlJc w:val="left"/>
      <w:lvlText w:val="(%2)"/>
      <w:numFmt w:val="lowerLetter"/>
      <w:start w:val="9"/>
    </w:lvl>
  </w:abstractNum>
  <w:abstractNum w:abstractNumId="233">
    <w:nsid w:val="5E74C4D9"/>
    <w:multiLevelType w:val="hybridMultilevel"/>
    <w:lvl w:ilvl="0">
      <w:lvlJc w:val="left"/>
      <w:lvlText w:val="(%1)"/>
      <w:numFmt w:val="lowerRoman"/>
      <w:start w:val="2"/>
    </w:lvl>
  </w:abstractNum>
  <w:abstractNum w:abstractNumId="234">
    <w:nsid w:val="3B3EBE15"/>
    <w:multiLevelType w:val="hybridMultilevel"/>
    <w:lvl w:ilvl="0">
      <w:lvlJc w:val="left"/>
      <w:lvlText w:val="%1"/>
      <w:numFmt w:val="upperLetter"/>
      <w:start w:val="1"/>
    </w:lvl>
    <w:lvl w:ilvl="1">
      <w:lvlJc w:val="left"/>
      <w:lvlText w:val="(%2)"/>
      <w:numFmt w:val="lowerLetter"/>
      <w:start w:val="1"/>
    </w:lvl>
  </w:abstractNum>
  <w:abstractNum w:abstractNumId="235">
    <w:nsid w:val="3822CB01"/>
    <w:multiLevelType w:val="hybridMultilevel"/>
    <w:lvl w:ilvl="0">
      <w:lvlJc w:val="left"/>
      <w:lvlText w:val="(%1)"/>
      <w:numFmt w:val="upperLetter"/>
      <w:start w:val="2"/>
    </w:lvl>
    <w:lvl w:ilvl="1">
      <w:lvlJc w:val="left"/>
      <w:lvlText w:val="%2"/>
      <w:numFmt w:val="lowerLetter"/>
      <w:start w:val="1"/>
    </w:lvl>
  </w:abstractNum>
  <w:abstractNum w:abstractNumId="236">
    <w:nsid w:val="6CE00443"/>
    <w:multiLevelType w:val="hybridMultilevel"/>
    <w:lvl w:ilvl="0">
      <w:lvlJc w:val="left"/>
      <w:lvlText w:val="(%1)"/>
      <w:numFmt w:val="upperLetter"/>
      <w:start w:val="1"/>
    </w:lvl>
  </w:abstractNum>
  <w:abstractNum w:abstractNumId="237">
    <w:nsid w:val="79F0D62F"/>
    <w:multiLevelType w:val="hybridMultilevel"/>
    <w:lvl w:ilvl="0">
      <w:lvlJc w:val="left"/>
      <w:lvlText w:val="(%1)"/>
      <w:numFmt w:val="lowerLetter"/>
      <w:start w:val="1"/>
    </w:lvl>
  </w:abstractNum>
  <w:abstractNum w:abstractNumId="238">
    <w:nsid w:val="7975E8EE"/>
    <w:multiLevelType w:val="hybridMultilevel"/>
    <w:lvl w:ilvl="0">
      <w:lvlJc w:val="left"/>
      <w:lvlText w:val="(%1)"/>
      <w:numFmt w:val="lowerLetter"/>
      <w:start w:val="2"/>
    </w:lvl>
  </w:abstractNum>
  <w:abstractNum w:abstractNumId="239">
    <w:nsid w:val="73154115"/>
    <w:multiLevelType w:val="hybridMultilevel"/>
    <w:lvl w:ilvl="0">
      <w:lvlJc w:val="left"/>
      <w:lvlText w:val="(%1)"/>
      <w:numFmt w:val="lowerLetter"/>
      <w:start w:val="1"/>
    </w:lvl>
    <w:lvl w:ilvl="1">
      <w:lvlJc w:val="left"/>
      <w:lvlText w:val="(%2)"/>
      <w:numFmt w:val="lowerRoman"/>
      <w:start w:val="1"/>
    </w:lvl>
  </w:abstractNum>
  <w:abstractNum w:abstractNumId="240">
    <w:nsid w:val="622D8102"/>
    <w:multiLevelType w:val="hybridMultilevel"/>
    <w:lvl w:ilvl="0">
      <w:lvlJc w:val="left"/>
      <w:lvlText w:val="%1"/>
      <w:numFmt w:val="lowerLetter"/>
      <w:start w:val="1"/>
    </w:lvl>
    <w:lvl w:ilvl="1">
      <w:lvlJc w:val="left"/>
      <w:lvlText w:val="(%2)"/>
      <w:numFmt w:val="lowerLetter"/>
      <w:start w:val="61"/>
    </w:lvl>
  </w:abstractNum>
  <w:abstractNum w:abstractNumId="241">
    <w:nsid w:val="2AB26587"/>
    <w:multiLevelType w:val="hybridMultilevel"/>
    <w:lvl w:ilvl="0">
      <w:lvlJc w:val="left"/>
      <w:lvlText w:val="(%1)"/>
      <w:numFmt w:val="lowerLetter"/>
      <w:start w:val="2"/>
    </w:lvl>
    <w:lvl w:ilvl="1">
      <w:lvlJc w:val="left"/>
      <w:lvlText w:val="(%2)"/>
      <w:numFmt w:val="lowerLetter"/>
      <w:start w:val="9"/>
    </w:lvl>
  </w:abstractNum>
  <w:abstractNum w:abstractNumId="242">
    <w:nsid w:val="44B3FA61"/>
    <w:multiLevelType w:val="hybridMultilevel"/>
    <w:lvl w:ilvl="0">
      <w:lvlJc w:val="left"/>
      <w:lvlText w:val="%1"/>
      <w:numFmt w:val="lowerLetter"/>
      <w:start w:val="1"/>
    </w:lvl>
    <w:lvl w:ilvl="1">
      <w:lvlJc w:val="left"/>
      <w:lvlText w:val="(%2)"/>
      <w:numFmt w:val="lowerRoman"/>
      <w:start w:val="2"/>
    </w:lvl>
  </w:abstractNum>
  <w:abstractNum w:abstractNumId="243">
    <w:nsid w:val="1C0CA67C"/>
    <w:multiLevelType w:val="hybridMultilevel"/>
    <w:lvl w:ilvl="0">
      <w:lvlJc w:val="left"/>
      <w:lvlText w:val="(%1)"/>
      <w:numFmt w:val="lowerLetter"/>
      <w:start w:val="3"/>
    </w:lvl>
    <w:lvl w:ilvl="1">
      <w:lvlJc w:val="left"/>
      <w:lvlText w:val="(%2)"/>
      <w:numFmt w:val="lowerRoman"/>
      <w:start w:val="1"/>
    </w:lvl>
  </w:abstractNum>
  <w:abstractNum w:abstractNumId="244">
    <w:nsid w:val="3D206613"/>
    <w:multiLevelType w:val="hybridMultilevel"/>
    <w:lvl w:ilvl="0">
      <w:lvlJc w:val="left"/>
      <w:lvlText w:val="(%1)"/>
      <w:numFmt w:val="lowerRoman"/>
      <w:start w:val="2"/>
    </w:lvl>
  </w:abstractNum>
  <w:abstractNum w:abstractNumId="245">
    <w:nsid w:val="7993B662"/>
    <w:multiLevelType w:val="hybridMultilevel"/>
    <w:lvl w:ilvl="0">
      <w:lvlJc w:val="left"/>
      <w:lvlText w:val="(%1)"/>
      <w:numFmt w:val="lowerLetter"/>
      <w:start w:val="1"/>
    </w:lvl>
  </w:abstractNum>
  <w:abstractNum w:abstractNumId="246">
    <w:nsid w:val="3BAB699E"/>
    <w:multiLevelType w:val="hybridMultilevel"/>
    <w:lvl w:ilvl="0">
      <w:lvlJc w:val="left"/>
      <w:lvlText w:val="(%1)"/>
      <w:numFmt w:val="lowerLetter"/>
      <w:start w:val="2"/>
    </w:lvl>
  </w:abstractNum>
  <w:abstractNum w:abstractNumId="247">
    <w:nsid w:val="71315369"/>
    <w:multiLevelType w:val="hybridMultilevel"/>
    <w:lvl w:ilvl="0">
      <w:lvlJc w:val="left"/>
      <w:lvlText w:val="(%1)"/>
      <w:numFmt w:val="lowerLetter"/>
      <w:start w:val="6"/>
    </w:lvl>
  </w:abstractNum>
  <w:abstractNum w:abstractNumId="248">
    <w:nsid w:val="7BCFBAFC"/>
    <w:multiLevelType w:val="hybridMultilevel"/>
    <w:lvl w:ilvl="0">
      <w:lvlJc w:val="left"/>
      <w:lvlText w:val="(%1)"/>
      <w:numFmt w:val="lowerRoman"/>
      <w:start w:val="4"/>
    </w:lvl>
    <w:lvl w:ilvl="1">
      <w:lvlJc w:val="left"/>
      <w:lvlText w:val="(%2)"/>
      <w:numFmt w:val="lowerLetter"/>
      <w:start w:val="10"/>
    </w:lvl>
  </w:abstractNum>
  <w:abstractNum w:abstractNumId="249">
    <w:nsid w:val="17859F72"/>
    <w:multiLevelType w:val="hybridMultilevel"/>
    <w:lvl w:ilvl="0">
      <w:lvlJc w:val="left"/>
      <w:lvlText w:val="(%1)"/>
      <w:numFmt w:val="lowerLetter"/>
      <w:start w:val="18"/>
    </w:lvl>
  </w:abstractNum>
  <w:abstractNum w:abstractNumId="250">
    <w:nsid w:val="3AA10581"/>
    <w:multiLevelType w:val="hybridMultilevel"/>
    <w:lvl w:ilvl="0">
      <w:lvlJc w:val="left"/>
      <w:lvlText w:val="(%1)"/>
      <w:numFmt w:val="lowerLetter"/>
      <w:start w:val="2"/>
    </w:lvl>
  </w:abstractNum>
  <w:abstractNum w:abstractNumId="251">
    <w:nsid w:val="63DE60CD"/>
    <w:multiLevelType w:val="hybridMultilevel"/>
    <w:lvl w:ilvl="0">
      <w:lvlJc w:val="left"/>
      <w:lvlText w:val="(%1)"/>
      <w:numFmt w:val="lowerLetter"/>
      <w:start w:val="1"/>
    </w:lvl>
  </w:abstractNum>
  <w:abstractNum w:abstractNumId="252">
    <w:nsid w:val="621AF471"/>
    <w:multiLevelType w:val="hybridMultilevel"/>
    <w:lvl w:ilvl="0">
      <w:lvlJc w:val="left"/>
      <w:lvlText w:val="(%1)"/>
      <w:numFmt w:val="lowerLetter"/>
      <w:start w:val="2"/>
    </w:lvl>
  </w:abstractNum>
  <w:abstractNum w:abstractNumId="253">
    <w:nsid w:val="73CFE165"/>
    <w:multiLevelType w:val="hybridMultilevel"/>
    <w:lvl w:ilvl="0">
      <w:lvlJc w:val="left"/>
      <w:lvlText w:val="(%1)"/>
      <w:numFmt w:val="lowerLetter"/>
      <w:start w:val="2"/>
    </w:lvl>
  </w:abstractNum>
  <w:abstractNum w:abstractNumId="254">
    <w:nsid w:val="20F88EA6"/>
    <w:multiLevelType w:val="hybridMultilevel"/>
    <w:lvl w:ilvl="0">
      <w:lvlJc w:val="left"/>
      <w:lvlText w:val="%1."/>
      <w:numFmt w:val="decimal"/>
      <w:start w:val="1"/>
    </w:lvl>
  </w:abstractNum>
  <w:abstractNum w:abstractNumId="255">
    <w:nsid w:val="617C843E"/>
    <w:multiLevelType w:val="hybridMultilevel"/>
    <w:lvl w:ilvl="0">
      <w:lvlJc w:val="left"/>
      <w:lvlText w:val="1"/>
      <w:numFmt w:val="bullet"/>
      <w:start w:val="1"/>
    </w:lvl>
  </w:abstractNum>
  <w:abstractNum w:abstractNumId="256">
    <w:nsid w:val="7B541FAB"/>
    <w:multiLevelType w:val="hybridMultilevel"/>
    <w:lvl w:ilvl="0">
      <w:lvlJc w:val="left"/>
      <w:lvlText w:val="2"/>
      <w:numFmt w:val="bullet"/>
      <w:start w:val="1"/>
    </w:lvl>
  </w:abstractNum>
  <w:abstractNum w:abstractNumId="257">
    <w:nsid w:val="2A79EC49"/>
    <w:multiLevelType w:val="hybridMultilevel"/>
    <w:lvl w:ilvl="0">
      <w:lvlJc w:val="left"/>
      <w:lvlText w:val="(%1)"/>
      <w:numFmt w:val="lowerRoman"/>
      <w:start w:val="1"/>
    </w:lvl>
  </w:abstractNum>
  <w:abstractNum w:abstractNumId="258">
    <w:nsid w:val="338125CF"/>
    <w:multiLevelType w:val="hybridMultilevel"/>
    <w:lvl w:ilvl="0">
      <w:lvlJc w:val="left"/>
      <w:lvlText w:val="(%1)"/>
      <w:numFmt w:val="lowerRoman"/>
      <w:start w:val="1"/>
    </w:lvl>
  </w:abstractNum>
  <w:abstractNum w:abstractNumId="259">
    <w:nsid w:val="47C7C971"/>
    <w:multiLevelType w:val="hybridMultilevel"/>
    <w:lvl w:ilvl="0">
      <w:lvlJc w:val="left"/>
      <w:lvlText w:val="(%1)"/>
      <w:numFmt w:val="lowerRoman"/>
      <w:start w:val="4"/>
    </w:lvl>
  </w:abstractNum>
  <w:abstractNum w:abstractNumId="260">
    <w:nsid w:val="46F8284B"/>
    <w:multiLevelType w:val="hybridMultilevel"/>
    <w:lvl w:ilvl="0">
      <w:lvlJc w:val="left"/>
      <w:lvlText w:val="(%1)"/>
      <w:numFmt w:val="lowerRoman"/>
      <w:start w:val="2"/>
    </w:lvl>
  </w:abstractNum>
  <w:abstractNum w:abstractNumId="261">
    <w:nsid w:val="4FA327CE"/>
    <w:multiLevelType w:val="hybridMultilevel"/>
    <w:lvl w:ilvl="0">
      <w:lvlJc w:val="left"/>
      <w:lvlText w:val="(%1)"/>
      <w:numFmt w:val="lowerLetter"/>
      <w:start w:val="1"/>
    </w:lvl>
  </w:abstractNum>
  <w:abstractNum w:abstractNumId="262">
    <w:nsid w:val="1873983A"/>
    <w:multiLevelType w:val="hybridMultilevel"/>
    <w:lvl w:ilvl="0">
      <w:lvlJc w:val="left"/>
      <w:lvlText w:val="(%1)"/>
      <w:numFmt w:val="lowerLetter"/>
      <w:start w:val="2"/>
    </w:lvl>
  </w:abstractNum>
  <w:abstractNum w:abstractNumId="263">
    <w:nsid w:val="3D2DD275"/>
    <w:multiLevelType w:val="hybridMultilevel"/>
    <w:lvl w:ilvl="0">
      <w:lvlJc w:val="left"/>
      <w:lvlText w:val="%1"/>
      <w:numFmt w:val="lowerLetter"/>
      <w:start w:val="1"/>
    </w:lvl>
    <w:lvl w:ilvl="1">
      <w:lvlJc w:val="left"/>
      <w:lvlText w:val="(%2)"/>
      <w:numFmt w:val="lowerLetter"/>
      <w:start w:val="1"/>
    </w:lvl>
  </w:abstractNum>
  <w:abstractNum w:abstractNumId="264">
    <w:nsid w:val="2E17ECA7"/>
    <w:multiLevelType w:val="hybridMultilevel"/>
    <w:lvl w:ilvl="0">
      <w:lvlJc w:val="left"/>
      <w:lvlText w:val="(%1)"/>
      <w:numFmt w:val="lowerLetter"/>
      <w:start w:val="9"/>
    </w:lvl>
    <w:lvl w:ilvl="1">
      <w:lvlJc w:val="left"/>
      <w:lvlText w:val="%2"/>
      <w:numFmt w:val="lowerLetter"/>
      <w:start w:val="1"/>
    </w:lvl>
  </w:abstractNum>
  <w:abstractNum w:abstractNumId="265">
    <w:nsid w:val="53B2564F"/>
    <w:multiLevelType w:val="hybridMultilevel"/>
    <w:lvl w:ilvl="0">
      <w:lvlJc w:val="left"/>
      <w:lvlText w:val="(%1)"/>
      <w:numFmt w:val="lowerLetter"/>
      <w:start w:val="35"/>
    </w:lvl>
    <w:lvl w:ilvl="1">
      <w:lvlJc w:val="left"/>
      <w:lvlText w:val="(%2)"/>
      <w:numFmt w:val="lowerLetter"/>
      <w:start w:val="2"/>
    </w:lvl>
  </w:abstractNum>
  <w:abstractNum w:abstractNumId="266">
    <w:nsid w:val="75509D76"/>
    <w:multiLevelType w:val="hybridMultilevel"/>
    <w:lvl w:ilvl="0">
      <w:lvlJc w:val="left"/>
      <w:lvlText w:val="(%1)"/>
      <w:numFmt w:val="lowerLetter"/>
      <w:start w:val="2"/>
    </w:lvl>
  </w:abstractNum>
  <w:abstractNum w:abstractNumId="267">
    <w:nsid w:val="1AF7F0EA"/>
    <w:multiLevelType w:val="hybridMultilevel"/>
    <w:lvl w:ilvl="0">
      <w:lvlJc w:val="left"/>
      <w:lvlText w:val="(%1)"/>
      <w:numFmt w:val="lowerLetter"/>
      <w:start w:val="2"/>
    </w:lvl>
  </w:abstractNum>
  <w:abstractNum w:abstractNumId="268">
    <w:nsid w:val="4DA32C7E"/>
    <w:multiLevelType w:val="hybridMultilevel"/>
    <w:lvl w:ilvl="0">
      <w:lvlJc w:val="left"/>
      <w:lvlText w:val="(%1)"/>
      <w:numFmt w:val="lowerLetter"/>
      <w:start w:val="4"/>
    </w:lvl>
  </w:abstractNum>
  <w:abstractNum w:abstractNumId="269">
    <w:nsid w:val="6EC68664"/>
    <w:multiLevelType w:val="hybridMultilevel"/>
    <w:lvl w:ilvl="0">
      <w:lvlJc w:val="left"/>
      <w:lvlText w:val="%1"/>
      <w:numFmt w:val="lowerLetter"/>
      <w:start w:val="1"/>
    </w:lvl>
    <w:lvl w:ilvl="1">
      <w:lvlJc w:val="left"/>
      <w:lvlText w:val="(%2)"/>
      <w:numFmt w:val="lowerLetter"/>
      <w:start w:val="1"/>
    </w:lvl>
  </w:abstractNum>
  <w:abstractNum w:abstractNumId="270">
    <w:nsid w:val="E0D31FF"/>
    <w:multiLevelType w:val="hybridMultilevel"/>
    <w:lvl w:ilvl="0">
      <w:lvlJc w:val="left"/>
      <w:lvlText w:val="(%1)"/>
      <w:numFmt w:val="lowerLetter"/>
      <w:start w:val="61"/>
    </w:lvl>
    <w:lvl w:ilvl="1">
      <w:lvlJc w:val="left"/>
      <w:lvlText w:val="(%2)"/>
      <w:numFmt w:val="lowerLetter"/>
      <w:start w:val="2"/>
    </w:lvl>
  </w:abstractNum>
  <w:abstractNum w:abstractNumId="271">
    <w:nsid w:val="2FD0AD81"/>
    <w:multiLevelType w:val="hybridMultilevel"/>
    <w:lvl w:ilvl="0">
      <w:lvlJc w:val="left"/>
      <w:lvlText w:val="(%1)"/>
      <w:numFmt w:val="lowerLetter"/>
      <w:start w:val="1"/>
    </w:lvl>
  </w:abstractNum>
  <w:abstractNum w:abstractNumId="272">
    <w:nsid w:val="1978EBEB"/>
    <w:multiLevelType w:val="hybridMultilevel"/>
    <w:lvl w:ilvl="0">
      <w:lvlJc w:val="left"/>
      <w:lvlText w:val="(%1)"/>
      <w:numFmt w:val="lowerLetter"/>
      <w:start w:val="2"/>
    </w:lvl>
  </w:abstractNum>
  <w:abstractNum w:abstractNumId="273">
    <w:nsid w:val="52C12C61"/>
    <w:multiLevelType w:val="hybridMultilevel"/>
    <w:lvl w:ilvl="0">
      <w:lvlJc w:val="left"/>
      <w:lvlText w:val="(%1)"/>
      <w:numFmt w:val="lowerLetter"/>
      <w:start w:val="4"/>
    </w:lvl>
  </w:abstractNum>
  <w:abstractNum w:abstractNumId="274">
    <w:nsid w:val="4BDD53FD"/>
    <w:multiLevelType w:val="hybridMultilevel"/>
    <w:lvl w:ilvl="0">
      <w:lvlJc w:val="left"/>
      <w:lvlText w:val="%1"/>
      <w:numFmt w:val="lowerLetter"/>
      <w:start w:val="1"/>
    </w:lvl>
    <w:lvl w:ilvl="1">
      <w:lvlJc w:val="left"/>
      <w:lvlText w:val="(%2)"/>
      <w:numFmt w:val="lowerLetter"/>
      <w:start w:val="1"/>
    </w:lvl>
  </w:abstractNum>
  <w:abstractNum w:abstractNumId="275">
    <w:nsid w:val="569951FE"/>
    <w:multiLevelType w:val="hybridMultilevel"/>
    <w:lvl w:ilvl="0">
      <w:lvlJc w:val="left"/>
      <w:lvlText w:val="(%1)"/>
      <w:numFmt w:val="lowerLetter"/>
      <w:start w:val="61"/>
    </w:lvl>
    <w:lvl w:ilvl="1">
      <w:lvlJc w:val="left"/>
      <w:lvlText w:val="(%2)"/>
      <w:numFmt w:val="lowerLetter"/>
      <w:start w:val="3"/>
    </w:lvl>
  </w:abstractNum>
  <w:abstractNum w:abstractNumId="276">
    <w:nsid w:val="4C54E2C3"/>
    <w:multiLevelType w:val="hybridMultilevel"/>
    <w:lvl w:ilvl="0">
      <w:lvlJc w:val="left"/>
      <w:lvlText w:val="(%1)"/>
      <w:numFmt w:val="lowerRoman"/>
      <w:start w:val="2"/>
    </w:lvl>
  </w:abstractNum>
  <w:abstractNum w:abstractNumId="277">
    <w:nsid w:val="788BD9B"/>
    <w:multiLevelType w:val="hybridMultilevel"/>
    <w:lvl w:ilvl="0">
      <w:lvlJc w:val="left"/>
      <w:lvlText w:val="(%1)"/>
      <w:numFmt w:val="lowerLetter"/>
      <w:start w:val="1"/>
    </w:lvl>
  </w:abstractNum>
  <w:abstractNum w:abstractNumId="278">
    <w:nsid w:val="47CAA567"/>
    <w:multiLevelType w:val="hybridMultilevel"/>
    <w:lvl w:ilvl="0">
      <w:lvlJc w:val="left"/>
      <w:lvlText w:val="(%1)"/>
      <w:numFmt w:val="lowerLetter"/>
      <w:start w:val="2"/>
    </w:lvl>
  </w:abstractNum>
  <w:abstractNum w:abstractNumId="279">
    <w:nsid w:val="48249DBF"/>
    <w:multiLevelType w:val="hybridMultilevel"/>
    <w:lvl w:ilvl="0">
      <w:lvlJc w:val="left"/>
      <w:lvlText w:val="(%1)"/>
      <w:numFmt w:val="lowerLetter"/>
      <w:start w:val="1"/>
    </w:lvl>
  </w:abstractNum>
  <w:abstractNum w:abstractNumId="280">
    <w:nsid w:val="1F0E5D0D"/>
    <w:multiLevelType w:val="hybridMultilevel"/>
    <w:lvl w:ilvl="0">
      <w:lvlJc w:val="left"/>
      <w:lvlText w:val="(%1)"/>
      <w:numFmt w:val="lowerLetter"/>
      <w:start w:val="3"/>
    </w:lvl>
  </w:abstractNum>
  <w:abstractNum w:abstractNumId="281">
    <w:nsid w:val="26BAAE9"/>
    <w:multiLevelType w:val="hybridMultilevel"/>
    <w:lvl w:ilvl="0">
      <w:lvlJc w:val="left"/>
      <w:lvlText w:val="%1."/>
      <w:numFmt w:val="decimal"/>
      <w:start w:val="1"/>
    </w:lvl>
    <w:lvl w:ilvl="1">
      <w:lvlJc w:val="left"/>
      <w:lvlText w:val="(%2)"/>
      <w:numFmt w:val="lowerLetter"/>
      <w:start w:val="1"/>
    </w:lvl>
  </w:abstractNum>
  <w:abstractNum w:abstractNumId="282">
    <w:nsid w:val="2C02FE8C"/>
    <w:multiLevelType w:val="hybridMultilevel"/>
    <w:lvl w:ilvl="0">
      <w:lvlJc w:val="left"/>
      <w:lvlText w:val="%1"/>
      <w:numFmt w:val="decimal"/>
      <w:start w:val="1"/>
    </w:lvl>
    <w:lvl w:ilvl="1">
      <w:lvlJc w:val="left"/>
      <w:lvlText w:val="(%2)"/>
      <w:numFmt w:val="lowerLetter"/>
      <w:start w:val="3"/>
    </w:lvl>
  </w:abstractNum>
  <w:abstractNum w:abstractNumId="283">
    <w:nsid w:val="129517E"/>
    <w:multiLevelType w:val="hybridMultilevel"/>
    <w:lvl w:ilvl="0">
      <w:lvlJc w:val="left"/>
      <w:lvlText w:val="%1."/>
      <w:numFmt w:val="decimal"/>
      <w:start w:val="2"/>
    </w:lvl>
    <w:lvl w:ilvl="1">
      <w:lvlJc w:val="left"/>
      <w:lvlText w:val="%2"/>
      <w:numFmt w:val="lowerLetter"/>
      <w:start w:val="1"/>
    </w:lvl>
  </w:abstractNum>
  <w:abstractNum w:abstractNumId="284">
    <w:nsid w:val="763B8C4E"/>
    <w:multiLevelType w:val="hybridMultilevel"/>
    <w:lvl w:ilvl="0">
      <w:lvlJc w:val="left"/>
      <w:lvlText w:val="(%1)"/>
      <w:numFmt w:val="lowerLetter"/>
      <w:start w:val="1"/>
    </w:lvl>
  </w:abstractNum>
  <w:abstractNum w:abstractNumId="285">
    <w:nsid w:val="4CFB8D32"/>
    <w:multiLevelType w:val="hybridMultilevel"/>
    <w:lvl w:ilvl="0">
      <w:lvlJc w:val="left"/>
      <w:lvlText w:val="(%1)"/>
      <w:numFmt w:val="lowerLetter"/>
      <w:start w:val="5"/>
    </w:lvl>
  </w:abstractNum>
  <w:abstractNum w:abstractNumId="286">
    <w:nsid w:val="62A5D5BD"/>
    <w:multiLevelType w:val="hybridMultilevel"/>
    <w:lvl w:ilvl="0">
      <w:lvlJc w:val="left"/>
      <w:lvlText w:val="(%1)"/>
      <w:numFmt w:val="lowerLetter"/>
      <w:start w:val="8"/>
    </w:lvl>
  </w:abstractNum>
  <w:abstractNum w:abstractNumId="287">
    <w:nsid w:val="718FABF9"/>
    <w:multiLevelType w:val="hybridMultilevel"/>
    <w:lvl w:ilvl="0">
      <w:lvlJc w:val="left"/>
      <w:lvlText w:val="(%1)"/>
      <w:numFmt w:val="lowerLetter"/>
      <w:start w:val="13"/>
    </w:lvl>
  </w:abstractNum>
  <w:abstractNum w:abstractNumId="288">
    <w:nsid w:val="7775797C"/>
    <w:multiLevelType w:val="hybridMultilevel"/>
    <w:lvl w:ilvl="0">
      <w:lvlJc w:val="left"/>
      <w:lvlText w:val="(%1)"/>
      <w:numFmt w:val="lowerLetter"/>
      <w:start w:val="15"/>
    </w:lvl>
  </w:abstractNum>
  <w:abstractNum w:abstractNumId="289">
    <w:nsid w:val="1626FB8C"/>
    <w:multiLevelType w:val="hybridMultilevel"/>
    <w:lvl w:ilvl="0">
      <w:lvlJc w:val="left"/>
      <w:lvlText w:val="(%1)"/>
      <w:numFmt w:val="lowerLetter"/>
      <w:start w:val="18"/>
    </w:lvl>
  </w:abstractNum>
  <w:abstractNum w:abstractNumId="290">
    <w:nsid w:val="3957756A"/>
    <w:multiLevelType w:val="hybridMultilevel"/>
    <w:lvl w:ilvl="0">
      <w:lvlJc w:val="left"/>
      <w:lvlText w:val="%1"/>
      <w:numFmt w:val="lowerRoman"/>
      <w:start w:val="1"/>
    </w:lvl>
    <w:lvl w:ilvl="1">
      <w:lvlJc w:val="left"/>
      <w:lvlText w:val="(%2)"/>
      <w:numFmt w:val="lowerLetter"/>
      <w:start w:val="23"/>
    </w:lvl>
  </w:abstractNum>
  <w:abstractNum w:abstractNumId="291">
    <w:nsid w:val="3E6DA1C7"/>
    <w:multiLevelType w:val="hybridMultilevel"/>
    <w:lvl w:ilvl="0">
      <w:lvlJc w:val="left"/>
      <w:lvlText w:val="(%1)"/>
      <w:numFmt w:val="lowerRoman"/>
      <w:start w:val="4"/>
    </w:lvl>
    <w:lvl w:ilvl="1">
      <w:lvlJc w:val="left"/>
      <w:lvlText w:val="(%2)"/>
      <w:numFmt w:val="lowerLetter"/>
      <w:start w:val="25"/>
    </w:lvl>
  </w:abstractNum>
  <w:abstractNum w:abstractNumId="292">
    <w:nsid w:val="65CA235B"/>
    <w:multiLevelType w:val="hybridMultilevel"/>
    <w:lvl w:ilvl="0">
      <w:lvlJc w:val="left"/>
      <w:lvlText w:val="(%1)"/>
      <w:numFmt w:val="lowerLetter"/>
      <w:start w:val="26"/>
    </w:lvl>
  </w:abstractNum>
  <w:abstractNum w:abstractNumId="293">
    <w:nsid w:val="51CB0DA4"/>
    <w:multiLevelType w:val="hybridMultilevel"/>
    <w:lvl w:ilvl="0">
      <w:lvlJc w:val="left"/>
      <w:lvlText w:val="(%1)"/>
      <w:numFmt w:val="lowerLetter"/>
      <w:start w:val="27"/>
    </w:lvl>
  </w:abstractNum>
  <w:abstractNum w:abstractNumId="294">
    <w:nsid w:val="7B9B743C"/>
    <w:multiLevelType w:val="hybridMultilevel"/>
    <w:lvl w:ilvl="0">
      <w:lvlJc w:val="left"/>
      <w:lvlText w:val="(%1)"/>
      <w:numFmt w:val="lowerLetter"/>
      <w:start w:val="30"/>
    </w:lvl>
  </w:abstractNum>
  <w:abstractNum w:abstractNumId="295">
    <w:nsid w:val="13E21002"/>
    <w:multiLevelType w:val="hybridMultilevel"/>
    <w:lvl w:ilvl="0">
      <w:lvlJc w:val="left"/>
      <w:lvlText w:val="(%1)"/>
      <w:numFmt w:val="lowerLetter"/>
      <w:start w:val="35"/>
    </w:lvl>
  </w:abstractNum>
  <w:abstractNum w:abstractNumId="296">
    <w:nsid w:val="257D63F4"/>
    <w:multiLevelType w:val="hybridMultilevel"/>
    <w:lvl w:ilvl="0">
      <w:lvlJc w:val="left"/>
      <w:lvlText w:val="(%1)"/>
      <w:numFmt w:val="lowerLetter"/>
      <w:start w:val="38"/>
    </w:lvl>
  </w:abstractNum>
  <w:abstractNum w:abstractNumId="297">
    <w:nsid w:val="70EC11B2"/>
    <w:multiLevelType w:val="hybridMultilevel"/>
    <w:lvl w:ilvl="0">
      <w:lvlJc w:val="left"/>
      <w:lvlText w:val="(%1)"/>
      <w:numFmt w:val="lowerLetter"/>
      <w:start w:val="41"/>
    </w:lvl>
  </w:abstractNum>
  <w:abstractNum w:abstractNumId="298">
    <w:nsid w:val="2EDA00ED"/>
    <w:multiLevelType w:val="hybridMultilevel"/>
    <w:lvl w:ilvl="0">
      <w:lvlJc w:val="left"/>
      <w:lvlText w:val="(%1)"/>
      <w:numFmt w:val="lowerLetter"/>
      <w:start w:val="1"/>
    </w:lvl>
  </w:abstractNum>
  <w:abstractNum w:abstractNumId="299">
    <w:nsid w:val="73209072"/>
    <w:multiLevelType w:val="hybridMultilevel"/>
    <w:lvl w:ilvl="0">
      <w:lvlJc w:val="left"/>
      <w:lvlText w:val="%1"/>
      <w:numFmt w:val="lowerLetter"/>
      <w:start w:val="1"/>
    </w:lvl>
    <w:lvl w:ilvl="1">
      <w:lvlJc w:val="left"/>
      <w:lvlText w:val="(%2)"/>
      <w:numFmt w:val="lowerLetter"/>
      <w:start w:val="4"/>
    </w:lvl>
  </w:abstractNum>
  <w:abstractNum w:abstractNumId="300">
    <w:nsid w:val="5FB29816"/>
    <w:multiLevelType w:val="hybridMultilevel"/>
    <w:lvl w:ilvl="0">
      <w:lvlJc w:val="left"/>
      <w:lvlText w:val="(%1)"/>
      <w:numFmt w:val="lowerLetter"/>
      <w:start w:val="35"/>
    </w:lvl>
    <w:lvl w:ilvl="1">
      <w:lvlJc w:val="left"/>
      <w:lvlText w:val="(%2)"/>
      <w:numFmt w:val="lowerLetter"/>
      <w:start w:val="6"/>
    </w:lvl>
  </w:abstractNum>
  <w:abstractNum w:abstractNumId="301">
    <w:nsid w:val="3CE732EC"/>
    <w:multiLevelType w:val="hybridMultilevel"/>
    <w:lvl w:ilvl="0">
      <w:lvlJc w:val="left"/>
      <w:lvlText w:val="(%1)"/>
      <w:numFmt w:val="lowerLetter"/>
      <w:start w:val="2"/>
    </w:lvl>
  </w:abstractNum>
  <w:abstractNum w:abstractNumId="302">
    <w:nsid w:val="22F13DF3"/>
    <w:multiLevelType w:val="hybridMultilevel"/>
    <w:lvl w:ilvl="0">
      <w:lvlJc w:val="left"/>
      <w:lvlText w:val="(%1)"/>
      <w:numFmt w:val="lowerLetter"/>
      <w:start w:val="3"/>
    </w:lvl>
  </w:abstractNum>
  <w:abstractNum w:abstractNumId="303">
    <w:nsid w:val="792B8401"/>
    <w:multiLevelType w:val="hybridMultilevel"/>
    <w:lvl w:ilvl="0">
      <w:lvlJc w:val="left"/>
      <w:lvlText w:val="(%1)"/>
      <w:numFmt w:val="lowerLetter"/>
      <w:start w:val="5"/>
    </w:lvl>
  </w:abstractNum>
  <w:abstractNum w:abstractNumId="304">
    <w:nsid w:val="FA85F4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7"/>
    </w:lvl>
  </w:abstractNum>
  <w:abstractNum w:abstractNumId="305">
    <w:nsid w:val="6ECE91F0"/>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06">
    <w:nsid w:val="4FC4D600"/>
    <w:multiLevelType w:val="hybridMultilevel"/>
    <w:lvl w:ilvl="0">
      <w:lvlJc w:val="left"/>
      <w:lvlText w:val="(%1)"/>
      <w:numFmt w:val="lowerRoman"/>
      <w:start w:val="1"/>
    </w:lvl>
  </w:abstractNum>
  <w:abstractNum w:abstractNumId="307">
    <w:nsid w:val="5BFD42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8">
    <w:nsid w:val="76574F8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9">
    <w:nsid w:val="178F7B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0">
    <w:nsid w:val="2421DFCF"/>
    <w:multiLevelType w:val="hybridMultilevel"/>
    <w:lvl w:ilvl="0">
      <w:lvlJc w:val="left"/>
      <w:lvlText w:val="%1"/>
      <w:numFmt w:val="lowerLetter"/>
      <w:start w:val="1"/>
    </w:lvl>
    <w:lvl w:ilvl="1">
      <w:lvlJc w:val="left"/>
      <w:lvlText w:val="%2."/>
      <w:numFmt w:val="decimal"/>
      <w:start w:val="6"/>
    </w:lvl>
  </w:abstractNum>
  <w:abstractNum w:abstractNumId="311">
    <w:nsid w:val="1565AC99"/>
    <w:multiLevelType w:val="hybridMultilevel"/>
    <w:lvl w:ilvl="0">
      <w:lvlJc w:val="left"/>
      <w:lvlText w:val="(%1)"/>
      <w:numFmt w:val="lowerLetter"/>
      <w:start w:val="2"/>
    </w:lvl>
    <w:lvl w:ilvl="1">
      <w:lvlJc w:val="left"/>
      <w:lvlText w:val="%2."/>
      <w:numFmt w:val="decimal"/>
      <w:start w:val="7"/>
    </w:lvl>
  </w:abstractNum>
  <w:abstractNum w:abstractNumId="312">
    <w:nsid w:val="19FB2650"/>
    <w:multiLevelType w:val="hybridMultilevel"/>
    <w:lvl w:ilvl="0">
      <w:lvlJc w:val="left"/>
      <w:lvlText w:val="(%1)"/>
      <w:numFmt w:val="lowerLetter"/>
      <w:start w:val="35"/>
    </w:lvl>
    <w:lvl w:ilvl="1">
      <w:lvlJc w:val="left"/>
      <w:lvlText w:val="%2."/>
      <w:numFmt w:val="decimal"/>
      <w:start w:val="9"/>
    </w:lvl>
  </w:abstractNum>
  <w:abstractNum w:abstractNumId="313">
    <w:nsid w:val="5024DE5B"/>
    <w:multiLevelType w:val="hybridMultilevel"/>
    <w:lvl w:ilvl="0">
      <w:lvlJc w:val="left"/>
      <w:lvlText w:val="%1."/>
      <w:numFmt w:val="decimal"/>
      <w:start w:val="14"/>
    </w:lvl>
  </w:abstractNum>
  <w:abstractNum w:abstractNumId="314">
    <w:nsid w:val="168EFE17"/>
    <w:multiLevelType w:val="hybridMultilevel"/>
    <w:lvl w:ilvl="0">
      <w:lvlJc w:val="left"/>
      <w:lvlText w:val="%1."/>
      <w:numFmt w:val="decimal"/>
      <w:start w:val="1"/>
    </w:lvl>
    <w:lvl w:ilvl="1">
      <w:lvlJc w:val="left"/>
      <w:lvlText w:val="(%2)"/>
      <w:numFmt w:val="lowerLetter"/>
      <w:start w:val="1"/>
    </w:lvl>
  </w:abstractNum>
  <w:abstractNum w:abstractNumId="315">
    <w:nsid w:val="1036B29F"/>
    <w:multiLevelType w:val="hybridMultilevel"/>
    <w:lvl w:ilvl="0">
      <w:lvlJc w:val="left"/>
      <w:lvlText w:val="%1"/>
      <w:numFmt w:val="decimal"/>
      <w:start w:val="1"/>
    </w:lvl>
    <w:lvl w:ilvl="1">
      <w:lvlJc w:val="left"/>
      <w:lvlText w:val="(%2)"/>
      <w:numFmt w:val="lowerLetter"/>
      <w:start w:val="2"/>
    </w:lvl>
  </w:abstractNum>
  <w:abstractNum w:abstractNumId="316">
    <w:nsid w:val="1D206B8E"/>
    <w:multiLevelType w:val="hybridMultilevel"/>
    <w:lvl w:ilvl="0">
      <w:lvlJc w:val="left"/>
      <w:lvlText w:val="%1."/>
      <w:numFmt w:val="decimal"/>
      <w:start w:val="2"/>
    </w:lvl>
    <w:lvl w:ilvl="1">
      <w:lvlJc w:val="left"/>
      <w:lvlText w:val="%2"/>
      <w:numFmt w:val="lowerLetter"/>
      <w:start w:val="1"/>
    </w:lvl>
  </w:abstractNum>
  <w:abstractNum w:abstractNumId="317">
    <w:nsid w:val="7934D3D4"/>
    <w:multiLevelType w:val="hybridMultilevel"/>
    <w:lvl w:ilvl="0">
      <w:lvlJc w:val="left"/>
      <w:lvlText w:val="(%1)"/>
      <w:numFmt w:val="lowerLetter"/>
      <w:start w:val="1"/>
    </w:lvl>
  </w:abstractNum>
  <w:abstractNum w:abstractNumId="318">
    <w:nsid w:val="1C65E98"/>
    <w:multiLevelType w:val="hybridMultilevel"/>
    <w:lvl w:ilvl="0">
      <w:lvlJc w:val="left"/>
      <w:lvlText w:val="(%1)"/>
      <w:numFmt w:val="lowerLetter"/>
      <w:start w:val="5"/>
    </w:lvl>
  </w:abstractNum>
  <w:abstractNum w:abstractNumId="319">
    <w:nsid w:val="1495E50A"/>
    <w:multiLevelType w:val="hybridMultilevel"/>
    <w:lvl w:ilvl="0">
      <w:lvlJc w:val="left"/>
      <w:lvlText w:val="(%1)"/>
      <w:numFmt w:val="lowerLetter"/>
      <w:start w:val="7"/>
    </w:lvl>
  </w:abstractNum>
  <w:abstractNum w:abstractNumId="320">
    <w:nsid w:val="F5BCF61"/>
    <w:multiLevelType w:val="hybridMultilevel"/>
    <w:lvl w:ilvl="0">
      <w:lvlJc w:val="left"/>
      <w:lvlText w:val="(%1)"/>
      <w:numFmt w:val="lowerLetter"/>
      <w:start w:val="12"/>
    </w:lvl>
  </w:abstractNum>
  <w:abstractNum w:abstractNumId="321">
    <w:nsid w:val="3B1DD403"/>
    <w:multiLevelType w:val="hybridMultilevel"/>
    <w:lvl w:ilvl="0">
      <w:lvlJc w:val="left"/>
      <w:lvlText w:val="(%1)"/>
      <w:numFmt w:val="lowerLetter"/>
      <w:start w:val="15"/>
    </w:lvl>
  </w:abstractNum>
  <w:abstractNum w:abstractNumId="322">
    <w:nsid w:val="530386D1"/>
    <w:multiLevelType w:val="hybridMultilevel"/>
    <w:lvl w:ilvl="0">
      <w:lvlJc w:val="left"/>
      <w:lvlText w:val="(%1)"/>
      <w:numFmt w:val="lowerLetter"/>
      <w:start w:val="18"/>
    </w:lvl>
  </w:abstractNum>
  <w:abstractNum w:abstractNumId="323">
    <w:nsid w:val="7525F2BC"/>
    <w:multiLevelType w:val="hybridMultilevel"/>
    <w:lvl w:ilvl="0">
      <w:lvlJc w:val="left"/>
      <w:lvlText w:val="%1"/>
      <w:numFmt w:val="lowerRoman"/>
      <w:start w:val="1"/>
    </w:lvl>
    <w:lvl w:ilvl="1">
      <w:lvlJc w:val="left"/>
      <w:lvlText w:val="(%2)"/>
      <w:numFmt w:val="lowerLetter"/>
      <w:start w:val="22"/>
    </w:lvl>
  </w:abstractNum>
  <w:abstractNum w:abstractNumId="324">
    <w:nsid w:val="CE8E1A7"/>
    <w:multiLevelType w:val="hybridMultilevel"/>
    <w:lvl w:ilvl="0">
      <w:lvlJc w:val="left"/>
      <w:lvlText w:val="(%1)"/>
      <w:numFmt w:val="lowerRoman"/>
      <w:start w:val="4"/>
    </w:lvl>
    <w:lvl w:ilvl="1">
      <w:lvlJc w:val="left"/>
      <w:lvlText w:val="(%2)"/>
      <w:numFmt w:val="lowerLetter"/>
      <w:start w:val="25"/>
    </w:lvl>
  </w:abstractNum>
  <w:abstractNum w:abstractNumId="325">
    <w:nsid w:val="4E9EFB0D"/>
    <w:multiLevelType w:val="hybridMultilevel"/>
    <w:lvl w:ilvl="0">
      <w:lvlJc w:val="left"/>
      <w:lvlText w:val="(%1)"/>
      <w:numFmt w:val="lowerLetter"/>
      <w:start w:val="26"/>
    </w:lvl>
  </w:abstractNum>
  <w:abstractNum w:abstractNumId="326">
    <w:nsid w:val="90802BE"/>
    <w:multiLevelType w:val="hybridMultilevel"/>
    <w:lvl w:ilvl="0">
      <w:lvlJc w:val="left"/>
      <w:lvlText w:val="(%1)"/>
      <w:numFmt w:val="lowerLetter"/>
      <w:start w:val="27"/>
    </w:lvl>
  </w:abstractNum>
  <w:abstractNum w:abstractNumId="327">
    <w:nsid w:val="3266459B"/>
    <w:multiLevelType w:val="hybridMultilevel"/>
    <w:lvl w:ilvl="0">
      <w:lvlJc w:val="left"/>
      <w:lvlText w:val="(%1)"/>
      <w:numFmt w:val="lowerLetter"/>
      <w:start w:val="28"/>
    </w:lvl>
  </w:abstractNum>
  <w:abstractNum w:abstractNumId="328">
    <w:nsid w:val="3F8B0CBF"/>
    <w:multiLevelType w:val="hybridMultilevel"/>
    <w:lvl w:ilvl="0">
      <w:lvlJc w:val="left"/>
      <w:lvlText w:val="(%1)"/>
      <w:numFmt w:val="lowerLetter"/>
      <w:start w:val="35"/>
    </w:lvl>
  </w:abstractNum>
  <w:abstractNum w:abstractNumId="329">
    <w:nsid w:val="37E203AB"/>
    <w:multiLevelType w:val="hybridMultilevel"/>
    <w:lvl w:ilvl="0">
      <w:lvlJc w:val="left"/>
      <w:lvlText w:val="(%1)"/>
      <w:numFmt w:val="lowerLetter"/>
      <w:start w:val="38"/>
    </w:lvl>
  </w:abstractNum>
  <w:abstractNum w:abstractNumId="330">
    <w:nsid w:val="2586D60E"/>
    <w:multiLevelType w:val="hybridMultilevel"/>
    <w:lvl w:ilvl="0">
      <w:lvlJc w:val="left"/>
      <w:lvlText w:val="(%1)"/>
      <w:numFmt w:val="lowerLetter"/>
      <w:start w:val="40"/>
    </w:lvl>
  </w:abstractNum>
  <w:abstractNum w:abstractNumId="331">
    <w:nsid w:val="1F3DA4D5"/>
    <w:multiLevelType w:val="hybridMultilevel"/>
    <w:lvl w:ilvl="0">
      <w:lvlJc w:val="left"/>
      <w:lvlText w:val="(%1)"/>
      <w:numFmt w:val="lowerLetter"/>
      <w:start w:val="1"/>
    </w:lvl>
  </w:abstractNum>
  <w:abstractNum w:abstractNumId="332">
    <w:nsid w:val="74C93698"/>
    <w:multiLevelType w:val="hybridMultilevel"/>
    <w:lvl w:ilvl="0">
      <w:lvlJc w:val="left"/>
      <w:lvlText w:val="(%1)"/>
      <w:numFmt w:val="lowerLetter"/>
      <w:start w:val="4"/>
    </w:lvl>
  </w:abstractNum>
  <w:abstractNum w:abstractNumId="333">
    <w:nsid w:val="48781401"/>
    <w:multiLevelType w:val="hybridMultilevel"/>
    <w:lvl w:ilvl="0">
      <w:lvlJc w:val="left"/>
      <w:lvlText w:val="(%1)"/>
      <w:numFmt w:val="lowerLetter"/>
      <w:start w:val="1"/>
    </w:lvl>
  </w:abstractNum>
  <w:abstractNum w:abstractNumId="334">
    <w:nsid w:val="186928D6"/>
    <w:multiLevelType w:val="hybridMultilevel"/>
    <w:lvl w:ilvl="0">
      <w:lvlJc w:val="left"/>
      <w:lvlText w:val="(%1)"/>
      <w:numFmt w:val="lowerLetter"/>
      <w:start w:val="2"/>
    </w:lvl>
  </w:abstractNum>
  <w:abstractNum w:abstractNumId="335">
    <w:nsid w:val="47195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36">
    <w:nsid w:val="3746A5F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37">
    <w:nsid w:val="682DFED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8">
    <w:nsid w:val="606ED7F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9">
    <w:nsid w:val="2D9DF57D"/>
    <w:multiLevelType w:val="hybridMultilevel"/>
    <w:lvl w:ilvl="0">
      <w:lvlJc w:val="left"/>
      <w:lvlText w:val="%1"/>
      <w:numFmt w:val="lowerLetter"/>
      <w:start w:val="1"/>
    </w:lvl>
    <w:lvl w:ilvl="1">
      <w:lvlJc w:val="left"/>
      <w:lvlText w:val="(%2)"/>
      <w:numFmt w:val="lowerRoman"/>
      <w:start w:val="4"/>
    </w:lvl>
  </w:abstractNum>
  <w:abstractNum w:abstractNumId="340">
    <w:nsid w:val="7FBD7A3E"/>
    <w:multiLevelType w:val="hybridMultilevel"/>
    <w:lvl w:ilvl="0">
      <w:lvlJc w:val="left"/>
      <w:lvlText w:val="(%1)"/>
      <w:numFmt w:val="lowerLetter"/>
      <w:start w:val="2"/>
    </w:lvl>
    <w:lvl w:ilvl="1">
      <w:lvlJc w:val="left"/>
      <w:lvlText w:val="(%2)"/>
      <w:numFmt w:val="lowerRoman"/>
      <w:start w:val="1"/>
    </w:lvl>
  </w:abstractNum>
  <w:abstractNum w:abstractNumId="341">
    <w:nsid w:val="490B7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42">
    <w:nsid w:val="4303A216"/>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43">
    <w:nsid w:val="19B8A08E"/>
    <w:multiLevelType w:val="hybridMultilevel"/>
    <w:lvl w:ilvl="0">
      <w:lvlJc w:val="left"/>
      <w:lvlText w:val="(%1)"/>
      <w:numFmt w:val="lowerLetter"/>
      <w:start w:val="3"/>
    </w:lvl>
    <w:lvl w:ilvl="1">
      <w:lvlJc w:val="left"/>
      <w:lvlText w:val="%2."/>
      <w:numFmt w:val="decimal"/>
      <w:start w:val="7"/>
    </w:lvl>
    <w:lvl w:ilvl="2">
      <w:lvlJc w:val="left"/>
      <w:lvlText w:val="%3"/>
      <w:numFmt w:val="lowerRoman"/>
      <w:start w:val="1"/>
    </w:lvl>
  </w:abstractNum>
  <w:abstractNum w:abstractNumId="344">
    <w:nsid w:val="54B5962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49" Type="http://schemas.openxmlformats.org/officeDocument/2006/relationships/image" Target="media/image323.png"/><Relationship Id="rId370" Type="http://schemas.openxmlformats.org/officeDocument/2006/relationships/image" Target="media/image324.png"/><Relationship Id="rId387" Type="http://schemas.openxmlformats.org/officeDocument/2006/relationships/image" Target="media/image325.png"/><Relationship Id="rId388" Type="http://schemas.openxmlformats.org/officeDocument/2006/relationships/image" Target="media/image326.png"/><Relationship Id="rId389" Type="http://schemas.openxmlformats.org/officeDocument/2006/relationships/image" Target="media/image327.png"/><Relationship Id="rId390" Type="http://schemas.openxmlformats.org/officeDocument/2006/relationships/image" Target="media/image328.png"/><Relationship Id="rId391" Type="http://schemas.openxmlformats.org/officeDocument/2006/relationships/image" Target="media/image329.png"/><Relationship Id="rId392" Type="http://schemas.openxmlformats.org/officeDocument/2006/relationships/image" Target="media/image330.png"/><Relationship Id="rId393" Type="http://schemas.openxmlformats.org/officeDocument/2006/relationships/image" Target="media/image331.png"/><Relationship Id="rId394" Type="http://schemas.openxmlformats.org/officeDocument/2006/relationships/image" Target="media/image332.png"/><Relationship Id="rId395" Type="http://schemas.openxmlformats.org/officeDocument/2006/relationships/image" Target="media/image333.png"/><Relationship Id="rId396" Type="http://schemas.openxmlformats.org/officeDocument/2006/relationships/image" Target="media/image334.png"/><Relationship Id="rId397" Type="http://schemas.openxmlformats.org/officeDocument/2006/relationships/image" Target="media/image335.png"/><Relationship Id="rId398" Type="http://schemas.openxmlformats.org/officeDocument/2006/relationships/image" Target="media/image336.png"/><Relationship Id="rId399" Type="http://schemas.openxmlformats.org/officeDocument/2006/relationships/image" Target="media/image337.png"/><Relationship Id="rId400" Type="http://schemas.openxmlformats.org/officeDocument/2006/relationships/image" Target="media/image338.png"/><Relationship Id="rId401" Type="http://schemas.openxmlformats.org/officeDocument/2006/relationships/image" Target="media/image339.png"/><Relationship Id="rId402" Type="http://schemas.openxmlformats.org/officeDocument/2006/relationships/image" Target="media/image340.png"/><Relationship Id="rId403" Type="http://schemas.openxmlformats.org/officeDocument/2006/relationships/image" Target="media/image341.png"/><Relationship Id="rId404" Type="http://schemas.openxmlformats.org/officeDocument/2006/relationships/image" Target="media/image342.png"/><Relationship Id="rId405" Type="http://schemas.openxmlformats.org/officeDocument/2006/relationships/image" Target="media/image343.png"/><Relationship Id="rId406" Type="http://schemas.openxmlformats.org/officeDocument/2006/relationships/image" Target="media/image344.png"/><Relationship Id="rId407" Type="http://schemas.openxmlformats.org/officeDocument/2006/relationships/image" Target="media/image345.png"/><Relationship Id="rId408" Type="http://schemas.openxmlformats.org/officeDocument/2006/relationships/image" Target="media/image346.png"/><Relationship Id="rId409" Type="http://schemas.openxmlformats.org/officeDocument/2006/relationships/image" Target="media/image347.png"/><Relationship Id="rId410" Type="http://schemas.openxmlformats.org/officeDocument/2006/relationships/image" Target="media/image348.png"/><Relationship Id="rId411" Type="http://schemas.openxmlformats.org/officeDocument/2006/relationships/image" Target="media/image349.png"/><Relationship Id="rId412" Type="http://schemas.openxmlformats.org/officeDocument/2006/relationships/image" Target="media/image350.png"/><Relationship Id="rId413" Type="http://schemas.openxmlformats.org/officeDocument/2006/relationships/image" Target="media/image351.png"/><Relationship Id="rId414" Type="http://schemas.openxmlformats.org/officeDocument/2006/relationships/image" Target="media/image352.png"/><Relationship Id="rId415" Type="http://schemas.openxmlformats.org/officeDocument/2006/relationships/image" Target="media/image353.png"/><Relationship Id="rId416" Type="http://schemas.openxmlformats.org/officeDocument/2006/relationships/image" Target="media/image354.png"/><Relationship Id="rId417" Type="http://schemas.openxmlformats.org/officeDocument/2006/relationships/image" Target="media/image355.png"/><Relationship Id="rId418" Type="http://schemas.openxmlformats.org/officeDocument/2006/relationships/image" Target="media/image356.png"/><Relationship Id="rId419" Type="http://schemas.openxmlformats.org/officeDocument/2006/relationships/image" Target="media/image357.png"/><Relationship Id="rId420" Type="http://schemas.openxmlformats.org/officeDocument/2006/relationships/image" Target="media/image358.png"/><Relationship Id="rId421" Type="http://schemas.openxmlformats.org/officeDocument/2006/relationships/image" Target="media/image359.png"/><Relationship Id="rId422" Type="http://schemas.openxmlformats.org/officeDocument/2006/relationships/image" Target="media/image360.png"/><Relationship Id="rId423" Type="http://schemas.openxmlformats.org/officeDocument/2006/relationships/image" Target="media/image361.png"/><Relationship Id="rId424" Type="http://schemas.openxmlformats.org/officeDocument/2006/relationships/image" Target="media/image362.png"/><Relationship Id="rId425" Type="http://schemas.openxmlformats.org/officeDocument/2006/relationships/image" Target="media/image363.png"/><Relationship Id="rId426" Type="http://schemas.openxmlformats.org/officeDocument/2006/relationships/image" Target="media/image364.png"/><Relationship Id="rId427" Type="http://schemas.openxmlformats.org/officeDocument/2006/relationships/image" Target="media/image365.png"/><Relationship Id="rId428" Type="http://schemas.openxmlformats.org/officeDocument/2006/relationships/image" Target="media/image366.png"/><Relationship Id="rId429" Type="http://schemas.openxmlformats.org/officeDocument/2006/relationships/image" Target="media/image367.png"/><Relationship Id="rId430" Type="http://schemas.openxmlformats.org/officeDocument/2006/relationships/image" Target="media/image368.png"/><Relationship Id="rId431" Type="http://schemas.openxmlformats.org/officeDocument/2006/relationships/image" Target="media/image369.png"/><Relationship Id="rId432" Type="http://schemas.openxmlformats.org/officeDocument/2006/relationships/image" Target="media/image370.png"/><Relationship Id="rId433" Type="http://schemas.openxmlformats.org/officeDocument/2006/relationships/image" Target="media/image371.png"/><Relationship Id="rId434" Type="http://schemas.openxmlformats.org/officeDocument/2006/relationships/image" Target="media/image372.png"/><Relationship Id="rId435" Type="http://schemas.openxmlformats.org/officeDocument/2006/relationships/image" Target="media/image373.png"/><Relationship Id="rId436" Type="http://schemas.openxmlformats.org/officeDocument/2006/relationships/image" Target="media/image374.png"/><Relationship Id="rId437" Type="http://schemas.openxmlformats.org/officeDocument/2006/relationships/image" Target="media/image375.png"/><Relationship Id="rId438" Type="http://schemas.openxmlformats.org/officeDocument/2006/relationships/image" Target="media/image376.png"/><Relationship Id="rId439" Type="http://schemas.openxmlformats.org/officeDocument/2006/relationships/image" Target="media/image377.png"/><Relationship Id="rId440" Type="http://schemas.openxmlformats.org/officeDocument/2006/relationships/image" Target="media/image378.png"/><Relationship Id="rId441" Type="http://schemas.openxmlformats.org/officeDocument/2006/relationships/image" Target="media/image379.png"/><Relationship Id="rId442" Type="http://schemas.openxmlformats.org/officeDocument/2006/relationships/image" Target="media/image380.png"/><Relationship Id="rId443" Type="http://schemas.openxmlformats.org/officeDocument/2006/relationships/image" Target="media/image381.png"/><Relationship Id="rId444" Type="http://schemas.openxmlformats.org/officeDocument/2006/relationships/image" Target="media/image382.png"/><Relationship Id="rId445" Type="http://schemas.openxmlformats.org/officeDocument/2006/relationships/image" Target="media/image383.png"/><Relationship Id="rId446" Type="http://schemas.openxmlformats.org/officeDocument/2006/relationships/image" Target="media/image384.png"/><Relationship Id="rId447" Type="http://schemas.openxmlformats.org/officeDocument/2006/relationships/image" Target="media/image385.png"/><Relationship Id="rId448" Type="http://schemas.openxmlformats.org/officeDocument/2006/relationships/image" Target="media/image386.png"/><Relationship Id="rId449" Type="http://schemas.openxmlformats.org/officeDocument/2006/relationships/image" Target="media/image387.png"/><Relationship Id="rId450" Type="http://schemas.openxmlformats.org/officeDocument/2006/relationships/image" Target="media/image388.png"/><Relationship Id="rId451" Type="http://schemas.openxmlformats.org/officeDocument/2006/relationships/image" Target="media/image389.png"/><Relationship Id="rId452" Type="http://schemas.openxmlformats.org/officeDocument/2006/relationships/image" Target="media/image390.png"/><Relationship Id="rId453" Type="http://schemas.openxmlformats.org/officeDocument/2006/relationships/image" Target="media/image391.png"/><Relationship Id="rId454" Type="http://schemas.openxmlformats.org/officeDocument/2006/relationships/image" Target="media/image392.png"/><Relationship Id="rId455" Type="http://schemas.openxmlformats.org/officeDocument/2006/relationships/image" Target="media/image393.png"/><Relationship Id="rId456" Type="http://schemas.openxmlformats.org/officeDocument/2006/relationships/image" Target="media/image394.png"/><Relationship Id="rId457" Type="http://schemas.openxmlformats.org/officeDocument/2006/relationships/image" Target="media/image395.png"/><Relationship Id="rId458" Type="http://schemas.openxmlformats.org/officeDocument/2006/relationships/image" Target="media/image396.png"/><Relationship Id="rId459" Type="http://schemas.openxmlformats.org/officeDocument/2006/relationships/image" Target="media/image397.png"/><Relationship Id="rId460" Type="http://schemas.openxmlformats.org/officeDocument/2006/relationships/image" Target="media/image398.png"/><Relationship Id="rId461" Type="http://schemas.openxmlformats.org/officeDocument/2006/relationships/image" Target="media/image399.png"/><Relationship Id="rId462" Type="http://schemas.openxmlformats.org/officeDocument/2006/relationships/image" Target="media/image400.png"/><Relationship Id="rId463" Type="http://schemas.openxmlformats.org/officeDocument/2006/relationships/image" Target="media/image401.png"/><Relationship Id="rId464" Type="http://schemas.openxmlformats.org/officeDocument/2006/relationships/image" Target="media/image402.png"/><Relationship Id="rId465" Type="http://schemas.openxmlformats.org/officeDocument/2006/relationships/image" Target="media/image403.png"/><Relationship Id="rId466" Type="http://schemas.openxmlformats.org/officeDocument/2006/relationships/image" Target="media/image404.png"/><Relationship Id="rId467" Type="http://schemas.openxmlformats.org/officeDocument/2006/relationships/image" Target="media/image405.png"/><Relationship Id="rId468" Type="http://schemas.openxmlformats.org/officeDocument/2006/relationships/image" Target="media/image406.png"/><Relationship Id="rId469" Type="http://schemas.openxmlformats.org/officeDocument/2006/relationships/image" Target="media/image407.png"/><Relationship Id="rId470" Type="http://schemas.openxmlformats.org/officeDocument/2006/relationships/image" Target="media/image408.png"/><Relationship Id="rId471" Type="http://schemas.openxmlformats.org/officeDocument/2006/relationships/image" Target="media/image409.png"/><Relationship Id="rId472" Type="http://schemas.openxmlformats.org/officeDocument/2006/relationships/image" Target="media/image410.png"/><Relationship Id="rId473" Type="http://schemas.openxmlformats.org/officeDocument/2006/relationships/image" Target="media/image411.png"/><Relationship Id="rId474" Type="http://schemas.openxmlformats.org/officeDocument/2006/relationships/image" Target="media/image412.png"/><Relationship Id="rId475" Type="http://schemas.openxmlformats.org/officeDocument/2006/relationships/image" Target="media/image413.png"/><Relationship Id="rId476" Type="http://schemas.openxmlformats.org/officeDocument/2006/relationships/image" Target="media/image414.png"/><Relationship Id="rId477" Type="http://schemas.openxmlformats.org/officeDocument/2006/relationships/image" Target="media/image415.png"/><Relationship Id="rId478" Type="http://schemas.openxmlformats.org/officeDocument/2006/relationships/image" Target="media/image416.png"/><Relationship Id="rId479" Type="http://schemas.openxmlformats.org/officeDocument/2006/relationships/image" Target="media/image417.png"/><Relationship Id="rId480" Type="http://schemas.openxmlformats.org/officeDocument/2006/relationships/image" Target="media/image418.png"/><Relationship Id="rId481" Type="http://schemas.openxmlformats.org/officeDocument/2006/relationships/image" Target="media/image419.png"/><Relationship Id="rId482" Type="http://schemas.openxmlformats.org/officeDocument/2006/relationships/image" Target="media/image420.png"/><Relationship Id="rId483" Type="http://schemas.openxmlformats.org/officeDocument/2006/relationships/image" Target="media/image421.png"/><Relationship Id="rId484" Type="http://schemas.openxmlformats.org/officeDocument/2006/relationships/image" Target="media/image422.png"/><Relationship Id="rId485" Type="http://schemas.openxmlformats.org/officeDocument/2006/relationships/image" Target="media/image423.png"/><Relationship Id="rId486" Type="http://schemas.openxmlformats.org/officeDocument/2006/relationships/image" Target="media/image424.png"/><Relationship Id="rId487" Type="http://schemas.openxmlformats.org/officeDocument/2006/relationships/image" Target="media/image425.png"/><Relationship Id="rId488" Type="http://schemas.openxmlformats.org/officeDocument/2006/relationships/image" Target="media/image426.png"/><Relationship Id="rId489" Type="http://schemas.openxmlformats.org/officeDocument/2006/relationships/image" Target="media/image427.png"/><Relationship Id="rId490" Type="http://schemas.openxmlformats.org/officeDocument/2006/relationships/image" Target="media/image428.png"/><Relationship Id="rId491" Type="http://schemas.openxmlformats.org/officeDocument/2006/relationships/image" Target="media/image429.png"/><Relationship Id="rId492" Type="http://schemas.openxmlformats.org/officeDocument/2006/relationships/image" Target="media/image430.png"/><Relationship Id="rId493" Type="http://schemas.openxmlformats.org/officeDocument/2006/relationships/image" Target="media/image431.png"/><Relationship Id="rId494" Type="http://schemas.openxmlformats.org/officeDocument/2006/relationships/image" Target="media/image432.png"/><Relationship Id="rId495" Type="http://schemas.openxmlformats.org/officeDocument/2006/relationships/image" Target="media/image433.png"/><Relationship Id="rId496" Type="http://schemas.openxmlformats.org/officeDocument/2006/relationships/image" Target="media/image434.png"/><Relationship Id="rId497" Type="http://schemas.openxmlformats.org/officeDocument/2006/relationships/image" Target="media/image435.png"/><Relationship Id="rId498" Type="http://schemas.openxmlformats.org/officeDocument/2006/relationships/image" Target="media/image436.png"/><Relationship Id="rId499" Type="http://schemas.openxmlformats.org/officeDocument/2006/relationships/image" Target="media/image437.png"/><Relationship Id="rId500" Type="http://schemas.openxmlformats.org/officeDocument/2006/relationships/image" Target="media/image438.png"/><Relationship Id="rId501" Type="http://schemas.openxmlformats.org/officeDocument/2006/relationships/image" Target="media/image439.png"/><Relationship Id="rId502" Type="http://schemas.openxmlformats.org/officeDocument/2006/relationships/image" Target="media/image440.png"/><Relationship Id="rId503" Type="http://schemas.openxmlformats.org/officeDocument/2006/relationships/image" Target="media/image441.png"/><Relationship Id="rId504" Type="http://schemas.openxmlformats.org/officeDocument/2006/relationships/image" Target="media/image442.png"/><Relationship Id="rId505" Type="http://schemas.openxmlformats.org/officeDocument/2006/relationships/image" Target="media/image443.png"/><Relationship Id="rId506" Type="http://schemas.openxmlformats.org/officeDocument/2006/relationships/image" Target="media/image444.png"/><Relationship Id="rId507" Type="http://schemas.openxmlformats.org/officeDocument/2006/relationships/image" Target="media/image445.png"/><Relationship Id="rId508" Type="http://schemas.openxmlformats.org/officeDocument/2006/relationships/image" Target="media/image446.png"/><Relationship Id="rId509" Type="http://schemas.openxmlformats.org/officeDocument/2006/relationships/image" Target="media/image447.png"/><Relationship Id="rId510" Type="http://schemas.openxmlformats.org/officeDocument/2006/relationships/image" Target="media/image448.png"/><Relationship Id="rId511" Type="http://schemas.openxmlformats.org/officeDocument/2006/relationships/image" Target="media/image449.png"/><Relationship Id="rId512" Type="http://schemas.openxmlformats.org/officeDocument/2006/relationships/image" Target="media/image450.png"/><Relationship Id="rId513" Type="http://schemas.openxmlformats.org/officeDocument/2006/relationships/image" Target="media/image451.png"/><Relationship Id="rId514" Type="http://schemas.openxmlformats.org/officeDocument/2006/relationships/image" Target="media/image452.png"/><Relationship Id="rId515" Type="http://schemas.openxmlformats.org/officeDocument/2006/relationships/image" Target="media/image453.png"/><Relationship Id="rId516" Type="http://schemas.openxmlformats.org/officeDocument/2006/relationships/image" Target="media/image454.png"/><Relationship Id="rId517" Type="http://schemas.openxmlformats.org/officeDocument/2006/relationships/image" Target="media/image455.png"/><Relationship Id="rId518" Type="http://schemas.openxmlformats.org/officeDocument/2006/relationships/image" Target="media/image456.png"/><Relationship Id="rId519" Type="http://schemas.openxmlformats.org/officeDocument/2006/relationships/image" Target="media/image457.png"/><Relationship Id="rId520" Type="http://schemas.openxmlformats.org/officeDocument/2006/relationships/image" Target="media/image458.png"/><Relationship Id="rId521" Type="http://schemas.openxmlformats.org/officeDocument/2006/relationships/image" Target="media/image459.png"/><Relationship Id="rId522" Type="http://schemas.openxmlformats.org/officeDocument/2006/relationships/image" Target="media/image460.png"/><Relationship Id="rId523" Type="http://schemas.openxmlformats.org/officeDocument/2006/relationships/image" Target="media/image461.png"/><Relationship Id="rId524" Type="http://schemas.openxmlformats.org/officeDocument/2006/relationships/image" Target="media/image462.png"/><Relationship Id="rId525" Type="http://schemas.openxmlformats.org/officeDocument/2006/relationships/image" Target="media/image463.png"/><Relationship Id="rId526" Type="http://schemas.openxmlformats.org/officeDocument/2006/relationships/image" Target="media/image464.png"/><Relationship Id="rId527" Type="http://schemas.openxmlformats.org/officeDocument/2006/relationships/image" Target="media/image465.png"/><Relationship Id="rId528" Type="http://schemas.openxmlformats.org/officeDocument/2006/relationships/image" Target="media/image466.png"/><Relationship Id="rId529" Type="http://schemas.openxmlformats.org/officeDocument/2006/relationships/image" Target="media/image467.png"/><Relationship Id="rId530" Type="http://schemas.openxmlformats.org/officeDocument/2006/relationships/image" Target="media/image468.png"/><Relationship Id="rId531" Type="http://schemas.openxmlformats.org/officeDocument/2006/relationships/image" Target="media/image469.png"/><Relationship Id="rId532" Type="http://schemas.openxmlformats.org/officeDocument/2006/relationships/image" Target="media/image470.png"/><Relationship Id="rId533" Type="http://schemas.openxmlformats.org/officeDocument/2006/relationships/image" Target="media/image471.png"/><Relationship Id="rId534" Type="http://schemas.openxmlformats.org/officeDocument/2006/relationships/image" Target="media/image472.png"/><Relationship Id="rId535" Type="http://schemas.openxmlformats.org/officeDocument/2006/relationships/image" Target="media/image473.png"/><Relationship Id="rId536" Type="http://schemas.openxmlformats.org/officeDocument/2006/relationships/image" Target="media/image474.png"/><Relationship Id="rId537" Type="http://schemas.openxmlformats.org/officeDocument/2006/relationships/image" Target="media/image475.png"/><Relationship Id="rId538" Type="http://schemas.openxmlformats.org/officeDocument/2006/relationships/image" Target="media/image476.png"/><Relationship Id="rId539" Type="http://schemas.openxmlformats.org/officeDocument/2006/relationships/image" Target="media/image477.png"/><Relationship Id="rId540" Type="http://schemas.openxmlformats.org/officeDocument/2006/relationships/image" Target="media/image478.png"/><Relationship Id="rId541" Type="http://schemas.openxmlformats.org/officeDocument/2006/relationships/image" Target="media/image479.png"/><Relationship Id="rId542" Type="http://schemas.openxmlformats.org/officeDocument/2006/relationships/image" Target="media/image480.png"/><Relationship Id="rId543" Type="http://schemas.openxmlformats.org/officeDocument/2006/relationships/image" Target="media/image481.png"/><Relationship Id="rId544" Type="http://schemas.openxmlformats.org/officeDocument/2006/relationships/image" Target="media/image482.png"/><Relationship Id="rId545" Type="http://schemas.openxmlformats.org/officeDocument/2006/relationships/image" Target="media/image483.png"/><Relationship Id="rId546" Type="http://schemas.openxmlformats.org/officeDocument/2006/relationships/image" Target="media/image484.png"/><Relationship Id="rId547" Type="http://schemas.openxmlformats.org/officeDocument/2006/relationships/image" Target="media/image485.png"/><Relationship Id="rId548" Type="http://schemas.openxmlformats.org/officeDocument/2006/relationships/image" Target="media/image486.png"/><Relationship Id="rId549" Type="http://schemas.openxmlformats.org/officeDocument/2006/relationships/image" Target="media/image487.png"/><Relationship Id="rId550" Type="http://schemas.openxmlformats.org/officeDocument/2006/relationships/image" Target="media/image488.png"/><Relationship Id="rId551" Type="http://schemas.openxmlformats.org/officeDocument/2006/relationships/image" Target="media/image489.png"/><Relationship Id="rId552" Type="http://schemas.openxmlformats.org/officeDocument/2006/relationships/image" Target="media/image490.png"/><Relationship Id="rId553" Type="http://schemas.openxmlformats.org/officeDocument/2006/relationships/image" Target="media/image491.png"/><Relationship Id="rId554" Type="http://schemas.openxmlformats.org/officeDocument/2006/relationships/image" Target="media/image492.png"/><Relationship Id="rId555" Type="http://schemas.openxmlformats.org/officeDocument/2006/relationships/image" Target="media/image493.png"/><Relationship Id="rId556" Type="http://schemas.openxmlformats.org/officeDocument/2006/relationships/image" Target="media/image494.png"/><Relationship Id="rId557" Type="http://schemas.openxmlformats.org/officeDocument/2006/relationships/image" Target="media/image495.png"/><Relationship Id="rId558" Type="http://schemas.openxmlformats.org/officeDocument/2006/relationships/image" Target="media/image496.png"/><Relationship Id="rId559" Type="http://schemas.openxmlformats.org/officeDocument/2006/relationships/image" Target="media/image497.png"/><Relationship Id="rId560" Type="http://schemas.openxmlformats.org/officeDocument/2006/relationships/image" Target="media/image498.png"/><Relationship Id="rId561" Type="http://schemas.openxmlformats.org/officeDocument/2006/relationships/image" Target="media/image499.png"/><Relationship Id="rId562" Type="http://schemas.openxmlformats.org/officeDocument/2006/relationships/image" Target="media/image500.png"/><Relationship Id="rId563" Type="http://schemas.openxmlformats.org/officeDocument/2006/relationships/image" Target="media/image501.png"/><Relationship Id="rId564" Type="http://schemas.openxmlformats.org/officeDocument/2006/relationships/image" Target="media/image502.png"/><Relationship Id="rId565" Type="http://schemas.openxmlformats.org/officeDocument/2006/relationships/image" Target="media/image503.png"/><Relationship Id="rId566" Type="http://schemas.openxmlformats.org/officeDocument/2006/relationships/image" Target="media/image504.png"/><Relationship Id="rId567" Type="http://schemas.openxmlformats.org/officeDocument/2006/relationships/image" Target="media/image505.png"/><Relationship Id="rId568" Type="http://schemas.openxmlformats.org/officeDocument/2006/relationships/image" Target="media/image506.png"/><Relationship Id="rId569" Type="http://schemas.openxmlformats.org/officeDocument/2006/relationships/image" Target="media/image507.png"/><Relationship Id="rId570" Type="http://schemas.openxmlformats.org/officeDocument/2006/relationships/image" Target="media/image508.png"/><Relationship Id="rId571" Type="http://schemas.openxmlformats.org/officeDocument/2006/relationships/image" Target="media/image509.png"/><Relationship Id="rId572" Type="http://schemas.openxmlformats.org/officeDocument/2006/relationships/image" Target="media/image510.png"/><Relationship Id="rId573" Type="http://schemas.openxmlformats.org/officeDocument/2006/relationships/image" Target="media/image511.png"/><Relationship Id="rId574" Type="http://schemas.openxmlformats.org/officeDocument/2006/relationships/image" Target="media/image512.png"/><Relationship Id="rId575" Type="http://schemas.openxmlformats.org/officeDocument/2006/relationships/image" Target="media/image513.png"/><Relationship Id="rId576" Type="http://schemas.openxmlformats.org/officeDocument/2006/relationships/image" Target="media/image514.png"/><Relationship Id="rId577" Type="http://schemas.openxmlformats.org/officeDocument/2006/relationships/image" Target="media/image515.png"/><Relationship Id="rId578" Type="http://schemas.openxmlformats.org/officeDocument/2006/relationships/image" Target="media/image516.png"/><Relationship Id="rId579" Type="http://schemas.openxmlformats.org/officeDocument/2006/relationships/image" Target="media/image517.png"/><Relationship Id="rId580" Type="http://schemas.openxmlformats.org/officeDocument/2006/relationships/image" Target="media/image518.png"/><Relationship Id="rId581" Type="http://schemas.openxmlformats.org/officeDocument/2006/relationships/image" Target="media/image519.png"/><Relationship Id="rId582" Type="http://schemas.openxmlformats.org/officeDocument/2006/relationships/image" Target="media/image520.png"/><Relationship Id="rId583" Type="http://schemas.openxmlformats.org/officeDocument/2006/relationships/image" Target="media/image521.png"/><Relationship Id="rId584" Type="http://schemas.openxmlformats.org/officeDocument/2006/relationships/image" Target="media/image522.png"/><Relationship Id="rId585" Type="http://schemas.openxmlformats.org/officeDocument/2006/relationships/image" Target="media/image523.png"/><Relationship Id="rId586" Type="http://schemas.openxmlformats.org/officeDocument/2006/relationships/image" Target="media/image524.png"/><Relationship Id="rId587" Type="http://schemas.openxmlformats.org/officeDocument/2006/relationships/image" Target="media/image525.png"/><Relationship Id="rId330" Type="http://schemas.openxmlformats.org/officeDocument/2006/relationships/hyperlink" Target="http://www.sec.gov/Archives/edgar/data/0001743907/000119312521032486/d71456dex21.htm" TargetMode="External"/><Relationship Id="rId331" Type="http://schemas.openxmlformats.org/officeDocument/2006/relationships/hyperlink" Target="http://www.sec.gov/Archives/edgar/data/0001743907/000119312521032486/d71456dex22.htm" TargetMode="External"/><Relationship Id="rId332" Type="http://schemas.openxmlformats.org/officeDocument/2006/relationships/hyperlink" Target="http://www.sec.gov/Archives/edgar/data/0001743907/000119312521032486/d71456dex31.htm" TargetMode="External"/><Relationship Id="rId333" Type="http://schemas.openxmlformats.org/officeDocument/2006/relationships/hyperlink" Target="http://www.sec.gov/Archives/edgar/data/0001743907/000119312521032486/d71456dex32.htm" TargetMode="External"/><Relationship Id="rId334" Type="http://schemas.openxmlformats.org/officeDocument/2006/relationships/hyperlink" Target="http://www.sec.gov/Archives/edgar/data/0001743907/000119312521032486/d71456dex41.htm" TargetMode="External"/><Relationship Id="rId335" Type="http://schemas.openxmlformats.org/officeDocument/2006/relationships/hyperlink" Target="http://www.sec.gov/Archives/edgar/data/0001743907/000119312521032486/d71456dex42.htm" TargetMode="External"/><Relationship Id="rId336" Type="http://schemas.openxmlformats.org/officeDocument/2006/relationships/hyperlink" Target="http://www.sec.gov/Archives/edgar/data/0001743907/000119312521032486/d71456dex43.htm" TargetMode="External"/><Relationship Id="rId337" Type="http://schemas.openxmlformats.org/officeDocument/2006/relationships/hyperlink" Target="http://www.sec.gov/Archives/edgar/data/0001743907/000119312521032486/d71456dex44.htm" TargetMode="External"/><Relationship Id="rId338" Type="http://schemas.openxmlformats.org/officeDocument/2006/relationships/hyperlink" Target="http://www.sec.gov/Archives/edgar/data/0001743907/000119312521032486/d71456dex45.htm" TargetMode="External"/><Relationship Id="rId339" Type="http://schemas.openxmlformats.org/officeDocument/2006/relationships/hyperlink" Target="http://www.sec.gov/Archives/edgar/data/0001743907/000119312521032486/d71456dex101.htm" TargetMode="External"/><Relationship Id="rId340" Type="http://schemas.openxmlformats.org/officeDocument/2006/relationships/hyperlink" Target="http://www.sec.gov/Archives/edgar/data/0001743907/000119312521032486/d71456dex102.htm" TargetMode="External"/><Relationship Id="rId341" Type="http://schemas.openxmlformats.org/officeDocument/2006/relationships/hyperlink" Target="http://www.sec.gov/Archives/edgar/data/0001743907/000119312521032486/d71456dex103.htm" TargetMode="External"/><Relationship Id="rId342" Type="http://schemas.openxmlformats.org/officeDocument/2006/relationships/hyperlink" Target="http://www.sec.gov/Archives/edgar/data/0001743907/000119312521032486/d71456dex104.htm" TargetMode="External"/><Relationship Id="rId343" Type="http://schemas.openxmlformats.org/officeDocument/2006/relationships/hyperlink" Target="http://www.sec.gov/Archives/edgar/data/0001743907/000119312521032486/d71456dex105.htm" TargetMode="External"/><Relationship Id="rId344" Type="http://schemas.openxmlformats.org/officeDocument/2006/relationships/hyperlink" Target="http://www.sec.gov/Archives/edgar/data/0001743907/000119312521032486/d71456dex106.htm" TargetMode="External"/><Relationship Id="rId345" Type="http://schemas.openxmlformats.org/officeDocument/2006/relationships/hyperlink" Target="http://www.sec.gov/Archives/edgar/data/0001743907/000119312521032486/d71456dex107.htm" TargetMode="External"/><Relationship Id="rId346" Type="http://schemas.openxmlformats.org/officeDocument/2006/relationships/hyperlink" Target="http://www.sec.gov/Archives/edgar/data/0001743907/000119312521032486/d71456dex108.htm" TargetMode="External"/><Relationship Id="rId347" Type="http://schemas.openxmlformats.org/officeDocument/2006/relationships/hyperlink" Target="http://www.sec.gov/Archives/edgar/data/0001743907/000119312521032486/d71456dex109.htm" TargetMode="External"/><Relationship Id="rId348" Type="http://schemas.openxmlformats.org/officeDocument/2006/relationships/hyperlink" Target="http://www.sec.gov/Archives/edgar/data/0001743907/000119312521032486/d71456dex1010.htm" TargetMode="External"/><Relationship Id="rId350" Type="http://schemas.openxmlformats.org/officeDocument/2006/relationships/hyperlink" Target="http://www.sec.gov/Archives/edgar/data/0001743907/000119312521032486/d71456dex1011.htm" TargetMode="External"/><Relationship Id="rId351" Type="http://schemas.openxmlformats.org/officeDocument/2006/relationships/hyperlink" Target="http://www.sec.gov/Archives/edgar/data/0001743907/000119312521032486/d71456dex1012.htm" TargetMode="External"/><Relationship Id="rId352" Type="http://schemas.openxmlformats.org/officeDocument/2006/relationships/hyperlink" Target="http://www.sec.gov/Archives/edgar/data/0001743907/000119312521032486/d71456dex1013.htm" TargetMode="External"/><Relationship Id="rId353" Type="http://schemas.openxmlformats.org/officeDocument/2006/relationships/hyperlink" Target="http://www.sec.gov/Archives/edgar/data/0001743907/000119312521032486/d71456dex1014.htm" TargetMode="External"/><Relationship Id="rId354" Type="http://schemas.openxmlformats.org/officeDocument/2006/relationships/hyperlink" Target="http://www.sec.gov/Archives/edgar/data/0001743907/000119312521032486/d71456dex1015.htm" TargetMode="External"/><Relationship Id="rId355" Type="http://schemas.openxmlformats.org/officeDocument/2006/relationships/hyperlink" Target="http://www.sec.gov/Archives/edgar/data/0001743907/000119312521032486/d71456dex1016.htm" TargetMode="External"/><Relationship Id="rId356" Type="http://schemas.openxmlformats.org/officeDocument/2006/relationships/hyperlink" Target="http://www.sec.gov/Archives/edgar/data/0001743907/000119312521032486/d71456dex1017.htm" TargetMode="External"/><Relationship Id="rId357" Type="http://schemas.openxmlformats.org/officeDocument/2006/relationships/hyperlink" Target="http://www.sec.gov/Archives/edgar/data/0001743907/000119312521032486/d71456dex1018.htm" TargetMode="External"/><Relationship Id="rId358" Type="http://schemas.openxmlformats.org/officeDocument/2006/relationships/hyperlink" Target="http://www.sec.gov/Archives/edgar/data/0001743907/000119312521032486/d71456dex1019.htm" TargetMode="External"/><Relationship Id="rId359" Type="http://schemas.openxmlformats.org/officeDocument/2006/relationships/hyperlink" Target="http://www.sec.gov/Archives/edgar/data/0001743907/000119312521032486/d71456dex1020.htm" TargetMode="External"/><Relationship Id="rId360" Type="http://schemas.openxmlformats.org/officeDocument/2006/relationships/hyperlink" Target="http://www.sec.gov/Archives/edgar/data/0001743907/000119312521032486/d71456dex1021.htm" TargetMode="External"/><Relationship Id="rId361" Type="http://schemas.openxmlformats.org/officeDocument/2006/relationships/hyperlink" Target="http://www.sec.gov/Archives/edgar/data/0001743907/000119312521032486/d71456dex1022.htm" TargetMode="External"/><Relationship Id="rId362" Type="http://schemas.openxmlformats.org/officeDocument/2006/relationships/hyperlink" Target="http://www.sec.gov/Archives/edgar/data/0001743907/000119312521032486/d71456dex1023.htm" TargetMode="External"/><Relationship Id="rId363" Type="http://schemas.openxmlformats.org/officeDocument/2006/relationships/hyperlink" Target="http://www.sec.gov/Archives/edgar/data/0001743907/000119312521032486/d71456dex1024.htm" TargetMode="External"/><Relationship Id="rId364" Type="http://schemas.openxmlformats.org/officeDocument/2006/relationships/hyperlink" Target="http://www.sec.gov/Archives/edgar/data/0001743907/000119312521032486/d71456dex1025.htm" TargetMode="External"/><Relationship Id="rId365" Type="http://schemas.openxmlformats.org/officeDocument/2006/relationships/hyperlink" Target="http://www.sec.gov/Archives/edgar/data/0001743907/000119312521032486/d71456dex1026.htm" TargetMode="External"/><Relationship Id="rId366" Type="http://schemas.openxmlformats.org/officeDocument/2006/relationships/hyperlink" Target="http://www.sec.gov/Archives/edgar/data/0001743907/000119312521032486/d71456dex1027.htm" TargetMode="External"/><Relationship Id="rId367" Type="http://schemas.openxmlformats.org/officeDocument/2006/relationships/hyperlink" Target="http://www.sec.gov/Archives/edgar/data/0001743907/000119312521032486/d71456dex1028.htm" TargetMode="External"/><Relationship Id="rId368" Type="http://schemas.openxmlformats.org/officeDocument/2006/relationships/hyperlink" Target="http://www.sec.gov/Archives/edgar/data/0001743907/000119312521032486/d71456dex1029.htm" TargetMode="External"/><Relationship Id="rId369" Type="http://schemas.openxmlformats.org/officeDocument/2006/relationships/hyperlink" Target="http://www.sec.gov/Archives/edgar/data/0001743907/000119312521032486/d71456dex1030.htm" TargetMode="External"/><Relationship Id="rId371" Type="http://schemas.openxmlformats.org/officeDocument/2006/relationships/hyperlink" Target="http://www.sec.gov/Archives/edgar/data/0001743907/000119312521032486/d71456dex1031.htm" TargetMode="External"/><Relationship Id="rId372" Type="http://schemas.openxmlformats.org/officeDocument/2006/relationships/hyperlink" Target="http://www.sec.gov/Archives/edgar/data/0001743907/000119312521032486/d71456dex1032.htm" TargetMode="External"/><Relationship Id="rId373" Type="http://schemas.openxmlformats.org/officeDocument/2006/relationships/hyperlink" Target="http://www.sec.gov/Archives/edgar/data/0001743907/000119312521032486/d71456dex1033.htm" TargetMode="External"/><Relationship Id="rId374" Type="http://schemas.openxmlformats.org/officeDocument/2006/relationships/hyperlink" Target="http://www.sec.gov/Archives/edgar/data/0001743907/000119312521032486/d71456dex1034.htm" TargetMode="External"/><Relationship Id="rId375" Type="http://schemas.openxmlformats.org/officeDocument/2006/relationships/hyperlink" Target="http://www.sec.gov/Archives/edgar/data/0001743907/000119312521032486/d71456dex1035.htm" TargetMode="External"/><Relationship Id="rId376" Type="http://schemas.openxmlformats.org/officeDocument/2006/relationships/hyperlink" Target="http://www.sec.gov/Archives/edgar/data/0001743907/000119312521032486/d71456dex1036.htm" TargetMode="External"/><Relationship Id="rId377" Type="http://schemas.openxmlformats.org/officeDocument/2006/relationships/hyperlink" Target="http://www.sec.gov/Archives/edgar/data/0001743907/000119312521032486/d71456dex1037.htm" TargetMode="External"/><Relationship Id="rId378" Type="http://schemas.openxmlformats.org/officeDocument/2006/relationships/hyperlink" Target="http://www.sec.gov/Archives/edgar/data/0001743907/000119312521032486/d71456dex1039.htm" TargetMode="External"/><Relationship Id="rId379" Type="http://schemas.openxmlformats.org/officeDocument/2006/relationships/hyperlink" Target="http://www.sec.gov/Archives/edgar/data/0001743907/000119312521032486/d71456dex1040.htm" TargetMode="External"/><Relationship Id="rId380" Type="http://schemas.openxmlformats.org/officeDocument/2006/relationships/hyperlink" Target="http://www.sec.gov/Archives/edgar/data/0001743907/000119312521032486/d71456dex1041.htm" TargetMode="External"/><Relationship Id="rId381" Type="http://schemas.openxmlformats.org/officeDocument/2006/relationships/hyperlink" Target="http://www.sec.gov/Archives/edgar/data/0001743907/000119312521032486/d71456dex1042.htm" TargetMode="External"/><Relationship Id="rId382" Type="http://schemas.openxmlformats.org/officeDocument/2006/relationships/hyperlink" Target="http://www.sec.gov/Archives/edgar/data/0001743907/000119312521032486/d71456dex1043.htm" TargetMode="External"/><Relationship Id="rId383" Type="http://schemas.openxmlformats.org/officeDocument/2006/relationships/hyperlink" Target="http://www.sec.gov/Archives/edgar/data/0001743907/000119312521032486/d71456dex1044.htm" TargetMode="External"/><Relationship Id="rId384" Type="http://schemas.openxmlformats.org/officeDocument/2006/relationships/hyperlink" Target="http://www.sec.gov/Archives/edgar/data/0001743907/000119312521032486/d71456dex1045.htm" TargetMode="External"/><Relationship Id="rId385" Type="http://schemas.openxmlformats.org/officeDocument/2006/relationships/hyperlink" Target="http://www.sec.gov/Archives/edgar/data/1743907/000119312521051676/d71456dex1047.htm" TargetMode="External"/><Relationship Id="rId386" Type="http://schemas.openxmlformats.org/officeDocument/2006/relationships/hyperlink" Target="http://www.sec.gov/Archives/edgar/data/0001743907/000119312521032486/d7145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2021-03-08T07:09:27Z</dcterms:created>
  <dcterms:modified xsi:type="dcterms:W3CDTF">2021-03-08T07:09:27Z</dcterms:modified>
</cp:coreProperties>
</file>