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2005 Cargo Road.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Minneapolis, MN 55450</w:t>
      </w:r>
    </w:p>
    <w:p>
      <w:pPr>
        <w:spacing w:after="0" w:line="211" w:lineRule="exact"/>
        <w:rPr>
          <w:sz w:val="24"/>
          <w:szCs w:val="24"/>
          <w:color w:val="auto"/>
        </w:rPr>
      </w:pPr>
    </w:p>
    <w:p>
      <w:pPr>
        <w:ind w:left="8940"/>
        <w:spacing w:after="0"/>
        <w:rPr>
          <w:sz w:val="20"/>
          <w:szCs w:val="20"/>
          <w:color w:val="auto"/>
        </w:rPr>
      </w:pPr>
      <w:r>
        <w:rPr>
          <w:rFonts w:ascii="Arial" w:cs="Arial" w:eastAsia="Arial" w:hAnsi="Arial"/>
          <w:sz w:val="18"/>
          <w:szCs w:val="18"/>
          <w:color w:val="auto"/>
        </w:rPr>
        <w:t>May 17,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Liz Packebusch</w:t>
      </w:r>
    </w:p>
    <w:p>
      <w:pPr>
        <w:spacing w:after="0" w:line="23" w:lineRule="exact"/>
        <w:rPr>
          <w:sz w:val="24"/>
          <w:szCs w:val="24"/>
          <w:color w:val="auto"/>
        </w:rPr>
      </w:pPr>
    </w:p>
    <w:p>
      <w:pPr>
        <w:ind w:left="780"/>
        <w:spacing w:after="0"/>
        <w:rPr>
          <w:sz w:val="20"/>
          <w:szCs w:val="20"/>
          <w:color w:val="auto"/>
        </w:rPr>
      </w:pPr>
      <w:r>
        <w:rPr>
          <w:rFonts w:ascii="Arial" w:cs="Arial" w:eastAsia="Arial" w:hAnsi="Arial"/>
          <w:sz w:val="18"/>
          <w:szCs w:val="18"/>
          <w:color w:val="auto"/>
        </w:rPr>
        <w:t>Staff Attorney</w:t>
      </w:r>
    </w:p>
    <w:p>
      <w:pPr>
        <w:spacing w:after="0" w:line="9" w:lineRule="exact"/>
        <w:rPr>
          <w:sz w:val="24"/>
          <w:szCs w:val="24"/>
          <w:color w:val="auto"/>
        </w:rPr>
      </w:pPr>
    </w:p>
    <w:p>
      <w:pPr>
        <w:ind w:left="780"/>
        <w:spacing w:after="0"/>
        <w:rPr>
          <w:sz w:val="20"/>
          <w:szCs w:val="20"/>
          <w:color w:val="auto"/>
        </w:rPr>
      </w:pPr>
      <w:r>
        <w:rPr>
          <w:rFonts w:ascii="Arial" w:cs="Arial" w:eastAsia="Arial" w:hAnsi="Arial"/>
          <w:sz w:val="18"/>
          <w:szCs w:val="18"/>
          <w:color w:val="auto"/>
        </w:rPr>
        <w:t>Office of Energy &amp; Transportation</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Registration Statement 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u w:val="single" w:color="auto"/>
          <w:color w:val="auto"/>
        </w:rPr>
        <w:t>Form S-1 (File No. 333-256201)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Packebusch:</w:t>
      </w:r>
    </w:p>
    <w:p>
      <w:pPr>
        <w:spacing w:after="0" w:line="225" w:lineRule="exact"/>
        <w:rPr>
          <w:sz w:val="24"/>
          <w:szCs w:val="24"/>
          <w:color w:val="auto"/>
        </w:rPr>
      </w:pPr>
    </w:p>
    <w:p>
      <w:pPr>
        <w:ind w:firstLine="1296"/>
        <w:spacing w:after="0" w:line="257" w:lineRule="auto"/>
        <w:rPr>
          <w:sz w:val="20"/>
          <w:szCs w:val="20"/>
          <w:color w:val="auto"/>
        </w:rPr>
      </w:pPr>
      <w:r>
        <w:rPr>
          <w:rFonts w:ascii="Arial" w:cs="Arial" w:eastAsia="Arial" w:hAnsi="Arial"/>
          <w:sz w:val="18"/>
          <w:szCs w:val="18"/>
          <w:color w:val="auto"/>
        </w:rPr>
        <w:t>Pursuant to Rule 461 of the Securities Act of 1933, as amended, we hereby request that the effective date of the above-captioned Registration Statement on Form S-1 (the “S-1”) relating to the registration of 6,900,000 shares (including 900,000 shares to cover over-allotments) of the common stock, par value $0.01 per share, of Sun Country Airlines Holdings, Inc. (the “Company”) be accelerated to May 19, 2021 at 4:00 p.m. E.D.T. or as soon thereafter as may be practicable, or at such other time as the Company or its outside counsel, Paul, Weiss, Rifkind, Wharton &amp; Garrison LLP, may orally request via telephone call that the S-1 be declared effective.</w:t>
      </w:r>
    </w:p>
    <w:p>
      <w:pPr>
        <w:spacing w:after="0" w:line="188" w:lineRule="exact"/>
        <w:rPr>
          <w:sz w:val="24"/>
          <w:szCs w:val="24"/>
          <w:color w:val="auto"/>
        </w:rPr>
      </w:pPr>
    </w:p>
    <w:p>
      <w:pPr>
        <w:ind w:right="40" w:firstLine="1296"/>
        <w:spacing w:after="0" w:line="286" w:lineRule="auto"/>
        <w:rPr>
          <w:sz w:val="20"/>
          <w:szCs w:val="20"/>
          <w:color w:val="auto"/>
        </w:rPr>
      </w:pPr>
      <w:r>
        <w:rPr>
          <w:rFonts w:ascii="Arial" w:cs="Arial" w:eastAsia="Arial" w:hAnsi="Arial"/>
          <w:sz w:val="17"/>
          <w:szCs w:val="17"/>
          <w:color w:val="auto"/>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Brian M. Janson of Paul, Weiss, Rifkind, Wharton &amp; Garrison LLP at (212) 373-3588.</w:t>
      </w:r>
    </w:p>
    <w:p>
      <w:pPr>
        <w:spacing w:after="0" w:line="16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472" w:right="47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7"/>
          <w:szCs w:val="17"/>
          <w:color w:val="auto"/>
        </w:rPr>
        <w:t>Title:</w:t>
        <w:tab/>
        <w:t>Chief Administrative Officer,</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2021-06-17T23:05:59Z</dcterms:created>
  <dcterms:modified xsi:type="dcterms:W3CDTF">2021-06-17T23:05:59Z</dcterms:modified>
</cp:coreProperties>
</file>