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jc w:val="center"/>
              <w:ind w:left="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w w:val="98"/>
              </w:rPr>
              <w:t>03/30/2022</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2,337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03/30/2022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26.09</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1,439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03/30/2022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26.57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03/30/2022</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1,000</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71,027</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$25.55 to $26.49,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$26.55 to $26.58,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sales reported in this Form 4 were effected pursuant to a Rule 10b5-1 trading plan. Other grants may have a graded vesting schedule. Date Exercisable will vary for each vesting tranche.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Eric Levenhagen, as</w:t>
            </w:r>
          </w:p>
        </w:tc>
        <w:tc>
          <w:tcPr>
            <w:tcW w:w="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03/31/2022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2022-04-04T08:45:15Z</dcterms:created>
  <dcterms:modified xsi:type="dcterms:W3CDTF">2022-04-04T08:45:15Z</dcterms:modified>
</cp:coreProperties>
</file>