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Sun Country Airlines Holdings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866683105</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866683105</w:t>
      </w:r>
    </w:p>
    <w:p>
      <w:pPr>
        <w:spacing w:after="0" w:line="171" w:lineRule="exact"/>
        <w:rPr>
          <w:sz w:val="20"/>
          <w:szCs w:val="20"/>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Macquarie Group Limited</w:t>
      </w:r>
    </w:p>
    <w:p>
      <w:pPr>
        <w:spacing w:after="0" w:line="40"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35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3" w:lineRule="exact"/>
        <w:rPr>
          <w:rFonts w:ascii="Times New Roman" w:cs="Times New Roman" w:eastAsia="Times New Roman" w:hAnsi="Times New Roman"/>
          <w:sz w:val="17"/>
          <w:szCs w:val="17"/>
          <w:color w:val="auto"/>
        </w:rPr>
      </w:pPr>
    </w:p>
    <w:p>
      <w:pPr>
        <w:ind w:left="1160" w:right="7640" w:hanging="597"/>
        <w:spacing w:after="0" w:line="346" w:lineRule="auto"/>
        <w:tabs>
          <w:tab w:leader="none" w:pos="65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Sydney, New South Wales Australia 5.    Sole Voting Power</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0" w:hanging="86"/>
        <w:spacing w:after="0"/>
        <w:tabs>
          <w:tab w:leader="none" w:pos="158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4" w:lineRule="exact"/>
        <w:rPr>
          <w:sz w:val="20"/>
          <w:szCs w:val="20"/>
          <w:color w:val="auto"/>
        </w:rPr>
      </w:pPr>
    </w:p>
    <w:p>
      <w:pPr>
        <w:ind w:left="640" w:right="760"/>
        <w:spacing w:after="0" w:line="266" w:lineRule="auto"/>
        <w:rPr>
          <w:sz w:val="20"/>
          <w:szCs w:val="20"/>
          <w:color w:val="auto"/>
        </w:rPr>
      </w:pPr>
      <w:r>
        <w:rPr>
          <w:rFonts w:ascii="Times New Roman" w:cs="Times New Roman" w:eastAsia="Times New Roman" w:hAnsi="Times New Roman"/>
          <w:sz w:val="18"/>
          <w:szCs w:val="18"/>
          <w:color w:val="auto"/>
        </w:rPr>
        <w:t>3,788,897 deemed beneficially owned due to reporting person’s ownership of Macquarie Management Holdings Inc. and Macquarie Investment Management Business Trust whose individual holdings are shown on the following forms.</w:t>
      </w: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6.99%</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2 of 13</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866683105</w:t>
      </w:r>
    </w:p>
    <w:p>
      <w:pPr>
        <w:spacing w:after="0" w:line="171" w:lineRule="exact"/>
        <w:rPr>
          <w:sz w:val="20"/>
          <w:szCs w:val="20"/>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Macquarie Management Holdings Inc</w:t>
      </w:r>
    </w:p>
    <w:p>
      <w:pPr>
        <w:spacing w:after="0" w:line="40"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State of Delaware</w:t>
      </w:r>
    </w:p>
    <w:p>
      <w:pPr>
        <w:spacing w:after="0" w:line="36" w:lineRule="exact"/>
        <w:rPr>
          <w:sz w:val="20"/>
          <w:szCs w:val="20"/>
          <w:color w:val="auto"/>
        </w:rPr>
      </w:pPr>
    </w:p>
    <w:p>
      <w:pPr>
        <w:ind w:left="1160"/>
        <w:spacing w:after="0"/>
        <w:tabs>
          <w:tab w:leader="none" w:pos="1480"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3,788,897</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3,788,897</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0" w:hanging="86"/>
        <w:spacing w:after="0"/>
        <w:tabs>
          <w:tab w:leader="none" w:pos="158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3,788,897 deemed beneficially owned due to reporting person’s ownership of Macquarie Investment Management Business Trust</w:t>
      </w:r>
    </w:p>
    <w:p>
      <w:pPr>
        <w:spacing w:after="0" w:line="36" w:lineRule="exact"/>
        <w:rPr>
          <w:sz w:val="20"/>
          <w:szCs w:val="20"/>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6.99%</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3 of 13</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866683105</w:t>
      </w:r>
    </w:p>
    <w:p>
      <w:pPr>
        <w:spacing w:after="0" w:line="171" w:lineRule="exact"/>
        <w:rPr>
          <w:sz w:val="20"/>
          <w:szCs w:val="20"/>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Macquarie Investment Management Business Trust</w:t>
      </w:r>
    </w:p>
    <w:p>
      <w:pPr>
        <w:spacing w:after="0" w:line="40"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State of Delaware</w:t>
      </w:r>
    </w:p>
    <w:p>
      <w:pPr>
        <w:spacing w:after="0" w:line="36" w:lineRule="exact"/>
        <w:rPr>
          <w:sz w:val="20"/>
          <w:szCs w:val="20"/>
          <w:color w:val="auto"/>
        </w:rPr>
      </w:pPr>
    </w:p>
    <w:p>
      <w:pPr>
        <w:ind w:left="1160"/>
        <w:spacing w:after="0"/>
        <w:tabs>
          <w:tab w:leader="none" w:pos="1480"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3,788,897</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3,788,897</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0" w:hanging="86"/>
        <w:spacing w:after="0"/>
        <w:tabs>
          <w:tab w:leader="none" w:pos="15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3,788,897</w:t>
      </w:r>
    </w:p>
    <w:p>
      <w:pPr>
        <w:spacing w:after="0" w:line="36" w:lineRule="exact"/>
        <w:rPr>
          <w:sz w:val="20"/>
          <w:szCs w:val="20"/>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6.99%</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4 of 13</w:t>
      </w:r>
    </w:p>
    <w:p>
      <w:pPr>
        <w:sectPr>
          <w:pgSz w:w="11900" w:h="16838" w:orient="portrait"/>
          <w:cols w:equalWidth="0" w:num="1">
            <w:col w:w="10900"/>
          </w:cols>
          <w:pgMar w:left="440" w:top="270"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31" w:lineRule="exact"/>
        <w:rPr>
          <w:sz w:val="20"/>
          <w:szCs w:val="20"/>
          <w:color w:val="auto"/>
        </w:rPr>
      </w:pPr>
    </w:p>
    <w:p>
      <w:pPr>
        <w:ind w:left="1080" w:hanging="328"/>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112"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 Airlines Holdings Inc</w:t>
      </w:r>
    </w:p>
    <w:p>
      <w:pPr>
        <w:spacing w:after="0" w:line="130" w:lineRule="exact"/>
        <w:rPr>
          <w:rFonts w:ascii="Times New Roman" w:cs="Times New Roman" w:eastAsia="Times New Roman" w:hAnsi="Times New Roman"/>
          <w:sz w:val="18"/>
          <w:szCs w:val="18"/>
          <w:color w:val="auto"/>
        </w:rPr>
      </w:pPr>
    </w:p>
    <w:p>
      <w:pPr>
        <w:ind w:left="1080" w:right="6500" w:hanging="328"/>
        <w:spacing w:after="0" w:line="462" w:lineRule="auto"/>
        <w:tabs>
          <w:tab w:leader="none" w:pos="10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Issuer’s Principal Executive Offices 2005 Cargo Road, Minneapolis, MN 55450</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left="1080" w:hanging="328"/>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130" w:lineRule="exact"/>
        <w:rPr>
          <w:rFonts w:ascii="Times New Roman" w:cs="Times New Roman" w:eastAsia="Times New Roman" w:hAnsi="Times New Roman"/>
          <w:sz w:val="18"/>
          <w:szCs w:val="18"/>
          <w:color w:val="auto"/>
        </w:rPr>
      </w:pPr>
    </w:p>
    <w:p>
      <w:pPr>
        <w:ind w:left="1080" w:right="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jointly filed by Macquarie Group Limited, Macquarie Management Holdings Inc and Macquarie Investment Management Business Trust</w:t>
      </w:r>
    </w:p>
    <w:p>
      <w:pPr>
        <w:spacing w:after="0" w:line="67"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130" w:lineRule="exact"/>
        <w:rPr>
          <w:rFonts w:ascii="Times New Roman" w:cs="Times New Roman" w:eastAsia="Times New Roman" w:hAnsi="Times New Roman"/>
          <w:sz w:val="18"/>
          <w:szCs w:val="18"/>
          <w:color w:val="auto"/>
        </w:rPr>
      </w:pPr>
    </w:p>
    <w:p>
      <w:pPr>
        <w:ind w:left="108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Macquarie Group Limited is 50 Martin Place Sydney, New South Wales, Australia. The principal business address of Macquarie Management Holdings Inc. and Macquarie Investment Management Business Trust is 610 Market Street, Philadelphia, PA 19106.</w:t>
      </w:r>
    </w:p>
    <w:p>
      <w:pPr>
        <w:spacing w:after="0" w:line="81"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130"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Macquarie Group Limited - Sydney, New South Wales, Australia Corporation</w:t>
      </w:r>
    </w:p>
    <w:p>
      <w:pPr>
        <w:spacing w:after="0" w:line="27" w:lineRule="exact"/>
        <w:rPr>
          <w:rFonts w:ascii="Times New Roman" w:cs="Times New Roman" w:eastAsia="Times New Roman" w:hAnsi="Times New Roman"/>
          <w:sz w:val="18"/>
          <w:szCs w:val="18"/>
          <w:color w:val="auto"/>
        </w:rPr>
      </w:pPr>
    </w:p>
    <w:p>
      <w:pPr>
        <w:ind w:left="10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Macquarie Management Holdings Inc., Macquarie Investment Management Business Trust– incorporated or formed under the laws of the State of Delaware.</w:t>
      </w:r>
    </w:p>
    <w:p>
      <w:pPr>
        <w:spacing w:after="0" w:line="86" w:lineRule="exact"/>
        <w:rPr>
          <w:rFonts w:ascii="Times New Roman" w:cs="Times New Roman" w:eastAsia="Times New Roman" w:hAnsi="Times New Roman"/>
          <w:sz w:val="18"/>
          <w:szCs w:val="18"/>
          <w:color w:val="auto"/>
        </w:rPr>
      </w:pPr>
    </w:p>
    <w:p>
      <w:pPr>
        <w:ind w:left="1080" w:right="8020" w:hanging="328"/>
        <w:spacing w:after="0" w:line="39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ind w:left="1080" w:right="8780" w:hanging="328"/>
        <w:spacing w:after="0" w:line="462" w:lineRule="auto"/>
        <w:tabs>
          <w:tab w:leader="none" w:pos="10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866683105</w:t>
      </w:r>
    </w:p>
    <w:p>
      <w:pPr>
        <w:spacing w:after="0" w:line="13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tab/>
        <w:t>If this statement is filed pursuant to §§240.13d-1(b) or 240.13d-2(b) or (c), check whether the person filing is a:</w:t>
      </w:r>
    </w:p>
    <w:p>
      <w:pPr>
        <w:spacing w:after="0" w:line="80" w:lineRule="exact"/>
        <w:rPr>
          <w:sz w:val="20"/>
          <w:szCs w:val="20"/>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440" w:right="20" w:hanging="688"/>
        <w:spacing w:after="0" w:line="245" w:lineRule="exact"/>
        <w:tabs>
          <w:tab w:leader="none" w:pos="1076"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1440" w:right="160" w:hanging="688"/>
        <w:spacing w:after="0" w:line="245" w:lineRule="exact"/>
        <w:tabs>
          <w:tab w:leader="none" w:pos="1076"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If filing as a non-U.S. institution in accordance with § 240.13d–1(b)(1)(ii)(J), please specify the type of institution:____________________________</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13</w:t>
      </w:r>
    </w:p>
    <w:p>
      <w:pPr>
        <w:sectPr>
          <w:pgSz w:w="11900" w:h="16838" w:orient="portrait"/>
          <w:cols w:equalWidth="0" w:num="1">
            <w:col w:w="11000"/>
          </w:cols>
          <w:pgMar w:left="440" w:top="266" w:right="459" w:bottom="1440" w:gutter="0" w:footer="0" w:header="0"/>
        </w:sectPr>
      </w:pPr>
    </w:p>
    <w:bookmarkStart w:id="5" w:name="page6"/>
    <w:bookmarkEnd w:id="5"/>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tab/>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080" w:hanging="328"/>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130"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responses on the cover page hereto.</w:t>
      </w:r>
    </w:p>
    <w:p>
      <w:pPr>
        <w:spacing w:after="0" w:line="130"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130"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responses on the cover page hereto.</w:t>
      </w:r>
    </w:p>
    <w:p>
      <w:pPr>
        <w:spacing w:after="0" w:line="130"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jc w:val="both"/>
        <w:ind w:left="1540" w:right="6480" w:hanging="464"/>
        <w:spacing w:after="0" w:line="391" w:lineRule="auto"/>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responses on the cover page hereto.</w:t>
      </w:r>
    </w:p>
    <w:p>
      <w:pPr>
        <w:ind w:left="1540" w:right="6360" w:hanging="464"/>
        <w:spacing w:after="0" w:line="391" w:lineRule="auto"/>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ind w:left="1540" w:right="5640" w:hanging="464"/>
        <w:spacing w:after="0" w:line="391" w:lineRule="auto"/>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responses on the cover page hereto.</w:t>
      </w:r>
    </w:p>
    <w:p>
      <w:pPr>
        <w:ind w:left="1540" w:right="5460" w:hanging="464"/>
        <w:spacing w:after="0" w:line="423" w:lineRule="auto"/>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1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5.</w:t>
        <w:tab/>
        <w:t>Ownership of Five Percent or Less of a Class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66" w:lineRule="exact"/>
        <w:rPr>
          <w:sz w:val="20"/>
          <w:szCs w:val="20"/>
          <w:color w:val="auto"/>
        </w:rPr>
      </w:pPr>
    </w:p>
    <w:p>
      <w:pPr>
        <w:ind w:right="5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6. Ownership of More than Five Percent on Behalf of Another Person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ind w:left="760" w:hanging="759"/>
        <w:spacing w:after="0" w:line="286"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Item 7.</w:t>
        <w:tab/>
        <w:t>Identification and Classification of the Subsidiary Which Acquired the Security Being Reported on By the Parent Holding Company or Control Person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A.</w:t>
      </w:r>
    </w:p>
    <w:p>
      <w:pPr>
        <w:spacing w:after="0" w:line="3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8.</w:t>
        <w:tab/>
        <w:t>Identification and Classification of Members of the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9.</w:t>
        <w:tab/>
        <w:t>Notice of Dissolution of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6 of 13</w:t>
      </w:r>
    </w:p>
    <w:p>
      <w:pPr>
        <w:sectPr>
          <w:pgSz w:w="11900" w:h="16838" w:orient="portrait"/>
          <w:cols w:equalWidth="0" w:num="1">
            <w:col w:w="10900"/>
          </w:cols>
          <w:pgMar w:left="440" w:top="266" w:right="559" w:bottom="1440" w:gutter="0" w:footer="0" w:header="0"/>
        </w:sectPr>
      </w:pPr>
    </w:p>
    <w:bookmarkStart w:id="6" w:name="page7"/>
    <w:bookmarkEnd w:id="6"/>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w:t>
        <w:tab/>
        <w:t>Certification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Macquarie Group Limited</w:t>
            </w:r>
          </w:p>
        </w:tc>
        <w:tc>
          <w:tcPr>
            <w:tcW w:w="51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14, 2024</w:t>
            </w:r>
          </w:p>
        </w:tc>
        <w:tc>
          <w:tcPr>
            <w:tcW w:w="0" w:type="dxa"/>
            <w:vAlign w:val="bottom"/>
          </w:tcPr>
          <w:p>
            <w:pPr>
              <w:spacing w:after="0"/>
              <w:rPr>
                <w:sz w:val="1"/>
                <w:szCs w:val="1"/>
                <w:color w:val="auto"/>
              </w:rPr>
            </w:pPr>
          </w:p>
        </w:tc>
      </w:tr>
      <w:tr>
        <w:trPr>
          <w:trHeight w:val="228"/>
        </w:trPr>
        <w:tc>
          <w:tcPr>
            <w:tcW w:w="5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Date</w:t>
            </w:r>
          </w:p>
        </w:tc>
        <w:tc>
          <w:tcPr>
            <w:tcW w:w="0" w:type="dxa"/>
            <w:vAlign w:val="bottom"/>
          </w:tcPr>
          <w:p>
            <w:pPr>
              <w:spacing w:after="0"/>
              <w:rPr>
                <w:sz w:val="1"/>
                <w:szCs w:val="1"/>
                <w:color w:val="auto"/>
              </w:rPr>
            </w:pPr>
          </w:p>
        </w:tc>
      </w:tr>
      <w:tr>
        <w:trPr>
          <w:trHeight w:val="414"/>
        </w:trPr>
        <w:tc>
          <w:tcPr>
            <w:tcW w:w="58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/s/ Philip Alexander</w:t>
            </w:r>
          </w:p>
        </w:tc>
        <w:tc>
          <w:tcPr>
            <w:tcW w:w="51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 Charles Glorioso</w:t>
            </w:r>
          </w:p>
        </w:tc>
        <w:tc>
          <w:tcPr>
            <w:tcW w:w="0" w:type="dxa"/>
            <w:vAlign w:val="bottom"/>
          </w:tcPr>
          <w:p>
            <w:pPr>
              <w:spacing w:after="0"/>
              <w:rPr>
                <w:sz w:val="1"/>
                <w:szCs w:val="1"/>
                <w:color w:val="auto"/>
              </w:rPr>
            </w:pPr>
          </w:p>
        </w:tc>
      </w:tr>
      <w:tr>
        <w:trPr>
          <w:trHeight w:val="228"/>
        </w:trPr>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Signature</w:t>
            </w:r>
          </w:p>
        </w:tc>
        <w:tc>
          <w:tcPr>
            <w:tcW w:w="680" w:type="dxa"/>
            <w:vAlign w:val="bottom"/>
          </w:tcPr>
          <w:p>
            <w:pPr>
              <w:spacing w:after="0"/>
              <w:rPr>
                <w:sz w:val="19"/>
                <w:szCs w:val="19"/>
                <w:color w:val="auto"/>
              </w:rPr>
            </w:pPr>
          </w:p>
        </w:tc>
        <w:tc>
          <w:tcPr>
            <w:tcW w:w="518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Signature</w:t>
            </w:r>
          </w:p>
        </w:tc>
        <w:tc>
          <w:tcPr>
            <w:tcW w:w="0" w:type="dxa"/>
            <w:vAlign w:val="bottom"/>
          </w:tcPr>
          <w:p>
            <w:pPr>
              <w:spacing w:after="0"/>
              <w:rPr>
                <w:sz w:val="1"/>
                <w:szCs w:val="1"/>
                <w:color w:val="auto"/>
              </w:rPr>
            </w:pPr>
          </w:p>
        </w:tc>
      </w:tr>
      <w:tr>
        <w:trPr>
          <w:trHeight w:val="414"/>
        </w:trPr>
        <w:tc>
          <w:tcPr>
            <w:tcW w:w="5160" w:type="dxa"/>
            <w:vAlign w:val="bottom"/>
            <w:tcBorders>
              <w:bottom w:val="single" w:sz="8" w:color="auto"/>
            </w:tcBorders>
          </w:tcPr>
          <w:p>
            <w:pPr>
              <w:spacing w:after="0"/>
              <w:rPr>
                <w:sz w:val="24"/>
                <w:szCs w:val="24"/>
                <w:color w:val="auto"/>
              </w:rPr>
            </w:pPr>
          </w:p>
        </w:tc>
        <w:tc>
          <w:tcPr>
            <w:tcW w:w="680" w:type="dxa"/>
            <w:vAlign w:val="bottom"/>
            <w:vMerge w:val="restart"/>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Philip Alexander</w:t>
            </w:r>
          </w:p>
        </w:tc>
        <w:tc>
          <w:tcPr>
            <w:tcW w:w="680" w:type="dxa"/>
            <w:vAlign w:val="bottom"/>
            <w:vMerge w:val="continue"/>
          </w:tcPr>
          <w:p>
            <w:pPr>
              <w:spacing w:after="0"/>
              <w:rPr>
                <w:sz w:val="16"/>
                <w:szCs w:val="16"/>
                <w:color w:val="auto"/>
              </w:rPr>
            </w:pPr>
          </w:p>
        </w:tc>
        <w:tc>
          <w:tcPr>
            <w:tcW w:w="518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rPr>
              <w:t>Charles Glorioso</w:t>
            </w:r>
          </w:p>
        </w:tc>
        <w:tc>
          <w:tcPr>
            <w:tcW w:w="0" w:type="dxa"/>
            <w:vAlign w:val="bottom"/>
          </w:tcPr>
          <w:p>
            <w:pPr>
              <w:spacing w:after="0"/>
              <w:rPr>
                <w:sz w:val="1"/>
                <w:szCs w:val="1"/>
                <w:color w:val="auto"/>
              </w:rPr>
            </w:pPr>
          </w:p>
        </w:tc>
      </w:tr>
      <w:tr>
        <w:trPr>
          <w:trHeight w:val="234"/>
        </w:trPr>
        <w:tc>
          <w:tcPr>
            <w:tcW w:w="58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rPr>
              <w:t>Associate Director</w:t>
            </w:r>
          </w:p>
        </w:tc>
        <w:tc>
          <w:tcPr>
            <w:tcW w:w="51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Division Director</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Macquarie Management Holdings, Inc.</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1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28"/>
        </w:trPr>
        <w:tc>
          <w:tcPr>
            <w:tcW w:w="4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14"/>
        </w:trPr>
        <w:tc>
          <w:tcPr>
            <w:tcW w:w="45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7"/>
              </w:rPr>
              <w:t>/s/ Marty Wolin</w:t>
            </w:r>
          </w:p>
        </w:tc>
        <w:tc>
          <w:tcPr>
            <w:tcW w:w="6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45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Signature</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91"/>
        </w:trPr>
        <w:tc>
          <w:tcPr>
            <w:tcW w:w="4500" w:type="dxa"/>
            <w:vAlign w:val="bottom"/>
          </w:tcPr>
          <w:p>
            <w:pPr>
              <w:jc w:val="center"/>
              <w:ind w:left="570"/>
              <w:spacing w:after="0" w:line="191" w:lineRule="exact"/>
              <w:rPr>
                <w:sz w:val="20"/>
                <w:szCs w:val="20"/>
                <w:color w:val="auto"/>
              </w:rPr>
            </w:pPr>
            <w:r>
              <w:rPr>
                <w:rFonts w:ascii="Times New Roman" w:cs="Times New Roman" w:eastAsia="Times New Roman" w:hAnsi="Times New Roman"/>
                <w:sz w:val="18"/>
                <w:szCs w:val="18"/>
                <w:color w:val="auto"/>
                <w:w w:val="98"/>
              </w:rPr>
              <w:t>Marty Wolin</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180" w:type="dxa"/>
            <w:vAlign w:val="bottom"/>
          </w:tcPr>
          <w:p>
            <w:pPr>
              <w:spacing w:after="0"/>
              <w:rPr>
                <w:sz w:val="16"/>
                <w:szCs w:val="16"/>
                <w:color w:val="auto"/>
              </w:rPr>
            </w:pPr>
          </w:p>
        </w:tc>
      </w:tr>
      <w:tr>
        <w:trPr>
          <w:trHeight w:val="234"/>
        </w:trPr>
        <w:tc>
          <w:tcPr>
            <w:tcW w:w="45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Chief Compliance Officer</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7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Macquarie Investment Management Business Trust</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1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28"/>
        </w:trPr>
        <w:tc>
          <w:tcPr>
            <w:tcW w:w="4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14"/>
        </w:trPr>
        <w:tc>
          <w:tcPr>
            <w:tcW w:w="45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7"/>
              </w:rPr>
              <w:t>/s/ Marty Wolin</w:t>
            </w:r>
          </w:p>
        </w:tc>
        <w:tc>
          <w:tcPr>
            <w:tcW w:w="6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45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Signature</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91"/>
        </w:trPr>
        <w:tc>
          <w:tcPr>
            <w:tcW w:w="4500" w:type="dxa"/>
            <w:vAlign w:val="bottom"/>
          </w:tcPr>
          <w:p>
            <w:pPr>
              <w:jc w:val="center"/>
              <w:ind w:left="570"/>
              <w:spacing w:after="0" w:line="191" w:lineRule="exact"/>
              <w:rPr>
                <w:sz w:val="20"/>
                <w:szCs w:val="20"/>
                <w:color w:val="auto"/>
              </w:rPr>
            </w:pPr>
            <w:r>
              <w:rPr>
                <w:rFonts w:ascii="Times New Roman" w:cs="Times New Roman" w:eastAsia="Times New Roman" w:hAnsi="Times New Roman"/>
                <w:sz w:val="18"/>
                <w:szCs w:val="18"/>
                <w:color w:val="auto"/>
                <w:w w:val="98"/>
              </w:rPr>
              <w:t>Marty Wolin</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180" w:type="dxa"/>
            <w:vAlign w:val="bottom"/>
          </w:tcPr>
          <w:p>
            <w:pPr>
              <w:spacing w:after="0"/>
              <w:rPr>
                <w:sz w:val="16"/>
                <w:szCs w:val="16"/>
                <w:color w:val="auto"/>
              </w:rPr>
            </w:pPr>
          </w:p>
        </w:tc>
      </w:tr>
      <w:tr>
        <w:trPr>
          <w:trHeight w:val="234"/>
        </w:trPr>
        <w:tc>
          <w:tcPr>
            <w:tcW w:w="45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Chief Compliance Officer</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78"/>
        </w:trPr>
        <w:tc>
          <w:tcPr>
            <w:tcW w:w="4500" w:type="dxa"/>
            <w:vAlign w:val="bottom"/>
          </w:tcPr>
          <w:p>
            <w:pPr>
              <w:spacing w:after="0"/>
              <w:rPr>
                <w:sz w:val="24"/>
                <w:szCs w:val="24"/>
                <w:color w:val="auto"/>
              </w:rPr>
            </w:pP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Page 7 of 13</w:t>
            </w:r>
          </w:p>
        </w:tc>
      </w:tr>
    </w:tbl>
    <w:p>
      <w:pPr>
        <w:sectPr>
          <w:pgSz w:w="11900" w:h="16838" w:orient="portrait"/>
          <w:cols w:equalWidth="0" w:num="1">
            <w:col w:w="11020"/>
          </w:cols>
          <w:pgMar w:left="440" w:top="266" w:right="43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TO FILE JOINT ACQUISITION STATEMENTS</w:t>
      </w:r>
    </w:p>
    <w:p>
      <w:pPr>
        <w:spacing w:after="0" w:line="225" w:lineRule="exact"/>
        <w:rPr>
          <w:sz w:val="20"/>
          <w:szCs w:val="20"/>
          <w:color w:val="auto"/>
        </w:rPr>
      </w:pPr>
    </w:p>
    <w:p>
      <w:pPr>
        <w:ind w:left="4" w:right="140"/>
        <w:spacing w:after="0" w:line="224" w:lineRule="auto"/>
        <w:rPr>
          <w:sz w:val="20"/>
          <w:szCs w:val="20"/>
          <w:color w:val="auto"/>
        </w:rPr>
      </w:pPr>
      <w:r>
        <w:rPr>
          <w:rFonts w:ascii="Times New Roman" w:cs="Times New Roman" w:eastAsia="Times New Roman" w:hAnsi="Times New Roman"/>
          <w:sz w:val="18"/>
          <w:szCs w:val="18"/>
          <w:color w:val="auto"/>
        </w:rPr>
        <w:t>AGREEMENT made this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of FEBRUARY, 2024 by and between Delaware Funds by Macquarie,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Optimum Fund Trust and Macquarie ETF Trust listed on Annex A hereto, Macquarie Investment Management Business Trust, Macquarie Management Holdings, Inc, and the Macquarie Parties listed on Annex B hereto (collectively referred to as the “parties”).</w:t>
      </w:r>
    </w:p>
    <w:p>
      <w:pPr>
        <w:spacing w:after="0" w:line="19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WHEREAS, the parties hereto may be deemed to be the direct or indirect beneficial owners of the same equity securities for the purpose of the reporting requirements of Section 13(d) of the Securities Exchange Act of 1934, as amended (the “Exchange Act”), and</w:t>
      </w:r>
    </w:p>
    <w:p>
      <w:pPr>
        <w:spacing w:after="0" w:line="162"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WHEREAS, the regulations promulgated under Section 13(d) of the Exchange Act permit the joining of such beneficial owners in the filing of a single Joint Acquisition Statement reporting such ownership to the Securities and Exchange Commission.</w:t>
      </w:r>
    </w:p>
    <w:p>
      <w:pPr>
        <w:spacing w:after="0" w:line="162"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herein contained, and each of the parties hereto intending to be legally bound, it is agreed as follows:</w:t>
      </w:r>
    </w:p>
    <w:p>
      <w:pPr>
        <w:spacing w:after="0" w:line="162" w:lineRule="exact"/>
        <w:rPr>
          <w:sz w:val="20"/>
          <w:szCs w:val="20"/>
          <w:color w:val="auto"/>
        </w:rPr>
      </w:pPr>
    </w:p>
    <w:p>
      <w:pPr>
        <w:ind w:left="4" w:right="20" w:hanging="4"/>
        <w:spacing w:after="0" w:line="255" w:lineRule="auto"/>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two or more parties shall be deemed to be the direct or indirect beneficial owners of the same equity security required to be reported to the Securities and Exchange Commission such parties may join together in the filing of a Joint Acquisition Statement with respect to that security. Additional persons who may after the date hereof be deemed to be the direct or indirect beneficial owners of the same equity security as a party hereto and required to be reported to the Securities and Exchange Commission (a “New Party”) may be added as a party this agreement by signing a counterpart hereof. An amendment to this agreement is deemed effective upon the signature of such new party and the amendment of the applicable Annex which may be affixed to this agreement as amended. Each party hereto agrees that this agreement, as it may be amended from time to time as provided herein, is a valid and binding agreement of each such party. </w:t>
      </w:r>
    </w:p>
    <w:p>
      <w:pPr>
        <w:spacing w:after="0" w:line="188" w:lineRule="exact"/>
        <w:rPr>
          <w:rFonts w:ascii="Times New Roman" w:cs="Times New Roman" w:eastAsia="Times New Roman" w:hAnsi="Times New Roman"/>
          <w:sz w:val="18"/>
          <w:szCs w:val="18"/>
          <w:color w:val="auto"/>
        </w:rPr>
      </w:pPr>
    </w:p>
    <w:p>
      <w:pPr>
        <w:ind w:left="4" w:right="60" w:hanging="4"/>
        <w:spacing w:after="0" w:line="258" w:lineRule="auto"/>
        <w:tabs>
          <w:tab w:leader="none" w:pos="1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Joint Acquisition Statement in which a party joins, each party acknowledges that (a) it will be eligible under applicable regulations of the Securities and Exchange Commission to join in the filing and (b) it will be responsible for the timely filing of such statement and any amendments thereto and the completeness and accuracy of the information concerning such party; but each such party shall not be responsible for the completeness and accuracy of the information concerning the other parties making the filing, unless such party knows or has reason to believe that such information with respect to such other parties is inaccurate.</w:t>
      </w:r>
    </w:p>
    <w:p>
      <w:pPr>
        <w:spacing w:after="0" w:line="18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consent to the inclusion of a copy of this agreement as an exhibit to any Joint Acquisition Statement filed on behalf of any of them.</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8 of 13</w:t>
      </w:r>
    </w:p>
    <w:p>
      <w:pPr>
        <w:sectPr>
          <w:pgSz w:w="11900" w:h="16838" w:orient="portrait"/>
          <w:cols w:equalWidth="0" w:num="1">
            <w:col w:w="10984"/>
          </w:cols>
          <w:pgMar w:left="436" w:top="117"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by their duly authorized officers as of the date set forth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FUNDS</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BY MACQUARIE (listed on Annex A hereto)</w:t>
      </w:r>
    </w:p>
    <w:p>
      <w:pPr>
        <w:spacing w:after="0"/>
        <w:rPr>
          <w:sz w:val="20"/>
          <w:szCs w:val="20"/>
          <w:color w:val="auto"/>
        </w:rPr>
      </w:pPr>
      <w:r>
        <w:rPr>
          <w:rFonts w:ascii="Times New Roman" w:cs="Times New Roman" w:eastAsia="Times New Roman" w:hAnsi="Times New Roman"/>
          <w:sz w:val="18"/>
          <w:szCs w:val="18"/>
          <w:b w:val="1"/>
          <w:bCs w:val="1"/>
          <w:color w:val="auto"/>
        </w:rPr>
        <w:t>MACQUARIE ETF TRUST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OPTIMUM FUND TRUST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 BY: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FUNDS BY MACQUARIE</w:t>
      </w:r>
      <w:r>
        <w:rPr>
          <w:rFonts w:ascii="Times New Roman" w:cs="Times New Roman" w:eastAsia="Times New Roman" w:hAnsi="Times New Roman"/>
          <w:sz w:val="26"/>
          <w:szCs w:val="26"/>
          <w:b w:val="1"/>
          <w:bCs w:val="1"/>
          <w:color w:val="auto"/>
          <w:vertAlign w:val="superscript"/>
        </w:rPr>
        <w:t>®</w:t>
      </w:r>
    </w:p>
    <w:p>
      <w:pPr>
        <w:spacing w:after="0"/>
        <w:rPr>
          <w:sz w:val="20"/>
          <w:szCs w:val="20"/>
          <w:color w:val="auto"/>
        </w:rPr>
      </w:pPr>
      <w:r>
        <w:rPr>
          <w:rFonts w:ascii="Times New Roman" w:cs="Times New Roman" w:eastAsia="Times New Roman" w:hAnsi="Times New Roman"/>
          <w:sz w:val="18"/>
          <w:szCs w:val="18"/>
          <w:b w:val="1"/>
          <w:bCs w:val="1"/>
          <w:color w:val="auto"/>
        </w:rPr>
        <w:t>MACQUARIE ETF TRUST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9"/>
              </w:rPr>
              <w:t>/s/ Marty Wolin</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David Connor</w:t>
            </w:r>
          </w:p>
        </w:tc>
        <w:tc>
          <w:tcPr>
            <w:tcW w:w="0" w:type="dxa"/>
            <w:vAlign w:val="bottom"/>
          </w:tcPr>
          <w:p>
            <w:pPr>
              <w:spacing w:after="0"/>
              <w:rPr>
                <w:sz w:val="1"/>
                <w:szCs w:val="1"/>
                <w:color w:val="auto"/>
              </w:rPr>
            </w:pPr>
          </w:p>
        </w:tc>
      </w:tr>
      <w:tr>
        <w:trPr>
          <w:trHeight w:val="228"/>
        </w:trPr>
        <w:tc>
          <w:tcPr>
            <w:tcW w:w="5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5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160" w:type="dxa"/>
            <w:vAlign w:val="bottom"/>
            <w:tcBorders>
              <w:top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14"/>
        </w:trPr>
        <w:tc>
          <w:tcPr>
            <w:tcW w:w="5180" w:type="dxa"/>
            <w:vAlign w:val="bottom"/>
            <w:tcBorders>
              <w:bottom w:val="single" w:sz="8" w:color="auto"/>
            </w:tcBorders>
          </w:tcPr>
          <w:p>
            <w:pPr>
              <w:spacing w:after="0"/>
              <w:rPr>
                <w:sz w:val="24"/>
                <w:szCs w:val="24"/>
                <w:color w:val="auto"/>
              </w:rPr>
            </w:pPr>
          </w:p>
        </w:tc>
        <w:tc>
          <w:tcPr>
            <w:tcW w:w="560" w:type="dxa"/>
            <w:vAlign w:val="bottom"/>
            <w:vMerge w:val="restart"/>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Marty Wolin</w:t>
            </w:r>
          </w:p>
        </w:tc>
        <w:tc>
          <w:tcPr>
            <w:tcW w:w="5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4160" w:type="dxa"/>
            <w:vAlign w:val="bottom"/>
          </w:tcPr>
          <w:p>
            <w:pPr>
              <w:jc w:val="center"/>
              <w:ind w:right="930"/>
              <w:spacing w:after="0" w:line="191" w:lineRule="exact"/>
              <w:rPr>
                <w:sz w:val="20"/>
                <w:szCs w:val="20"/>
                <w:color w:val="auto"/>
              </w:rPr>
            </w:pPr>
            <w:r>
              <w:rPr>
                <w:rFonts w:ascii="Times New Roman" w:cs="Times New Roman" w:eastAsia="Times New Roman" w:hAnsi="Times New Roman"/>
                <w:sz w:val="18"/>
                <w:szCs w:val="18"/>
                <w:color w:val="auto"/>
                <w:w w:val="99"/>
              </w:rPr>
              <w:t>David Connor</w:t>
            </w:r>
          </w:p>
        </w:tc>
        <w:tc>
          <w:tcPr>
            <w:tcW w:w="0" w:type="dxa"/>
            <w:vAlign w:val="bottom"/>
          </w:tcPr>
          <w:p>
            <w:pPr>
              <w:spacing w:after="0"/>
              <w:rPr>
                <w:sz w:val="1"/>
                <w:szCs w:val="1"/>
                <w:color w:val="auto"/>
              </w:rPr>
            </w:pPr>
          </w:p>
        </w:tc>
      </w:tr>
      <w:tr>
        <w:trPr>
          <w:trHeight w:val="234"/>
        </w:trPr>
        <w:tc>
          <w:tcPr>
            <w:tcW w:w="6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8"/>
              </w:rPr>
              <w:t>Chief Compliance Officer</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General Counsel</w:t>
            </w:r>
          </w:p>
        </w:tc>
        <w:tc>
          <w:tcPr>
            <w:tcW w:w="0" w:type="dxa"/>
            <w:vAlign w:val="bottom"/>
          </w:tcPr>
          <w:p>
            <w:pPr>
              <w:spacing w:after="0"/>
              <w:rPr>
                <w:sz w:val="1"/>
                <w:szCs w:val="1"/>
                <w:color w:val="auto"/>
              </w:rPr>
            </w:pPr>
          </w:p>
        </w:tc>
      </w:tr>
      <w:tr>
        <w:trPr>
          <w:trHeight w:val="473"/>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OPTIMUM FUND TRUST</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9"/>
              </w:rPr>
              <w:t>/s/ William Speacht</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A.G. Ciavarelli</w:t>
            </w:r>
          </w:p>
        </w:tc>
        <w:tc>
          <w:tcPr>
            <w:tcW w:w="0" w:type="dxa"/>
            <w:vAlign w:val="bottom"/>
          </w:tcPr>
          <w:p>
            <w:pPr>
              <w:spacing w:after="0"/>
              <w:rPr>
                <w:sz w:val="1"/>
                <w:szCs w:val="1"/>
                <w:color w:val="auto"/>
              </w:rPr>
            </w:pPr>
          </w:p>
        </w:tc>
      </w:tr>
      <w:tr>
        <w:trPr>
          <w:trHeight w:val="228"/>
        </w:trPr>
        <w:tc>
          <w:tcPr>
            <w:tcW w:w="5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5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160" w:type="dxa"/>
            <w:vAlign w:val="bottom"/>
            <w:tcBorders>
              <w:top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14"/>
        </w:trPr>
        <w:tc>
          <w:tcPr>
            <w:tcW w:w="5180" w:type="dxa"/>
            <w:vAlign w:val="bottom"/>
            <w:tcBorders>
              <w:bottom w:val="single" w:sz="8" w:color="auto"/>
            </w:tcBorders>
          </w:tcPr>
          <w:p>
            <w:pPr>
              <w:spacing w:after="0"/>
              <w:rPr>
                <w:sz w:val="24"/>
                <w:szCs w:val="24"/>
                <w:color w:val="auto"/>
              </w:rPr>
            </w:pPr>
          </w:p>
        </w:tc>
        <w:tc>
          <w:tcPr>
            <w:tcW w:w="560" w:type="dxa"/>
            <w:vAlign w:val="bottom"/>
            <w:vMerge w:val="restart"/>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William Speacht</w:t>
            </w:r>
          </w:p>
        </w:tc>
        <w:tc>
          <w:tcPr>
            <w:tcW w:w="5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4160" w:type="dxa"/>
            <w:vAlign w:val="bottom"/>
          </w:tcPr>
          <w:p>
            <w:pPr>
              <w:jc w:val="center"/>
              <w:ind w:right="930"/>
              <w:spacing w:after="0" w:line="191" w:lineRule="exact"/>
              <w:rPr>
                <w:sz w:val="20"/>
                <w:szCs w:val="20"/>
                <w:color w:val="auto"/>
              </w:rPr>
            </w:pPr>
            <w:r>
              <w:rPr>
                <w:rFonts w:ascii="Times New Roman" w:cs="Times New Roman" w:eastAsia="Times New Roman" w:hAnsi="Times New Roman"/>
                <w:sz w:val="18"/>
                <w:szCs w:val="18"/>
                <w:color w:val="auto"/>
                <w:w w:val="99"/>
              </w:rPr>
              <w:t>A.G. Ciavarelli</w:t>
            </w:r>
          </w:p>
        </w:tc>
        <w:tc>
          <w:tcPr>
            <w:tcW w:w="0" w:type="dxa"/>
            <w:vAlign w:val="bottom"/>
          </w:tcPr>
          <w:p>
            <w:pPr>
              <w:spacing w:after="0"/>
              <w:rPr>
                <w:sz w:val="1"/>
                <w:szCs w:val="1"/>
                <w:color w:val="auto"/>
              </w:rPr>
            </w:pPr>
          </w:p>
        </w:tc>
      </w:tr>
      <w:tr>
        <w:trPr>
          <w:trHeight w:val="234"/>
        </w:trPr>
        <w:tc>
          <w:tcPr>
            <w:tcW w:w="6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8"/>
              </w:rPr>
              <w:t>Chief Compliance Officer</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General Counsel</w:t>
            </w:r>
          </w:p>
        </w:tc>
        <w:tc>
          <w:tcPr>
            <w:tcW w:w="0" w:type="dxa"/>
            <w:vAlign w:val="bottom"/>
          </w:tcPr>
          <w:p>
            <w:pPr>
              <w:spacing w:after="0"/>
              <w:rPr>
                <w:sz w:val="1"/>
                <w:szCs w:val="1"/>
                <w:color w:val="auto"/>
              </w:rPr>
            </w:pPr>
          </w:p>
        </w:tc>
      </w:tr>
      <w:tr>
        <w:trPr>
          <w:trHeight w:val="445"/>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MACQUARIE INVESTMENT MANAGEMENT BUSINESS TRUST</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6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9"/>
              </w:rPr>
              <w:t>/s/ Marty Wolin</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David Connor</w:t>
            </w:r>
          </w:p>
        </w:tc>
        <w:tc>
          <w:tcPr>
            <w:tcW w:w="0" w:type="dxa"/>
            <w:vAlign w:val="bottom"/>
          </w:tcPr>
          <w:p>
            <w:pPr>
              <w:spacing w:after="0"/>
              <w:rPr>
                <w:sz w:val="1"/>
                <w:szCs w:val="1"/>
                <w:color w:val="auto"/>
              </w:rPr>
            </w:pPr>
          </w:p>
        </w:tc>
      </w:tr>
      <w:tr>
        <w:trPr>
          <w:trHeight w:val="228"/>
        </w:trPr>
        <w:tc>
          <w:tcPr>
            <w:tcW w:w="5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5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160" w:type="dxa"/>
            <w:vAlign w:val="bottom"/>
            <w:tcBorders>
              <w:top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14"/>
        </w:trPr>
        <w:tc>
          <w:tcPr>
            <w:tcW w:w="5180" w:type="dxa"/>
            <w:vAlign w:val="bottom"/>
            <w:tcBorders>
              <w:bottom w:val="single" w:sz="8" w:color="auto"/>
            </w:tcBorders>
          </w:tcPr>
          <w:p>
            <w:pPr>
              <w:spacing w:after="0"/>
              <w:rPr>
                <w:sz w:val="24"/>
                <w:szCs w:val="24"/>
                <w:color w:val="auto"/>
              </w:rPr>
            </w:pPr>
          </w:p>
        </w:tc>
        <w:tc>
          <w:tcPr>
            <w:tcW w:w="560" w:type="dxa"/>
            <w:vAlign w:val="bottom"/>
            <w:vMerge w:val="restart"/>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Marty Wolin</w:t>
            </w:r>
          </w:p>
        </w:tc>
        <w:tc>
          <w:tcPr>
            <w:tcW w:w="5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4160" w:type="dxa"/>
            <w:vAlign w:val="bottom"/>
          </w:tcPr>
          <w:p>
            <w:pPr>
              <w:jc w:val="center"/>
              <w:ind w:right="930"/>
              <w:spacing w:after="0" w:line="191" w:lineRule="exact"/>
              <w:rPr>
                <w:sz w:val="20"/>
                <w:szCs w:val="20"/>
                <w:color w:val="auto"/>
              </w:rPr>
            </w:pPr>
            <w:r>
              <w:rPr>
                <w:rFonts w:ascii="Times New Roman" w:cs="Times New Roman" w:eastAsia="Times New Roman" w:hAnsi="Times New Roman"/>
                <w:sz w:val="18"/>
                <w:szCs w:val="18"/>
                <w:color w:val="auto"/>
                <w:w w:val="99"/>
              </w:rPr>
              <w:t>David Connor</w:t>
            </w:r>
          </w:p>
        </w:tc>
        <w:tc>
          <w:tcPr>
            <w:tcW w:w="0" w:type="dxa"/>
            <w:vAlign w:val="bottom"/>
          </w:tcPr>
          <w:p>
            <w:pPr>
              <w:spacing w:after="0"/>
              <w:rPr>
                <w:sz w:val="1"/>
                <w:szCs w:val="1"/>
                <w:color w:val="auto"/>
              </w:rPr>
            </w:pPr>
          </w:p>
        </w:tc>
      </w:tr>
      <w:tr>
        <w:trPr>
          <w:trHeight w:val="234"/>
        </w:trPr>
        <w:tc>
          <w:tcPr>
            <w:tcW w:w="6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8"/>
              </w:rPr>
              <w:t>Chief Compliance Officer</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General Counsel</w:t>
            </w:r>
          </w:p>
        </w:tc>
        <w:tc>
          <w:tcPr>
            <w:tcW w:w="0" w:type="dxa"/>
            <w:vAlign w:val="bottom"/>
          </w:tcPr>
          <w:p>
            <w:pPr>
              <w:spacing w:after="0"/>
              <w:rPr>
                <w:sz w:val="1"/>
                <w:szCs w:val="1"/>
                <w:color w:val="auto"/>
              </w:rPr>
            </w:pPr>
          </w:p>
        </w:tc>
      </w:tr>
      <w:tr>
        <w:trPr>
          <w:trHeight w:val="553"/>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MACQUARIE MANAGEMENT HOLDINGS, INC.</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6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9"/>
              </w:rPr>
              <w:t>/s/ Marty Wolin</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David Connor</w:t>
            </w:r>
          </w:p>
        </w:tc>
        <w:tc>
          <w:tcPr>
            <w:tcW w:w="0" w:type="dxa"/>
            <w:vAlign w:val="bottom"/>
          </w:tcPr>
          <w:p>
            <w:pPr>
              <w:spacing w:after="0"/>
              <w:rPr>
                <w:sz w:val="1"/>
                <w:szCs w:val="1"/>
                <w:color w:val="auto"/>
              </w:rPr>
            </w:pPr>
          </w:p>
        </w:tc>
      </w:tr>
      <w:tr>
        <w:trPr>
          <w:trHeight w:val="228"/>
        </w:trPr>
        <w:tc>
          <w:tcPr>
            <w:tcW w:w="5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5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160" w:type="dxa"/>
            <w:vAlign w:val="bottom"/>
            <w:tcBorders>
              <w:top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14"/>
        </w:trPr>
        <w:tc>
          <w:tcPr>
            <w:tcW w:w="5180" w:type="dxa"/>
            <w:vAlign w:val="bottom"/>
            <w:tcBorders>
              <w:bottom w:val="single" w:sz="8" w:color="auto"/>
            </w:tcBorders>
          </w:tcPr>
          <w:p>
            <w:pPr>
              <w:spacing w:after="0"/>
              <w:rPr>
                <w:sz w:val="24"/>
                <w:szCs w:val="24"/>
                <w:color w:val="auto"/>
              </w:rPr>
            </w:pPr>
          </w:p>
        </w:tc>
        <w:tc>
          <w:tcPr>
            <w:tcW w:w="560" w:type="dxa"/>
            <w:vAlign w:val="bottom"/>
            <w:vMerge w:val="restart"/>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Marty Wolin</w:t>
            </w:r>
          </w:p>
        </w:tc>
        <w:tc>
          <w:tcPr>
            <w:tcW w:w="5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4160" w:type="dxa"/>
            <w:vAlign w:val="bottom"/>
          </w:tcPr>
          <w:p>
            <w:pPr>
              <w:jc w:val="center"/>
              <w:ind w:right="930"/>
              <w:spacing w:after="0" w:line="191" w:lineRule="exact"/>
              <w:rPr>
                <w:sz w:val="20"/>
                <w:szCs w:val="20"/>
                <w:color w:val="auto"/>
              </w:rPr>
            </w:pPr>
            <w:r>
              <w:rPr>
                <w:rFonts w:ascii="Times New Roman" w:cs="Times New Roman" w:eastAsia="Times New Roman" w:hAnsi="Times New Roman"/>
                <w:sz w:val="18"/>
                <w:szCs w:val="18"/>
                <w:color w:val="auto"/>
                <w:w w:val="99"/>
              </w:rPr>
              <w:t>David Connor</w:t>
            </w:r>
          </w:p>
        </w:tc>
        <w:tc>
          <w:tcPr>
            <w:tcW w:w="0" w:type="dxa"/>
            <w:vAlign w:val="bottom"/>
          </w:tcPr>
          <w:p>
            <w:pPr>
              <w:spacing w:after="0"/>
              <w:rPr>
                <w:sz w:val="1"/>
                <w:szCs w:val="1"/>
                <w:color w:val="auto"/>
              </w:rPr>
            </w:pPr>
          </w:p>
        </w:tc>
      </w:tr>
      <w:tr>
        <w:trPr>
          <w:trHeight w:val="234"/>
        </w:trPr>
        <w:tc>
          <w:tcPr>
            <w:tcW w:w="6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8"/>
              </w:rPr>
              <w:t>Chief Compliance Officer</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General Counsel</w:t>
            </w:r>
          </w:p>
        </w:tc>
        <w:tc>
          <w:tcPr>
            <w:tcW w:w="0" w:type="dxa"/>
            <w:vAlign w:val="bottom"/>
          </w:tcPr>
          <w:p>
            <w:pPr>
              <w:spacing w:after="0"/>
              <w:rPr>
                <w:sz w:val="1"/>
                <w:szCs w:val="1"/>
                <w:color w:val="auto"/>
              </w:rPr>
            </w:pPr>
          </w:p>
        </w:tc>
      </w:tr>
      <w:tr>
        <w:trPr>
          <w:trHeight w:val="378"/>
        </w:trPr>
        <w:tc>
          <w:tcPr>
            <w:tcW w:w="6860" w:type="dxa"/>
            <w:vAlign w:val="bottom"/>
            <w:gridSpan w:val="3"/>
          </w:tcPr>
          <w:p>
            <w:pPr>
              <w:ind w:left="5060"/>
              <w:spacing w:after="0"/>
              <w:rPr>
                <w:sz w:val="20"/>
                <w:szCs w:val="20"/>
                <w:color w:val="auto"/>
              </w:rPr>
            </w:pPr>
            <w:r>
              <w:rPr>
                <w:rFonts w:ascii="Times New Roman" w:cs="Times New Roman" w:eastAsia="Times New Roman" w:hAnsi="Times New Roman"/>
                <w:sz w:val="18"/>
                <w:szCs w:val="18"/>
                <w:color w:val="auto"/>
              </w:rPr>
              <w:t>Page 9 of 13</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MACQUARIE PARTIES (LISTED ON ANNEX B HERETO)</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 BY: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/s/ Philip Alexander</w:t>
            </w:r>
          </w:p>
        </w:tc>
        <w:tc>
          <w:tcPr>
            <w:tcW w:w="102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Glorioso</w:t>
            </w:r>
          </w:p>
        </w:tc>
      </w:tr>
      <w:tr>
        <w:trPr>
          <w:trHeight w:val="228"/>
        </w:trPr>
        <w:tc>
          <w:tcPr>
            <w:tcW w:w="41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Signature</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Signature</w:t>
            </w:r>
          </w:p>
        </w:tc>
      </w:tr>
      <w:tr>
        <w:trPr>
          <w:trHeight w:val="414"/>
        </w:trPr>
        <w:tc>
          <w:tcPr>
            <w:tcW w:w="4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191"/>
        </w:trPr>
        <w:tc>
          <w:tcPr>
            <w:tcW w:w="4160" w:type="dxa"/>
            <w:vAlign w:val="bottom"/>
          </w:tcPr>
          <w:p>
            <w:pPr>
              <w:jc w:val="center"/>
              <w:ind w:left="930"/>
              <w:spacing w:after="0" w:line="191" w:lineRule="exact"/>
              <w:rPr>
                <w:sz w:val="20"/>
                <w:szCs w:val="20"/>
                <w:color w:val="auto"/>
              </w:rPr>
            </w:pPr>
            <w:r>
              <w:rPr>
                <w:rFonts w:ascii="Times New Roman" w:cs="Times New Roman" w:eastAsia="Times New Roman" w:hAnsi="Times New Roman"/>
                <w:sz w:val="18"/>
                <w:szCs w:val="18"/>
                <w:color w:val="auto"/>
                <w:w w:val="99"/>
              </w:rPr>
              <w:t>Philip Alexander</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8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Charles Glorioso</w:t>
            </w:r>
          </w:p>
        </w:tc>
      </w:tr>
      <w:tr>
        <w:trPr>
          <w:trHeight w:val="234"/>
        </w:trPr>
        <w:tc>
          <w:tcPr>
            <w:tcW w:w="41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Associate Director</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Division Director</w:t>
            </w:r>
          </w:p>
        </w:tc>
      </w:tr>
      <w:tr>
        <w:trPr>
          <w:trHeight w:val="364"/>
        </w:trPr>
        <w:tc>
          <w:tcPr>
            <w:tcW w:w="4160" w:type="dxa"/>
            <w:vAlign w:val="bottom"/>
          </w:tcPr>
          <w:p>
            <w:pPr>
              <w:spacing w:after="0"/>
              <w:rPr>
                <w:sz w:val="24"/>
                <w:szCs w:val="24"/>
                <w:color w:val="auto"/>
              </w:rPr>
            </w:pPr>
          </w:p>
        </w:tc>
        <w:tc>
          <w:tcPr>
            <w:tcW w:w="68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Page 10 of 13</w:t>
            </w:r>
          </w:p>
        </w:tc>
      </w:tr>
    </w:tbl>
    <w:p>
      <w:pPr>
        <w:sectPr>
          <w:pgSz w:w="11900" w:h="16838" w:orient="portrait"/>
          <w:cols w:equalWidth="0" w:num="1">
            <w:col w:w="11020"/>
          </w:cols>
          <w:pgMar w:left="440" w:top="266" w:right="439" w:bottom="1440" w:gutter="0" w:footer="0" w:header="0"/>
        </w:sectPr>
      </w:pPr>
    </w:p>
    <w:bookmarkStart w:id="10" w:name="page11"/>
    <w:bookmarkEnd w:id="10"/>
    <w:p>
      <w:pPr>
        <w:jc w:val="right"/>
        <w:ind w:right="17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 Delaware Funds by Macquarie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and Macquarie ETF Trust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Adviser Funds</w:t>
      </w:r>
    </w:p>
    <w:p>
      <w:pPr>
        <w:spacing w:after="0" w:line="180" w:lineRule="auto"/>
        <w:rPr>
          <w:sz w:val="20"/>
          <w:szCs w:val="20"/>
          <w:color w:val="auto"/>
        </w:rPr>
      </w:pPr>
      <w:r>
        <w:rPr>
          <w:rFonts w:ascii="Times New Roman" w:cs="Times New Roman" w:eastAsia="Times New Roman" w:hAnsi="Times New Roman"/>
          <w:sz w:val="17"/>
          <w:szCs w:val="17"/>
          <w:color w:val="auto"/>
        </w:rPr>
        <w:t>Delaware Group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Cash Reserve</w:t>
      </w:r>
    </w:p>
    <w:p>
      <w:pPr>
        <w:spacing w:after="0" w:line="180" w:lineRule="auto"/>
        <w:rPr>
          <w:sz w:val="20"/>
          <w:szCs w:val="20"/>
          <w:color w:val="auto"/>
        </w:rPr>
      </w:pPr>
      <w:r>
        <w:rPr>
          <w:rFonts w:ascii="Times New Roman" w:cs="Times New Roman" w:eastAsia="Times New Roman" w:hAnsi="Times New Roman"/>
          <w:sz w:val="17"/>
          <w:szCs w:val="17"/>
          <w:color w:val="auto"/>
        </w:rPr>
        <w:t>Delaware Group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Equity Funds II</w:t>
      </w:r>
    </w:p>
    <w:p>
      <w:pPr>
        <w:spacing w:after="0" w:line="180" w:lineRule="auto"/>
        <w:rPr>
          <w:sz w:val="20"/>
          <w:szCs w:val="20"/>
          <w:color w:val="auto"/>
        </w:rPr>
      </w:pPr>
      <w:r>
        <w:rPr>
          <w:rFonts w:ascii="Times New Roman" w:cs="Times New Roman" w:eastAsia="Times New Roman" w:hAnsi="Times New Roman"/>
          <w:sz w:val="17"/>
          <w:szCs w:val="17"/>
          <w:color w:val="auto"/>
        </w:rPr>
        <w:t>Delaware Group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Equity Funds IV</w:t>
      </w:r>
    </w:p>
    <w:p>
      <w:pPr>
        <w:spacing w:after="0" w:line="181" w:lineRule="auto"/>
        <w:rPr>
          <w:sz w:val="20"/>
          <w:szCs w:val="20"/>
          <w:color w:val="auto"/>
        </w:rPr>
      </w:pPr>
      <w:r>
        <w:rPr>
          <w:rFonts w:ascii="Times New Roman" w:cs="Times New Roman" w:eastAsia="Times New Roman" w:hAnsi="Times New Roman"/>
          <w:sz w:val="17"/>
          <w:szCs w:val="17"/>
          <w:color w:val="auto"/>
        </w:rPr>
        <w:t>Delaware Group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Equity Funds V</w:t>
      </w:r>
    </w:p>
    <w:p>
      <w:pPr>
        <w:spacing w:after="0" w:line="180" w:lineRule="auto"/>
        <w:rPr>
          <w:sz w:val="20"/>
          <w:szCs w:val="20"/>
          <w:color w:val="auto"/>
        </w:rPr>
      </w:pPr>
      <w:r>
        <w:rPr>
          <w:rFonts w:ascii="Times New Roman" w:cs="Times New Roman" w:eastAsia="Times New Roman" w:hAnsi="Times New Roman"/>
          <w:sz w:val="17"/>
          <w:szCs w:val="17"/>
          <w:color w:val="auto"/>
        </w:rPr>
        <w:t>Delaware Group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Global &amp; International Funds</w:t>
      </w:r>
    </w:p>
    <w:p>
      <w:pPr>
        <w:spacing w:after="0" w:line="180" w:lineRule="auto"/>
        <w:rPr>
          <w:sz w:val="20"/>
          <w:szCs w:val="20"/>
          <w:color w:val="auto"/>
        </w:rPr>
      </w:pPr>
      <w:r>
        <w:rPr>
          <w:rFonts w:ascii="Times New Roman" w:cs="Times New Roman" w:eastAsia="Times New Roman" w:hAnsi="Times New Roman"/>
          <w:sz w:val="17"/>
          <w:szCs w:val="17"/>
          <w:color w:val="auto"/>
        </w:rPr>
        <w:t>Delaware Group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Government Fund</w:t>
      </w:r>
    </w:p>
    <w:p>
      <w:pPr>
        <w:spacing w:after="0" w:line="181" w:lineRule="auto"/>
        <w:rPr>
          <w:sz w:val="20"/>
          <w:szCs w:val="20"/>
          <w:color w:val="auto"/>
        </w:rPr>
      </w:pPr>
      <w:r>
        <w:rPr>
          <w:rFonts w:ascii="Times New Roman" w:cs="Times New Roman" w:eastAsia="Times New Roman" w:hAnsi="Times New Roman"/>
          <w:sz w:val="17"/>
          <w:szCs w:val="17"/>
          <w:color w:val="auto"/>
        </w:rPr>
        <w:t>Delaware Group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Income Funds</w:t>
      </w:r>
    </w:p>
    <w:p>
      <w:pPr>
        <w:spacing w:after="0" w:line="180" w:lineRule="auto"/>
        <w:rPr>
          <w:sz w:val="20"/>
          <w:szCs w:val="20"/>
          <w:color w:val="auto"/>
        </w:rPr>
      </w:pPr>
      <w:r>
        <w:rPr>
          <w:rFonts w:ascii="Times New Roman" w:cs="Times New Roman" w:eastAsia="Times New Roman" w:hAnsi="Times New Roman"/>
          <w:sz w:val="17"/>
          <w:szCs w:val="17"/>
          <w:color w:val="auto"/>
        </w:rPr>
        <w:t>Delaware Group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Limited-Term Government Funds</w:t>
      </w:r>
    </w:p>
    <w:p>
      <w:pPr>
        <w:spacing w:after="0" w:line="180" w:lineRule="auto"/>
        <w:rPr>
          <w:sz w:val="20"/>
          <w:szCs w:val="20"/>
          <w:color w:val="auto"/>
        </w:rPr>
      </w:pPr>
      <w:r>
        <w:rPr>
          <w:rFonts w:ascii="Times New Roman" w:cs="Times New Roman" w:eastAsia="Times New Roman" w:hAnsi="Times New Roman"/>
          <w:sz w:val="17"/>
          <w:szCs w:val="17"/>
          <w:color w:val="auto"/>
        </w:rPr>
        <w:t>Delaware Group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State Tax-Free Income Trust</w:t>
      </w:r>
    </w:p>
    <w:p>
      <w:pPr>
        <w:spacing w:after="0" w:line="181" w:lineRule="auto"/>
        <w:rPr>
          <w:sz w:val="20"/>
          <w:szCs w:val="20"/>
          <w:color w:val="auto"/>
        </w:rPr>
      </w:pPr>
      <w:r>
        <w:rPr>
          <w:rFonts w:ascii="Times New Roman" w:cs="Times New Roman" w:eastAsia="Times New Roman" w:hAnsi="Times New Roman"/>
          <w:sz w:val="17"/>
          <w:szCs w:val="17"/>
          <w:color w:val="auto"/>
        </w:rPr>
        <w:t>Delaware Group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Tax-Free Fund</w:t>
      </w:r>
    </w:p>
    <w:p>
      <w:pPr>
        <w:spacing w:after="0" w:line="180" w:lineRule="auto"/>
        <w:rPr>
          <w:sz w:val="20"/>
          <w:szCs w:val="20"/>
          <w:color w:val="auto"/>
        </w:rPr>
      </w:pPr>
      <w:r>
        <w:rPr>
          <w:rFonts w:ascii="Times New Roman" w:cs="Times New Roman" w:eastAsia="Times New Roman" w:hAnsi="Times New Roman"/>
          <w:sz w:val="17"/>
          <w:szCs w:val="17"/>
          <w:color w:val="auto"/>
        </w:rPr>
        <w:t>Delaware Pooled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Trust</w:t>
      </w:r>
    </w:p>
    <w:p>
      <w:pPr>
        <w:spacing w:after="0" w:line="181" w:lineRule="auto"/>
        <w:rPr>
          <w:sz w:val="20"/>
          <w:szCs w:val="20"/>
          <w:color w:val="auto"/>
        </w:rPr>
      </w:pPr>
      <w:r>
        <w:rPr>
          <w:rFonts w:ascii="Times New Roman" w:cs="Times New Roman" w:eastAsia="Times New Roman" w:hAnsi="Times New Roman"/>
          <w:sz w:val="17"/>
          <w:szCs w:val="17"/>
          <w:color w:val="auto"/>
        </w:rPr>
        <w:t>Delaware VIP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Trust</w:t>
      </w:r>
    </w:p>
    <w:p>
      <w:pPr>
        <w:spacing w:after="0"/>
        <w:rPr>
          <w:sz w:val="20"/>
          <w:szCs w:val="20"/>
          <w:color w:val="auto"/>
        </w:rPr>
      </w:pPr>
      <w:r>
        <w:rPr>
          <w:rFonts w:ascii="Times New Roman" w:cs="Times New Roman" w:eastAsia="Times New Roman" w:hAnsi="Times New Roman"/>
          <w:sz w:val="18"/>
          <w:szCs w:val="18"/>
          <w:color w:val="auto"/>
        </w:rPr>
        <w:t>Voyageur Insured Funds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Intermediate Tax Free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Mutual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Mutual Funds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Mutual Funds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Tax Free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Ivy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Ivy Variable Insurance Portfolios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ETF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Optimum Fund Trust</w:t>
      </w:r>
    </w:p>
    <w:p>
      <w:pPr>
        <w:spacing w:after="0" w:line="13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Page 11 of 13</w:t>
      </w:r>
    </w:p>
    <w:p>
      <w:pPr>
        <w:sectPr>
          <w:pgSz w:w="11900" w:h="16838" w:orient="portrait"/>
          <w:cols w:equalWidth="0" w:num="1">
            <w:col w:w="10019"/>
          </w:cols>
          <w:pgMar w:left="440" w:top="266" w:right="1440" w:bottom="1440" w:gutter="0" w:footer="0" w:header="0"/>
        </w:sectPr>
      </w:pPr>
    </w:p>
    <w:bookmarkStart w:id="11" w:name="page12"/>
    <w:bookmarkEnd w:id="11"/>
    <w:p>
      <w:pPr>
        <w:jc w:val="right"/>
        <w:ind w:right="3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 — the Macquarie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Group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Bank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Asset Management Holdings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Asset Management US Holdings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Affiliated Managers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Affiliated Managers Holdings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Americas Holdings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B.H.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FG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Funding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Investment Management Europe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Investment Management Austria Kapitalanlage 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Investment Management Global Limited</w:t>
      </w:r>
    </w:p>
    <w:p>
      <w:pPr>
        <w:spacing w:after="0" w:line="13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Page 12 of 13</w:t>
      </w:r>
    </w:p>
    <w:p>
      <w:pPr>
        <w:sectPr>
          <w:pgSz w:w="11900" w:h="16838" w:orient="portrait"/>
          <w:cols w:equalWidth="0" w:num="1">
            <w:col w:w="10019"/>
          </w:cols>
          <w:pgMar w:left="440" w:top="26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Powers of Attorney for Macquarie Group Limited incorporated by reference to 13G filings made by Macquarie Group Limited on June 7, 2023.</w:t>
      </w:r>
    </w:p>
    <w:p>
      <w:pPr>
        <w:spacing w:after="0" w:line="16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Page 13 of 13</w:t>
      </w:r>
    </w:p>
    <w:sectPr>
      <w:pgSz w:w="11900" w:h="16838" w:orient="portrait"/>
      <w:cols w:equalWidth="0" w:num="1">
        <w:col w:w="10360"/>
      </w:cols>
      <w:pgMar w:left="440" w:top="117"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
      <w:numFmt w:val="bullet"/>
      <w:start w:val="1"/>
    </w:lvl>
  </w:abstractNum>
  <w:abstractNum w:abstractNumId="2">
    <w:nsid w:val="1F16E9E8"/>
    <w:multiLevelType w:val="hybridMultilevel"/>
    <w:lvl w:ilvl="0">
      <w:lvlJc w:val="left"/>
      <w:lvlText w:val=" "/>
      <w:numFmt w:val="bullet"/>
      <w:start w:val="1"/>
    </w:lvl>
    <w:lvl w:ilvl="1">
      <w:lvlJc w:val="left"/>
      <w:lvlText w:val=" "/>
      <w:numFmt w:val="bullet"/>
      <w:start w:val="1"/>
    </w:lvl>
  </w:abstractNum>
  <w:abstractNum w:abstractNumId="3">
    <w:nsid w:val="1190CDE7"/>
    <w:multiLevelType w:val="hybridMultilevel"/>
    <w:lvl w:ilvl="0">
      <w:lvlJc w:val="left"/>
      <w:lvlText w:val=" "/>
      <w:numFmt w:val="bullet"/>
      <w:start w:val="1"/>
    </w:lvl>
    <w:lvl w:ilvl="1">
      <w:lvlJc w:val="left"/>
      <w:lvlText w:val=" "/>
      <w:numFmt w:val="bullet"/>
      <w:start w:val="1"/>
    </w:lvl>
  </w:abstractNum>
  <w:abstractNum w:abstractNumId="4">
    <w:nsid w:val="66EF438D"/>
    <w:multiLevelType w:val="hybridMultilevel"/>
    <w:lvl w:ilvl="0">
      <w:lvlJc w:val="left"/>
      <w:lvlText w:val=" "/>
      <w:numFmt w:val="bullet"/>
      <w:start w:val="1"/>
    </w:lvl>
    <w:lvl w:ilvl="1">
      <w:lvlJc w:val="left"/>
      <w:lvlText w:val=" "/>
      <w:numFmt w:val="bullet"/>
      <w:start w:val="1"/>
    </w:lvl>
  </w:abstractNum>
  <w:abstractNum w:abstractNumId="5">
    <w:nsid w:val="140E0F76"/>
    <w:multiLevelType w:val="hybridMultilevel"/>
    <w:lvl w:ilvl="0">
      <w:lvlJc w:val="left"/>
      <w:lvlText w:val="%1."/>
      <w:numFmt w:val="decimal"/>
      <w:start w:val="10"/>
    </w:lvl>
    <w:lvl w:ilvl="1">
      <w:lvlJc w:val="left"/>
      <w:lvlText w:val=" "/>
      <w:numFmt w:val="bullet"/>
      <w:start w:val="1"/>
    </w:lvl>
  </w:abstractNum>
  <w:abstractNum w:abstractNumId="6">
    <w:nsid w:val="3352255A"/>
    <w:multiLevelType w:val="hybridMultilevel"/>
    <w:lvl w:ilvl="0">
      <w:lvlJc w:val="left"/>
      <w:lvlText w:val=" "/>
      <w:numFmt w:val="bullet"/>
      <w:start w:val="1"/>
    </w:lvl>
    <w:lvl w:ilvl="1">
      <w:lvlJc w:val="left"/>
      <w:lvlText w:val=" "/>
      <w:numFmt w:val="bullet"/>
      <w:start w:val="1"/>
    </w:lvl>
  </w:abstractNum>
  <w:abstractNum w:abstractNumId="7">
    <w:nsid w:val="109CF92E"/>
    <w:multiLevelType w:val="hybridMultilevel"/>
    <w:lvl w:ilvl="0">
      <w:lvlJc w:val="left"/>
      <w:lvlText w:val=" "/>
      <w:numFmt w:val="bullet"/>
      <w:start w:val="1"/>
    </w:lvl>
  </w:abstractNum>
  <w:abstractNum w:abstractNumId="8">
    <w:nsid w:val="DED7263"/>
    <w:multiLevelType w:val="hybridMultilevel"/>
    <w:lvl w:ilvl="0">
      <w:lvlJc w:val="left"/>
      <w:lvlText w:val=" "/>
      <w:numFmt w:val="bullet"/>
      <w:start w:val="1"/>
    </w:lvl>
    <w:lvl w:ilvl="1">
      <w:lvlJc w:val="left"/>
      <w:lvlText w:val=" "/>
      <w:numFmt w:val="bullet"/>
      <w:start w:val="1"/>
    </w:lvl>
  </w:abstractNum>
  <w:abstractNum w:abstractNumId="9">
    <w:nsid w:val="7FDCC233"/>
    <w:multiLevelType w:val="hybridMultilevel"/>
    <w:lvl w:ilvl="0">
      <w:lvlJc w:val="left"/>
      <w:lvlText w:val="%1."/>
      <w:numFmt w:val="decimal"/>
      <w:start w:val="10"/>
    </w:lvl>
    <w:lvl w:ilvl="1">
      <w:lvlJc w:val="left"/>
      <w:lvlText w:val=" "/>
      <w:numFmt w:val="bullet"/>
      <w:start w:val="1"/>
    </w:lvl>
  </w:abstractNum>
  <w:abstractNum w:abstractNumId="10">
    <w:nsid w:val="1BEFD79F"/>
    <w:multiLevelType w:val="hybridMultilevel"/>
    <w:lvl w:ilvl="0">
      <w:lvlJc w:val="left"/>
      <w:lvlText w:val=" "/>
      <w:numFmt w:val="bullet"/>
      <w:start w:val="1"/>
    </w:lvl>
    <w:lvl w:ilvl="1">
      <w:lvlJc w:val="left"/>
      <w:lvlText w:val=" "/>
      <w:numFmt w:val="bullet"/>
      <w:start w:val="1"/>
    </w:lvl>
  </w:abstractNum>
  <w:abstractNum w:abstractNumId="11">
    <w:nsid w:val="41A7C4C9"/>
    <w:multiLevelType w:val="hybridMultilevel"/>
    <w:lvl w:ilvl="0">
      <w:lvlJc w:val="left"/>
      <w:lvlText w:val=" "/>
      <w:numFmt w:val="bullet"/>
      <w:start w:val="1"/>
    </w:lvl>
  </w:abstractNum>
  <w:abstractNum w:abstractNumId="12">
    <w:nsid w:val="6B68079A"/>
    <w:multiLevelType w:val="hybridMultilevel"/>
    <w:lvl w:ilvl="0">
      <w:lvlJc w:val="left"/>
      <w:lvlText w:val=" "/>
      <w:numFmt w:val="bullet"/>
      <w:start w:val="1"/>
    </w:lvl>
    <w:lvl w:ilvl="1">
      <w:lvlJc w:val="left"/>
      <w:lvlText w:val=" "/>
      <w:numFmt w:val="bullet"/>
      <w:start w:val="1"/>
    </w:lvl>
  </w:abstractNum>
  <w:abstractNum w:abstractNumId="13">
    <w:nsid w:val="4E6AFB66"/>
    <w:multiLevelType w:val="hybridMultilevel"/>
    <w:lvl w:ilvl="0">
      <w:lvlJc w:val="left"/>
      <w:lvlText w:val="%1."/>
      <w:numFmt w:val="decimal"/>
      <w:start w:val="10"/>
    </w:lvl>
    <w:lvl w:ilvl="1">
      <w:lvlJc w:val="left"/>
      <w:lvlText w:val=" "/>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2024-02-14T05:37:47Z</dcterms:created>
  <dcterms:modified xsi:type="dcterms:W3CDTF">2024-02-14T05:37:47Z</dcterms:modified>
</cp:coreProperties>
</file>