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10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ANNUAL REPORT PURSUANT TO SECTION 13 OR 15(d) OF THE SECURITIES EXCHANGE ACT OF 1934</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4"/>
          <w:szCs w:val="14"/>
          <w:color w:val="auto"/>
        </w:rPr>
        <w:t>December 31, 2023</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0" w:lineRule="exact"/>
        <w:rPr>
          <w:sz w:val="24"/>
          <w:szCs w:val="24"/>
          <w:color w:val="auto"/>
        </w:rPr>
      </w:pPr>
    </w:p>
    <w:p>
      <w:pPr>
        <w:ind w:left="4300" w:right="2340" w:hanging="4274"/>
        <w:spacing w:after="0" w:line="497" w:lineRule="auto"/>
        <w:tabs>
          <w:tab w:leader="none" w:pos="642" w:val="left"/>
        </w:tabs>
        <w:numPr>
          <w:ilvl w:val="0"/>
          <w:numId w:val="2"/>
        </w:numPr>
        <w:rPr>
          <w:rFonts w:ascii="Wingdings" w:cs="Wingdings" w:eastAsia="Wingdings" w:hAnsi="Wingdings"/>
          <w:sz w:val="16"/>
          <w:szCs w:val="16"/>
          <w:b w:val="1"/>
          <w:bCs w:val="1"/>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-97155</wp:posOffset>
            </wp:positionV>
            <wp:extent cx="19888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88820" cy="274320"/>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Sun Country Airlines Holdings,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jc w:val="center"/>
              <w:ind w:left="1888"/>
              <w:spacing w:after="0"/>
              <w:rPr>
                <w:sz w:val="20"/>
                <w:szCs w:val="20"/>
                <w:color w:val="auto"/>
              </w:rPr>
            </w:pPr>
            <w:r>
              <w:rPr>
                <w:rFonts w:ascii="Arial" w:cs="Arial" w:eastAsia="Arial" w:hAnsi="Arial"/>
                <w:sz w:val="14"/>
                <w:szCs w:val="14"/>
                <w:color w:val="auto"/>
              </w:rPr>
              <w:t>Delaware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960" w:type="dxa"/>
            <w:vAlign w:val="bottom"/>
          </w:tcPr>
          <w:p>
            <w:pPr>
              <w:jc w:val="right"/>
              <w:ind w:right="2348"/>
              <w:spacing w:after="0"/>
              <w:rPr>
                <w:sz w:val="20"/>
                <w:szCs w:val="20"/>
                <w:color w:val="auto"/>
              </w:rPr>
            </w:pPr>
            <w:r>
              <w:rPr>
                <w:rFonts w:ascii="Arial" w:cs="Arial" w:eastAsia="Arial" w:hAnsi="Arial"/>
                <w:sz w:val="14"/>
                <w:szCs w:val="14"/>
                <w:color w:val="auto"/>
              </w:rPr>
              <w:t>82-4092570</w:t>
            </w:r>
          </w:p>
        </w:tc>
      </w:tr>
      <w:tr>
        <w:trPr>
          <w:trHeight w:val="203"/>
        </w:trPr>
        <w:tc>
          <w:tcPr>
            <w:tcW w:w="7280" w:type="dxa"/>
            <w:vAlign w:val="bottom"/>
            <w:gridSpan w:val="6"/>
          </w:tcPr>
          <w:p>
            <w:pPr>
              <w:jc w:val="center"/>
              <w:ind w:right="1640"/>
              <w:spacing w:after="0"/>
              <w:rPr>
                <w:sz w:val="20"/>
                <w:szCs w:val="20"/>
                <w:color w:val="auto"/>
              </w:rPr>
            </w:pPr>
            <w:r>
              <w:rPr>
                <w:rFonts w:ascii="Arial" w:cs="Arial" w:eastAsia="Arial" w:hAnsi="Arial"/>
                <w:sz w:val="14"/>
                <w:szCs w:val="14"/>
                <w:color w:val="auto"/>
              </w:rPr>
              <w:t>(State or other jurisdiction of incorporation or organization)</w:t>
            </w:r>
          </w:p>
        </w:tc>
        <w:tc>
          <w:tcPr>
            <w:tcW w:w="3960" w:type="dxa"/>
            <w:vAlign w:val="bottom"/>
          </w:tcPr>
          <w:p>
            <w:pPr>
              <w:jc w:val="center"/>
              <w:ind w:right="1588"/>
              <w:spacing w:after="0"/>
              <w:rPr>
                <w:sz w:val="20"/>
                <w:szCs w:val="20"/>
                <w:color w:val="auto"/>
              </w:rPr>
            </w:pPr>
            <w:r>
              <w:rPr>
                <w:rFonts w:ascii="Arial" w:cs="Arial" w:eastAsia="Arial" w:hAnsi="Arial"/>
                <w:sz w:val="14"/>
                <w:szCs w:val="14"/>
                <w:color w:val="auto"/>
              </w:rPr>
              <w:t>(I.R.S. Employer Identification No.)</w:t>
            </w:r>
          </w:p>
        </w:tc>
      </w:tr>
      <w:tr>
        <w:trPr>
          <w:trHeight w:val="203"/>
        </w:trPr>
        <w:tc>
          <w:tcPr>
            <w:tcW w:w="3680" w:type="dxa"/>
            <w:vAlign w:val="bottom"/>
          </w:tcPr>
          <w:p>
            <w:pPr>
              <w:jc w:val="center"/>
              <w:ind w:left="1868"/>
              <w:spacing w:after="0"/>
              <w:rPr>
                <w:sz w:val="20"/>
                <w:szCs w:val="20"/>
                <w:color w:val="auto"/>
              </w:rPr>
            </w:pPr>
            <w:r>
              <w:rPr>
                <w:rFonts w:ascii="Arial" w:cs="Arial" w:eastAsia="Arial" w:hAnsi="Arial"/>
                <w:sz w:val="14"/>
                <w:szCs w:val="14"/>
                <w:color w:val="auto"/>
              </w:rPr>
              <w:t>2005 Cargo Road</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03"/>
        </w:trPr>
        <w:tc>
          <w:tcPr>
            <w:tcW w:w="3680" w:type="dxa"/>
            <w:vAlign w:val="bottom"/>
          </w:tcPr>
          <w:p>
            <w:pPr>
              <w:jc w:val="center"/>
              <w:ind w:left="1888"/>
              <w:spacing w:after="0"/>
              <w:rPr>
                <w:sz w:val="20"/>
                <w:szCs w:val="20"/>
                <w:color w:val="auto"/>
              </w:rPr>
            </w:pPr>
            <w:r>
              <w:rPr>
                <w:rFonts w:ascii="Arial" w:cs="Arial" w:eastAsia="Arial" w:hAnsi="Arial"/>
                <w:sz w:val="14"/>
                <w:szCs w:val="14"/>
                <w:color w:val="auto"/>
              </w:rPr>
              <w:t>Minneapolis, Minnesota</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60" w:type="dxa"/>
            <w:vAlign w:val="bottom"/>
          </w:tcPr>
          <w:p>
            <w:pPr>
              <w:jc w:val="right"/>
              <w:ind w:right="2528"/>
              <w:spacing w:after="0"/>
              <w:rPr>
                <w:sz w:val="20"/>
                <w:szCs w:val="20"/>
                <w:color w:val="auto"/>
              </w:rPr>
            </w:pPr>
            <w:r>
              <w:rPr>
                <w:rFonts w:ascii="Arial" w:cs="Arial" w:eastAsia="Arial" w:hAnsi="Arial"/>
                <w:sz w:val="14"/>
                <w:szCs w:val="14"/>
                <w:color w:val="auto"/>
              </w:rPr>
              <w:t>55450</w:t>
            </w:r>
          </w:p>
        </w:tc>
      </w:tr>
      <w:tr>
        <w:trPr>
          <w:trHeight w:val="203"/>
        </w:trPr>
        <w:tc>
          <w:tcPr>
            <w:tcW w:w="7280" w:type="dxa"/>
            <w:vAlign w:val="bottom"/>
            <w:gridSpan w:val="6"/>
          </w:tcPr>
          <w:p>
            <w:pPr>
              <w:jc w:val="center"/>
              <w:ind w:right="1660"/>
              <w:spacing w:after="0"/>
              <w:rPr>
                <w:sz w:val="20"/>
                <w:szCs w:val="20"/>
                <w:color w:val="auto"/>
              </w:rPr>
            </w:pPr>
            <w:r>
              <w:rPr>
                <w:rFonts w:ascii="Arial" w:cs="Arial" w:eastAsia="Arial" w:hAnsi="Arial"/>
                <w:sz w:val="14"/>
                <w:szCs w:val="14"/>
                <w:color w:val="auto"/>
              </w:rPr>
              <w:t>(Address of principal executive offices)</w:t>
            </w:r>
          </w:p>
        </w:tc>
        <w:tc>
          <w:tcPr>
            <w:tcW w:w="3960" w:type="dxa"/>
            <w:vAlign w:val="bottom"/>
          </w:tcPr>
          <w:p>
            <w:pPr>
              <w:jc w:val="center"/>
              <w:ind w:right="1568"/>
              <w:spacing w:after="0"/>
              <w:rPr>
                <w:sz w:val="20"/>
                <w:szCs w:val="20"/>
                <w:color w:val="auto"/>
              </w:rPr>
            </w:pPr>
            <w:r>
              <w:rPr>
                <w:rFonts w:ascii="Arial" w:cs="Arial" w:eastAsia="Arial" w:hAnsi="Arial"/>
                <w:sz w:val="14"/>
                <w:szCs w:val="14"/>
                <w:color w:val="auto"/>
              </w:rPr>
              <w:t>(Zip Code)</w:t>
            </w:r>
          </w:p>
        </w:tc>
      </w:tr>
      <w:tr>
        <w:trPr>
          <w:trHeight w:val="287"/>
        </w:trPr>
        <w:tc>
          <w:tcPr>
            <w:tcW w:w="3680" w:type="dxa"/>
            <w:vAlign w:val="bottom"/>
          </w:tcPr>
          <w:p>
            <w:pPr>
              <w:spacing w:after="0"/>
              <w:rPr>
                <w:sz w:val="24"/>
                <w:szCs w:val="24"/>
                <w:color w:val="auto"/>
              </w:rPr>
            </w:pPr>
          </w:p>
        </w:tc>
        <w:tc>
          <w:tcPr>
            <w:tcW w:w="7560" w:type="dxa"/>
            <w:vAlign w:val="bottom"/>
            <w:gridSpan w:val="6"/>
          </w:tcPr>
          <w:p>
            <w:pPr>
              <w:jc w:val="center"/>
              <w:ind w:right="3608"/>
              <w:spacing w:after="0"/>
              <w:rPr>
                <w:sz w:val="20"/>
                <w:szCs w:val="20"/>
                <w:color w:val="auto"/>
              </w:rPr>
            </w:pPr>
            <w:r>
              <w:rPr>
                <w:rFonts w:ascii="Arial" w:cs="Arial" w:eastAsia="Arial" w:hAnsi="Arial"/>
                <w:sz w:val="13"/>
                <w:szCs w:val="13"/>
                <w:color w:val="auto"/>
                <w:w w:val="96"/>
              </w:rPr>
              <w:t>Registrant’s telephone number, including area code: (651) 681-3900</w:t>
            </w:r>
          </w:p>
        </w:tc>
      </w:tr>
      <w:tr>
        <w:trPr>
          <w:trHeight w:val="166"/>
        </w:trPr>
        <w:tc>
          <w:tcPr>
            <w:tcW w:w="3680" w:type="dxa"/>
            <w:vAlign w:val="bottom"/>
          </w:tcPr>
          <w:p>
            <w:pPr>
              <w:spacing w:after="0"/>
              <w:rPr>
                <w:sz w:val="14"/>
                <w:szCs w:val="14"/>
                <w:color w:val="auto"/>
              </w:rPr>
            </w:pPr>
          </w:p>
        </w:tc>
        <w:tc>
          <w:tcPr>
            <w:tcW w:w="3600" w:type="dxa"/>
            <w:vAlign w:val="bottom"/>
            <w:gridSpan w:val="5"/>
          </w:tcPr>
          <w:p>
            <w:pPr>
              <w:jc w:val="center"/>
              <w:ind w:left="217"/>
              <w:spacing w:after="0"/>
              <w:rPr>
                <w:sz w:val="20"/>
                <w:szCs w:val="20"/>
                <w:color w:val="auto"/>
              </w:rPr>
            </w:pPr>
            <w:r>
              <w:rPr>
                <w:rFonts w:ascii="Arial" w:cs="Arial" w:eastAsia="Arial" w:hAnsi="Arial"/>
                <w:sz w:val="13"/>
                <w:szCs w:val="13"/>
                <w:color w:val="auto"/>
                <w:w w:val="96"/>
              </w:rPr>
              <w:t>Securities registered pursuant to Section 12(b) of the Act:</w:t>
            </w:r>
          </w:p>
        </w:tc>
        <w:tc>
          <w:tcPr>
            <w:tcW w:w="3960" w:type="dxa"/>
            <w:vAlign w:val="bottom"/>
          </w:tcPr>
          <w:p>
            <w:pPr>
              <w:spacing w:after="0"/>
              <w:rPr>
                <w:sz w:val="14"/>
                <w:szCs w:val="14"/>
                <w:color w:val="auto"/>
              </w:rPr>
            </w:pPr>
          </w:p>
        </w:tc>
      </w:tr>
      <w:tr>
        <w:trPr>
          <w:trHeight w:val="334"/>
        </w:trPr>
        <w:tc>
          <w:tcPr>
            <w:tcW w:w="3680" w:type="dxa"/>
            <w:vAlign w:val="bottom"/>
            <w:tcBorders>
              <w:bottom w:val="single" w:sz="8" w:color="auto"/>
            </w:tcBorders>
          </w:tcPr>
          <w:p>
            <w:pPr>
              <w:jc w:val="center"/>
              <w:ind w:left="848"/>
              <w:spacing w:after="0"/>
              <w:rPr>
                <w:sz w:val="20"/>
                <w:szCs w:val="20"/>
                <w:color w:val="auto"/>
              </w:rPr>
            </w:pPr>
            <w:r>
              <w:rPr>
                <w:rFonts w:ascii="Arial" w:cs="Arial" w:eastAsia="Arial" w:hAnsi="Arial"/>
                <w:sz w:val="14"/>
                <w:szCs w:val="14"/>
                <w:color w:val="auto"/>
              </w:rPr>
              <w:t>Title of each class</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w:t>
            </w: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center"/>
              <w:ind w:right="568"/>
              <w:spacing w:after="0"/>
              <w:rPr>
                <w:sz w:val="20"/>
                <w:szCs w:val="20"/>
                <w:color w:val="auto"/>
              </w:rPr>
            </w:pPr>
            <w:r>
              <w:rPr>
                <w:rFonts w:ascii="Arial" w:cs="Arial" w:eastAsia="Arial" w:hAnsi="Arial"/>
                <w:sz w:val="14"/>
                <w:szCs w:val="14"/>
                <w:color w:val="auto"/>
              </w:rPr>
              <w:t>Name of each exchange on which registered</w:t>
            </w:r>
          </w:p>
        </w:tc>
      </w:tr>
      <w:tr>
        <w:trPr>
          <w:trHeight w:val="192"/>
        </w:trPr>
        <w:tc>
          <w:tcPr>
            <w:tcW w:w="3680" w:type="dxa"/>
            <w:vAlign w:val="bottom"/>
          </w:tcPr>
          <w:p>
            <w:pPr>
              <w:jc w:val="center"/>
              <w:ind w:left="868"/>
              <w:spacing w:after="0"/>
              <w:rPr>
                <w:sz w:val="20"/>
                <w:szCs w:val="20"/>
                <w:color w:val="auto"/>
              </w:rPr>
            </w:pPr>
            <w:r>
              <w:rPr>
                <w:rFonts w:ascii="Arial" w:cs="Arial" w:eastAsia="Arial" w:hAnsi="Arial"/>
                <w:sz w:val="14"/>
                <w:szCs w:val="14"/>
                <w:color w:val="auto"/>
              </w:rPr>
              <w:t>Common Stock, par value $0.01 per share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3"/>
          </w:tcPr>
          <w:p>
            <w:pPr>
              <w:jc w:val="center"/>
              <w:ind w:right="720"/>
              <w:spacing w:after="0"/>
              <w:rPr>
                <w:sz w:val="20"/>
                <w:szCs w:val="20"/>
                <w:color w:val="auto"/>
              </w:rPr>
            </w:pPr>
            <w:r>
              <w:rPr>
                <w:rFonts w:ascii="Arial" w:cs="Arial" w:eastAsia="Arial" w:hAnsi="Arial"/>
                <w:sz w:val="14"/>
                <w:szCs w:val="14"/>
                <w:color w:val="auto"/>
              </w:rPr>
              <w:t>SNCY</w:t>
            </w:r>
          </w:p>
        </w:tc>
        <w:tc>
          <w:tcPr>
            <w:tcW w:w="3960" w:type="dxa"/>
            <w:vAlign w:val="bottom"/>
          </w:tcPr>
          <w:p>
            <w:pPr>
              <w:jc w:val="center"/>
              <w:ind w:right="568"/>
              <w:spacing w:after="0"/>
              <w:rPr>
                <w:sz w:val="20"/>
                <w:szCs w:val="20"/>
                <w:color w:val="auto"/>
              </w:rPr>
            </w:pPr>
            <w:r>
              <w:rPr>
                <w:rFonts w:ascii="Arial" w:cs="Arial" w:eastAsia="Arial" w:hAnsi="Arial"/>
                <w:sz w:val="14"/>
                <w:szCs w:val="14"/>
                <w:color w:val="auto"/>
              </w:rPr>
              <w:t>The Nasdaq Stock Market LLC</w:t>
            </w:r>
          </w:p>
        </w:tc>
      </w:tr>
    </w:tbl>
    <w:p>
      <w:pPr>
        <w:spacing w:after="0" w:line="13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right="20" w:firstLine="324"/>
        <w:spacing w:after="0" w:line="269"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339"/>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82" w:lineRule="exact"/>
        <w:rPr>
          <w:sz w:val="24"/>
          <w:szCs w:val="24"/>
          <w:color w:val="auto"/>
        </w:rPr>
      </w:pPr>
    </w:p>
    <w:p>
      <w:pPr>
        <w:ind w:firstLine="324"/>
        <w:spacing w:after="0" w:line="258"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339"/>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p>
    <w:p>
      <w:pPr>
        <w:spacing w:after="0" w:line="82" w:lineRule="exact"/>
        <w:rPr>
          <w:sz w:val="24"/>
          <w:szCs w:val="24"/>
          <w:color w:val="auto"/>
        </w:rPr>
      </w:pPr>
    </w:p>
    <w:p>
      <w:pPr>
        <w:ind w:firstLine="324"/>
        <w:spacing w:after="0" w:line="28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70" w:right="339" w:bottom="1440" w:gutter="0" w:footer="0" w:header="0"/>
        </w:sectPr>
      </w:pPr>
    </w:p>
    <w:p>
      <w:pPr>
        <w:spacing w:after="0" w:line="103"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highlight w:val="black"/>
        </w:rPr>
        <w:t>☑</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31"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65" w:lineRule="exact"/>
        <w:rPr>
          <w:sz w:val="24"/>
          <w:szCs w:val="24"/>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173" w:lineRule="exact"/>
        <w:rPr>
          <w:sz w:val="24"/>
          <w:szCs w:val="24"/>
          <w:color w:val="auto"/>
        </w:rPr>
      </w:pPr>
    </w:p>
    <w:p>
      <w:pPr>
        <w:sectPr>
          <w:pgSz w:w="11900" w:h="16838" w:orient="portrait"/>
          <w:cols w:equalWidth="0" w:num="6">
            <w:col w:w="2120" w:space="720"/>
            <w:col w:w="100" w:space="520"/>
            <w:col w:w="2080" w:space="720"/>
            <w:col w:w="120" w:space="500"/>
            <w:col w:w="2100" w:space="720"/>
            <w:col w:w="1540"/>
          </w:cols>
          <w:pgMar w:left="320" w:top="270" w:right="339" w:bottom="1440" w:gutter="0" w:footer="0" w:header="0"/>
          <w:type w:val="continuous"/>
        </w:sectPr>
      </w:pPr>
    </w:p>
    <w:p>
      <w:pPr>
        <w:ind w:firstLine="324"/>
        <w:spacing w:after="0" w:line="286" w:lineRule="auto"/>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8" w:lineRule="exact"/>
        <w:rPr>
          <w:sz w:val="24"/>
          <w:szCs w:val="24"/>
          <w:color w:val="auto"/>
        </w:rPr>
      </w:pPr>
    </w:p>
    <w:p>
      <w:pPr>
        <w:ind w:firstLine="324"/>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p>
    <w:p>
      <w:pPr>
        <w:ind w:right="20" w:firstLine="324"/>
        <w:spacing w:after="0" w:line="264" w:lineRule="auto"/>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3"/>
          <w:szCs w:val="13"/>
          <w:b w:val="1"/>
          <w:bCs w:val="1"/>
          <w:color w:val="auto"/>
        </w:rPr>
        <w:t>o</w:t>
      </w:r>
    </w:p>
    <w:p>
      <w:pPr>
        <w:spacing w:after="0" w:line="36" w:lineRule="exact"/>
        <w:rPr>
          <w:sz w:val="24"/>
          <w:szCs w:val="24"/>
          <w:color w:val="auto"/>
        </w:rPr>
      </w:pPr>
    </w:p>
    <w:p>
      <w:pPr>
        <w:ind w:firstLine="324"/>
        <w:spacing w:after="0" w:line="264" w:lineRule="auto"/>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3"/>
          <w:szCs w:val="13"/>
          <w:b w:val="1"/>
          <w:bCs w:val="1"/>
          <w:color w:val="auto"/>
        </w:rPr>
        <w:t>o</w:t>
      </w:r>
    </w:p>
    <w:p>
      <w:pPr>
        <w:spacing w:after="0" w:line="2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7" w:lineRule="exact"/>
        <w:rPr>
          <w:sz w:val="24"/>
          <w:szCs w:val="24"/>
          <w:color w:val="auto"/>
        </w:rPr>
      </w:pPr>
    </w:p>
    <w:p>
      <w:pPr>
        <w:ind w:left="5440"/>
        <w:spacing w:after="0" w:line="150" w:lineRule="exact"/>
        <w:rPr>
          <w:sz w:val="20"/>
          <w:szCs w:val="20"/>
          <w:color w:val="auto"/>
        </w:rPr>
      </w:pPr>
      <w:r>
        <w:rPr>
          <w:rFonts w:ascii="Arial" w:cs="Arial" w:eastAsia="Arial" w:hAnsi="Arial"/>
          <w:sz w:val="13"/>
          <w:szCs w:val="13"/>
          <w:color w:val="auto"/>
        </w:rPr>
        <w:t xml:space="preserve">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left="1320" w:right="1320" w:hanging="997"/>
        <w:spacing w:after="0" w:line="424" w:lineRule="auto"/>
        <w:rPr>
          <w:sz w:val="20"/>
          <w:szCs w:val="20"/>
          <w:color w:val="auto"/>
        </w:rPr>
      </w:pPr>
      <w:r>
        <w:rPr>
          <w:rFonts w:ascii="Arial" w:cs="Arial" w:eastAsia="Arial" w:hAnsi="Arial"/>
          <w:sz w:val="12"/>
          <w:szCs w:val="12"/>
          <w:color w:val="auto"/>
        </w:rPr>
        <w:t>The aggregate market value of the voting and non-voting common equity held by non-affiliates of the registrant as of June 30, 2023 was approximately $911 million</w:t>
      </w:r>
      <w:r>
        <w:rPr>
          <w:rFonts w:ascii="Arial" w:cs="Arial" w:eastAsia="Arial" w:hAnsi="Arial"/>
          <w:sz w:val="12"/>
          <w:szCs w:val="12"/>
          <w:color w:val="EF2724"/>
        </w:rPr>
        <w:t>.</w:t>
      </w:r>
      <w:r>
        <w:rPr>
          <w:rFonts w:ascii="Arial" w:cs="Arial" w:eastAsia="Arial" w:hAnsi="Arial"/>
          <w:sz w:val="12"/>
          <w:szCs w:val="12"/>
          <w:color w:val="auto"/>
        </w:rPr>
        <w:t xml:space="preserve"> Number of shares outstanding by each class of common stock, as of December 31, 2023: Common Stock, $0.01 par value 53,291,001 shares outstanding</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60" w:lineRule="exact"/>
        <w:rPr>
          <w:sz w:val="24"/>
          <w:szCs w:val="24"/>
          <w:color w:val="auto"/>
        </w:rPr>
      </w:pPr>
    </w:p>
    <w:p>
      <w:pPr>
        <w:spacing w:after="0" w:line="264" w:lineRule="auto"/>
        <w:rPr>
          <w:sz w:val="20"/>
          <w:szCs w:val="20"/>
          <w:color w:val="auto"/>
        </w:rPr>
      </w:pPr>
      <w:r>
        <w:rPr>
          <w:rFonts w:ascii="Arial" w:cs="Arial" w:eastAsia="Arial" w:hAnsi="Arial"/>
          <w:sz w:val="13"/>
          <w:szCs w:val="13"/>
          <w:color w:val="auto"/>
        </w:rPr>
        <w:t>Portions of the registrant’s definitive proxy statement relating to the 2024 Annual Meeting of Stockholders are incorporated herein by references in Part III of this Annual Report on Form 10-K to the extent stated herein. Such proxy statement will be filed with the Securities and Exchange Commission within 120 days of the registrant’s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0"/>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20" w:type="dxa"/>
            <w:vAlign w:val="bottom"/>
            <w:tcBorders>
              <w:top w:val="single" w:sz="8" w:color="0000FF"/>
            </w:tcBorders>
          </w:tcPr>
          <w:p>
            <w:pPr>
              <w:spacing w:after="0"/>
              <w:rPr>
                <w:sz w:val="24"/>
                <w:szCs w:val="24"/>
                <w:color w:val="auto"/>
              </w:rPr>
            </w:pPr>
          </w:p>
        </w:tc>
        <w:tc>
          <w:tcPr>
            <w:tcW w:w="780" w:type="dxa"/>
            <w:vAlign w:val="bottom"/>
            <w:gridSpan w:val="4"/>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Business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5"/>
              </w:rPr>
              <w:t>Item 1A.</w:t>
            </w:r>
          </w:p>
        </w:tc>
        <w:tc>
          <w:tcPr>
            <w:tcW w:w="680" w:type="dxa"/>
            <w:vAlign w:val="bottom"/>
            <w:gridSpan w:val="2"/>
          </w:tcPr>
          <w:p>
            <w:pPr>
              <w:spacing w:after="0"/>
              <w:rPr>
                <w:sz w:val="18"/>
                <w:szCs w:val="18"/>
                <w:color w:val="auto"/>
              </w:rPr>
            </w:pPr>
          </w:p>
        </w:tc>
        <w:tc>
          <w:tcPr>
            <w:tcW w:w="1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Risk Factors</w:t>
            </w:r>
          </w:p>
        </w:tc>
        <w:tc>
          <w:tcPr>
            <w:tcW w:w="7860" w:type="dxa"/>
            <w:vAlign w:val="bottom"/>
            <w:gridSpan w:val="18"/>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23</w:t>
            </w:r>
          </w:p>
        </w:tc>
      </w:tr>
      <w:tr>
        <w:trPr>
          <w:trHeight w:val="209"/>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1B.</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Item 1C.</w:t>
            </w:r>
          </w:p>
        </w:tc>
        <w:tc>
          <w:tcPr>
            <w:tcW w:w="660" w:type="dxa"/>
            <w:vAlign w:val="bottom"/>
          </w:tcPr>
          <w:p>
            <w:pPr>
              <w:spacing w:after="0"/>
              <w:rPr>
                <w:sz w:val="18"/>
                <w:szCs w:val="18"/>
                <w:color w:val="auto"/>
              </w:rPr>
            </w:pPr>
          </w:p>
        </w:tc>
        <w:tc>
          <w:tcPr>
            <w:tcW w:w="11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Cybersecurity</w:t>
            </w:r>
          </w:p>
        </w:tc>
        <w:tc>
          <w:tcPr>
            <w:tcW w:w="7760" w:type="dxa"/>
            <w:vAlign w:val="bottom"/>
            <w:gridSpan w:val="17"/>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2.</w:t>
            </w:r>
          </w:p>
        </w:tc>
        <w:tc>
          <w:tcPr>
            <w:tcW w:w="800" w:type="dxa"/>
            <w:vAlign w:val="bottom"/>
            <w:gridSpan w:val="5"/>
          </w:tcPr>
          <w:p>
            <w:pPr>
              <w:spacing w:after="0"/>
              <w:rPr>
                <w:sz w:val="18"/>
                <w:szCs w:val="18"/>
                <w:color w:val="auto"/>
              </w:rPr>
            </w:pPr>
          </w:p>
        </w:tc>
        <w:tc>
          <w:tcPr>
            <w:tcW w:w="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Properties</w:t>
            </w:r>
          </w:p>
        </w:tc>
        <w:tc>
          <w:tcPr>
            <w:tcW w:w="8040" w:type="dxa"/>
            <w:vAlign w:val="bottom"/>
            <w:gridSpan w:val="21"/>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57</w:t>
            </w: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6"/>
              </w:rPr>
              <w:t>PART II</w:t>
            </w:r>
          </w:p>
        </w:tc>
        <w:tc>
          <w:tcPr>
            <w:tcW w:w="72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5.</w:t>
            </w:r>
          </w:p>
        </w:tc>
        <w:tc>
          <w:tcPr>
            <w:tcW w:w="800" w:type="dxa"/>
            <w:vAlign w:val="bottom"/>
            <w:gridSpan w:val="5"/>
          </w:tcPr>
          <w:p>
            <w:pPr>
              <w:spacing w:after="0"/>
              <w:rPr>
                <w:sz w:val="24"/>
                <w:szCs w:val="24"/>
                <w:color w:val="auto"/>
              </w:rPr>
            </w:pPr>
          </w:p>
        </w:tc>
        <w:tc>
          <w:tcPr>
            <w:tcW w:w="88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09"/>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6.</w:t>
            </w:r>
          </w:p>
        </w:tc>
        <w:tc>
          <w:tcPr>
            <w:tcW w:w="800" w:type="dxa"/>
            <w:vAlign w:val="bottom"/>
            <w:gridSpan w:val="5"/>
          </w:tcPr>
          <w:p>
            <w:pPr>
              <w:spacing w:after="0"/>
              <w:rPr>
                <w:sz w:val="18"/>
                <w:szCs w:val="18"/>
                <w:color w:val="auto"/>
              </w:rPr>
            </w:pPr>
          </w:p>
        </w:tc>
        <w:tc>
          <w:tcPr>
            <w:tcW w:w="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[Reserved]</w:t>
            </w:r>
          </w:p>
        </w:tc>
        <w:tc>
          <w:tcPr>
            <w:tcW w:w="7980" w:type="dxa"/>
            <w:vAlign w:val="bottom"/>
            <w:gridSpan w:val="19"/>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61</w:t>
            </w: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7.</w:t>
            </w:r>
          </w:p>
        </w:tc>
        <w:tc>
          <w:tcPr>
            <w:tcW w:w="800" w:type="dxa"/>
            <w:vAlign w:val="bottom"/>
            <w:gridSpan w:val="5"/>
          </w:tcPr>
          <w:p>
            <w:pPr>
              <w:spacing w:after="0"/>
              <w:rPr>
                <w:sz w:val="18"/>
                <w:szCs w:val="18"/>
                <w:color w:val="auto"/>
              </w:rPr>
            </w:pPr>
          </w:p>
        </w:tc>
        <w:tc>
          <w:tcPr>
            <w:tcW w:w="70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780" w:type="dxa"/>
            <w:vAlign w:val="bottom"/>
            <w:gridSpan w:val="3"/>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61</w:t>
            </w: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7A.</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81</w:t>
            </w: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rPr>
              <w:t>Item 8.</w:t>
            </w:r>
          </w:p>
        </w:tc>
        <w:tc>
          <w:tcPr>
            <w:tcW w:w="40" w:type="dxa"/>
            <w:vAlign w:val="bottom"/>
            <w:tcBorders>
              <w:top w:val="single" w:sz="8" w:color="0000FF"/>
            </w:tcBorders>
          </w:tcPr>
          <w:p>
            <w:pPr>
              <w:spacing w:after="0"/>
              <w:rPr>
                <w:sz w:val="18"/>
                <w:szCs w:val="18"/>
                <w:color w:val="auto"/>
              </w:rPr>
            </w:pPr>
          </w:p>
        </w:tc>
        <w:tc>
          <w:tcPr>
            <w:tcW w:w="680" w:type="dxa"/>
            <w:vAlign w:val="bottom"/>
            <w:gridSpan w:val="2"/>
          </w:tcPr>
          <w:p>
            <w:pPr>
              <w:spacing w:after="0"/>
              <w:rPr>
                <w:sz w:val="18"/>
                <w:szCs w:val="18"/>
                <w:color w:val="auto"/>
              </w:rPr>
            </w:pPr>
          </w:p>
        </w:tc>
        <w:tc>
          <w:tcPr>
            <w:tcW w:w="3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FF"/>
            </w:tcBorders>
            <w:gridSpan w:val="2"/>
          </w:tcPr>
          <w:p>
            <w:pPr>
              <w:spacing w:after="0"/>
              <w:rPr>
                <w:sz w:val="18"/>
                <w:szCs w:val="18"/>
                <w:color w:val="auto"/>
              </w:rPr>
            </w:pPr>
          </w:p>
        </w:tc>
        <w:tc>
          <w:tcPr>
            <w:tcW w:w="4160" w:type="dxa"/>
            <w:vAlign w:val="bottom"/>
            <w:gridSpan w:val="6"/>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83</w:t>
            </w: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9.</w:t>
            </w:r>
          </w:p>
        </w:tc>
        <w:tc>
          <w:tcPr>
            <w:tcW w:w="800" w:type="dxa"/>
            <w:vAlign w:val="bottom"/>
            <w:gridSpan w:val="5"/>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127</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5"/>
              </w:rPr>
              <w:t>Item 9A.</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127</w:t>
            </w:r>
          </w:p>
        </w:tc>
      </w:tr>
      <w:tr>
        <w:trPr>
          <w:trHeight w:val="209"/>
        </w:trPr>
        <w:tc>
          <w:tcPr>
            <w:tcW w:w="20" w:type="dxa"/>
            <w:vAlign w:val="bottom"/>
          </w:tcPr>
          <w:p>
            <w:pPr>
              <w:spacing w:after="0"/>
              <w:rPr>
                <w:sz w:val="18"/>
                <w:szCs w:val="18"/>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5"/>
              </w:rPr>
              <w:t>Item 9B.</w:t>
            </w:r>
          </w:p>
        </w:tc>
        <w:tc>
          <w:tcPr>
            <w:tcW w:w="680" w:type="dxa"/>
            <w:vAlign w:val="bottom"/>
            <w:gridSpan w:val="2"/>
          </w:tcPr>
          <w:p>
            <w:pPr>
              <w:spacing w:after="0"/>
              <w:rPr>
                <w:sz w:val="18"/>
                <w:szCs w:val="18"/>
                <w:color w:val="auto"/>
              </w:rPr>
            </w:pPr>
          </w:p>
        </w:tc>
        <w:tc>
          <w:tcPr>
            <w:tcW w:w="14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18"/>
                <w:szCs w:val="18"/>
                <w:color w:val="auto"/>
              </w:rPr>
            </w:pPr>
          </w:p>
        </w:tc>
        <w:tc>
          <w:tcPr>
            <w:tcW w:w="6880" w:type="dxa"/>
            <w:vAlign w:val="bottom"/>
            <w:gridSpan w:val="12"/>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129</w:t>
            </w:r>
          </w:p>
        </w:tc>
      </w:tr>
      <w:tr>
        <w:trPr>
          <w:trHeight w:val="209"/>
        </w:trPr>
        <w:tc>
          <w:tcPr>
            <w:tcW w:w="20" w:type="dxa"/>
            <w:vAlign w:val="bottom"/>
          </w:tcPr>
          <w:p>
            <w:pPr>
              <w:spacing w:after="0"/>
              <w:rPr>
                <w:sz w:val="18"/>
                <w:szCs w:val="18"/>
                <w:color w:val="auto"/>
              </w:rPr>
            </w:pPr>
          </w:p>
        </w:tc>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Item 9C.</w:t>
            </w:r>
          </w:p>
        </w:tc>
        <w:tc>
          <w:tcPr>
            <w:tcW w:w="660" w:type="dxa"/>
            <w:vAlign w:val="bottom"/>
          </w:tcPr>
          <w:p>
            <w:pPr>
              <w:spacing w:after="0"/>
              <w:rPr>
                <w:sz w:val="18"/>
                <w:szCs w:val="18"/>
                <w:color w:val="auto"/>
              </w:rPr>
            </w:pPr>
          </w:p>
        </w:tc>
        <w:tc>
          <w:tcPr>
            <w:tcW w:w="54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460" w:type="dxa"/>
            <w:vAlign w:val="bottom"/>
            <w:gridSpan w:val="5"/>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480"/>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III</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10.</w:t>
            </w:r>
          </w:p>
        </w:tc>
        <w:tc>
          <w:tcPr>
            <w:tcW w:w="680" w:type="dxa"/>
            <w:vAlign w:val="bottom"/>
            <w:gridSpan w:val="2"/>
          </w:tcPr>
          <w:p>
            <w:pPr>
              <w:spacing w:after="0"/>
              <w:rPr>
                <w:sz w:val="24"/>
                <w:szCs w:val="24"/>
                <w:color w:val="auto"/>
              </w:rPr>
            </w:pPr>
          </w:p>
        </w:tc>
        <w:tc>
          <w:tcPr>
            <w:tcW w:w="45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360" w:type="dxa"/>
            <w:vAlign w:val="bottom"/>
            <w:gridSpan w:val="7"/>
          </w:tcPr>
          <w:p>
            <w:pPr>
              <w:spacing w:after="0"/>
              <w:rPr>
                <w:sz w:val="24"/>
                <w:szCs w:val="24"/>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09"/>
        </w:trPr>
        <w:tc>
          <w:tcPr>
            <w:tcW w:w="20" w:type="dxa"/>
            <w:vAlign w:val="bottom"/>
          </w:tcPr>
          <w:p>
            <w:pPr>
              <w:spacing w:after="0"/>
              <w:rPr>
                <w:sz w:val="18"/>
                <w:szCs w:val="18"/>
                <w:color w:val="auto"/>
              </w:rPr>
            </w:pPr>
          </w:p>
        </w:tc>
        <w:tc>
          <w:tcPr>
            <w:tcW w:w="1360" w:type="dxa"/>
            <w:vAlign w:val="bottom"/>
            <w:gridSpan w:val="6"/>
          </w:tcPr>
          <w:p>
            <w:pPr>
              <w:spacing w:after="0"/>
              <w:rPr>
                <w:sz w:val="20"/>
                <w:szCs w:val="20"/>
                <w:color w:val="auto"/>
              </w:rPr>
            </w:pPr>
            <w:r>
              <w:rPr>
                <w:rFonts w:ascii="Arial" w:cs="Arial" w:eastAsia="Arial" w:hAnsi="Arial"/>
                <w:sz w:val="18"/>
                <w:szCs w:val="18"/>
                <w:color w:val="0000FF"/>
              </w:rPr>
              <w:t>Item 11.</w:t>
            </w:r>
          </w:p>
        </w:tc>
        <w:tc>
          <w:tcPr>
            <w:tcW w:w="8860" w:type="dxa"/>
            <w:vAlign w:val="bottom"/>
            <w:gridSpan w:val="23"/>
          </w:tcPr>
          <w:p>
            <w:pPr>
              <w:spacing w:after="0"/>
              <w:rPr>
                <w:sz w:val="20"/>
                <w:szCs w:val="20"/>
                <w:color w:val="auto"/>
              </w:rPr>
            </w:pPr>
            <w:r>
              <w:rPr>
                <w:rFonts w:ascii="Arial" w:cs="Arial" w:eastAsia="Arial" w:hAnsi="Arial"/>
                <w:sz w:val="18"/>
                <w:szCs w:val="18"/>
                <w:color w:val="0000FF"/>
              </w:rPr>
              <w:t>Executive Compensation</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sz w:val="20"/>
                <w:szCs w:val="20"/>
                <w:color w:val="auto"/>
              </w:rPr>
            </w:pPr>
            <w:r>
              <w:rPr>
                <w:rFonts w:ascii="Arial" w:cs="Arial" w:eastAsia="Arial" w:hAnsi="Arial"/>
                <w:sz w:val="18"/>
                <w:szCs w:val="18"/>
                <w:color w:val="0000FF"/>
                <w:w w:val="98"/>
              </w:rPr>
              <w:t>Item 12.</w:t>
            </w:r>
          </w:p>
        </w:tc>
        <w:tc>
          <w:tcPr>
            <w:tcW w:w="680" w:type="dxa"/>
            <w:vAlign w:val="bottom"/>
            <w:gridSpan w:val="2"/>
          </w:tcPr>
          <w:p>
            <w:pPr>
              <w:spacing w:after="0"/>
              <w:rPr>
                <w:sz w:val="18"/>
                <w:szCs w:val="18"/>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13.</w:t>
            </w:r>
          </w:p>
        </w:tc>
        <w:tc>
          <w:tcPr>
            <w:tcW w:w="680" w:type="dxa"/>
            <w:vAlign w:val="bottom"/>
            <w:gridSpan w:val="2"/>
          </w:tcPr>
          <w:p>
            <w:pPr>
              <w:spacing w:after="0"/>
              <w:rPr>
                <w:sz w:val="18"/>
                <w:szCs w:val="18"/>
                <w:color w:val="auto"/>
              </w:rPr>
            </w:pPr>
          </w:p>
        </w:tc>
        <w:tc>
          <w:tcPr>
            <w:tcW w:w="800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860" w:type="dxa"/>
            <w:vAlign w:val="bottom"/>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8"/>
              </w:rPr>
              <w:t>Item 14.</w:t>
            </w:r>
          </w:p>
        </w:tc>
        <w:tc>
          <w:tcPr>
            <w:tcW w:w="680" w:type="dxa"/>
            <w:vAlign w:val="bottom"/>
            <w:gridSpan w:val="2"/>
          </w:tcPr>
          <w:p>
            <w:pPr>
              <w:spacing w:after="0"/>
              <w:rPr>
                <w:sz w:val="18"/>
                <w:szCs w:val="18"/>
                <w:color w:val="auto"/>
              </w:rPr>
            </w:pPr>
          </w:p>
        </w:tc>
        <w:tc>
          <w:tcPr>
            <w:tcW w:w="318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9"/>
              </w:rPr>
              <w:t>Principal Accountant Fees and Services</w:t>
            </w:r>
          </w:p>
        </w:tc>
        <w:tc>
          <w:tcPr>
            <w:tcW w:w="2840" w:type="dxa"/>
            <w:vAlign w:val="bottom"/>
            <w:tcBorders>
              <w:top w:val="single" w:sz="8" w:color="0000FF"/>
            </w:tcBorders>
            <w:gridSpan w:val="6"/>
          </w:tcPr>
          <w:p>
            <w:pPr>
              <w:spacing w:after="0"/>
              <w:rPr>
                <w:sz w:val="18"/>
                <w:szCs w:val="18"/>
                <w:color w:val="auto"/>
              </w:rPr>
            </w:pPr>
          </w:p>
        </w:tc>
        <w:tc>
          <w:tcPr>
            <w:tcW w:w="2840" w:type="dxa"/>
            <w:vAlign w:val="bottom"/>
            <w:gridSpan w:val="4"/>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130</w:t>
            </w:r>
          </w:p>
        </w:tc>
      </w:tr>
      <w:tr>
        <w:trPr>
          <w:trHeight w:val="479"/>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0000FF"/>
              </w:rPr>
              <w:t>PART IV</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15.</w:t>
            </w:r>
          </w:p>
        </w:tc>
        <w:tc>
          <w:tcPr>
            <w:tcW w:w="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8860" w:type="dxa"/>
            <w:vAlign w:val="bottom"/>
            <w:gridSpan w:val="23"/>
          </w:tcPr>
          <w:p>
            <w:pPr>
              <w:spacing w:after="0"/>
              <w:rPr>
                <w:sz w:val="20"/>
                <w:szCs w:val="20"/>
                <w:color w:val="auto"/>
              </w:rPr>
            </w:pPr>
            <w:r>
              <w:rPr>
                <w:rFonts w:ascii="Arial" w:cs="Arial" w:eastAsia="Arial" w:hAnsi="Arial"/>
                <w:sz w:val="18"/>
                <w:szCs w:val="18"/>
                <w:color w:val="0000FF"/>
              </w:rPr>
              <w:t>Exhibits and Financial Statement Schedules</w:t>
            </w: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131</w:t>
            </w:r>
          </w:p>
        </w:tc>
      </w:tr>
      <w:tr>
        <w:trPr>
          <w:trHeight w:val="210"/>
        </w:trPr>
        <w:tc>
          <w:tcPr>
            <w:tcW w:w="20" w:type="dxa"/>
            <w:vAlign w:val="bottom"/>
          </w:tcPr>
          <w:p>
            <w:pPr>
              <w:spacing w:after="0"/>
              <w:rPr>
                <w:sz w:val="18"/>
                <w:szCs w:val="18"/>
                <w:color w:val="auto"/>
              </w:rPr>
            </w:pPr>
          </w:p>
        </w:tc>
        <w:tc>
          <w:tcPr>
            <w:tcW w:w="6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w w:val="98"/>
              </w:rPr>
              <w:t>Item 16.</w:t>
            </w:r>
          </w:p>
        </w:tc>
        <w:tc>
          <w:tcPr>
            <w:tcW w:w="680" w:type="dxa"/>
            <w:vAlign w:val="bottom"/>
            <w:gridSpan w:val="2"/>
          </w:tcPr>
          <w:p>
            <w:pPr>
              <w:spacing w:after="0"/>
              <w:rPr>
                <w:sz w:val="18"/>
                <w:szCs w:val="18"/>
                <w:color w:val="auto"/>
              </w:rPr>
            </w:pPr>
          </w:p>
        </w:tc>
        <w:tc>
          <w:tcPr>
            <w:tcW w:w="350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Form 10-K Summary</w:t>
            </w:r>
          </w:p>
        </w:tc>
        <w:tc>
          <w:tcPr>
            <w:tcW w:w="5360" w:type="dxa"/>
            <w:vAlign w:val="bottom"/>
            <w:gridSpan w:val="9"/>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136</w:t>
            </w:r>
          </w:p>
        </w:tc>
      </w:tr>
      <w:tr>
        <w:trPr>
          <w:trHeight w:val="210"/>
        </w:trPr>
        <w:tc>
          <w:tcPr>
            <w:tcW w:w="20" w:type="dxa"/>
            <w:vAlign w:val="bottom"/>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Signatures</w:t>
            </w:r>
          </w:p>
        </w:tc>
        <w:tc>
          <w:tcPr>
            <w:tcW w:w="800" w:type="dxa"/>
            <w:vAlign w:val="bottom"/>
            <w:tcBorders>
              <w:top w:val="single" w:sz="8" w:color="0000FF"/>
            </w:tcBorders>
            <w:gridSpan w:val="6"/>
          </w:tcPr>
          <w:p>
            <w:pPr>
              <w:spacing w:after="0"/>
              <w:rPr>
                <w:sz w:val="18"/>
                <w:szCs w:val="18"/>
                <w:color w:val="auto"/>
              </w:rPr>
            </w:pPr>
          </w:p>
        </w:tc>
        <w:tc>
          <w:tcPr>
            <w:tcW w:w="7200" w:type="dxa"/>
            <w:vAlign w:val="bottom"/>
            <w:gridSpan w:val="14"/>
          </w:tcPr>
          <w:p>
            <w:pPr>
              <w:spacing w:after="0"/>
              <w:rPr>
                <w:sz w:val="18"/>
                <w:szCs w:val="18"/>
                <w:color w:val="auto"/>
              </w:rPr>
            </w:pPr>
          </w:p>
        </w:tc>
        <w:tc>
          <w:tcPr>
            <w:tcW w:w="1000" w:type="dxa"/>
            <w:vAlign w:val="bottom"/>
          </w:tcPr>
          <w:p>
            <w:pPr>
              <w:jc w:val="center"/>
              <w:ind w:left="10"/>
              <w:spacing w:after="0"/>
              <w:rPr>
                <w:sz w:val="20"/>
                <w:szCs w:val="20"/>
                <w:color w:val="auto"/>
              </w:rPr>
            </w:pPr>
            <w:r>
              <w:rPr>
                <w:rFonts w:ascii="Arial" w:cs="Arial" w:eastAsia="Arial" w:hAnsi="Arial"/>
                <w:sz w:val="18"/>
                <w:szCs w:val="18"/>
                <w:color w:val="auto"/>
                <w:w w:val="99"/>
              </w:rPr>
              <w:t>137</w:t>
            </w:r>
          </w:p>
        </w:tc>
      </w:tr>
      <w:tr>
        <w:trPr>
          <w:trHeight w:val="91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00" w:type="dxa"/>
            <w:vAlign w:val="bottom"/>
            <w:gridSpan w:val="16"/>
          </w:tcPr>
          <w:p>
            <w:pPr>
              <w:ind w:left="4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glossary of certain terms used in this annual report on Form 10-K (this “Annual Report”):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“Acquisition Date” means April 11, 2018, the date that certain investment funds managed by affiliates of Apollo (the “Apollo Funds”) acquired Sun Country, Inc.</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“Adjusted CASM” means </w:t>
      </w:r>
      <w:r>
        <w:rPr>
          <w:rFonts w:ascii="Arial" w:cs="Arial" w:eastAsia="Arial" w:hAnsi="Arial"/>
          <w:sz w:val="18"/>
          <w:szCs w:val="18"/>
          <w:color w:val="0A0A0A"/>
        </w:rPr>
        <w:t>CASM excluding fuel costs, non-cash management stock compensation expense, costs arising from our Cargo</w:t>
      </w:r>
      <w:r>
        <w:rPr>
          <w:rFonts w:ascii="Arial" w:cs="Arial" w:eastAsia="Arial" w:hAnsi="Arial"/>
          <w:sz w:val="18"/>
          <w:szCs w:val="18"/>
          <w:color w:val="auto"/>
        </w:rPr>
        <w:t xml:space="preserve"> </w:t>
      </w:r>
      <w:r>
        <w:rPr>
          <w:rFonts w:ascii="Arial" w:cs="Arial" w:eastAsia="Arial" w:hAnsi="Arial"/>
          <w:sz w:val="18"/>
          <w:szCs w:val="18"/>
          <w:color w:val="0A0A0A"/>
        </w:rPr>
        <w:t xml:space="preserve">operations, </w:t>
      </w:r>
      <w:r>
        <w:rPr>
          <w:rFonts w:ascii="Arial" w:cs="Arial" w:eastAsia="Arial" w:hAnsi="Arial"/>
          <w:sz w:val="18"/>
          <w:szCs w:val="18"/>
          <w:color w:val="000000"/>
        </w:rPr>
        <w:t>depreciation and amortization recognized on certain assets that generate lease income,</w:t>
      </w:r>
      <w:r>
        <w:rPr>
          <w:rFonts w:ascii="Arial" w:cs="Arial" w:eastAsia="Arial" w:hAnsi="Arial"/>
          <w:sz w:val="18"/>
          <w:szCs w:val="18"/>
          <w:color w:val="0A0A0A"/>
        </w:rPr>
        <w:t xml:space="preserve"> certain commissions, and other costs of selling our vacations product. </w:t>
      </w:r>
      <w:r>
        <w:rPr>
          <w:rFonts w:ascii="Arial" w:cs="Arial" w:eastAsia="Arial" w:hAnsi="Arial"/>
          <w:sz w:val="18"/>
          <w:szCs w:val="18"/>
          <w:color w:val="000000"/>
        </w:rPr>
        <w:t>When Adjusted CASM is referenced or presented for other airlines, it has been adjusted to our average stage</w:t>
      </w:r>
      <w:r>
        <w:rPr>
          <w:rFonts w:ascii="Arial" w:cs="Arial" w:eastAsia="Arial" w:hAnsi="Arial"/>
          <w:sz w:val="18"/>
          <w:szCs w:val="18"/>
          <w:color w:val="0A0A0A"/>
        </w:rPr>
        <w:t xml:space="preserve"> </w:t>
      </w:r>
      <w:r>
        <w:rPr>
          <w:rFonts w:ascii="Arial" w:cs="Arial" w:eastAsia="Arial" w:hAnsi="Arial"/>
          <w:sz w:val="18"/>
          <w:szCs w:val="18"/>
          <w:color w:val="000000"/>
        </w:rPr>
        <w:t>length for the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“ALPA” means the Air Line Pilots Association, the union representing our pilots.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“Amazon” means Amazon.com Services, LLC, together with its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"AMFA" means Aircraft Mechanics Fraternal Organization, the union representing our technicians and related craft employees.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“Ancillary revenue” consists primarily of revenue generated from air travel-related services such as baggage fees, seat selection and upgrade fees, priority check-in and boarding fees, other fees and on-board sales.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"APIC" means Additional Paid-in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“Apollo” means Apollo Global Management, Inc.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“Apollo Stockholder” means SCA Horus Holdings, LLC, which is an affiliate of certain investment funds managed by affiliates of Apollo.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"ASAP" means Aviation Safety Action Program.</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“ATSA” means the Air Transportation Services Agreement, dated as of December 13, 2019, as amended as of June 30, 2020, by and between Sun Country, Inc. and Amazon, as amended or modified from time to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“Available seat miles” or “ASMs” means the number of seats available for passengers multiplied by the number of miles the seats are flown.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aircraft” means the average number of aircraft used in flight operations, as calculated on a monthly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daily aircraft utilization” means block hours divided by number of days in the period divided by average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Coronavirus Aid, Relief, and Economic Security Act.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“Cargo service” includes our CMI service operations under the ATSA.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“CASM” or “unit costs” is Cost per Available Seat Mile and is calculated using total operating expenses divided by total ASMs.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“CBA” means a collective bargaining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“CBP” means the United States Customs and Border Protection.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“Charter service” means flights operated for specific customers who purchase the entire flight from us and specify the origination and destination.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"CIO" means Chief Information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"CISO" means Chief Information Security Officer.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7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"CODM" means Chief Operating Decision Maker.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"CO2" means carbon dioxide.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“CORSIA” means Carbon Offsetting and Reduction Scheme for International Aviation.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"COSO" means Committee of Sponsoring Organizations of the Treadway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means the five-year credit agreement executed on February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"DDTL" means the Delayed Draw Term Loan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“DoD” means the U.S. Department of Defense.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"DTC" means Depository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“ESG” means environmental, social and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"EWR" means Newark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“FCPA” means the Foreign Corrupt Practices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“FDIC” means the Federal Deposit Insurance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“Flight cycle” means a cycle consisting of one take-off and one landing.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“Freighters” include the aircraft operated under the ATSA, which are configured exclusively for Cargo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“IATA” means the International Air Transport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"ICAO" means the International Civil Aviation 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"IPO" means the Initial Public Offering.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"ITGCs" means Information Technology General Controls.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“LCC” means low-cost carrier and includes JetBlue Airways, Southwest Airlines, Alaska Airlines and Hawaiian Airlines.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"Legacy Network Airlines" includes Delta Airlines, American Airlines, and United Airlines.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“Load factor” means the percentage of aircraft seat miles actually occupied on a flight (RPMs divided by ASMs) for Scheduled Service.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"LTV" means Loan-to-Value.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"MLS" means Major League Soccer.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“MSP” means Minneapolis – St. Paul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"Nasdaq" means Nasdaq Global Select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“NCAA” means the National Collegiate Athletic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“NMB” means the National Mediation Board.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"NYSE" means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“OFAC” means the Office of Foreign Assets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“On-Time Arrival” means percentage of scheduled flights that arrived at their scheduled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"Owned Aircraft Held for Operating Lease" means the Company's 737-900ERs that are currently on lease to an unaffiliated airline.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"PEB" means the Presidential Emergency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“RLA” means the United States Railway Labor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"RSUs" mean Restricted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10b5-1" means Rule 10b5-1 under the Exchange Act.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“Scheduled Service Revenue” consists of base fares, unused and expired passenger credits and other expired travel credits for Scheduled Service.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“SCV” means Sun Country Vacations.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 means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“SeMS” means Security Management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"SFO" San Francisco International Airport.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"SLA" means Service Level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“SMS” means Safety Management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"SOC" means System and Organizations Controls.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“SVB” means the 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 means the Tax Receivable Agreement with pre-IPO stockholders.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“TRASM” or “unit revenue” means total revenue divided by total ASMs. Scheduled Service TRASM includes Scheduled Service revenue, Ancillary revenue, and ASM generating revenue classified within Other Revenue on the Consolidated Statement of Operations divided by Scheduled Service ASMs.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“TWU” means the Transport Workers Union, the union representing our dispatchers.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“ULCC” means ultra low-cost carrier and includes Allegiant Travel Company, Frontier Airlines and Spirit Airlines.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"U.S. Citizens" means citizens of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“VFR” means visiting friends and relatives.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"VIEs" means variable interest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"VIP" means Very Important Person.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7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contains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Annual Report,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“Business,” “Risk Factors” and “Management’s Discussion and Analysis of Financial Condition and Results of Operations”.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statements are based on assumptions and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 the items discussed under “Risk Factors” in this Annual Report. Given these uncertainties, undue reliance should not be placed on these forward-looking statements. Except as required by law, we undertake no obligation to update or revise publicly any forward-looking statements, whether as a result of new information, future events or otherwise. We anticipate that subsequent events and developments will cause our views to change. This Annual Report and the documents filed as exhibits hereto should be read completely and with the understanding that our actual future results may be materially different 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PRINCIPAL RISK FACTORS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of this Annual Report.</w:t>
      </w:r>
    </w:p>
    <w:p>
      <w:pPr>
        <w:spacing w:after="0" w:line="208" w:lineRule="exact"/>
        <w:rPr>
          <w:sz w:val="20"/>
          <w:szCs w:val="20"/>
          <w:color w:val="auto"/>
        </w:rPr>
      </w:pPr>
    </w:p>
    <w:p>
      <w:pPr>
        <w:ind w:left="660" w:hanging="324"/>
        <w:spacing w:after="0" w:line="285" w:lineRule="auto"/>
        <w:rPr>
          <w:sz w:val="20"/>
          <w:szCs w:val="20"/>
          <w:color w:val="auto"/>
        </w:rPr>
      </w:pPr>
      <w:r>
        <w:rPr>
          <w:rFonts w:ascii="Arial" w:cs="Arial" w:eastAsia="Arial" w:hAnsi="Arial"/>
          <w:sz w:val="18"/>
          <w:szCs w:val="18"/>
          <w:i w:val="1"/>
          <w:iCs w:val="1"/>
          <w:color w:val="auto"/>
        </w:rPr>
        <w:t>– The effects of a viral or bacterial infection, disease or similar public health threat, including travel restrictions, social distancing measures and decreased demand for air travel.</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Changes in economic conditions, including inflationary pressures.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price and availability of aircraft fuel and our ability to control other costs.</w:t>
      </w:r>
    </w:p>
    <w:p>
      <w:pPr>
        <w:spacing w:after="0" w:line="246" w:lineRule="exact"/>
        <w:rPr>
          <w:sz w:val="20"/>
          <w:szCs w:val="20"/>
          <w:color w:val="auto"/>
        </w:rPr>
      </w:pPr>
    </w:p>
    <w:p>
      <w:pPr>
        <w:ind w:left="660" w:hanging="324"/>
        <w:spacing w:after="0" w:line="290"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Threatened or actual terrorist attacks, war, or other security concerns involving airlines could have a material adverse effect on our</w:t>
      </w:r>
      <w:r>
        <w:rPr>
          <w:rFonts w:ascii="Arial" w:cs="Arial" w:eastAsia="Arial" w:hAnsi="Arial"/>
          <w:sz w:val="22"/>
          <w:szCs w:val="22"/>
          <w:color w:val="auto"/>
        </w:rPr>
        <w:t xml:space="preserve"> </w:t>
      </w:r>
      <w:r>
        <w:rPr>
          <w:rFonts w:ascii="Arial" w:cs="Arial" w:eastAsia="Arial" w:hAnsi="Arial"/>
          <w:sz w:val="17"/>
          <w:szCs w:val="17"/>
          <w:i w:val="1"/>
          <w:iCs w:val="1"/>
          <w:color w:val="auto"/>
        </w:rPr>
        <w:t>business, results of operations and financial condition.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ability to operate in an exceedingly competitive industry.</w:t>
      </w:r>
    </w:p>
    <w:p>
      <w:pPr>
        <w:spacing w:after="0" w:line="219" w:lineRule="exact"/>
        <w:rPr>
          <w:sz w:val="20"/>
          <w:szCs w:val="20"/>
          <w:color w:val="auto"/>
        </w:rPr>
      </w:pPr>
    </w:p>
    <w:p>
      <w:pPr>
        <w:ind w:left="660" w:right="20" w:hanging="324"/>
        <w:spacing w:after="0" w:line="306"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Factors beyond our control, including air traffic congestion, adverse weather, federal government shutdowns, aircraft-type</w:t>
      </w:r>
      <w:r>
        <w:rPr>
          <w:rFonts w:ascii="Arial" w:cs="Arial" w:eastAsia="Arial" w:hAnsi="Arial"/>
          <w:sz w:val="22"/>
          <w:szCs w:val="22"/>
          <w:color w:val="auto"/>
        </w:rPr>
        <w:t xml:space="preserve"> </w:t>
      </w:r>
      <w:r>
        <w:rPr>
          <w:rFonts w:ascii="Arial" w:cs="Arial" w:eastAsia="Arial" w:hAnsi="Arial"/>
          <w:sz w:val="17"/>
          <w:szCs w:val="17"/>
          <w:i w:val="1"/>
          <w:iCs w:val="1"/>
          <w:color w:val="auto"/>
        </w:rPr>
        <w:t>groundings, increased security measures or outbreaks of disease.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Any restrictions on or increased taxes applicable to charges for ancillary products and services.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The concentration of our business in the Minneapolis-St. Paul market and the concentration of our Cargo business with Amazon.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Risks associated with our presence in international markets.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Changes in applicable laws and regulations, including regulation to reduce emissions of greenhouse gases.</w:t>
      </w:r>
    </w:p>
    <w:p>
      <w:pPr>
        <w:spacing w:after="0" w:line="219" w:lineRule="exact"/>
        <w:rPr>
          <w:sz w:val="20"/>
          <w:szCs w:val="20"/>
          <w:color w:val="auto"/>
        </w:rPr>
      </w:pPr>
    </w:p>
    <w:p>
      <w:pPr>
        <w:ind w:left="660" w:right="20" w:hanging="324"/>
        <w:spacing w:after="0" w:line="306"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Labor shortages and our ability to attract and retain qualified personnel, including but not limited to, pilots and technicians, at a</w:t>
      </w:r>
      <w:r>
        <w:rPr>
          <w:rFonts w:ascii="Arial" w:cs="Arial" w:eastAsia="Arial" w:hAnsi="Arial"/>
          <w:sz w:val="22"/>
          <w:szCs w:val="22"/>
          <w:color w:val="auto"/>
        </w:rPr>
        <w:t xml:space="preserve"> </w:t>
      </w:r>
      <w:r>
        <w:rPr>
          <w:rFonts w:ascii="Arial" w:cs="Arial" w:eastAsia="Arial" w:hAnsi="Arial"/>
          <w:sz w:val="17"/>
          <w:szCs w:val="17"/>
          <w:i w:val="1"/>
          <w:iCs w:val="1"/>
          <w:color w:val="auto"/>
        </w:rPr>
        <w:t>reasonable cost or maintain our company culture.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Our reliance on our and third-party technology and systems.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i w:val="1"/>
          <w:iCs w:val="1"/>
          <w:color w:val="auto"/>
        </w:rPr>
        <w:t>Increases in insurance costs or reductions in insurance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or the context otherwise requires, all dollars are stated in thousands within this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By doing so, we are able to generate high growth, high margins and strong cash flows with greater resilience than other passenger airlines. Based in Minnesota, we focus on serving leisure and VFR passengers, charter customers, and providing CMI service to Amazon, with flights throughout the United States and to destinations in Canada, Mexico, Central America 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ULCCs, resulting in best-in-class unit profitability, while also providing greater resiliency to economic or industry downturns. This strategy has been implemented and executed by an experienced management team with deep knowledge of the industry.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flex our capacity by day of the week, time of year and line of business to capture what we believe are the most profitable, peak demand, flying opportunities available from both our MSP home market and our network of non-MSP markets. In addition to these network shifts, we also shift aircraft between our Scheduled Service and Charter businesses to maximize the return on our assets. We regularly schedule our fleet using what we refer to as “Power Patterns”,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cross-utilization have increased since we began providing CMI services because our pilots are interchangeably deployed between Scheduled Service, Charter and Cargo flights.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invested in numerous projects to create a well-regarded product and brand that we believe is superior to ULCCs while maintaining lower fares than LCCs and larger full-service carriers. We believe that our cabin experience is a differentiator amongst ULCCs. All of our aircraft have new state-of-the-art seats that comfortably recline 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fly a single-family fleet of mid-life Boeing 737-NG aircraft, which allows us to maintain a cost base comparable to ULCCs. Flying mid-life Boeing 737-NG aircraft allows us to maintain low aircraft ownership costs and have lower acquisition costs when compared to new Boeing 737 aircraft, both of which more than offset their higher ongoing maintenance and repair costs. Lower ownership costs allow us to maintain lower unit costs at lower levels of utilization. This allows us to concentrate our Scheduled Service flying during periods of peak demand, and also allows us to park aircraft during periods of low demand at a lower cost than other airlines.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benefits of lower all-in ownership costs, we do not have an aircraft order book because we only purchase mid-life aircraft. As a result, unlike many other airlines, we are not locked into large future capital expenditures. Rather, we have the ability to opportunistically take advantage of aircraft prices with purchases at the time of our choosing. Our single-family aircraft fleet also has operational and cost advantages, such as allowing for optimization of crew scheduling and training and lower maintenance costs. Our fleet is reliable, and we have demonstrated the ability to maintain our high completion factor during harsh weather conditions. For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more information on our operational performance and comparisons to our competitors, see "Operational Performance" included within Part I, Item 1, "Business".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our fleet consisted of 60 Boeing 737-NG aircraft. This includes 42 aircraft in the passenger fleet, 12 cargo operated aircraft through the ATSA with Amazon, and six aircraft that are currently on lease to unaffiliated airlines. Our fleet is managed through our two reportable segments: Passenger, which is comprised of Scheduled Service and Charter, and Cargo.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Scheduled Service. </w:t>
      </w:r>
      <w:r>
        <w:rPr>
          <w:rFonts w:ascii="Arial" w:cs="Arial" w:eastAsia="Arial" w:hAnsi="Arial"/>
          <w:sz w:val="18"/>
          <w:szCs w:val="18"/>
          <w:color w:val="auto"/>
        </w:rPr>
        <w:t>Our Scheduled Service business combines low costs with a high-quality product to generate higher TRASM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ULCCs while maintaining lower Adjusted CASM than LCCs, resulting in best-in-class unit profitability. We offer a high-quality product that we believe is superior to ULCCs and consistent with that of LCCs. Our product includes non-stop flights to popular destinations, generous legroom, complimentary beverages, in-flight entertainment, and in-seat power. For the years ended December 31, 2023 and 2022, we flew 4.1 million and 3.6 million Scheduled Service passengers, respectively. For the years ended December 31, 2023 and 2022, our total fare was approximately $176.30 and $175.29, respectively.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low-fare passenger airline service primarily to leisure and VFR travelers. Our low fares are designed to stimulate demand from price-sensitive travelers seeking a superior product to ULCCs. We operate our Scheduled Service business using a flexible capacity model focused on peak demand. Our flexible business model provides greater resiliency to economic and industry downturns than a traditional Scheduled Service carrier. Our flying continued to be more seasonal in 2023, as only 2% of our total Scheduled Service routes were daily, year-round routes to three locations. The following charts demonstrate that our Scheduled Service schedule is highly variable by day of the week and time of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80" w:type="dxa"/>
            <w:vAlign w:val="bottom"/>
            <w:shd w:val="clear" w:color="auto" w:fill="004787"/>
          </w:tcPr>
          <w:p>
            <w:pPr>
              <w:jc w:val="center"/>
              <w:spacing w:after="0"/>
              <w:rPr>
                <w:sz w:val="20"/>
                <w:szCs w:val="20"/>
                <w:color w:val="auto"/>
              </w:rPr>
            </w:pPr>
            <w:r>
              <w:rPr>
                <w:rFonts w:ascii="Calibri" w:cs="Calibri" w:eastAsia="Calibri" w:hAnsi="Calibri"/>
                <w:sz w:val="16"/>
                <w:szCs w:val="16"/>
                <w:b w:val="1"/>
                <w:bCs w:val="1"/>
                <w:color w:val="FFFFFF"/>
              </w:rPr>
              <w:t>Seasonal Demand Dictates Monthly Scheduled Service Schedule</w:t>
            </w:r>
          </w:p>
        </w:tc>
        <w:tc>
          <w:tcPr>
            <w:tcW w:w="240" w:type="dxa"/>
            <w:vAlign w:val="bottom"/>
          </w:tcPr>
          <w:p>
            <w:pPr>
              <w:spacing w:after="0"/>
              <w:rPr>
                <w:sz w:val="22"/>
                <w:szCs w:val="22"/>
                <w:color w:val="auto"/>
              </w:rPr>
            </w:pPr>
          </w:p>
        </w:tc>
        <w:tc>
          <w:tcPr>
            <w:tcW w:w="5520" w:type="dxa"/>
            <w:vAlign w:val="bottom"/>
            <w:gridSpan w:val="2"/>
            <w:shd w:val="clear" w:color="auto" w:fill="004787"/>
          </w:tcPr>
          <w:p>
            <w:pPr>
              <w:ind w:left="200"/>
              <w:spacing w:after="0"/>
              <w:rPr>
                <w:sz w:val="20"/>
                <w:szCs w:val="20"/>
                <w:color w:val="auto"/>
              </w:rPr>
            </w:pPr>
            <w:r>
              <w:rPr>
                <w:rFonts w:ascii="Calibri" w:cs="Calibri" w:eastAsia="Calibri" w:hAnsi="Calibri"/>
                <w:sz w:val="16"/>
                <w:szCs w:val="16"/>
                <w:b w:val="1"/>
                <w:bCs w:val="1"/>
                <w:color w:val="FFFFFF"/>
              </w:rPr>
              <w:t xml:space="preserve">Day-of-Week Capacity Determined by Scheduled Service Demand Paterns </w:t>
            </w:r>
            <w:r>
              <w:rPr>
                <w:rFonts w:ascii="Calibri" w:cs="Calibri" w:eastAsia="Calibri" w:hAnsi="Calibri"/>
                <w:sz w:val="21"/>
                <w:szCs w:val="21"/>
                <w:b w:val="1"/>
                <w:bCs w:val="1"/>
                <w:color w:val="FFFFFF"/>
                <w:vertAlign w:val="superscript"/>
              </w:rPr>
              <w:t>(1)</w:t>
            </w:r>
          </w:p>
        </w:tc>
      </w:tr>
      <w:tr>
        <w:trPr>
          <w:trHeight w:val="195"/>
        </w:trPr>
        <w:tc>
          <w:tcPr>
            <w:tcW w:w="5480" w:type="dxa"/>
            <w:vAlign w:val="bottom"/>
          </w:tcPr>
          <w:p>
            <w:pPr>
              <w:jc w:val="center"/>
              <w:spacing w:after="0"/>
              <w:rPr>
                <w:sz w:val="20"/>
                <w:szCs w:val="20"/>
                <w:color w:val="auto"/>
              </w:rPr>
            </w:pPr>
            <w:r>
              <w:rPr>
                <w:rFonts w:ascii="Arial" w:cs="Arial" w:eastAsia="Arial" w:hAnsi="Arial"/>
                <w:sz w:val="14"/>
                <w:szCs w:val="14"/>
                <w:i w:val="1"/>
                <w:iCs w:val="1"/>
                <w:color w:val="0A2299"/>
              </w:rPr>
              <w:t>Monthly Seats as a % of March 2023 Seats</w:t>
            </w:r>
          </w:p>
        </w:tc>
        <w:tc>
          <w:tcPr>
            <w:tcW w:w="24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Arial" w:cs="Arial" w:eastAsia="Arial" w:hAnsi="Arial"/>
                <w:sz w:val="14"/>
                <w:szCs w:val="14"/>
                <w:i w:val="1"/>
                <w:iCs w:val="1"/>
                <w:color w:val="0A2299"/>
              </w:rPr>
              <w:t>(% of Peak Day ASMs)</w:t>
            </w:r>
          </w:p>
        </w:tc>
        <w:tc>
          <w:tcPr>
            <w:tcW w:w="2600" w:type="dxa"/>
            <w:vAlign w:val="bottom"/>
          </w:tcPr>
          <w:p>
            <w:pPr>
              <w:ind w:left="1440"/>
              <w:spacing w:after="0"/>
              <w:rPr>
                <w:sz w:val="20"/>
                <w:szCs w:val="20"/>
                <w:color w:val="auto"/>
              </w:rPr>
            </w:pPr>
            <w:r>
              <w:rPr>
                <w:rFonts w:ascii="Arial" w:cs="Arial" w:eastAsia="Arial" w:hAnsi="Arial"/>
                <w:sz w:val="14"/>
                <w:szCs w:val="14"/>
                <w:i w:val="1"/>
                <w:iCs w:val="1"/>
                <w:color w:val="0A2299"/>
              </w:rPr>
              <w:t>(TRASM in cents)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142240</wp:posOffset>
            </wp:positionV>
            <wp:extent cx="6300470" cy="2623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047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80" w:hanging="554"/>
        <w:spacing w:after="0"/>
        <w:tabs>
          <w:tab w:leader="none" w:pos="580" w:val="left"/>
        </w:tabs>
        <w:numPr>
          <w:ilvl w:val="0"/>
          <w:numId w:val="4"/>
        </w:numPr>
        <w:rPr>
          <w:rFonts w:ascii="Arial" w:cs="Arial" w:eastAsia="Arial" w:hAnsi="Arial"/>
          <w:sz w:val="14"/>
          <w:szCs w:val="14"/>
          <w:color w:val="0A2299"/>
        </w:rPr>
      </w:pPr>
      <w:r>
        <w:rPr>
          <w:rFonts w:ascii="Arial" w:cs="Arial" w:eastAsia="Arial" w:hAnsi="Arial"/>
          <w:sz w:val="14"/>
          <w:szCs w:val="14"/>
          <w:color w:val="0A2299"/>
        </w:rPr>
        <w:t>Based on fiscal year 2023 data</w:t>
      </w: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Scheduled Service business includes many cost characteristics of ULCCs, such as an unbundled product (which means we offer a base fare and allow customers to purchase ancillary products and services for an additional fee), and point-to-point service. Sources of our ancillary revenue include air travel-related services such as baggage fees, seat selection and upgrade fees, priority check-in and boarding fees, other fees and on-board sales. Part of our strategy is to reduce base fares to stimulate demand while increasing ancillary revenue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 passenger, which we believe offers passengers more choice and generates more ancillary revenue. Our on-board sales are also designed to enhance the customer experience, including local passenger favorite brands of beer, wine and spirits. For the years ended December 31, 2023 and 2022, our average ancillary revenue per passenger was approximately $66.69 and $53.49, respectively.</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earn revenue from our SCV products, including commissions from the sale of third-party hotel rooms and rental cars. Our SCV products facilitate booking a flight and land package at a discounted price for our customers. We offer vacation products to promote “one stop shopping.” Our Other Revenue also includes revenue from our co-branded credit card and rental revenue related to certain relationships where the Company acts as an aircraft lessor.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154940</wp:posOffset>
            </wp:positionV>
            <wp:extent cx="5657850" cy="258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Scheduled Service Route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Minnesota’s hometown airline, a substantial portion of our business is serving markets originating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ending in MSP. We fly out of Terminal 2 at MSP, which we believe is preferred by many flyers because of its smaller layout, shorter security wait times, close parking relative to check-in and full suite of retail shops. As of December 31, 2023, we have access to eight of the 14 gates in Terminal 2.</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been based in the Minneapolis-St. Paul area since our founding over 40 years ago, where our brand is well-known and well-respected. We are the largest low-cost airline operating at MSP, which is our largest base, and the second largest airline at MSP after Delta Air Lines. We have been focused on developing our network at MSP and have grown our non-stop destinations from MSP by over 70% since 2019. Our MSP network served approximately 89 markets in 2023. As a result of our focus on flying during seasonal peak periods, our well-respected brand and product, and our strong position in Minneapolis, we have historically enjoyed a TRASM premium to other leisure airlines at MSP.</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peak demand strategy focuses on profitable flying opportunities available from both our MSP home market and our network of non-MSP markets. As a result, our route network varies widely throughout the year. We have a successful history of opening and closing stations to meet seasonal demand and we expect to continue to identify high demand markets where other airlines have been unable to respond to market needs during periods of seasonal demand. Since the start of 2023, we have launched 23 new markets. Non-MSP service is an increasingly significant portion of our business, comprising 28% of all the markets served in 2023. As part of the ongoing assessment of market opportunities, we continue to identify future growth opportunities, primarily from Midwest locations to warm weather leisure destinations and large markets with fragmented and seasonal demand peaks.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shd w:val="clear" w:color="auto" w:fill="004787"/>
          </w:tcPr>
          <w:p>
            <w:pPr>
              <w:ind w:left="2200"/>
              <w:spacing w:after="0"/>
              <w:rPr>
                <w:sz w:val="20"/>
                <w:szCs w:val="20"/>
                <w:color w:val="auto"/>
              </w:rPr>
            </w:pPr>
            <w:r>
              <w:rPr>
                <w:rFonts w:ascii="Calibri" w:cs="Calibri" w:eastAsia="Calibri" w:hAnsi="Calibri"/>
                <w:sz w:val="16"/>
                <w:szCs w:val="16"/>
                <w:b w:val="1"/>
                <w:bCs w:val="1"/>
                <w:color w:val="FFFFFF"/>
              </w:rPr>
              <w:t>MSP Departures</w:t>
            </w:r>
          </w:p>
        </w:tc>
        <w:tc>
          <w:tcPr>
            <w:tcW w:w="240" w:type="dxa"/>
            <w:vAlign w:val="bottom"/>
          </w:tcPr>
          <w:p>
            <w:pPr>
              <w:spacing w:after="0"/>
              <w:rPr>
                <w:sz w:val="18"/>
                <w:szCs w:val="18"/>
                <w:color w:val="auto"/>
              </w:rPr>
            </w:pPr>
          </w:p>
        </w:tc>
        <w:tc>
          <w:tcPr>
            <w:tcW w:w="220" w:type="dxa"/>
            <w:vAlign w:val="bottom"/>
            <w:tcBorders>
              <w:right w:val="single" w:sz="8" w:color="004787"/>
            </w:tcBorders>
            <w:shd w:val="clear" w:color="auto" w:fill="004787"/>
          </w:tcPr>
          <w:p>
            <w:pPr>
              <w:spacing w:after="0"/>
              <w:rPr>
                <w:sz w:val="18"/>
                <w:szCs w:val="18"/>
                <w:color w:val="auto"/>
              </w:rPr>
            </w:pPr>
          </w:p>
        </w:tc>
        <w:tc>
          <w:tcPr>
            <w:tcW w:w="5300" w:type="dxa"/>
            <w:vAlign w:val="bottom"/>
            <w:gridSpan w:val="3"/>
            <w:shd w:val="clear" w:color="auto" w:fill="004787"/>
          </w:tcPr>
          <w:p>
            <w:pPr>
              <w:ind w:left="1400"/>
              <w:spacing w:after="0"/>
              <w:rPr>
                <w:sz w:val="20"/>
                <w:szCs w:val="20"/>
                <w:color w:val="auto"/>
              </w:rPr>
            </w:pPr>
            <w:r>
              <w:rPr>
                <w:rFonts w:ascii="Calibri" w:cs="Calibri" w:eastAsia="Calibri" w:hAnsi="Calibri"/>
                <w:sz w:val="16"/>
                <w:szCs w:val="16"/>
                <w:b w:val="1"/>
                <w:bCs w:val="1"/>
                <w:color w:val="FFFFFF"/>
              </w:rPr>
              <w:t>Top 5 Destnatons from MSP in....</w:t>
            </w:r>
          </w:p>
        </w:tc>
        <w:tc>
          <w:tcPr>
            <w:tcW w:w="0" w:type="dxa"/>
            <w:vAlign w:val="bottom"/>
          </w:tcPr>
          <w:p>
            <w:pPr>
              <w:spacing w:after="0"/>
              <w:rPr>
                <w:sz w:val="1"/>
                <w:szCs w:val="1"/>
                <w:color w:val="auto"/>
              </w:rPr>
            </w:pPr>
          </w:p>
        </w:tc>
      </w:tr>
      <w:tr>
        <w:trPr>
          <w:trHeight w:val="194"/>
        </w:trPr>
        <w:tc>
          <w:tcPr>
            <w:tcW w:w="5480" w:type="dxa"/>
            <w:vAlign w:val="bottom"/>
          </w:tcPr>
          <w:p>
            <w:pPr>
              <w:ind w:left="20"/>
              <w:spacing w:after="0"/>
              <w:rPr>
                <w:sz w:val="20"/>
                <w:szCs w:val="20"/>
                <w:color w:val="auto"/>
              </w:rPr>
            </w:pPr>
            <w:r>
              <w:rPr>
                <w:rFonts w:ascii="Arial" w:cs="Arial" w:eastAsia="Arial" w:hAnsi="Arial"/>
                <w:sz w:val="14"/>
                <w:szCs w:val="14"/>
                <w:i w:val="1"/>
                <w:iCs w:val="1"/>
                <w:color w:val="0A2299"/>
              </w:rPr>
              <w:t>(# of Departures)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right w:val="single" w:sz="8" w:color="D76428"/>
            </w:tcBorders>
          </w:tcPr>
          <w:p>
            <w:pPr>
              <w:spacing w:after="0"/>
              <w:rPr>
                <w:sz w:val="17"/>
                <w:szCs w:val="17"/>
                <w:color w:val="auto"/>
              </w:rPr>
            </w:pPr>
          </w:p>
        </w:tc>
        <w:tc>
          <w:tcPr>
            <w:tcW w:w="2720" w:type="dxa"/>
            <w:vAlign w:val="bottom"/>
            <w:tcBorders>
              <w:bottom w:val="single" w:sz="8" w:color="00497F"/>
            </w:tcBorders>
            <w:shd w:val="clear" w:color="auto" w:fill="D76428"/>
          </w:tcPr>
          <w:p>
            <w:pPr>
              <w:jc w:val="center"/>
              <w:ind w:left="1634"/>
              <w:spacing w:after="0"/>
              <w:rPr>
                <w:sz w:val="20"/>
                <w:szCs w:val="20"/>
                <w:color w:val="auto"/>
              </w:rPr>
            </w:pPr>
            <w:r>
              <w:rPr>
                <w:rFonts w:ascii="Arial" w:cs="Arial" w:eastAsia="Arial" w:hAnsi="Arial"/>
                <w:sz w:val="14"/>
                <w:szCs w:val="14"/>
                <w:b w:val="1"/>
                <w:bCs w:val="1"/>
                <w:color w:val="FFFFFF"/>
              </w:rPr>
              <w:t>March 2023</w:t>
            </w:r>
          </w:p>
        </w:tc>
        <w:tc>
          <w:tcPr>
            <w:tcW w:w="1720" w:type="dxa"/>
            <w:vAlign w:val="bottom"/>
            <w:tcBorders>
              <w:bottom w:val="single" w:sz="8" w:color="00497F"/>
            </w:tcBorders>
            <w:shd w:val="clear" w:color="auto" w:fill="D76428"/>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00497F"/>
            </w:tcBorders>
          </w:tcPr>
          <w:p>
            <w:pPr>
              <w:spacing w:after="0"/>
              <w:rPr>
                <w:sz w:val="15"/>
                <w:szCs w:val="15"/>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7"/>
              </w:rPr>
              <w:t>Orlando, Florida</w:t>
            </w:r>
          </w:p>
        </w:tc>
        <w:tc>
          <w:tcPr>
            <w:tcW w:w="1720" w:type="dxa"/>
            <w:vAlign w:val="bottom"/>
            <w:vMerge w:val="restart"/>
          </w:tcPr>
          <w:p>
            <w:pPr>
              <w:jc w:val="center"/>
              <w:ind w:right="428"/>
              <w:spacing w:after="0" w:line="332" w:lineRule="exact"/>
              <w:rPr>
                <w:sz w:val="20"/>
                <w:szCs w:val="20"/>
                <w:color w:val="auto"/>
              </w:rPr>
            </w:pPr>
            <w:r>
              <w:rPr>
                <w:rFonts w:ascii="Arial" w:cs="Arial" w:eastAsia="Arial" w:hAnsi="Arial"/>
                <w:sz w:val="31"/>
                <w:szCs w:val="31"/>
                <w:b w:val="1"/>
                <w:bCs w:val="1"/>
                <w:color w:val="0A2299"/>
                <w:w w:val="99"/>
              </w:rPr>
              <w:t>44%</w:t>
            </w:r>
          </w:p>
        </w:tc>
        <w:tc>
          <w:tcPr>
            <w:tcW w:w="86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right w:val="single" w:sz="8" w:color="00497F"/>
            </w:tcBorders>
          </w:tcPr>
          <w:p>
            <w:pPr>
              <w:spacing w:after="0"/>
              <w:rPr>
                <w:sz w:val="13"/>
                <w:szCs w:val="13"/>
                <w:color w:val="auto"/>
              </w:rPr>
            </w:pPr>
          </w:p>
        </w:tc>
        <w:tc>
          <w:tcPr>
            <w:tcW w:w="2720" w:type="dxa"/>
            <w:vAlign w:val="bottom"/>
            <w:vMerge w:val="restart"/>
          </w:tcPr>
          <w:p>
            <w:pPr>
              <w:jc w:val="center"/>
              <w:ind w:right="454"/>
              <w:spacing w:after="0"/>
              <w:rPr>
                <w:sz w:val="20"/>
                <w:szCs w:val="20"/>
                <w:color w:val="auto"/>
              </w:rPr>
            </w:pPr>
            <w:r>
              <w:rPr>
                <w:rFonts w:ascii="Arial" w:cs="Arial" w:eastAsia="Arial" w:hAnsi="Arial"/>
                <w:sz w:val="13"/>
                <w:szCs w:val="13"/>
                <w:b w:val="1"/>
                <w:bCs w:val="1"/>
                <w:color w:val="0A2299"/>
                <w:w w:val="96"/>
              </w:rPr>
              <w:t>Cancun, Mexico</w:t>
            </w:r>
          </w:p>
        </w:tc>
        <w:tc>
          <w:tcPr>
            <w:tcW w:w="1720" w:type="dxa"/>
            <w:vAlign w:val="bottom"/>
            <w:vMerge w:val="continue"/>
          </w:tcPr>
          <w:p>
            <w:pPr>
              <w:spacing w:after="0"/>
              <w:rPr>
                <w:sz w:val="13"/>
                <w:szCs w:val="13"/>
                <w:color w:val="auto"/>
              </w:rPr>
            </w:pPr>
          </w:p>
        </w:tc>
        <w:tc>
          <w:tcPr>
            <w:tcW w:w="860" w:type="dxa"/>
            <w:vAlign w:val="bottom"/>
            <w:tcBorders>
              <w:left w:val="single" w:sz="8" w:color="00497F"/>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00497F"/>
            </w:tcBorders>
          </w:tcPr>
          <w:p>
            <w:pPr>
              <w:spacing w:after="0"/>
              <w:rPr>
                <w:sz w:val="4"/>
                <w:szCs w:val="4"/>
                <w:color w:val="auto"/>
              </w:rPr>
            </w:pPr>
          </w:p>
        </w:tc>
        <w:tc>
          <w:tcPr>
            <w:tcW w:w="272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860" w:type="dxa"/>
            <w:vAlign w:val="bottom"/>
            <w:tcBorders>
              <w:left w:val="single" w:sz="8" w:color="00497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right w:val="single" w:sz="8" w:color="00497F"/>
            </w:tcBorders>
          </w:tcPr>
          <w:p>
            <w:pPr>
              <w:spacing w:after="0"/>
              <w:rPr>
                <w:sz w:val="18"/>
                <w:szCs w:val="18"/>
                <w:color w:val="auto"/>
              </w:rPr>
            </w:pPr>
          </w:p>
        </w:tc>
        <w:tc>
          <w:tcPr>
            <w:tcW w:w="2720" w:type="dxa"/>
            <w:vAlign w:val="bottom"/>
          </w:tcPr>
          <w:p>
            <w:pPr>
              <w:jc w:val="center"/>
              <w:ind w:right="454"/>
              <w:spacing w:after="0"/>
              <w:rPr>
                <w:sz w:val="20"/>
                <w:szCs w:val="20"/>
                <w:color w:val="auto"/>
              </w:rPr>
            </w:pPr>
            <w:r>
              <w:rPr>
                <w:rFonts w:ascii="Arial" w:cs="Arial" w:eastAsia="Arial" w:hAnsi="Arial"/>
                <w:sz w:val="13"/>
                <w:szCs w:val="13"/>
                <w:b w:val="1"/>
                <w:bCs w:val="1"/>
                <w:color w:val="0A2299"/>
                <w:w w:val="96"/>
              </w:rPr>
              <w:t>Fort Meyers, Florida</w:t>
            </w:r>
          </w:p>
        </w:tc>
        <w:tc>
          <w:tcPr>
            <w:tcW w:w="1720" w:type="dxa"/>
            <w:vAlign w:val="bottom"/>
          </w:tcPr>
          <w:p>
            <w:pPr>
              <w:spacing w:after="0"/>
              <w:rPr>
                <w:sz w:val="18"/>
                <w:szCs w:val="18"/>
                <w:color w:val="auto"/>
              </w:rPr>
            </w:pPr>
          </w:p>
        </w:tc>
        <w:tc>
          <w:tcPr>
            <w:tcW w:w="860" w:type="dxa"/>
            <w:vAlign w:val="bottom"/>
            <w:tcBorders>
              <w:left w:val="single" w:sz="8" w:color="00497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right w:val="single" w:sz="8" w:color="00497F"/>
            </w:tcBorders>
          </w:tcPr>
          <w:p>
            <w:pPr>
              <w:spacing w:after="0"/>
              <w:rPr>
                <w:sz w:val="20"/>
                <w:szCs w:val="20"/>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6"/>
              </w:rPr>
              <w:t>Phoenix, Arizona</w:t>
            </w:r>
          </w:p>
        </w:tc>
        <w:tc>
          <w:tcPr>
            <w:tcW w:w="1720" w:type="dxa"/>
            <w:vAlign w:val="bottom"/>
          </w:tcPr>
          <w:p>
            <w:pPr>
              <w:jc w:val="center"/>
              <w:ind w:right="428"/>
              <w:spacing w:after="0"/>
              <w:rPr>
                <w:sz w:val="20"/>
                <w:szCs w:val="20"/>
                <w:color w:val="auto"/>
              </w:rPr>
            </w:pPr>
            <w:r>
              <w:rPr>
                <w:rFonts w:ascii="Arial" w:cs="Arial" w:eastAsia="Arial" w:hAnsi="Arial"/>
                <w:sz w:val="14"/>
                <w:szCs w:val="14"/>
                <w:b w:val="1"/>
                <w:bCs w:val="1"/>
                <w:color w:val="0A2299"/>
              </w:rPr>
              <w:t>of Departures</w:t>
            </w:r>
          </w:p>
        </w:tc>
        <w:tc>
          <w:tcPr>
            <w:tcW w:w="860" w:type="dxa"/>
            <w:vAlign w:val="bottom"/>
            <w:tcBorders>
              <w:left w:val="single" w:sz="8" w:color="00497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00497F"/>
            </w:tcBorders>
          </w:tcPr>
          <w:p>
            <w:pPr>
              <w:spacing w:after="0"/>
              <w:rPr>
                <w:sz w:val="15"/>
                <w:szCs w:val="15"/>
                <w:color w:val="auto"/>
              </w:rPr>
            </w:pPr>
          </w:p>
        </w:tc>
        <w:tc>
          <w:tcPr>
            <w:tcW w:w="2720" w:type="dxa"/>
            <w:vAlign w:val="bottom"/>
            <w:tcBorders>
              <w:bottom w:val="single" w:sz="8" w:color="00497F"/>
            </w:tcBorders>
          </w:tcPr>
          <w:p>
            <w:pPr>
              <w:jc w:val="center"/>
              <w:ind w:right="474"/>
              <w:spacing w:after="0"/>
              <w:rPr>
                <w:sz w:val="20"/>
                <w:szCs w:val="20"/>
                <w:color w:val="auto"/>
              </w:rPr>
            </w:pPr>
            <w:r>
              <w:rPr>
                <w:rFonts w:ascii="Arial" w:cs="Arial" w:eastAsia="Arial" w:hAnsi="Arial"/>
                <w:sz w:val="13"/>
                <w:szCs w:val="13"/>
                <w:b w:val="1"/>
                <w:bCs w:val="1"/>
                <w:color w:val="0A2299"/>
                <w:w w:val="96"/>
              </w:rPr>
              <w:t>Las Vegas, Nevada</w:t>
            </w:r>
          </w:p>
        </w:tc>
        <w:tc>
          <w:tcPr>
            <w:tcW w:w="1720" w:type="dxa"/>
            <w:vAlign w:val="bottom"/>
            <w:tcBorders>
              <w:bottom w:val="single" w:sz="8" w:color="00497F"/>
            </w:tcBorders>
          </w:tcPr>
          <w:p>
            <w:pPr>
              <w:spacing w:after="0"/>
              <w:rPr>
                <w:sz w:val="15"/>
                <w:szCs w:val="15"/>
                <w:color w:val="auto"/>
              </w:rPr>
            </w:pPr>
          </w:p>
        </w:tc>
        <w:tc>
          <w:tcPr>
            <w:tcW w:w="86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right w:val="single" w:sz="8" w:color="D76428"/>
            </w:tcBorders>
          </w:tcPr>
          <w:p>
            <w:pPr>
              <w:spacing w:after="0"/>
              <w:rPr>
                <w:sz w:val="17"/>
                <w:szCs w:val="17"/>
                <w:color w:val="auto"/>
              </w:rPr>
            </w:pPr>
          </w:p>
        </w:tc>
        <w:tc>
          <w:tcPr>
            <w:tcW w:w="2720" w:type="dxa"/>
            <w:vAlign w:val="bottom"/>
            <w:tcBorders>
              <w:bottom w:val="single" w:sz="8" w:color="00497F"/>
            </w:tcBorders>
            <w:shd w:val="clear" w:color="auto" w:fill="D76428"/>
          </w:tcPr>
          <w:p>
            <w:pPr>
              <w:jc w:val="center"/>
              <w:ind w:left="1634"/>
              <w:spacing w:after="0"/>
              <w:rPr>
                <w:sz w:val="20"/>
                <w:szCs w:val="20"/>
                <w:color w:val="auto"/>
              </w:rPr>
            </w:pPr>
            <w:r>
              <w:rPr>
                <w:rFonts w:ascii="Arial" w:cs="Arial" w:eastAsia="Arial" w:hAnsi="Arial"/>
                <w:sz w:val="14"/>
                <w:szCs w:val="14"/>
                <w:b w:val="1"/>
                <w:bCs w:val="1"/>
                <w:color w:val="FFFFFF"/>
              </w:rPr>
              <w:t>July 2023</w:t>
            </w:r>
          </w:p>
        </w:tc>
        <w:tc>
          <w:tcPr>
            <w:tcW w:w="1720" w:type="dxa"/>
            <w:vAlign w:val="bottom"/>
            <w:tcBorders>
              <w:bottom w:val="single" w:sz="8" w:color="00497F"/>
            </w:tcBorders>
            <w:shd w:val="clear" w:color="auto" w:fill="D76428"/>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00497F"/>
            </w:tcBorders>
          </w:tcPr>
          <w:p>
            <w:pPr>
              <w:spacing w:after="0"/>
              <w:rPr>
                <w:sz w:val="15"/>
                <w:szCs w:val="15"/>
                <w:color w:val="auto"/>
              </w:rPr>
            </w:pPr>
          </w:p>
        </w:tc>
        <w:tc>
          <w:tcPr>
            <w:tcW w:w="2720" w:type="dxa"/>
            <w:vAlign w:val="bottom"/>
          </w:tcPr>
          <w:p>
            <w:pPr>
              <w:jc w:val="center"/>
              <w:ind w:right="454"/>
              <w:spacing w:after="0"/>
              <w:rPr>
                <w:sz w:val="20"/>
                <w:szCs w:val="20"/>
                <w:color w:val="auto"/>
              </w:rPr>
            </w:pPr>
            <w:r>
              <w:rPr>
                <w:rFonts w:ascii="Arial" w:cs="Arial" w:eastAsia="Arial" w:hAnsi="Arial"/>
                <w:sz w:val="13"/>
                <w:szCs w:val="13"/>
                <w:b w:val="1"/>
                <w:bCs w:val="1"/>
                <w:color w:val="0A2299"/>
                <w:w w:val="96"/>
              </w:rPr>
              <w:t>Los Angeles, California</w:t>
            </w:r>
          </w:p>
        </w:tc>
        <w:tc>
          <w:tcPr>
            <w:tcW w:w="1720" w:type="dxa"/>
            <w:vAlign w:val="bottom"/>
            <w:vMerge w:val="restart"/>
          </w:tcPr>
          <w:p>
            <w:pPr>
              <w:jc w:val="center"/>
              <w:ind w:right="428"/>
              <w:spacing w:after="0" w:line="332" w:lineRule="exact"/>
              <w:rPr>
                <w:sz w:val="20"/>
                <w:szCs w:val="20"/>
                <w:color w:val="auto"/>
              </w:rPr>
            </w:pPr>
            <w:r>
              <w:rPr>
                <w:rFonts w:ascii="Arial" w:cs="Arial" w:eastAsia="Arial" w:hAnsi="Arial"/>
                <w:sz w:val="31"/>
                <w:szCs w:val="31"/>
                <w:b w:val="1"/>
                <w:bCs w:val="1"/>
                <w:color w:val="0A2299"/>
                <w:w w:val="99"/>
              </w:rPr>
              <w:t>30%</w:t>
            </w:r>
          </w:p>
        </w:tc>
        <w:tc>
          <w:tcPr>
            <w:tcW w:w="86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right w:val="single" w:sz="8" w:color="00497F"/>
            </w:tcBorders>
          </w:tcPr>
          <w:p>
            <w:pPr>
              <w:spacing w:after="0"/>
              <w:rPr>
                <w:sz w:val="13"/>
                <w:szCs w:val="13"/>
                <w:color w:val="auto"/>
              </w:rPr>
            </w:pPr>
          </w:p>
        </w:tc>
        <w:tc>
          <w:tcPr>
            <w:tcW w:w="2720" w:type="dxa"/>
            <w:vAlign w:val="bottom"/>
            <w:vMerge w:val="restart"/>
          </w:tcPr>
          <w:p>
            <w:pPr>
              <w:jc w:val="center"/>
              <w:ind w:right="474"/>
              <w:spacing w:after="0"/>
              <w:rPr>
                <w:sz w:val="20"/>
                <w:szCs w:val="20"/>
                <w:color w:val="auto"/>
              </w:rPr>
            </w:pPr>
            <w:r>
              <w:rPr>
                <w:rFonts w:ascii="Arial" w:cs="Arial" w:eastAsia="Arial" w:hAnsi="Arial"/>
                <w:sz w:val="13"/>
                <w:szCs w:val="13"/>
                <w:b w:val="1"/>
                <w:bCs w:val="1"/>
                <w:color w:val="0A2299"/>
                <w:w w:val="96"/>
              </w:rPr>
              <w:t>San Francisco, California</w:t>
            </w:r>
          </w:p>
        </w:tc>
        <w:tc>
          <w:tcPr>
            <w:tcW w:w="1720" w:type="dxa"/>
            <w:vAlign w:val="bottom"/>
            <w:vMerge w:val="continue"/>
          </w:tcPr>
          <w:p>
            <w:pPr>
              <w:spacing w:after="0"/>
              <w:rPr>
                <w:sz w:val="13"/>
                <w:szCs w:val="13"/>
                <w:color w:val="auto"/>
              </w:rPr>
            </w:pPr>
          </w:p>
        </w:tc>
        <w:tc>
          <w:tcPr>
            <w:tcW w:w="860" w:type="dxa"/>
            <w:vAlign w:val="bottom"/>
            <w:tcBorders>
              <w:left w:val="single" w:sz="8" w:color="00497F"/>
            </w:tcBorders>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5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right w:val="single" w:sz="8" w:color="00497F"/>
            </w:tcBorders>
          </w:tcPr>
          <w:p>
            <w:pPr>
              <w:spacing w:after="0"/>
              <w:rPr>
                <w:sz w:val="4"/>
                <w:szCs w:val="4"/>
                <w:color w:val="auto"/>
              </w:rPr>
            </w:pPr>
          </w:p>
        </w:tc>
        <w:tc>
          <w:tcPr>
            <w:tcW w:w="2720" w:type="dxa"/>
            <w:vAlign w:val="bottom"/>
            <w:vMerge w:val="continue"/>
          </w:tcPr>
          <w:p>
            <w:pPr>
              <w:spacing w:after="0"/>
              <w:rPr>
                <w:sz w:val="4"/>
                <w:szCs w:val="4"/>
                <w:color w:val="auto"/>
              </w:rPr>
            </w:pPr>
          </w:p>
        </w:tc>
        <w:tc>
          <w:tcPr>
            <w:tcW w:w="1720" w:type="dxa"/>
            <w:vAlign w:val="bottom"/>
          </w:tcPr>
          <w:p>
            <w:pPr>
              <w:spacing w:after="0"/>
              <w:rPr>
                <w:sz w:val="4"/>
                <w:szCs w:val="4"/>
                <w:color w:val="auto"/>
              </w:rPr>
            </w:pPr>
          </w:p>
        </w:tc>
        <w:tc>
          <w:tcPr>
            <w:tcW w:w="860" w:type="dxa"/>
            <w:vAlign w:val="bottom"/>
            <w:tcBorders>
              <w:left w:val="single" w:sz="8" w:color="00497F"/>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right w:val="single" w:sz="8" w:color="00497F"/>
            </w:tcBorders>
          </w:tcPr>
          <w:p>
            <w:pPr>
              <w:spacing w:after="0"/>
              <w:rPr>
                <w:sz w:val="18"/>
                <w:szCs w:val="18"/>
                <w:color w:val="auto"/>
              </w:rPr>
            </w:pPr>
          </w:p>
        </w:tc>
        <w:tc>
          <w:tcPr>
            <w:tcW w:w="2720" w:type="dxa"/>
            <w:vAlign w:val="bottom"/>
          </w:tcPr>
          <w:p>
            <w:pPr>
              <w:jc w:val="center"/>
              <w:ind w:right="454"/>
              <w:spacing w:after="0"/>
              <w:rPr>
                <w:sz w:val="20"/>
                <w:szCs w:val="20"/>
                <w:color w:val="auto"/>
              </w:rPr>
            </w:pPr>
            <w:r>
              <w:rPr>
                <w:rFonts w:ascii="Arial" w:cs="Arial" w:eastAsia="Arial" w:hAnsi="Arial"/>
                <w:sz w:val="13"/>
                <w:szCs w:val="13"/>
                <w:b w:val="1"/>
                <w:bCs w:val="1"/>
                <w:color w:val="0A2299"/>
                <w:w w:val="96"/>
              </w:rPr>
              <w:t>Seattle, Washington</w:t>
            </w:r>
          </w:p>
        </w:tc>
        <w:tc>
          <w:tcPr>
            <w:tcW w:w="1720" w:type="dxa"/>
            <w:vAlign w:val="bottom"/>
          </w:tcPr>
          <w:p>
            <w:pPr>
              <w:spacing w:after="0"/>
              <w:rPr>
                <w:sz w:val="18"/>
                <w:szCs w:val="18"/>
                <w:color w:val="auto"/>
              </w:rPr>
            </w:pPr>
          </w:p>
        </w:tc>
        <w:tc>
          <w:tcPr>
            <w:tcW w:w="860" w:type="dxa"/>
            <w:vAlign w:val="bottom"/>
            <w:tcBorders>
              <w:left w:val="single" w:sz="8" w:color="00497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right w:val="single" w:sz="8" w:color="00497F"/>
            </w:tcBorders>
          </w:tcPr>
          <w:p>
            <w:pPr>
              <w:spacing w:after="0"/>
              <w:rPr>
                <w:sz w:val="20"/>
                <w:szCs w:val="20"/>
                <w:color w:val="auto"/>
              </w:rPr>
            </w:pPr>
          </w:p>
        </w:tc>
        <w:tc>
          <w:tcPr>
            <w:tcW w:w="2720" w:type="dxa"/>
            <w:vAlign w:val="bottom"/>
          </w:tcPr>
          <w:p>
            <w:pPr>
              <w:jc w:val="center"/>
              <w:ind w:right="474"/>
              <w:spacing w:after="0"/>
              <w:rPr>
                <w:sz w:val="20"/>
                <w:szCs w:val="20"/>
                <w:color w:val="auto"/>
              </w:rPr>
            </w:pPr>
            <w:r>
              <w:rPr>
                <w:rFonts w:ascii="Arial" w:cs="Arial" w:eastAsia="Arial" w:hAnsi="Arial"/>
                <w:sz w:val="13"/>
                <w:szCs w:val="13"/>
                <w:b w:val="1"/>
                <w:bCs w:val="1"/>
                <w:color w:val="0A2299"/>
                <w:w w:val="96"/>
              </w:rPr>
              <w:t>Las Vegas, Nevada</w:t>
            </w:r>
          </w:p>
        </w:tc>
        <w:tc>
          <w:tcPr>
            <w:tcW w:w="1720" w:type="dxa"/>
            <w:vAlign w:val="bottom"/>
          </w:tcPr>
          <w:p>
            <w:pPr>
              <w:jc w:val="center"/>
              <w:ind w:right="428"/>
              <w:spacing w:after="0"/>
              <w:rPr>
                <w:sz w:val="20"/>
                <w:szCs w:val="20"/>
                <w:color w:val="auto"/>
              </w:rPr>
            </w:pPr>
            <w:r>
              <w:rPr>
                <w:rFonts w:ascii="Arial" w:cs="Arial" w:eastAsia="Arial" w:hAnsi="Arial"/>
                <w:sz w:val="14"/>
                <w:szCs w:val="14"/>
                <w:b w:val="1"/>
                <w:bCs w:val="1"/>
                <w:color w:val="0A2299"/>
              </w:rPr>
              <w:t>of Departures</w:t>
            </w:r>
          </w:p>
        </w:tc>
        <w:tc>
          <w:tcPr>
            <w:tcW w:w="860" w:type="dxa"/>
            <w:vAlign w:val="bottom"/>
            <w:tcBorders>
              <w:left w:val="single" w:sz="8" w:color="00497F"/>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right w:val="single" w:sz="8" w:color="00497F"/>
            </w:tcBorders>
          </w:tcPr>
          <w:p>
            <w:pPr>
              <w:spacing w:after="0"/>
              <w:rPr>
                <w:sz w:val="15"/>
                <w:szCs w:val="15"/>
                <w:color w:val="auto"/>
              </w:rPr>
            </w:pPr>
          </w:p>
        </w:tc>
        <w:tc>
          <w:tcPr>
            <w:tcW w:w="2720" w:type="dxa"/>
            <w:vAlign w:val="bottom"/>
            <w:tcBorders>
              <w:bottom w:val="single" w:sz="8" w:color="00497F"/>
            </w:tcBorders>
          </w:tcPr>
          <w:p>
            <w:pPr>
              <w:jc w:val="center"/>
              <w:ind w:right="474"/>
              <w:spacing w:after="0"/>
              <w:rPr>
                <w:sz w:val="20"/>
                <w:szCs w:val="20"/>
                <w:color w:val="auto"/>
              </w:rPr>
            </w:pPr>
            <w:r>
              <w:rPr>
                <w:rFonts w:ascii="Arial" w:cs="Arial" w:eastAsia="Arial" w:hAnsi="Arial"/>
                <w:sz w:val="13"/>
                <w:szCs w:val="13"/>
                <w:b w:val="1"/>
                <w:bCs w:val="1"/>
                <w:color w:val="0A2299"/>
                <w:w w:val="97"/>
              </w:rPr>
              <w:t>Anchorage, Alaska</w:t>
            </w:r>
          </w:p>
        </w:tc>
        <w:tc>
          <w:tcPr>
            <w:tcW w:w="1720" w:type="dxa"/>
            <w:vAlign w:val="bottom"/>
            <w:tcBorders>
              <w:bottom w:val="single" w:sz="8" w:color="00497F"/>
            </w:tcBorders>
          </w:tcPr>
          <w:p>
            <w:pPr>
              <w:spacing w:after="0"/>
              <w:rPr>
                <w:sz w:val="15"/>
                <w:szCs w:val="15"/>
                <w:color w:val="auto"/>
              </w:rPr>
            </w:pPr>
          </w:p>
        </w:tc>
        <w:tc>
          <w:tcPr>
            <w:tcW w:w="860" w:type="dxa"/>
            <w:vAlign w:val="bottom"/>
            <w:tcBorders>
              <w:left w:val="single" w:sz="8" w:color="00497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-1748155</wp:posOffset>
            </wp:positionV>
            <wp:extent cx="2734310" cy="257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343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Charter</w:t>
      </w:r>
      <w:r>
        <w:rPr>
          <w:rFonts w:ascii="Arial" w:cs="Arial" w:eastAsia="Arial" w:hAnsi="Arial"/>
          <w:sz w:val="18"/>
          <w:szCs w:val="18"/>
          <w:color w:val="auto"/>
        </w:rPr>
        <w:t>.  Our Charter business, which is one of the largest narrow body Charter operations in the United States, is a key component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strategy both because it provides inherent diversification and downside demand protection, and because it is synergistic with our other businesses. This allows for the most profitable use of the aircraft, either Scheduled Service or Charter, to be selected at any point in time. Our Charter business has several favorable characteristics, including large repeat customers, and the ability to pass through certain costs, including fuel. Our air carrier operating certificate, labor agreements and operating capabilities allow us to fly to numerous destinations, which we believe is a benefit to our Charter Service.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Charter business includes ad hoc, repeat, short-term and long-term service contracts with pass-through fuel arrangements and annual rate escalations. Our diverse Charter customer base includes, but is not limited to casino operators, the DoD, and collegiate and professional sports teams. In October 2021, we signed a five-year agreement to provide Charter Service to all MLS teams. MLS features 29 clubs throughout the United States and Canada, in addition to future expansion teams. We are a leading charter airline for collegiate sports including the NCAA Championships, as well as individual team travel. In March 2022, we began to provide Charter Service to Caesars Entertainment, Inc. This agreement restarted a relationship between the two organizations that had previously ended in 2020. Most of these contracts are non-cyclical because the DoD and sports teams still fly during normal economic downturns, and our casino contracts are long-term in nature. We also operate regularly scheduled VIP Charter Services to certain specified locations with continuous service and an aircraft outfitted with an all first-class configuration. For the years ended December 31, 2023 and 2022, Charter block hours under long-term contracts comprised 80% and 76% of the total Charter flying performed, respectively.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b w:val="1"/>
          <w:bCs w:val="1"/>
          <w:color w:val="auto"/>
        </w:rPr>
        <w:t>.</w:t>
      </w:r>
      <w:r>
        <w:rPr>
          <w:rFonts w:ascii="Arial" w:cs="Arial" w:eastAsia="Arial" w:hAnsi="Arial"/>
          <w:sz w:val="18"/>
          <w:szCs w:val="18"/>
          <w:color w:val="auto"/>
        </w:rPr>
        <w:t xml:space="preserve">  We are flying 12 Boeing 737-800 cargo aircraft for Amazon. Our Cargo service, as performed under the ATSA, serves destinations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Amazon’s network.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 To the extent we can optimize flight crew on cargo aircraft with overlapping Scheduled or Charter Service, we attempt to capture those synergies as well, though they are not core to that line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business. However, like the Charter and Scheduled Service business, aircraft and crew utilization can be optimized by filling in Cargo service in periods when Scheduled Service and Charter flying is less profitable.</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CMI service is asset-light,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cash flows, including during the COVID-19 induced downturn, and provides for annual rate escalations. The ATSA offers potential future growth opportunities by establishing a long-term partnership with Amazon.</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ATSA is a six-year contract and includes two, two-year extensions, providing for a total term of ten years if both extension options are exercised. The option to renew the ATSA for two additional two-year terms is at Amazon’s sole discretion, subject to Amazon providing Sun Country with at least 180 days’ prior written notice before the expiration of the then-current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airline industry is highly competitive. The principal competitive factors in the airline industry are ticket prices, flight schedules, aircraft type, passenger amenities, customer service, reputation and loyalty programs. We have different competitive sets in our Scheduled Service business, Charter business and Cargo business.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Hawaiian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principal competitors for our Cargo business include ATSG, Atlas Air, and Hawaiian Airlines. Our on-time arrival performance for our Cargo business since starting operations in May 2020, together with our operational capabilities, give us a stable position with our customer, Amazon.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principal competitive advantages include our: diversified and resilient business model, agile peak demand scheduling strategy, tactical mid-life fleet with flexible operations, superior low-cost product and brand, competitive low-cost structure, strong position in our profitable MSP home market and our seasoned management team. We also believe the association of our brand with a high level of operational performance differentiates us from our competitors and enables us to generate greater customer loyalty.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majority of our competitors maintain higher utilization to keep their unit costs low, which makes it difficult for them to serve markets on a highly seasonal or day-of-week basis. 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“Risk Factors - Risks Related to Our Industry - The airline industry is exceedingly competitive, and we compete against new</w:t>
      </w:r>
      <w:r>
        <w:rPr>
          <w:rFonts w:ascii="Arial" w:cs="Arial" w:eastAsia="Arial" w:hAnsi="Arial"/>
          <w:sz w:val="18"/>
          <w:szCs w:val="18"/>
          <w:color w:val="auto"/>
        </w:rPr>
        <w:t xml:space="preserve"> </w:t>
      </w:r>
      <w:r>
        <w:rPr>
          <w:rFonts w:ascii="Arial" w:cs="Arial" w:eastAsia="Arial" w:hAnsi="Arial"/>
          <w:sz w:val="18"/>
          <w:szCs w:val="18"/>
          <w:i w:val="1"/>
          <w:iCs w:val="1"/>
          <w:color w:val="auto"/>
        </w:rPr>
        <w:t>entrants, LCCs, ULCCs, legacy network airlines and cargo carriers; if we are not able to compete successfully in our markets, our business will be materially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airline industry has significant seasonal fluctuation in demand. Our network strategy is designed to take advantage of the seasonal nature of the leisure customer's needs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Cargo operations will have the effect of mitigating seasonal troughs. For example, when our scheduled flying demand is lower during the fall and early December, our Cargo service remains consistent and grows until Christmas.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sell our Scheduled Service flights through direct and indirect distribution channels with the goal of selling in the most efficient way across our customer base. Our direct distribution channels include our website and call center, and indirect distribution channels include third parties, such as travel agents and OTAs (e.g., Priceline and websites owned by Expedia, including Orbitz and Travelocity).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direct distribution channels are our lowest cost methods of distributing our product. In addition, they provide more opportunities to sell ancillary products and services, such as baggage fees, seat selection and upgrade fees, priority check-in and boarding fees, and other fees. With our </w:t>
      </w:r>
      <w:r>
        <w:rPr>
          <w:rFonts w:ascii="Arial" w:cs="Arial" w:eastAsia="Arial" w:hAnsi="Arial"/>
          <w:sz w:val="18"/>
          <w:szCs w:val="18"/>
          <w:i w:val="1"/>
          <w:iCs w:val="1"/>
          <w:color w:val="auto"/>
        </w:rPr>
        <w:t>Navitaire</w:t>
      </w:r>
      <w:r>
        <w:rPr>
          <w:rFonts w:ascii="Arial" w:cs="Arial" w:eastAsia="Arial" w:hAnsi="Arial"/>
          <w:sz w:val="18"/>
          <w:szCs w:val="18"/>
          <w:color w:val="auto"/>
        </w:rPr>
        <w:t>-based reservation system and enhanced website, we have experienced a significant increase in the proportion of our bookings that are sold through direct channels. Sales through direct channels for the years ended December 31, 2023 and 2022 were 78% and 73%, respectively.</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these relatively higher cost indirect channels for the years ended December 31, 2023 and 2022 were 22% and 27%, respectively.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While our CMI service is presently dedicated to Amazon and governed by the ATSA, we may expand our Cargo business by marketing to new potential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marketing tools are our proprietary email distribution list consisting of over two million email addresses, our Sun Country Rewards program, as well as advertisements online, on television, radio, digital billboards and other channels. Our objective is to use our low prices, quality customer service, and differentiated in-flight product to stimulate demand and drive customer loyalty.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Sun Country Rewards loyalty program rewards and encourages Scheduled Service customer loyalty and we believe it is well tailored to serving the leisure passenger. Points earned are treated like currency and can be applied towards the purchase price of all or a portion of our air travel tickets. This makes our program more valuable to leisure customers who travel less frequently and would have difficultly accumulating enough points to get discounted travel on other airlines. The Sun Country Airlines co-branded credit card is the primary vehicle for our customers to earn points and our loyalty program is geared specifically towards supporting adoption and continued use of the credit card. Sun Country Rewards offers award travel on every flight without blackout dates. Points expire 36 months after the date they were earned, except those points held by Sun Country co-branded cardholders do not expire so long as the holder maintains the card as active. Rewards are not available to Charter or Cargo customers.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Performance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Our primary operational metric is completion factor because most of our markets are operated less than daily. Our Scheduled Service completion factor, including the adverse impact of weather, was 99.0% and 98.8% for the years ended December 31, 2023 and 2022,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Fuel</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Aircraft fuel is one of our largest individual expenses, representing approximately 27% and 32% of our total operating costs for the years ended December 31, 2023 and 2022, respectively. The price and availability of jet fuel are volatile due to global economic and geopolitical factors as well as domestic and local supply factors. Our historical fuel consumption and costs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(in thousands)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71,690</w:t>
            </w:r>
          </w:p>
        </w:tc>
      </w:tr>
      <w:tr>
        <w:trPr>
          <w:trHeight w:val="239"/>
        </w:trPr>
        <w:tc>
          <w:tcPr>
            <w:tcW w:w="8140" w:type="dxa"/>
            <w:vAlign w:val="bottom"/>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w:t>
            </w: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Gallons consumed includes Scheduled Service and Charter operations where we are responsible for fuel and are later reimbursed by the customer, but does not include Cargo. In general, our charter operations and the ATSA have pass-through provisions for fuel costs. Under our charter agreements, we are either responsible for arranging for fuel on behalf of the customer (agent), or we are directly responsible for providing fuel (principal). The fuel costs under both charter arrangements are reimbursed by the customer. When we are acting as an agent for the Customer, reimbursable fuel costs are recorded net of the revenue recognized. For those reasons, they are not included in the measure above. In charter arrangements where we are the principal, the reimbursed fuel costs are recognized as revenue and the fuel costs are recognized with Aircraft Fuel Expense on the Statement of Operations. These amounts are reflected in the measure above.</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Average price per gallon includes related fuel fees and taxes, as well as indirect fuel credits that are recognized within Aircraft Fuel expense, but are not directly related to our Fuel Cost per Gallon.</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low-cost business model demands that we consistently look for ways to reduce the amount of jet fuel we consume. These jet fuel reduction initiatives include:</w:t>
      </w:r>
    </w:p>
    <w:p>
      <w:pPr>
        <w:spacing w:after="0" w:line="15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Efficient seating - </w:t>
      </w:r>
      <w:r>
        <w:rPr>
          <w:rFonts w:ascii="Arial" w:cs="Arial" w:eastAsia="Arial" w:hAnsi="Arial"/>
          <w:sz w:val="18"/>
          <w:szCs w:val="18"/>
          <w:color w:val="auto"/>
        </w:rPr>
        <w:t>we optimize the number of seats on our plane, making each flight as fuel efficient as possible.</w:t>
      </w:r>
    </w:p>
    <w:p>
      <w:pPr>
        <w:spacing w:after="0" w:line="225" w:lineRule="exact"/>
        <w:rPr>
          <w:rFonts w:ascii="Arial" w:cs="Arial" w:eastAsia="Arial" w:hAnsi="Arial"/>
          <w:sz w:val="18"/>
          <w:szCs w:val="18"/>
          <w:i w:val="1"/>
          <w:iCs w:val="1"/>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Focus on demand </w:t>
      </w:r>
      <w:r>
        <w:rPr>
          <w:rFonts w:ascii="Arial" w:cs="Arial" w:eastAsia="Arial" w:hAnsi="Arial"/>
          <w:sz w:val="18"/>
          <w:szCs w:val="18"/>
          <w:color w:val="auto"/>
        </w:rPr>
        <w:t>- we understand our customers travel needs and patterns. We conserve fuel by limiting ferry flights and flying</w:t>
      </w:r>
      <w:r>
        <w:rPr>
          <w:rFonts w:ascii="Arial" w:cs="Arial" w:eastAsia="Arial" w:hAnsi="Arial"/>
          <w:sz w:val="18"/>
          <w:szCs w:val="18"/>
          <w:i w:val="1"/>
          <w:iCs w:val="1"/>
          <w:color w:val="auto"/>
        </w:rPr>
        <w:t xml:space="preserve"> </w:t>
      </w:r>
      <w:r>
        <w:rPr>
          <w:rFonts w:ascii="Arial" w:cs="Arial" w:eastAsia="Arial" w:hAnsi="Arial"/>
          <w:sz w:val="18"/>
          <w:szCs w:val="18"/>
          <w:color w:val="auto"/>
        </w:rPr>
        <w:t>when and where demand exists.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On-the-ground tactics </w:t>
      </w:r>
      <w:r>
        <w:rPr>
          <w:rFonts w:ascii="Arial" w:cs="Arial" w:eastAsia="Arial" w:hAnsi="Arial"/>
          <w:sz w:val="18"/>
          <w:szCs w:val="18"/>
          <w:color w:val="auto"/>
        </w:rPr>
        <w:t>- our commitment to fuel efficiency includes tactical on-ground procedures, such as only using one engine to</w:t>
      </w:r>
      <w:r>
        <w:rPr>
          <w:rFonts w:ascii="Arial" w:cs="Arial" w:eastAsia="Arial" w:hAnsi="Arial"/>
          <w:sz w:val="18"/>
          <w:szCs w:val="18"/>
          <w:i w:val="1"/>
          <w:iCs w:val="1"/>
          <w:color w:val="auto"/>
        </w:rPr>
        <w:t xml:space="preserve"> </w:t>
      </w:r>
      <w:r>
        <w:rPr>
          <w:rFonts w:ascii="Arial" w:cs="Arial" w:eastAsia="Arial" w:hAnsi="Arial"/>
          <w:sz w:val="18"/>
          <w:szCs w:val="18"/>
          <w:color w:val="auto"/>
        </w:rPr>
        <w:t>taxi around the airport, which allows us to reduce fuel consumption.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Work performed is divided into three general categories: line maintenance, heavy maintenance, and component maintenance.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Line maintenance work is handled by our employees and maintenance contractors and consists of work performed between flights or overnight. Performing effective line maintenance is critical in maintaining a reliable operation and represents the majority of and most extensive maintenance we perform. Line maintenance consists of routine daily and weekly scheduled maintenance checks and unplanned maintenance on our aircraft. We maintain Sun Country technicians in Minneapolis, with limited line maintenance capabilities in Gulfport, Mississippi, Dallas-Fort Worth/Alliance Fort Worth, Texas, Lakeland Linder Airport, Florida, and Laughlin/Bullhead International Airport, Arizona. All other line maintenance is provided by third-party maintenance contractors as needed.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cargo aircraft, heavy maintenance is a pass-through expense to our customer, Amazon.</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we had 2,783 employees.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Technicians,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2023, approximately 65% of our employees were represented by labor unions under collective-bargaining agreements as set forth in the table below. AMFA organized our technicians in 2022 and negotiations for an initial collective bargaining agreement with our technicians and related craft employees began in October of 2022 and negotiations are ongoing with the assistance of a federal mediator appointed by the NMB. IBT organized our below-the-wing employees in 2023 and negotiations began in March of 2023 and are ongoing. Our collective bargaining agreement with our pilots is amendable on December 21, 2025. Our collective bargaining agreement with our flight attendants became amendable on December 31, 2019. We entered into negotiations in November 2019. Negotiations were paused by mutual consent in March 2020 due to the COVID-19 pandemic. We restarted negotiations with our flight attendants in October of 2021 and in July of 2023, we and IBT jointly requested the appointment of a mediator through the NMB. The NMB has appointed a mediator, and the parties began mediated negotiations in December of 2023 and are ongoing. Our dispatchers ratified a new collective bargaining agreement in December 2019, which is amendable on November 30, 2024.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status of the collective-bargaining agreements for our employees was as follows:</w:t>
      </w:r>
    </w:p>
    <w:p>
      <w:pPr>
        <w:spacing w:after="0" w:line="25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Employee Group</w:t>
            </w:r>
          </w:p>
        </w:tc>
        <w:tc>
          <w:tcPr>
            <w:tcW w:w="1860" w:type="dxa"/>
            <w:vAlign w:val="bottom"/>
          </w:tcPr>
          <w:p>
            <w:pPr>
              <w:ind w:left="860"/>
              <w:spacing w:after="0"/>
              <w:rPr>
                <w:sz w:val="20"/>
                <w:szCs w:val="20"/>
                <w:color w:val="auto"/>
              </w:rPr>
            </w:pPr>
            <w:r>
              <w:rPr>
                <w:rFonts w:ascii="Arial" w:cs="Arial" w:eastAsia="Arial" w:hAnsi="Arial"/>
                <w:sz w:val="14"/>
                <w:szCs w:val="14"/>
                <w:b w:val="1"/>
                <w:bCs w:val="1"/>
                <w:color w:val="auto"/>
              </w:rPr>
              <w:t>Number of</w:t>
            </w:r>
          </w:p>
        </w:tc>
        <w:tc>
          <w:tcPr>
            <w:tcW w:w="20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Representative</w:t>
            </w:r>
          </w:p>
        </w:tc>
        <w:tc>
          <w:tcPr>
            <w:tcW w:w="2700" w:type="dxa"/>
            <w:vAlign w:val="bottom"/>
          </w:tcPr>
          <w:p>
            <w:pPr>
              <w:jc w:val="center"/>
              <w:ind w:left="648"/>
              <w:spacing w:after="0"/>
              <w:rPr>
                <w:sz w:val="20"/>
                <w:szCs w:val="20"/>
                <w:color w:val="auto"/>
              </w:rPr>
            </w:pPr>
            <w:r>
              <w:rPr>
                <w:rFonts w:ascii="Arial" w:cs="Arial" w:eastAsia="Arial" w:hAnsi="Arial"/>
                <w:sz w:val="14"/>
                <w:szCs w:val="14"/>
                <w:b w:val="1"/>
                <w:bCs w:val="1"/>
                <w:color w:val="auto"/>
              </w:rPr>
              <w:t>Status of</w:t>
            </w:r>
          </w:p>
        </w:tc>
        <w:tc>
          <w:tcPr>
            <w:tcW w:w="0" w:type="dxa"/>
            <w:vAlign w:val="bottom"/>
          </w:tcPr>
          <w:p>
            <w:pPr>
              <w:spacing w:after="0"/>
              <w:rPr>
                <w:sz w:val="1"/>
                <w:szCs w:val="1"/>
                <w:color w:val="auto"/>
              </w:rPr>
            </w:pPr>
          </w:p>
        </w:tc>
      </w:tr>
      <w:tr>
        <w:trPr>
          <w:trHeight w:val="196"/>
        </w:trPr>
        <w:tc>
          <w:tcPr>
            <w:tcW w:w="2000" w:type="dxa"/>
            <w:vAlign w:val="bottom"/>
            <w:vMerge w:val="continue"/>
          </w:tcPr>
          <w:p>
            <w:pPr>
              <w:spacing w:after="0"/>
              <w:rPr>
                <w:sz w:val="17"/>
                <w:szCs w:val="17"/>
                <w:color w:val="auto"/>
              </w:rPr>
            </w:pPr>
          </w:p>
        </w:tc>
        <w:tc>
          <w:tcPr>
            <w:tcW w:w="1860" w:type="dxa"/>
            <w:vAlign w:val="bottom"/>
          </w:tcPr>
          <w:p>
            <w:pPr>
              <w:ind w:left="840"/>
              <w:spacing w:after="0"/>
              <w:rPr>
                <w:sz w:val="20"/>
                <w:szCs w:val="20"/>
                <w:color w:val="auto"/>
              </w:rPr>
            </w:pPr>
            <w:r>
              <w:rPr>
                <w:rFonts w:ascii="Arial" w:cs="Arial" w:eastAsia="Arial" w:hAnsi="Arial"/>
                <w:sz w:val="14"/>
                <w:szCs w:val="14"/>
                <w:b w:val="1"/>
                <w:bCs w:val="1"/>
                <w:color w:val="auto"/>
              </w:rPr>
              <w:t>Employees</w:t>
            </w:r>
          </w:p>
        </w:tc>
        <w:tc>
          <w:tcPr>
            <w:tcW w:w="2080" w:type="dxa"/>
            <w:vAlign w:val="bottom"/>
            <w:vMerge w:val="continue"/>
          </w:tcPr>
          <w:p>
            <w:pPr>
              <w:spacing w:after="0"/>
              <w:rPr>
                <w:sz w:val="17"/>
                <w:szCs w:val="17"/>
                <w:color w:val="auto"/>
              </w:rPr>
            </w:pPr>
          </w:p>
        </w:tc>
        <w:tc>
          <w:tcPr>
            <w:tcW w:w="2700" w:type="dxa"/>
            <w:vAlign w:val="bottom"/>
          </w:tcPr>
          <w:p>
            <w:pPr>
              <w:jc w:val="center"/>
              <w:ind w:left="708"/>
              <w:spacing w:after="0"/>
              <w:rPr>
                <w:sz w:val="20"/>
                <w:szCs w:val="20"/>
                <w:color w:val="auto"/>
              </w:rPr>
            </w:pPr>
            <w:r>
              <w:rPr>
                <w:rFonts w:ascii="Arial" w:cs="Arial" w:eastAsia="Arial" w:hAnsi="Arial"/>
                <w:sz w:val="14"/>
                <w:szCs w:val="14"/>
                <w:b w:val="1"/>
                <w:bCs w:val="1"/>
                <w:color w:val="auto"/>
              </w:rPr>
              <w:t>Agreement/Amendable 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840" w:type="dxa"/>
            <w:vAlign w:val="bottom"/>
          </w:tcPr>
          <w:p>
            <w:pPr>
              <w:spacing w:after="0"/>
              <w:rPr>
                <w:sz w:val="20"/>
                <w:szCs w:val="20"/>
                <w:color w:val="auto"/>
              </w:rPr>
            </w:pPr>
            <w:r>
              <w:rPr>
                <w:rFonts w:ascii="Arial" w:cs="Arial" w:eastAsia="Arial" w:hAnsi="Arial"/>
                <w:sz w:val="18"/>
                <w:szCs w:val="18"/>
                <w:color w:val="auto"/>
              </w:rPr>
              <w:t>Pilots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616</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5"/>
              </w:rPr>
              <w:t>ALPA</w:t>
            </w:r>
          </w:p>
        </w:tc>
      </w:tr>
      <w:tr>
        <w:trPr>
          <w:trHeight w:val="338"/>
        </w:trPr>
        <w:tc>
          <w:tcPr>
            <w:tcW w:w="3840" w:type="dxa"/>
            <w:vAlign w:val="bottom"/>
          </w:tcPr>
          <w:p>
            <w:pPr>
              <w:spacing w:after="0"/>
              <w:rPr>
                <w:sz w:val="20"/>
                <w:szCs w:val="20"/>
                <w:color w:val="auto"/>
              </w:rPr>
            </w:pPr>
            <w:r>
              <w:rPr>
                <w:rFonts w:ascii="Arial" w:cs="Arial" w:eastAsia="Arial" w:hAnsi="Arial"/>
                <w:sz w:val="18"/>
                <w:szCs w:val="18"/>
                <w:color w:val="auto"/>
              </w:rPr>
              <w:t>Flight Attendants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675</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9"/>
              </w:rPr>
              <w:t>IBT</w:t>
            </w:r>
          </w:p>
        </w:tc>
      </w:tr>
      <w:tr>
        <w:trPr>
          <w:trHeight w:val="338"/>
        </w:trPr>
        <w:tc>
          <w:tcPr>
            <w:tcW w:w="3840" w:type="dxa"/>
            <w:vAlign w:val="bottom"/>
          </w:tcPr>
          <w:p>
            <w:pPr>
              <w:spacing w:after="0"/>
              <w:rPr>
                <w:sz w:val="20"/>
                <w:szCs w:val="20"/>
                <w:color w:val="auto"/>
              </w:rPr>
            </w:pPr>
            <w:r>
              <w:rPr>
                <w:rFonts w:ascii="Arial" w:cs="Arial" w:eastAsia="Arial" w:hAnsi="Arial"/>
                <w:sz w:val="18"/>
                <w:szCs w:val="18"/>
                <w:color w:val="auto"/>
              </w:rPr>
              <w:t>Dispatchers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7"/>
              </w:rPr>
              <w:t>TWU</w:t>
            </w:r>
          </w:p>
        </w:tc>
      </w:tr>
      <w:tr>
        <w:trPr>
          <w:trHeight w:val="256"/>
        </w:trPr>
        <w:tc>
          <w:tcPr>
            <w:tcW w:w="3840" w:type="dxa"/>
            <w:vAlign w:val="bottom"/>
          </w:tcPr>
          <w:p>
            <w:pPr>
              <w:spacing w:after="0"/>
              <w:rPr>
                <w:sz w:val="20"/>
                <w:szCs w:val="20"/>
                <w:color w:val="auto"/>
              </w:rPr>
            </w:pPr>
            <w:r>
              <w:rPr>
                <w:rFonts w:ascii="Arial" w:cs="Arial" w:eastAsia="Arial" w:hAnsi="Arial"/>
                <w:sz w:val="18"/>
                <w:szCs w:val="18"/>
                <w:color w:val="auto"/>
              </w:rPr>
              <w:t>Technicians and related craft employees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206</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5"/>
              </w:rPr>
              <w:t>AMFA</w:t>
            </w:r>
          </w:p>
        </w:tc>
      </w:tr>
      <w:tr>
        <w:trPr>
          <w:trHeight w:val="257"/>
        </w:trPr>
        <w:tc>
          <w:tcPr>
            <w:tcW w:w="3840" w:type="dxa"/>
            <w:vAlign w:val="bottom"/>
          </w:tcPr>
          <w:p>
            <w:pPr>
              <w:spacing w:after="0"/>
              <w:rPr>
                <w:sz w:val="20"/>
                <w:szCs w:val="20"/>
                <w:color w:val="auto"/>
              </w:rPr>
            </w:pPr>
            <w:r>
              <w:rPr>
                <w:rFonts w:ascii="Arial" w:cs="Arial" w:eastAsia="Arial" w:hAnsi="Arial"/>
                <w:sz w:val="18"/>
                <w:szCs w:val="18"/>
                <w:color w:val="auto"/>
              </w:rPr>
              <w:t>Below the Wing Fleet Service Employees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273</w:t>
            </w:r>
          </w:p>
        </w:tc>
        <w:tc>
          <w:tcPr>
            <w:tcW w:w="1000" w:type="dxa"/>
            <w:vAlign w:val="bottom"/>
          </w:tcPr>
          <w:p>
            <w:pPr>
              <w:jc w:val="center"/>
              <w:ind w:left="430"/>
              <w:spacing w:after="0"/>
              <w:rPr>
                <w:sz w:val="20"/>
                <w:szCs w:val="20"/>
                <w:color w:val="auto"/>
              </w:rPr>
            </w:pPr>
            <w:r>
              <w:rPr>
                <w:rFonts w:ascii="Arial" w:cs="Arial" w:eastAsia="Arial" w:hAnsi="Arial"/>
                <w:sz w:val="18"/>
                <w:szCs w:val="18"/>
                <w:color w:val="auto"/>
                <w:w w:val="99"/>
              </w:rPr>
              <w:t>IBT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Amendable in December 2025</w:t>
      </w:r>
    </w:p>
    <w:p>
      <w:pPr>
        <w:spacing w:after="0" w:line="36"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Currently amendable (commenced as of December 2019)</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Amendable in November 2024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Contract in negotiations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Contract in negotiations</w:t>
      </w:r>
    </w:p>
    <w:p>
      <w:pPr>
        <w:spacing w:after="0" w:line="231" w:lineRule="exact"/>
        <w:rPr>
          <w:sz w:val="20"/>
          <w:szCs w:val="20"/>
          <w:color w:val="auto"/>
        </w:rPr>
      </w:pPr>
    </w:p>
    <w:p>
      <w:pPr>
        <w:sectPr>
          <w:pgSz w:w="11900" w:h="16838" w:orient="portrait"/>
          <w:cols w:equalWidth="0" w:num="2">
            <w:col w:w="6220" w:space="580"/>
            <w:col w:w="4440"/>
          </w:cols>
          <w:pgMar w:left="320" w:top="270" w:right="339" w:bottom="1440" w:gutter="0" w:footer="0" w:header="0"/>
          <w:type w:val="continuous"/>
        </w:sectPr>
      </w:pP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Security</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Sun Country Airlines’ number one priority is the safety and security of our employees and customers. Our expectation is to operate at the highest level of safety compliance and our actions are guided by our procedures and policies without exception.</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Training employees to proper standards and providing them with the tools and equipment required to perform their jobs in a safe and efficient manner is essential to our operation. We seek employee feedback by conducting annual safety culture surveys. This feedback helps identify areas of improvement and is used to develop and implement corrective action plans.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Sun Country Airlines learns from industry best practices by participation in collaborative inter-airline safety sharing programs and the FAA Aviation Safety Information Analysis and Sharing System, a central conduit for the exchange of industry safety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Sun Country’s leadership is committed to promoting safety and security through program investments including:</w:t>
      </w:r>
    </w:p>
    <w:p>
      <w:pPr>
        <w:spacing w:after="0" w:line="306" w:lineRule="exact"/>
        <w:rPr>
          <w:sz w:val="20"/>
          <w:szCs w:val="20"/>
          <w:color w:val="auto"/>
        </w:rPr>
      </w:pPr>
    </w:p>
    <w:p>
      <w:pPr>
        <w:ind w:left="660" w:hanging="328"/>
        <w:spacing w:after="0" w:line="28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Flight Operations Quality Assurance, a structured program to gather and aggregate electronically recorded flight operations data for the purpose of identifying areas where safety, efficiency and training can be improved.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in new state of the art training devices, such as a new simulator to enhance pilot training.</w:t>
      </w:r>
    </w:p>
    <w:p>
      <w:pPr>
        <w:spacing w:after="0" w:line="63" w:lineRule="exact"/>
        <w:rPr>
          <w:rFonts w:ascii="Arial" w:cs="Arial" w:eastAsia="Arial" w:hAnsi="Arial"/>
          <w:sz w:val="18"/>
          <w:szCs w:val="18"/>
          <w:color w:val="auto"/>
        </w:rPr>
      </w:pPr>
    </w:p>
    <w:p>
      <w:pPr>
        <w:ind w:left="660" w:right="20" w:hanging="328"/>
        <w:spacing w:after="0" w:line="28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Safte-Fast Solutions, a software that uses a bio-mathematical model for fatigue assessment, is used for predicting and proactively mitigating fatigue in pilot trips and schedules.</w:t>
      </w:r>
    </w:p>
    <w:p>
      <w:pPr>
        <w:spacing w:after="0" w:line="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ProSafeT, a safety management system platform that enables anonymous reporting of safety concerns by employees and business partners, promotes active participation in identification, reduction,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line="281" w:lineRule="auto"/>
        <w:rPr>
          <w:sz w:val="20"/>
          <w:szCs w:val="20"/>
          <w:color w:val="auto"/>
        </w:rPr>
      </w:pPr>
      <w:r>
        <w:rPr>
          <w:rFonts w:ascii="Arial" w:cs="Arial" w:eastAsia="Arial" w:hAnsi="Arial"/>
          <w:sz w:val="18"/>
          <w:szCs w:val="18"/>
          <w:color w:val="auto"/>
        </w:rPr>
        <w:t>elimination of hazards, and serves as our central repository for tracking all safety assurance information, and safety risk mitigation activities.</w:t>
      </w:r>
    </w:p>
    <w:p>
      <w:pPr>
        <w:spacing w:after="0" w:line="1" w:lineRule="exact"/>
        <w:rPr>
          <w:sz w:val="20"/>
          <w:szCs w:val="20"/>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ASAP, a partnership with the FAA and our labor unions to promote reporting of safety concerns by eliminating the fear of FAA enforcement action.</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gathered from our safety programs is used to create awareness for leadership in order to actively monitor the health of our SMS and SeMS. Sun Country Airlines continuously strives to promote a culture of safety and security in line with the highest possible industry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Involvement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Sun Country, we place tremendous value in our stakeholders, such as our customers, partners, and members of our community. As a fast-growing and dynamic airline, we know our success depends on collaboration with stakeholders, and we strive to engage with stakeholders in our community and more broadly.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longtime partner with Make-A-Wish Minnesota and provide flights for children with critical illnesses to help them safely travel to and from their wish destinations. In 2021, we made a three-year commitment to donate travel to accommodate every Wish Kid traveling anywhere that our airline flies. Each December, our “Flight to the North Pole” helps bring holiday cheer to Wish Kids by “flying” them to the home of Santa Claus.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also sponsor the Hennepin Theatre Trust Spotlight Education program. As part of this sponsorship, we donate an all-expense-paid trip to New York City for up to four students so that they can meet with industry professionals, participate in musical theater workshops and attend Broadway shows.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Sun Country is a proud partner of the DoD, and we take pride in providing Charter Service for our nation’s military domestically and abroad. Additionally, Sun Country is proud to help transport military veterans to Washington, D.C. aboard Honor Flights to share in a day of honor at our nation’s memorials. These trips are an important way to commemorate the courage and dedication of our nation’s veterans and provide them a day filled with reflection, support, and thanks. Many of our pilots and other team members are armed forces veterans and we are proud to fly the DoD.</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support the development of a more diverse “workforce of tomorrow” by investing in initiatives like STARBASE STEM and Girls in Aviation, which both serve to educate and create a pipeline for historically disadvantaged students.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maintain insurance policies that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 We also require our lessees to carry hull all risks, hull war and allied perils, spares all risks (including war and allied perils), and aircraft third party, passenger, baggage, cargo and mail, and airline general third party legal liability insurance.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Ownership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We are currently in compliance with these ownership provisions. For a discussion of the procedures we instituted to ensure compliance with these foreign ownership rules, please see </w:t>
      </w:r>
      <w:r>
        <w:rPr>
          <w:rFonts w:ascii="Arial" w:cs="Arial" w:eastAsia="Arial" w:hAnsi="Arial"/>
          <w:sz w:val="18"/>
          <w:szCs w:val="18"/>
          <w:i w:val="1"/>
          <w:iCs w:val="1"/>
          <w:color w:val="auto"/>
        </w:rPr>
        <w:t>“Risk Factors - Risks Related to Ownership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Our Common Stock - Our certificate of incorporation and bylaws include provisions limiting ownership and voting by non-U.S. citizens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airline industry is heavily regulated, especially by the federal government. Two of the primary regulatory authorities overseeing air transportation in the United States are the DOT and the FAA.</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DOT regulates economic operating authority for air carriers and consumer protection for airline passengers. The DOT has authority to issue certificates of public convenience and necessity required for airlines to provide domestic air transportation. Additional DOT authority, in the form of a certificate or an exemption from certificate requirements, is required for a U.S. airline to serve foreign destinations either with its own aircraft or via code-sharing with another airline. A U.S. airline’s ability to operate flights to and from international destinations is also subject to the air transport agreements between the United States and the foreign country as well as the airline's ability to obtain the necessary authority from the applicable foreign government.</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 or from these countries.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FAA became a part of the DOT in 1967 and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lessees are also subject to extensive, direct regulation under the laws of the jurisdictions in which they are registered and where they operate. Such laws govern, among other things, the registration, operation, security, and maintenance of our aircraft, environmental issues and the financial oversight of their operations. To the extent that a lessee is not in compliance, we may be required to comply with such requirements, possibly at our own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Airport Access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1) demand for airport infrastructure significantly exceeds the airport’s capacity during the relevant period, 2) expansion of airport infrastructure to meet demand is not possible in the short term, 3) attempts to resolve the problem through voluntary schedule adjustments have failed or are ineffective, and 4) as a result, a process of slot allocation is required whereby it is necessary for all airlines and other aircraft operators to have a slot allocated by a coordinator in order to arrive or depart at the airport during the periods when slot allocation occurs. We have operated in and out of JFK, a Level 3 airport, since April of 2023. We also currently operate in and out of the following Level 2 airports: SFO, LAX, ORD and EWR.</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currently have the access we need to accommodate our planned service, and we have generally been able to obtain the rights to expand our operations and to change our schedules. There is no assurance, however,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that we will be able to do so in the future because, among other reasons, such allocations are subject to changes in governmental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GHG Emissions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CO2 certification standards for new aircraft beginning in 2020. The new CO2 standards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Like the ICAO standards, the final EPA standards would not apply retroactively to engines on in-service aircraft. These final standards have been challenged by several states and environmental groups, and the Biden Administration has issued an executive order requiring review of these final standards. On November 15, 2021, the EPA announced that it would not rewrite the existing aircraft engine GHG emissions standards but would seek more ambitious new aircraft GHG emission standards within the ICAO process. The outcome of the legal challenge and whether there will be any development of new aircraft GHG emissions standards cannot be predicted at this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time. On November 23, 2022, the EPA published the final rule for particulate matter emission standards and test procedures for civil aircraft engines, which took effect on January 1, 2023. There may be future rulemaking that may result in stricter GHG emissions standards than those contained in the proposed rule.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in October 2016, ICAO adopted the CORSIA, which is a global, market-based emissions offset program designed to encourage carbon-neutral growth beyond 2020. CORSIA will increase operating costs for us and other U.S. airlines that operate internationally. CORSIA is being implemented in phases, with information sharing that began in 2019 and a pilot phase that began in 2021, to be followed by a first phase of the program beginning in 2024 and a second phase beginning in 2027. ICAO member states have agreed that 2019 emissions would continue to be used as the baseline for the CORSIA “pilot phase” (2021-2023) and that 85% of 2019 emissions would be used as the baseline for the remainder of CORSIA’s term (2024-2035). Accordingly, ICAO member countries further agreed to a long-term aspirational goal of reaching net zero aviation emissions by 2050. Countries can voluntarily participate in the pilot and first phase, and the United States agreed to participate in these voluntary phases. Participation in the second phase is mandatory for certain countries, including the United States. Certain details are still being developed and the impact cannot be fully predicted.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costs of complying with our future obligations under CORSIA are uncertain because there is significant uncertainty with respect to the future supply and price of carbon offset credits and lower-carbon aircraft fuels. As of December 31, 2023, we have not been required to purchase any carbon offset credits or lower-carbon aircraft fuels for the CORSIA pilot phase (2021-2023). In addition, as described above, we will not directly control our CORSIA compliance costs because our compliance obligations through 2032 are based on the growth in emissions of the global aviation sector and begin to incorporate a factor for individual airline operator emissions growth starting in 2033.</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2023, the State of California adopted broad climate reporting laws that will require large businesses to report on GHG emissions and climate-related financial risk. The California laws include: Climate Corporate Data Accountability Act ("SB-253") and Greenhouse Gasses: Climate-Related Financial Risk ("SB-261"). SB-253 requires reporting entities to publicly disclose their GHG emissions on an annual basis, beginning in 2026. SB-261 requires covered entities to publicly disclose their climate-related financial risk and the measures adopted to reduce and adapt to those risks. The first report required by SB-261 will be due by January 1, 2026. It is not yet clear whether the Company will be considered a reporting entity or covered entity under SB-253 or SB-261,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Noise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 In addition, foreign governments may allow airports to enact similar restrictions, which could adversely impact our international operations or require significant expenditures in order for our aircraft to comply with the restrictions.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make available, free of charge on our website www.suncountry.com, our annual report on Form 10-K, quarterly reports on Form 10-Q, current reports on Form 8-K, and amendments to those reports filed or furnished pursuant to the Exchange Act, as soon as reasonably practicable after electronically filing such material with, or furnishing such material to, the SEC. Materials filed with the SEC are available at www.sec.gov.</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or that can be accessed through, our website is not incorporated by reference into this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contained in this Annual Report, including our consolidated financial statements and the related notes thereto included elsewhere in this Annual Report and “Management’s Discussion and Analysis of Financial Condition and Results of Operations.”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The demand for airline services is highly sensitive to changes in economic conditions, and a recession or similar or worse economic downturn in the United States would weaken demand for our services and have a material adverse effect on our business, results of operations and financial condition.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travelers have often elected to replace air travel at such times with car travel or other forms of ground transportation or have opted not to travel at all. Additionally, any significant increases in unemployment in the United States would likely have a negative impact on passenger bookings, especially when the customers we serve are generally paying with their own money. Likewise, during periods of unfavorable economic conditions, businesses have deferred air travel or forgone it altogether. Additionally, retail and thus cargo demand can also decrease. Furthermore, most of our Charter revenue is generated from ad hoc, short-term contracts with repeat customers, or long-term customers with utilization variability and these customers may cease, or limit,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may have an adverse impact on our business, results of operations and financial condition.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Inflation risk is the risk that the value of assets or income will be worth less in the future as inflation decreases the value of money. Recently, there have been market indicators of a pronounced rise in inflation. As a result, the Federal Reserve has raised certain benchmark interest rates in an effort to combat inflation. Inflation generally results in increased costs of goods and services, including those we use in our operations, which would increase our expenses. In addition, our customers could also be affected by inflation, which could have a negative</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impact on demand for air travel. If the U.S. economy continues to feel the effects of inflationary pressures, our business, results of operations and financial condition could be materially adversely affected.</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cost of aircraft fuel is highly volatile and is one of our largest individual operating expenses, accounting for approximately 27% and 32% of our operating expenses for the years ended December 31, 2023 and 2022, respectively. High fuel prices or increases in fuel costs (or in the price of crude oil) could have a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also dependent on the availability of aircraft fuel (or crude oil), which is not predictable. Weather-related events, natural disasters, terrorism, wars (including as a result of the Russia-Ukraine military conflict), supply chain disruptions,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time-to-time, we may enter into fuel derivative contracts in order to mitigate the risk to our business from future volatility in fuel prices, but such contracts may not fully protect us from all related risks. In general, our Charter and Cargo operations have pass-through provisions for fuel costs, and as such we do not hedge our fuel requirements for that portion of our business. As of December 31, 2023, we had no outstanding fuel derivative contracts.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Threatened or actual terrorist attacks, war, or other security concerns involving airlines could have a material adverse effect on our business, results of operations and financial condition.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Past terrorist attacks or attempted attacks, particularly those involving airlines, heightened security and military action in response thereto, and war have caused substantial revenue losses and increased security costs, and such event, even if not directly involving an airline, could have a material adverse effect on our business, results of operations and financial condition. 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war, or the fear of such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matters or other hostilities (including elevated national threat warnings or selective cancellation or redirection of flights due to terror threats), even if not involving the airline industry, could have a negative impact on the airline industry and have a material adverse effect on our business, results of operations and financial condition.</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competitor adopting an LCC or ULCC strategy may have greater financial resources and access to lower cost sources of capital than we do, which could enable them to operate their business with a lower cost structure or lower marginal revenues without substantial adverse effects than we can. If these competitors adopt and successfully execute an LCC or ULCC business model, our business could be materially adversely affected.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Airlines are often affected by factors beyond their control, including: air traffic congestion at airports; air traffic control inefficiencies; air traffic control staffing; government shutdowns or mandates;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Transportation System, or NextGen, by the FAA would result in changes to aircraft routings and flight paths that could lead to increased noise complaints and lawsuits, resulting in increased costs. NextGen is a multi-year modernization project with a target of having all major components in place by 2025.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 Governmental mandates requiring certain behaviors from employees, such as vaccine mandates, could limit our ability to staff to meet demand because employees may choose to resign or decide not to apply for or accept open positions.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instance in December 2018-January 2019 may have a negative impact on our operations and financial results.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industry is experiencing a higher than normal number of pilot retirements, increased competition in pilot hiring, more stringent duty time regulations, increased flight hour requirements for commercial airline pilots, reductions in the number of military pilots entering the commercial workforce, increased training requirements and other factors that have led to a shortage of pilots, which could materially adversely affect our business.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Large numbers of pilots in the industry are approaching the FAA’s mandatory retirement age of 65 or have otherwise accepted an early retirement during the COVID-19 pandemic. Commercial airline pilots are subject to rigorous certification standards and must adhere to flight time and rest requirements. The minimum flight hour requirement to achieve a commercial pilot’s license in the United States increased from 250 to 1,500 hours, thereby significantly increasing the time and cost commitment required to become licensed to fly a commercial aircraft. Additionally, the number of military pilots being trained by the U.S. armed forces and available as commercial pilots upon their retirement from military service has been decreasing. These and other factors have led to a shortage of qualified, entry-level pilots and increased compensation costs, particularly at carriers other than the large legacy carriers. The foregoing factors have led to additional competition from carriers attempting to meet their hiring needs. With the current pilot shortage, airlines may be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international business also exposes us to trade and economic sanctions and other restrictions imposed by the United States or other governments or organizations. The U.S. Departments of Justice, Commerce, State and Treasury, and other foreign authorities have a broad range of civil and criminal penalties they may seek to impose against corporations and individuals for violations of economic sanctions laws, export control laws, the FCPA and other federal statutes and regulations, including the International Traffic in Arms Regulations and those established by the OFAC, and similar or more restrictive foreign laws, rules and regulations, which may also apply to us. Under these laws and regulations, the government may require export licenses, or impose restrictions that would require modifications to business practices, including cessation of business activities in sanctioned countries or with sanctioned persons or entities, and modifications to compliance programs, which may increase compliance costs. Failure to implement changes may subject us to fines, penalties and other sanctions.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that our employees, third-party providers or partners will adhere to our code of ethics and other policies. We also cannot assure you that such individuals or entities will not engage in unlawful conduct for which we may be held responsible. If we fail to enforce our policies and procedures properly or maintain adequate recordkeeping and internal accounting practices to record our transactions accurately, we may be subject to sanctions. In the event we believe or have reason to believe our employees, third-party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7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our insurance were to take place, our business could be materially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that can drive down demand as we operate in a highly elastic environment.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regulations set forth by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years ended December 31, 2023 and 2022 we generated ancillary revenues of $276,133 and $192,506, respectively. Our ancillary revenue consists primarily of revenue generated from air travel-related services such as baggage fees, seat selection and upgrade fees, priority check-in and boarding fees, other fees and on-board sales.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“—Risks Related to Our Business—We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Concern about climate change and greenhouse gases has resulted, and is expected to continue to result, in additional regulation or taxation of aircraft emissions in the United States and abroad. In particular, on March 6, 2017, ICAO, an agency of the United Nations established to manage the administration and governance of the Convention on International Civil Aviation, adopted new CO2 certification standards for new aircraft beginning in 2020. The new CO2 standards will apply to new aircraft type designs from 2020, and to aircraft type designs already in production as of 2023.</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In-production aircraft that do not meet the standard by 2028 will no longer be able to be produced unless their designs are modified to meet the new standards. In August 2016, the EPA made a final endangerment finding that aircraft engine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Like the ICAO standards, the final EPA standards would not apply retroactively to engines on in-service aircraft. These final standards have been challenged by several states and environmental groups, and the Biden Administration has issued an executive order requiring review of these final standards. On November 15, 2021, the EPA announced that it would not rewrite the existing aircraft engine GHG emissions standards but would seek more ambitious new aircraft GHG emission standards within the ICAO process. The outcome of the legal challenge and whether there will be any development of new aircraft GHG emissions standards cannot be predicted at this time. On November 23, 2022, the EPA published the final rule for particulate matter emission standards and test procedures for civil aircraft engines, which took effect on January 1, 2023. There may be future rulemaking that may result in stricter GHG emissions standards than those contained in the proposed rule.</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in October 2016, ICAO adopted CORSIA, which is a global, market-based emissions offset program designed to encourage carbon-neutral growth beyond 2020. Further, in June 2018 ICAO adopted standards pertaining to the collection and sharing of information on international aviation emissions beginning in 2019. CORSIA will increase operating costs for us and other U.S. airlines that operate internationally. CORSIA is being implemented in phases, with information sharing beginning in 2019 and a pilot phase beginning in 2021, to be followed by a first phase of the program beginning in 2024 and a second phase beginning in 2027. ICAO member states have agreed that 2019 emissions would continue to be used as the baseline for the CORSIA “pilot phase” (2021-2023) and that 85% of 2019 emissions would be used as the baseline for the remainder of CORSIA’s term (2024-2035). Accordingly, ICAO member countries further agreed to a long-term aspirational goal of reaching net zero aviation emissions by 2050. Countries can voluntarily participate in the pilot and first phase, and the United States agreed to participate in these voluntary phases. Participation in the second phase is mandatory for certain countries, including the United States. Certain details are still being developed and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impact cannot be fully predicted. The potential impact of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2023, the State of California adopted broad climate reporting laws that will require large businesses to report on GHG emissions and climate-related financial risk. The California laws include: SB-253 and SB-261. SB-253 requires reporting entities to publicly disclose their GHG emissions on an annual basis, beginning in 2026. SB-261 requires covered entities to publicly disclose their climate-related financial risk and the measures adopted to reduce and adapt to those risks. The first report required by SB-261 will be due by January 1, 2026. It is not yet clear whether the Company will be considered a reporting entity or covered entity under SB-253 or SB-261, respectively.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expect the SEC or other regulating entities to which we are subject to adopt rules requiring certain new disclosures, including environmental-related disclosures, which could be costly and difficult to implement. Compliance with existing and future environmental laws and regulations can require significant expenditures and operational changes and violations can lead to significant fines and penalties and reputational harm. 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air travel substitutes.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presidential administration and the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lower-cost substitutes for air travel. The COVID-19 pandemic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rapid spread of a viral or bacterial infection, disease or similar public health threat, may have an adverse impact on our business, operating results, financial condition and liquidity.</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rapid spread of a viral or bacterial infection, disease or similar public health threat could result in the implementation of restrictions and regulations, including travel restrictions, quarantines, limitations on aircraft capacity, testing requirements and restrictions on our ability to access our facilities or aircraft or requirements to collect additional passenger data.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and other restrictions and regulations, as well as general concerns about traveling during a public health threat, could have a material adverse impact on our business, operating results, financial condition and liquidity.</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unfavorable U.S. economic conditions as a result of disease outbreak drove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Additionally, in the past, passenger bookings during a significant disease outbreak were, on average, closer to the date of service than in prior periods, which reduced our visibility into future revenue.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may be further impacted in the event of actual or perceived risk of a viral or bacterial infection, disease or similar public health threat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impact of a viral or bacterial infection, disease or similar public health threat on our businesses, operating results, financial condition and liquidity could exacerbate the other risks identified in this Annual Report.</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cannot assure you that compliance with laws, regulations, orders, rulings and guidance will not have a material adverse effect on our business, results of operations and financial condition.</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Furthermore, the DoD continues to issue new IT systems security requirements which require expenditures in order to bring our systems into compliance.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“Business—Foreign Ownership.”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“Business—Government Regulation.”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Changes in law, regulation and government policy have affected, and may in the future have a material adverse effect on our business.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 the partial or full repeal of the Dodd-Frank Wall Street Reform and Consumer Protection Act of 2010, or Dodd-Frank Act; public company reporting requirements; environmental regulation, including new environmental, social and governance disclosures required by the SEC;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5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which could have a material adverse effect on our business, results of operations and financial condition.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expect the SEC or other regulating entities to which we are subject to adopt rules requiring certain new disclosures, including environmental-related disclosures, which could be costly and difficult to implement. Compliance with existing and future environmental laws and regulations can require significant expenditures and operational changes and violations can lead to significant fines and penalties and reputational harm.</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time-to-time that could significantly increase the cost of airline operations or reduce the demand for air travel. 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example, the DOT or FAA has pending proposed rulemakings and/or published final rules regarding: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traveling by air with service animals; defining unfair or deceptive practices;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enhancing the transparency of airline ancillary service fees; airline ticket refunds and consumer protections; requiring that certain airplanes used to conduct domestic, flag, or supplemental passenger-carrying operations have installed a physical secondary barrier that protects the flightdeck from unauthorized intrusion when the flightdeck door is opened; and flight attendant duty period limitations and rest requirements. In addition, Congress is currently considering FAA Reauthorization legislation which may result in additional rules, regulations, and obligations. Failure to remain in full compliance with these and other applicable rules and regulations may subject us to fines or other enforcement action or adversely affect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implement our business strategy successfully, our business will be materially adversely affected.</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strategy includes growth in our aircraft fleet, expansion of markets we serve by building out our MSP hub, growing our seat share at MSP and growing non-MSP point-to-point markets,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affected our growth plans and business strategy. We face numerous challenges in implementing our growth strategy, including our ability to:</w:t>
      </w:r>
    </w:p>
    <w:p>
      <w:pPr>
        <w:spacing w:after="0" w:line="225" w:lineRule="exact"/>
        <w:rPr>
          <w:sz w:val="20"/>
          <w:szCs w:val="20"/>
          <w:color w:val="auto"/>
        </w:rPr>
      </w:pPr>
    </w:p>
    <w:p>
      <w:pPr>
        <w:ind w:left="660" w:right="2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balanced with a low aircraft acquisition cost, to execute our Scheduled, Cargo and Charter operations;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staffing levels sufficient to operate the full schedule and to grow rapidly;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that we will be able to profitably expand our existing markets or establish new markets.</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Unauthorized use, incursion or breach of our information technology infrastructure, or that of our third-party providers,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 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enemy state actors, denial-of-service attacks, employee theft or misuse, natural or man-made disasters, telecommunications failures, power loss and other disruptive sources and events.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As the cyber-threat landscape evolves, attacks are growing in frequency, sophistication, and intensity, and are becoming increasingly difficult to detect. We have in the past, and may in the future, experience such cybersecurity threats.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and the vendors who service us may not have the resources or technical sophistication to anticipate or prevent rapidly evolving types of cyber attacks. Attacks may be targeted at us, our customers (including the DoD) and our third-party service providers, including air navigation service providers, or others who have entrusted us with information, including regulators such as the DoD,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as injunctive relief requiring costly compliance measures. A cybersecurity incident could also impact our brand, harm our reputation and adversely impact our relationship with our customers, employees and stockholders.</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i w:val="1"/>
          <w:iCs w:val="1"/>
          <w:color w:val="auto"/>
        </w:rPr>
        <w:t>Our Cargo business is concentrated with Amazon, and any decrease in volumes or increase in costs, or a termination of the ATSA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could have a material adverse effect on our business, operations, financial condition and brand.</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2023, Cargo revenue under the ATSA represented 10% of our total operating revenues and our Cargo revenue consisted entirely of air cargo transportation services provided to Amazon under the ATSA. The ATSA does not require a minimum amount of flying and Amazon is permitted to decrease flying volume at any time. Our Cargo business would decline if Amazon’s use of our Cargo services decreases for any reason, including due to general economic conditions or preferences of Amazon and its customers, which a decline would materially adversely affect our business, results of operations, and prospects.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profitability of the ATSA is dependent on our ability to manage and accurately predict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Performance under the ATSA is subject to a number of challenges and uncertainties, such as: unforeseen maintenance and other costs; our ability to hire pilots, crew and other personnel necessary to support our CMI</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services, which can be impacted by industry-wide staffing shortages;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The ATSA also contains monthly incentive payments for reaching specific on-time arrival performance thresholds and there are monetary penalties for on-time arrival performance below certain thresholds. As a result, our operating revenues may vary from period-to-period depending on the achievement of monthly incentives or the imposition of penalties. Further, we could be found in default if we do not maintain certain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 Amazon may also terminate the ATSA for convenience, subject to certain notice requirements and payment of a termination fee. The ATSA is also subject to two, two-year extension options, which Amazon may choose not to exercise.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To the extent our volume of flying for Amazon decreases or costs associated with our Cargo business increase, or if the ATSA is terminated for any reason, our business, results of operations and financial condition could be materially and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low-cost structure is one of our primary competitive advantages, and many factors could affect our ability to control our costs.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See “—Risks Related to Our Business—Increased labor costs, union disputes, employee strikes and other labor-related disruption may adversely affect our business, results of operations and financial condition.”</w:t>
      </w:r>
    </w:p>
    <w:p>
      <w:pPr>
        <w:spacing w:after="0" w:line="20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cannot guarantee we will be able to maintain our relatively low costs. If our cost structure increases and we are no longer able to maintain a competitive cost structure, it could have a material adverse effect on our business, results of operations and financial condition.</w:t>
      </w:r>
    </w:p>
    <w:p>
      <w:pPr>
        <w:spacing w:after="0" w:line="15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service is concentrated around our hub in MSP and our business is impacted by economic and geophysical factors of this region. We maintain a large presence in MSP. For example, approximately 92% of 2023 Scheduled Service capacity, as measured by ASMs, had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 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business would also be negatively impacted by any circumstances causing a reduction in demand for air transportation in the Minneapolis area, such as adverse changes in local economic conditions, local regulations and/or mandates, health concerns, adverse weather conditions, negative public perception of Minneapolis, riots, social unrest, terrorist attacks or significant price or tax increases linked to increases in airport access costs and fees imposed on passengers.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reputation and business could be adversely affected in the event of an accident or similar public incident involving our aircraft or personnel.</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any accident involving the Boeing 737-NG or an aircraft similar to the Boeing 737-NG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early 2024, the FAA grounded 171 Boeing 737-9 MAX airplanes following an incident on Alaska Airlines Flight 1282, and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time-consuming and costly. The resolution of this matter or similar matters in the future could have an impact on our results of operations, financial condition, business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service providers and other commercial partners to perform functions integral to our operations.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 or that such third-party providers will be available to service us.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or sufficiently staff their operation,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distribution channels to distribute a portion of our airline tickets.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rely on third-party distribution channels, including those provided by or through GDS, conventional travel agents and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8"/>
          <w:szCs w:val="18"/>
          <w:i w:val="1"/>
          <w:iCs w:val="1"/>
          <w:color w:val="auto"/>
        </w:rPr>
        <w:t>Navitaire</w:t>
      </w:r>
      <w:r>
        <w:rPr>
          <w:rFonts w:ascii="Arial" w:cs="Arial" w:eastAsia="Arial" w:hAnsi="Arial"/>
          <w:sz w:val="18"/>
          <w:szCs w:val="18"/>
          <w:color w:val="auto"/>
        </w:rPr>
        <w:t>, a unit of Amadeus, operational control systems, telecommunications systems, mobile phone application, airline website and maintenance systems as well as government and other third-party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again in the future occur on our system, a third-party system we rely on, or in connection with any system upgrade or migration. We also rely on third-party providers, including government agencies, to maintain our operational control systems, and if those systems are not functioning, we have in the past and may again experience service disruptions, which could result in the loss of important data, increase our expenses, decrease our operational performance and temporarily stall our operations, which may have a materially adverse effect on our business, results of operation, and financial condition.</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failure of the technologies and systems we use could materially adversely affect our business. For example, if our reservation system fails or experiences interruptions, and we are unable to book seats for a period of time, we could lose a significant amount of revenue as customers book seats on other airlines, and our reputation could be harmed. Additionally, if our flight systems fail or experience disruption, we could suffer reputational harm and incur costs associated with cancelled and delayed flights.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 events that are beyond our control, including natural disasters, cyber attacks, telecommunications failures or the failure of government or other third-party systems. We have previously experienced a software outage that resulted in cancelled flights and delayed flights for several hours, which could impact our on-time performance and completion factor.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vendors fails to perform and a replacement system is not available or if we fail to implement a replacement system in a timely and efficient manner, our business could be materially adversely affected.</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the ordinary course of business, our systems will continue to require modifications, upgrades and refinements to address growth and changing business requirements and to enable us to comply with changing regulatory requirements. Modifications, upgrades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or upgrade our systems as necessary or appropriately balance the introduction of new capabilities with the management of existing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a single aircraft type.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187"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labor intensive, with labor costs representing approximately 32% and 29% of our total operating costs for the years ended December 31, 2023 and 2022, respectively. As of December 31, 2023, approximately 65%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various segments of our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business, including Cargo. We cannot guarantee that our Cargo business will grow and that hiring of additional pilots will be required. We may also become subject to additional collective bargaining agreements in the future as non-unionized workers may unionize.</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Relations between air carriers and labor unions in the United States are governed by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1, 2019, our dispatchers approved a new collective bargaining agreement. The amendable date of the collective bargaining agreement is November 30, 2024. Our collective bargaining agreement with our flight attendants is currently amendable. Negotiations with the union representing this group commenced in November of 2019. By mutual consent, the negotiations were paused in March 2020 due to the COVID-19 pandemic. We restarted negotiations in October of 2021 and in July of 2023, we and the union jointly requested the appointment of a mediator through the NMB. The NMB has appointed a mediator, and we began mediated negotiations in December of 2023. Negotiations are ongoing. Our collective bargaining agreement with our pilots is amendable on December 21, 2025. Negotiations for a new collective bargaining agreement with our technicians and related craft employees began in October of 2022 and negotiations are ongoing with the assistance of a federal mediator appointed by the NMB. Our fleet service employees (cargo, commissary/catering, ramp agents, and bag room agents) elected to be represented by the International Brotherhood of Teamsters on January 4, 2023. Negotiations for a new collective bargaining agreement began in March of 2023 and are ongoing. See also “Business—Employees” in this Annual Report.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194"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aim to optimize our daily aircraft utilization rate by tailoring service to customer demand patterns, which are seasonal and vary by day of the week. Our average daily aircraft utilization was 6.9 hours and 7.2 hours for the years ended December 31, 2023 and 2022,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accommodation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freighters in support of our Cargo business. In the event we experience a series of aircraft out of service, we would experience a decline in revenue and potentially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73"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cost of aircraft repairs and unexpected delays in the time required to complete aircraft maintenance could negatively affect our operating results.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If we are unable to attract, retain and train qualified personnel at reasonable costs or fail to maintain our company culture, our business could be harmed.</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including related vendor partners, is experiencing and may continue to experience a shortage of qualified personnel and we face added challenges with attracting and retaining qualified personnel due to the low unemployment rate in Minnesota. In particular, as more pilots in the industry approach mandatory retirement age, or retired early during the COVID-19 pandemic, the U.S. airline industry is being affected by a pilot shortage. We and other airlines also face shortages of qualified aircraft mechanics, dispatchers, ground handlers, flight attendants and other personnel. As is common with most of our competitors, we have also faced turnover of our employees. As a result of the foregoing, we may not be able to attract, retain or train qualified personnel or may be required to increase wages and/or benefits in order to do so. If we are unable to hire, train and retain qualified employees, our business could be harmed and we may be unable to implement our growth plans.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retain and train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15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9"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adoption of statutes or regulations that impact or impose additional customer service standards and requirements, including operating and security standards and requirements; and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5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reputation and brand could be harmed if we were to experience significant publicity, including through social media.</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For example, we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have agreements for bus service to transport passengers to our MSP hub. If these operators suffer a service problem, safety failure or accident, our brand would be negatively impacted. Additionally, we operate in a public-facing industry with significant exposure to social media. Negative publicity, whether or not justified, can spread rapidly through social media. In particular, passengers can use social media to portray interactions with Sun Country, without context, in a manner that can be quickly and broadly disseminated. To the extent that we are unable to respond timely and appropriately to negative publicity, our reputation and brand can be harmed. Damage to our overall reputation and brand could have a negative impact on our financial results.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are highly dependent upon our cash and investment balances, Operating Cash Flows and availability under our Revolving Credit Facility.</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sources of liquidity are cash and cash equivalents, investments and availability under our $ 25,000 Revolving Credit Facility. We are and will continue to be dependent on our Operating Cash Flows, Cash and Cash Equivalents, and Short-Term Investment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obligations. Our inability to meet our obligations as they become due would have a material adverse effect on our business, results of operations and financial condition.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2023,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obtain financing or access capital markets may be limited.</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maintenance costs will fluctuate over time; additionally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substantial maintenance expense obligations, including with respect to our aircraft leases. Prior to an aircraft being returned in connection with an aircraft lease, we will incur costs to restore these aircraft to the condition required by the terms of the underlying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Outside of scheduled maintenance, we incur from time-to-time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terms of certain of our lease agreements require us to pay maintenance reserves to the lessor in advance of the performance of major maintenance, resulting in our recording significant prepaid deposits on our Balance Sheets,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“Management’s Discussion and Analysis of Financial Condition and Results of Operations—Operating Expenses—Maintenance.”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airline business is capital intensive. As of December 31, 2023, our 42 passenger aircraft fleet consisted of 13 aircraft financed under finance leases and 29 aircraft financed under secured debt arrangements or owned outright. As of December 31, 2023, we had six aircraft that are currently on lease to unaffiliated airlines. We also had a commitment to lease two aircraft and purchase one aircraft, with deliveries of these aircraft throughout the first quarter of 2024. As of December 31, 2023, we had future debt principal obligations of $405,640 and future finance lease obligations of $342,646. During 2024, based on our aircraft leases and debt structure as of December 31, 2023, we expect to make payments of $75,364 related to debt principal obligations and $ 61,671 related to finance lease obligations. Additionally, we made payments for maintenance reserves of $13,409 for 2023 and expect to make significant payments for maintenance reserves in the future. Our ability to pay the fixed costs associated with our contractual obligations will depend on our operating performance, cash flow, availability under the Revolving Credit Facility and our ability to secure adequate future financing, which will in turn depend on, among other things, the success of our current business strategy and our future financial and operating performance, competitive conditions, fuel price volatility, any significant weakening or improving in the U.S. economy, availability and cost of financing, as well as general economic and political conditions and other factors that are, to some extent, beyond our control. The amount of our aircraft-related fixed obligations could have a material adverse effect on our business, results of operations and financial condition and could:</w:t>
      </w:r>
    </w:p>
    <w:p>
      <w:pPr>
        <w:spacing w:after="0" w:line="187" w:lineRule="exact"/>
        <w:rPr>
          <w:sz w:val="20"/>
          <w:szCs w:val="20"/>
          <w:color w:val="auto"/>
        </w:rPr>
      </w:pPr>
    </w:p>
    <w:p>
      <w:pPr>
        <w:ind w:left="660" w:right="2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a substantial portion of cash flows be used for aircraft leases and maintenance deposit payments and interest expense,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jc w:val="both"/>
        <w:ind w:left="66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jc w:val="both"/>
        <w:ind w:left="660" w:hanging="328"/>
        <w:spacing w:after="0" w:line="25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8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We depend on a sole-source supplier for the majority of our aircraft parts and any supply disruption could have a material adverse effect on our business.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our operations are conducted to and from the domestic United States, Canada,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negative public perception of these destinations, unfavorable weather conditions, public health concerns, civil unrest, violence or terrorist-related activities. Furthermore, our business could be harmed if jurisdictions that currently limit competition allow additional airlines to compete on routes we serve. In addition, a reduction in demand from our Charter customers, including as a result of decreased DoD troop movements or fewer sports events and related travel, or from Amazon under the ATSA could have a material and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materially adversely affected if we lose the services of our key personnel.</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comparisons of our key operating statistics may not be reliable indicators of our future performance. Seasonality may cause our quarterly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 We may not realize any or all of our estimated cost savings, which would have a negative effect on our results of operations.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business strategy, we expect to implement certain operational improvements and cost savings initiatives. Any cost savings that we realize from such efforts may differ materially from our estimates. Our estimates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time-to-time,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particular, in recent years, there has been significant litigation in the United States and 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defaults could materially adversely affect our business,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Investors should expect some lessees to experience payment difficulties, particularly in difficult economic or operating environments. As a</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result of their financial condition and lack of liquidity, lessees may be significantly in arrears in their rental or maintenance payments. The airline industry is cyclical, economically sensitive and highly competitive, and our lessees are affected by several factors over which we and they have limited control, including: air passenger demand, changes in fuel costs, interest rates, foreign currency, inflation, labor difficulties, including pilot shortages, wage negotiations or other labor actions, increases in other operating costs, such as increased insurance costs, general economic conditions and governmental regulation and associated fees affecting the air transportation business. For example, the airline industry was substantially impacted by the COVID-19 pandemic. In addition, geopolitical events such as changes in national policy or the imposition of sanctions, including new sanctions, trade barriers or tariffs, as well as events leading to political or economic instability such as war, prolonged armed conflict and acts of terrorism; epidemics, pandemics and natural disasters; availability of financing, including availability of governmental support; and airline financial health may also have an impact. Finally, our lessees may also be affected by aircraft accidents, in particular a loss if the aircraft is damaged or destroyed by an event specifically excluded from insurance policies, such as dirty bombs, biohazardous materials and electromagnetic pulsing. These factors could cause our lessees to incur higher costs and to generate lower revenues which could adversely affect their ability to make lease payments or perform their maintenance obligations under the leases. In addition, lease default levels will likely increase over time if economic conditions deteriorate.</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not correctly assess the credit risk of a lessee or that risk could change over time. We may not be able to charge risk-adjusted lease rates, and lessees may not be able to continue to perform their financial and other obligations under our leases in the future.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airlines received lease deferrals or other accommodations during the COVID-19 pandemic and we may agree to deferrals, restructurings and terminations in the ordinary course of our business with lessees in the future. If a lessee delays, reduces, or fails to make lease payments when due and if we are unable to agree on a lease payment deferral or lease restructuring and we elect to terminate the lease, we may not receive all or any payments still outstanding. While deferrals generally shift the timing of payments to a later period, restructurings and terminations generally permanently reduce lease revenue, and the associated reduction in lease revenue could negatively affect our business.</w:t>
      </w:r>
    </w:p>
    <w:p>
      <w:pPr>
        <w:spacing w:after="0" w:line="20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event that a lessee defaults under a lease, any security deposit paid or letter of credit provided by the lessee may not be sufficient to cover the lessee’s outstanding or unpaid lease obligations and required maintenance and transition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costs resulting from lease defaults could have a material adverse effect on our business.</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the right to repossess the aircraft and to exercise other remedies upon a lessee default, repossession of an aircraft would likely lead to significant costs for us. Those costs include legal and other expenses of court or other governmental proceedings, particularly if the lessee is contesting the proceedings, and costs to obtain possession and/or deregistration of the aircraft and flight and export permissions. Delays resulting from these proceedings would increase the period of time during which the aircraft is not generating revenue. We may incur maintenance, refurbishment or repair costs that a defaulting lessee has failed to incur or pay and that are necessary to put the aircraft in suitable condition for re-lease, sale, or induction into the Company’s fleet. We may also incur storage costs associated with aircraft that we repossess and are unable to sell, induct into our fleet, or place immediately with another lessee. We may be required to pay off liens, claims,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taxes and other governmental charges to obtain clear possession, including, in some cases, liens that the lessee might have incurred in connection with the operation of its other aircraft. We could also incur other costs in connection with the physical possession of the aircraft.</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suffer other adverse consequences due to a lessee default and the repossession of the aircraft. Our rights upon a lessee default vary significantly depending upon the jurisdiction and may include the need to obtain a court order for repossession of the aircraft and/or consents for deregistration or re-export of the aircraft. When a defaulting lessee is in bankruptcy, protective administration, insolvency or similar proceedings, additional limitations may apply. Certain jurisdictions give rights to the trustee in bankruptcy or a similar officer to assume or reject the lease or to assign it to a third party, or entitle the lessee or another third party to retain possession of the aircraft without paying lease rentals or without performing all of the obligations under the lease. There can be no assurance that jurisdictions that have adopted the Cape Town Convention, which provides for uniformity and certainty for repossession of aircraft, will enforce it as written. Our efforts to repossess our aircraft could be further complicated for lessees that are owned in whole or in part by, or are subsidized by, government-related entities. Accordingly, we may be delayed in, or prevented from, enforcing our rights under a lease and in re-leasing, inducting into our fleet, or selling the affected aircraft.</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repossess an aircraft, we may not be able to export or deregister and profitably redeploy the aircraft in a timely manner or at all. Before an aviation authority will register an aircraft that has previously been registered in another country, it must receive confirmation that the aircraft has been deregistered by that country’s aviation authority. In order to deregister an aircraft, the lessee must comply with applicable laws and regulations, and the relevant governmental authority must enforce these laws and regulations. For instance, where a lessee or other operator flies only domestic routes in the jurisdiction in which the aircraft is registered, repossession may be more difficult, especially if the jurisdiction permits the lessee or the other operator to resist deregistration. We may also incur significant costs in retrieving or recreating aircraft records required for registration of the aircraft, and in obtaining a certificate of airworthiness for an aircraft. Upon a lessee default, we may incur significant costs in connection with repossessing our aircraft and we may be delayed in repossessing our aircraft or may be unable to obtain possession of our aircraft, which could have a materially adverse impact on our future revenue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defaults and reorganizations, bankruptcies or similar proceedings may result in lost revenue and additional costs.</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an airline may seek reorganization or protection from creditors under its local laws or may go into liquidation. Lessees may default on their lease obligations or file for bankruptcy or otherwise seek protection from creditors (collectively referred to as “bankruptcy”). Based on historical rates of airline defaults and bankruptcies, it’s possible that we will experience lessee defaults and bankruptcies.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lessee defaults on its lease or files for bankruptcy, the lessee may not make lease payments or may return aircraft to us before the lease expires. If a lessee files for bankruptcy with the intent of reorganizing its business, we may agree to adjust our lease terms, including reducing lease payments by a significant amount. Certain jurisdictions give rights to the trustee in a bankruptcy to assume or reject the lease or to assign it to a third party, or entitle the lessee or another third party to retain possession of the aircraft without paying lease rentals or performing all or some of the obligations under the relevant lease. If one or more airline bankruptcies result in a larger number of aircraft being available for purchase or lease over a short period of time, aircraft values and aircraft lease rates may be depressed, and additional grounded aircraft and lower market values could adversely affect our ability to sell our aircraft or lease or remarket our aircraft at favorable rates or at all.</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a result of the time and process involved with lessee reorganizations, bankruptcies or similar proceedings as described above, which can vary by airline and jurisdiction among other factors, we may experience lost revenue and additional costs.</w:t>
      </w:r>
    </w:p>
    <w:p>
      <w:pPr>
        <w:spacing w:after="0" w:line="182"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If our lessees encounter financial difficulties and we decide to restructure our leases with those lessees, this could result in less favorable leases and in significant reductions in our cash flow.</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a lessee is late in making payments or fails to make payments in full, we may elect to or be required to restructure the lease. Restructuring may involve anything from a simple rescheduling of payments to the termination of a lease without receiving all the past due amounts. If requests for payment restructuring or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rescheduling are granted, reduced or deferred rental payments may be payable over all or some part of the remaining term of the lease, and the terms of any revised payment schedules may be unfavorable or such payments may not be made. We may be unable to agree upon acceptable terms for any requested restructurings and as a result may be forced to exercise our remedies under those leases and we may be unable to repossess our aircraft on a timely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terms and conditions of payment restructurings or reschedulings may adversely affect our cash flows.</w:t>
      </w: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Failures by lessees to meet their maintenance and recordkeeping obligations under our leases could adversely affect the value of our leased engines and aircraft and our ability to lease the engines and aircraft in a timely manner following termination of the leases.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value and income producing potential of an engine or aircraft depends heavily on it being maintained in accordance with an approved maintenance system and complying with all applicable governmental directives and manufacturer requirements. In addition, for an engine or aircraft to be available for service, all records, logs, licenses and documentation relating to maintenance and operations of the engine or aircraft must be maintained in accordance with governmental and manufacturer specifications.</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leases make the lessees primarily responsible for maintaining the engines or aircraft, keeping related records and complying with governmental directives and manufacturer requirements. Lessees may experience difficulties in meeting their maintenance and recordkeeping obligations as specified by the terms of our leases.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ability to determine the condition of the engines or aircraft and whether the lessees are properly maintaining our assets is generally limited to the lessees’ reporting of usage and any maintenance performed, confirmed by periodic inspections performed by us and third parties. A lessee’s failure to meet its maintenance or recordkeeping obligations under a lease could result in:</w:t>
      </w:r>
    </w:p>
    <w:p>
      <w:pPr>
        <w:spacing w:after="0" w:line="22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grounding of the related engine or aircraft;</w:t>
      </w:r>
    </w:p>
    <w:p>
      <w:pPr>
        <w:spacing w:after="0" w:line="17"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repossession that would likely cause us to incur additional and potentially substantial expenditures in restoring the engine or aircraft to an acceptable maintenance condition;</w:t>
      </w:r>
    </w:p>
    <w:p>
      <w:pPr>
        <w:spacing w:after="0" w:line="4"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need to incur additional costs and devote resources to recreate the records prior to the use, sale or lease of the engine or aircraft;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loss of lease revenue while we perform refurbishments or repairs and recreate records;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 lower lease rate and/or shorter lease term under a new lease entered into by us following repossession of the engine or aircraft.</w:t>
      </w:r>
    </w:p>
    <w:p>
      <w:pPr>
        <w:spacing w:after="0" w:line="23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Any of these events may adversely affect the value of the engine or aircraft, unless and until remedied, and reduce our revenues and increase our expenses. If aviation equipment is damaged during a lease and we are unable to recover from the lessee or though insurance, we may incur a loss.</w:t>
      </w:r>
    </w:p>
    <w:p>
      <w:pPr>
        <w:spacing w:after="0" w:line="20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Our lessees may fail to adequately insure our aircraft or fulfill their indemnity obligations, or we may not be able to adequately insure our aircraft, which may result in increased costs and liabilities.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an aircraft is on lease, we do not directly control its operation. Nevertheless, because we hold title to the aircraft, we could be sued or held strictly liable for losses resulting from the operation of such aircraft, or may be held liable for losses on other legal theories or claims may be made against us as the owner of an aircraft requiring us to expend resources in our defense. As a result, we separately purchase contingent liability insurance and contingent hull insurance on all aircraft in our owned fleet. While we believe our insurance is adequate both as to coverages and amounts based on industry standards in the current market, we cannot assure you that we are adequately insured against all risks and in all territories in which our aircraft operate. For example, following the Russia-Ukraine conflict, Russia, Ukraine and Belarus are now generally excluded from coverage in our contingent liability, contingent hull and contingent hull war insurance consistent with insurance market terms available at the time these policies were last renewed.</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separately require our lessees to obtain specified levels of insurance customary in the aviation industry and indemnify us for, and insure against, liabilities arising out of the lessee’s use and operation of the aircraft.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Lessees are also required to maintain all risks hull insurance, all risks property insurance, and war risks hull insurance on the aircraft at agreed upon levels. Lessees may fail to maintain adequate insurance coverage during a lease term, which, although in contravention of the lease terms, could necessitate our taking some corrective action such as terminating the lease or securing insurance for the aircraft. Moreover, even if our lessees retain specified levels of insurance, and indemnify us for, and insure against, liabilities arising out of their use and operation of the aircraft, we cannot assure you that we will not have any liability.</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there are certain risks or liabilities that we or our lessees may face, for which insurers may be unwilling to provide coverage for, or the cost to obtain such coverage may be prohibitively expensive. For example, following the terrorist attacks of September 11, 2001, aviation insurers significantly reduced the amount of insurance coverage available for claims resulting from acts of terrorism, war, dirty bombs, biohazardous materials, electromagnetic pulsing or similar events, and increased the premiums for such third-party war risk and terrorism liability insurance and coverage in general. Similarly, following the Russia-Ukraine conflict, aviation insurers have, in some cases, reduced the scope of insurance coverage provided by policies and increased insurance premiums. Accordingly, our or our lessees’ insurance coverage could be insufficient to cover all claims that could be asserted against us arising from the operation of our aircraft. Inadequate insurance coverage or default by lessees in fulfilling their indemnification or insurance obligations will reduce the proceeds that would be received by us if we are sued and are required to make payments to claimants. Moreover, our lessees’ insurance coverage is dependent on the financial condition of insurance companies, which might not be able to pay claims.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or our lessees’ failure to adequately insure our aircraft, or our lessees’ failure to fulfill their indemnity obligations to us, could reduce insurance proceeds otherwise payable to us in certain cases, and may result in increased costs and liabilities for our business.</w:t>
      </w:r>
    </w:p>
    <w:p>
      <w:pPr>
        <w:spacing w:after="0" w:line="18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A lessee’s failure to obtain required licenses, consents and approvals could negatively affect our ability to remarket, sell, or induct such aircraft into our fleet.</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Airlines are subject to extensive regulation in the jurisdictions in which they are registered and operate. As a result, we expect some of our leases will require licenses, consents or approvals, including consents from governmental or regulatory authorities for certain payments under our leases and for the import, export or deregistration of aircraft. Subsequent changes in applicable law or administrative practice may require additional licenses and consents or result in revocation of prior licenses and consents.</w:t>
      </w:r>
    </w:p>
    <w:p>
      <w:pPr>
        <w:spacing w:after="0" w:line="190"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Furthermore, consents needed in connection with our repossession or sale of an aircraft may be withheld. Any of these events could negatively affect our ability to remarket, sell, or induct such aircraft into our fleet.</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Export restrictions and tariffs may impact where we can place and deliver our aircraft and negatively impact our earnings and cash flows.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Existing export restrictions impact where we can place and deliver our aircraft. New export restrictions, including those implemented quickly or as a result of geopolitical events, may impact where we can place and deliver our aircraft or the ability of our lessees to operate our aircraft in certain jurisdictions, which may negatively impact our earnings and cash flows. For example, in early 2022, in connection with the ongoing conflict between Russia and Ukraine, the United States, European Union, United Kingdom and others imposed economic sanctions and export controls against certain industry sectors and parties in Russia. These sanctions include closures of airspace for aircraft operated by Russian airlines, bans on the leasing or sale of aircraft to Russian controlled entities, bans on the export and re-export of aircraft and aircraft components to Russian controlled entities or for use in Russia, and corresponding prohibitions on providing technical assistance, brokering services, insurance and reinsurance, as well as financing or financial assistance.</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Tariffs can also impact our ability to place and deliver aircraft. Our leases are primarily structured as triple net leases, whereby the lessee is responsible for all operating costs. As a result, increased tariffs will result in a higher cost for imported aircraft that our lessees may not be willing to assume and which could adversely impact demand for aircraft, creating an oversupply of aircraft and potentially placing downward pressure on lease rates and aircraft market values.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example, in October 2019, the Office of the U.S. Trade Representative announced a 10% tariff on new aircraft imported from Europe, including Airbus aircraft. In March 2020, the tariffs on aircraft were raised to 15%. In November 2020, the E.U. announced a 15% tariff on new aircraft imported into the E.U. from the U.S., including Boeing aircraft. In June 2021, the U.S. and the E.U. agreed to temporarily suspend all retaliatory tariffs related to new aircraft imports for five years.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cannot predict what further actions may ultimately be taken with respect to export controls, tariffs or trade relations between the U.S. and other countries. Accordingly, it is difficult to predict exactly how, and to what extent, such actions may impact our business, or the business of our lessees or aircraft manufacturers. Any unfavorable government policies on international trade, such as export controls, capital controls or tariffs, may affect the demand for aircraft, increase the cost of aircraft components, delay production, or impact the competitive position of certain aircraft manufacturers. In turn, this may impact where we can place and deliver our aircraft, which may negatively impact our earnings and cash flows.</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Changes in fuel costs could negatively affect our lessees, and by extension, the demand for our aircraft, which may negatively impact our earnings and cash flows.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fuel prices have fluctuated widely depending primarily on international market conditions, geopolitical and environmental events, and currency exchange rates. The cost of fuel represents a major expense that is not within the control of airlines, and significant increases in fuel costs or hedges that inaccurately assess the direction of fuel costs can adversely affect our and other airlines’ operating results. Due to the competitive nature of the aviation industry, operators may be unable to pass on increases in fuel prices to their customers by increasing fares in a manner that fully offsets increased fuel costs. In addition, operators may not be able to manage this risk by appropriately hedging their exposure to fuel price fluctuations. Airlines that do hedge their fuel costs can also be adversely affected by swift movements in fuel prices if such airlines are required as a result to post cash collateral under hedge agreements. Therefore, if fuel prices materially increase or show significant volatility, our lessees are likely to incur higher costs or generate lower revenues, which may affect their ability to meet their obligations to us. A sustained period of lower fuel costs may also adversely affect regional economies that depend on oil revenue, including those in which certain of our lessees operate. Should changes in fuel costs negatively affect our lessees or demand for our aircraft, our earnings and cash flows may be negatively impacted.</w:t>
      </w:r>
    </w:p>
    <w:p>
      <w:pPr>
        <w:spacing w:after="0" w:line="211"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The appreciation of the U.S. dollar could negatively impact our lessees’ ability to honor the terms of their leases, which are denominated in U.S. dollars, and may result in lost revenues and reduced net income.</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Lessees are exposed to currency risk due to the fact that they earn revenues in their local currencies while a significant portion of their liabilities and expenses are denominated in U.S. dollars, including their lease payments to us, as well as fuel, debt service, and other expenses. The ability of our lessees to make lease payments to us in U.S. dollars may be adversely impacted in the event of an appreciating U.S. dollar. This is particularly true for non-U.S. airlines whose operations are primarily domestic. Shifts in foreign exchange rates can be significant, are difficult to predict, and can occur quickly as evidenced by the significant appreciation of the U.S. dollar in 2022. Should our lessees be unable to honor the terms of their leases due to the appreciation of the U.S. dollar, we may experience lost revenues and reduced net income.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and other taxes could negatively affect our business and operating results due to our multi-jurisdictional operations.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operate in multiple jurisdictions and may become subject to a wide range of income and other taxes. If we are unable to execute our business in jurisdictions with favorable tax treatment, our operations may be subject to significant income and other taxes. Moreover, as our aircraft are operated by our lessees in multiple jurisdictions, we may have nexus or taxable presence as a result of our aircraft landings in various jurisdictions. Such landings may result in us being subject to various taxes in such jurisdictions. Further, any changes in tax laws in any of the jurisdictions that subject us to income or other taxes, such as increases in tax rates or limitations on our ability to deduct certain expenses from taxable income, such as depreciation expense and interest expense, could materially affect our tax obligations and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ESG matters may impose additional costs and expose us to new risks.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Public ESG and sustainability reporting is becoming more broadly expected by investors, shareholders, regulatory agencies and other third parties. Certain organizations that provide corporate governance and other corporate risk information to investors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also face reputational damage in the event our corporate responsibility initiatives or objectives do not meet the standards set by our investors, shareholders, lawmakers, listing exchanges or other constituencies, or if we are unable to achieve an acceptable ESG or sustainability rating from third party rating services.</w:t>
      </w:r>
    </w:p>
    <w:p>
      <w:pPr>
        <w:spacing w:after="0" w:line="214"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Major bank failure or sustained financial market illiquidity, or illiquidity at our clearing, cash management and custodial financial institutions, could adversely affect our business, financial condition and results of operations.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the California Department of Financial Protection and Innovation closed SVB and appointed FDIC receiver. Similarly, on March 12, 2023, Signature Bank and Silvergate Capital Corp. were each swept into receivership. Since that time, there have been reports of instability at other U.S. banks. Although the Federal Reserve Board, the Department of the Treasury and the FDIC have taken steps to ensure that depositors at SVB and Signature Bank can access all of their funds, including funds held in uninsured deposit accounts, and have taken additional steps to provide liquidity to other banks, there is no guarantee that, in the event of the closure of other banks or financial institutions in the future, depositors would be able to access uninsured funds or that they would be able to do so in a timely fashion and uncertainty and liquidity concerns in the broader financial services industry remain. The ultimate outcome of these events, and whether further regulatory actions will be taken, cannot be predicted.</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would face certain risks in the event of a sustained deterioration of financial market liquidity, as well as in the event of sustained deterioration in the liquidity, or failure, of our clearing, cash management and custodial financial institutions. In particular, in the event of a major bank or credit card failure, we could be unable to process credit card transactions. In such a case, or if financial liquidity deteriorates for other reasons, our ability to operate our business and our financial condition and results of operations could be significantly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Credit Agreement contains, and any future indebtedness of ours could contain, restrictions that limit our flexibility.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Credit Agreement contains, and any future indebtedness of ours could contain covenants that impose significant operating and financial restrictions on us, such as restrictions on our and our subsidiaries’ ability to, among other things:</w:t>
      </w:r>
    </w:p>
    <w:p>
      <w:pPr>
        <w:spacing w:after="0" w:line="15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vary significantly as a result of a number of factors, some of which are beyond our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stock price:</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7"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variations in the rate of growth (if any) of our financial or operational indicators, such as earnings per share, net income, revenues, Adjusted Net Income, Adjusted EBITDA and Adjusted CASM;</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revenue or earnings estimates, or changes in recommendations or withdrawal of research coverage, by equity research analysts;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rapid spread of a viral or bacterial infection, disease or similar public health threat and its effects;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certificate of incorporation and bylaws include provisions limiting ownership and voting by non-U.S. citizens.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restrictions on ownership and control of shares of our common stock could adversely impact the price that investors might be willing to pay in the future for shares of our common stock.</w:t>
      </w:r>
    </w:p>
    <w:p>
      <w:pPr>
        <w:spacing w:after="0" w:line="155"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The Apollo Stockholder has significant influence over us, and Apollo’s interests may conflict with our interests and the interests of other stockholders.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2023, the Apollo Stockholder beneficially owned approximately 21% of the voting power of our outstanding common equity. Although the Apollo Stockholder beneficially owns less than 50% of our outstanding common equity, individuals affiliated with Apollo continue to have significant influence over the outcome of votes on all matters requiring approval by our stockholders, including the election of directors, changes to certain of our governing documents,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w:t>
      </w:r>
    </w:p>
    <w:p>
      <w:pPr>
        <w:spacing w:after="0" w:line="197"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subsidiary to meet our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dividends and distributions and other transfers, including for payments in respect of our indebtedness, from our subsidiary to meet our obligations. The agreements governing the indebtedness of our subsidiary, including the Credit Agreement, impose restrictions on our subsidiary’s ability to pay dividends or other distributions to us. Our subsidiary is a distinct legal entity, and under certain circumstances legal and contractual restrictions may limit our ability to obtain cash from them and we may be limited in our ability to cause any future joint ventures to distribute their earnings to us. The deterioration of the earnings from, or other available assets of, our subsidiary for any reason could also limit or impair their ability to pay dividends or other distributions to us.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b w:val="1"/>
          <w:bCs w:val="1"/>
          <w:i w:val="1"/>
          <w:iCs w:val="1"/>
          <w:color w:val="auto"/>
        </w:rPr>
        <w:t>pursuant to the 2019 Warrants, this will dilute the ownership interests of our then-existing stockholders and could adversely affect the market price of our common stock.</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34% of which had vested as of December 31, 2023.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92" w:lineRule="exact"/>
        <w:rPr>
          <w:sz w:val="20"/>
          <w:szCs w:val="20"/>
          <w:color w:val="auto"/>
        </w:rPr>
      </w:pPr>
    </w:p>
    <w:p>
      <w:pPr>
        <w:jc w:val="both"/>
        <w:spacing w:after="0" w:line="294"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2023, we had 53,291,001 shares of common stock outstanding, warrants to purchase 9,482,606 shares of common stock, options to purchase 4,061,252 shares of common stock and 434,744 shares of common stock that may be issued upon the vesting of outstanding restricted stock units. In addition, certain of our existing stockholders, including the Apollo Stockholder and Amazon, have certain rights to require us to register the sale of common stock held by them including in connection with underwritten offerings. Pursuant to these registration rights, we filed a "shelf" registration statement, under which the Apollo Stockholder and Amazon could offer and sell, from time-to-time, up to an aggregate of 34,352,603 shares of our common stock, including 9,482,606 shares of our common stock issuable upon exercise of outstanding warrants. Additionally, we filed a registration statement in respect of all shares of common stock that we may issue under the Omnibus Incentive Plan and the SCA Acquisition Equity Plan. After registration, these shares can be freely sold in the public market upon issuance. Sales of significant amounts of stock in the public market upon expiration of lock-up agreements, the perception that such sales may occur, or early release of any lock-up agreements, could adversely affect prevailing market prices of our common stock or make it more difficult to sell shares of common stock at a time and price that you deem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anticipate paying any dividends in the foreseeable future on our common stock. We intend to retain all future earnings for the operation and expansion of our business, the repayment of outstanding debt, and for general corporate purposes. The Credit Agreement contains,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the only source of gain for the foreseeable future. While we may change this policy at some point in the future, we cannot assure you that we will make such a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our pre-IPO stockholders for certain tax benefits, and the amounts of such payments could be material.</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$101,044 as of December 31, 2023. Payments in accordance with the terms of the income tax receivable agreement could have an adverse effect on our liquidity and financial condition.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the income tax receivable agreement,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of the Consolidated Financial Statements included in Part II, Item 8 of this Annual Report.</w:t>
      </w:r>
    </w:p>
    <w:p>
      <w:pPr>
        <w:spacing w:after="0" w:line="18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have previously identified material weaknesses in our internal control over financial reporting, which have been remediated. If other control deficiencies are identified in the future, we may not be able to accurately or timely report our financial condition or results of operations, which may adversely affect investor confidence in us and, as a result, the value of our common stock.</w:t>
      </w:r>
    </w:p>
    <w:p>
      <w:pPr>
        <w:spacing w:after="0" w:line="17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disclosed in Part II, Item 9A, “Controls and Procedures,” we have previously identified material weaknesses in our internal control over financial reporting, which have been fully remediated in the quarter ended December 31, 2023. A material weakness is a deficiency, or</w:t>
      </w:r>
    </w:p>
    <w:p>
      <w:pPr>
        <w:jc w:val="both"/>
        <w:spacing w:after="0" w:line="226" w:lineRule="auto"/>
        <w:rPr>
          <w:sz w:val="20"/>
          <w:szCs w:val="20"/>
          <w:color w:val="auto"/>
        </w:rPr>
      </w:pPr>
      <w:r>
        <w:rPr>
          <w:rFonts w:ascii="Arial" w:cs="Arial" w:eastAsia="Arial" w:hAnsi="Arial"/>
          <w:sz w:val="18"/>
          <w:szCs w:val="18"/>
          <w:color w:val="auto"/>
        </w:rPr>
        <w:t>combination of deficiencies, in internal control over financial reporting, such that there is a reasonable possibility that a material misstatement of a company’s annual or interim financial statements will not be prevented or detected on a timely basis. The first previously disclosed</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material weakness identified in the prior year related to management's controls over the accounting for complex, non-routine transactions that were not designed or implemented to operate with a sufficient level of precision. This included controls addressing the application of ASC Topic 842, Leases, to the purchase of aircraft subject to an existing operating lease. The additional previously disclosed material weakness identified in the quarter ended June 30, 2023, related to an ineffective risk assessment and lack of effective controls over the procurement process activities outsourced to a third-party service organization, including the ITGCs over the automation of processing of vendor invoices (i.e., scanning, routing, approving, and preparing the recording of invoices) and hosting of related information.</w:t>
      </w:r>
    </w:p>
    <w:p>
      <w:pPr>
        <w:spacing w:after="0" w:line="22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2023, our management completed a series of actions and measures that effectively remediated these previously disclosed material weaknesses and concluded that as of December 31, 2023 our internal control over financial reporting was effective, as described in Part II, Item 9A. We cannot assure you that additional material weaknesses will not arise in the future or that management has identified all material weaknesses.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22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Failure to have effective internal control over financial reporting and disclosure controls and procedures could impair our ability to produce accurate financial statements on a timely basis and could lead to a restatement of</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financial statements.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and investors could lose confidence in our reported financial information. In addition, in some circumstances, failure to maintain effective internal control over financial reporting could result in investigations or sanctions by regulatory authorities.</w:t>
      </w:r>
    </w:p>
    <w:p>
      <w:pPr>
        <w:spacing w:after="0" w:line="19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we fail to maintain effective internal control over financial reporting or disclosure controls and procedures, we may not be able to rely on the integrity of our financial results, which could result in inaccurate or late reporting of our financial results, as well as delays or the inability to meet our reporting obligations or to comply with SEC rules and regulations. Any of these could result in delisting actions by the Nasdaq Stock Market, investigation and sanctions by regulatory authorities, stockholder investigations and lawsuits, and could adversely affect our business and the trading price of our common stock. The potential consequences of any material weakness could have a material adverse effect on our business, results of operations and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regular part of our ordinary business operations, we collect and store sensitive data, including information necessary for our operations, information from our passengers, customers (including the DoD), employees and our business partners. The secure operation of our networks and systems, and those of our business partners and third-party service providers, on which this type of information is collected, processed, maintained and stored is critical to our business operations and strategy. We recognize these networks and systems may be subject to increasing and continually evolving cybersecurity risks.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significant cybersecurity incident to us or one of our third-party partners could result in a range of potentially material negative consequences for us, which could include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fees, fines, sanctions or other penalties, as well as injunctive relief requiring costly compliance measures. Due to the significant competition within the airline industry, a cybersecurity incident could also impact our brand, harm our reputation and adversely impact our relationship with our customers, employees and stockholders.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reasons mentioned above, the secure operation of our networks and systems, and those of our business partners and third-party service providers, on which this type of information is collected, processed, maintained and stored is critical to our business operations and strategy. Cybersecurity risk is a focus of our control environment and included within our entity-level controls, process level controls, and general information technology controls. We regularly review and update our procedures, processes and technologies to prevent and protect against unauthorized access to, and to ensure the confidentiality, integrity, and availability of, our networks and systems. We have programs in place to identify and protect against cybersecurity weaknesses in our networks and systems, detect, contain, evaluate and respond to data security incidents and provide employee awareness training regarding phishing, malware and other cybersecurity risks.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policies align with the National Institute of Standards and Technology Cybersecurity Framework and we continually evaluate and enhance our cybersecurity procedures. Activities include mandatory online training for all employees, technical security controls, enhanced data protection, the maintenance of backup and protective systems, policy review and implementation, the evaluation and retention of cybersecurity insurance, periodic assessments of third-party service providers to assess cyber preparedness of key vendors, and running simulated cybersecurity drills, including vulnerability scanning, penetration testing and disaster recovery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exercises, throughout the organization. These cybersecurity drills are performed both in-house and by third-party service providers. We use automated tools that monitor, detect, and prevent cybersecurity risks and have a third-party security operations center to alert us to any potential cybersecurity threats. We have effected comprehensive incident response plans that outline the appropriate communication flow and response for certain categories of potential cybersecurity incidents.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third-party vendors to provide software solutions that are critical to our operations. We assess cybersecurity risk during onboarding for material vendors that receive sensitive information or provide services that are critical to our business, and regularly audit these providers after onboarding. We review vendors that are material to our ordinary business operations on an annual basis and monitor these vendors for compliance with cybersecurity best practices.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assist in the review of our cybersecurity risks, as well as the risks associated with our material vendors, we engage third-party cybersecurity professionals. For example, we engage vendors to assist in vetting the cybersecurity of our material vendors and to facilitate incident response tabletop exercises.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Board of Directors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the duty of the Board of Directors to serve as a prudent fiduciary for shareholders and to oversee the management of our business. Our Board of Directors is responsible for establishing accountability for our executive officers and ensuring reasonable internal controls are in place, including processes and procedures for detecting, containing, evaluating and responding to cybersecurity incidents. The Board of Directors is informed of the cybersecurity threats potentially facing the Company and the Company’s prevention activities on a quarterly basis, or more frequently if needed, through discussions and presentations with our management and individuals directly responsible for our cybersecurity. These presentations include, as applicable, reports on the overall status of the Company’s cybersecurity program, discussion of material cybersecurity matters, including the results of penetration or other security testing, security incidents, and violations of the Company’s security policy, and recommended changes to the Company’s cybersecurity program. The Board of Directors is actively engaged in the Company’s ongoing efforts to increase incident response preparedness.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management is responsible for establishing and maintaining adequate cybersecurity over the secure operation of our networks and systems, and for evaluating and monitoring our cybersecurity risks associated with our business partners and third-party service providers. The Company’s CIO and CISO are responsible for managing these risks. These individuals have extensive experience in technology and information security within the airline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CIO and CISO are responsible for assessing the Company’s cybersecurity risks and, in conjunction with Legal where appropriate, establishing and maintaining a cybersecurity program to manage such risks. For example, the CIO and CISO oversee cybersecurity training for our employees and establish standards used to evaluate and monitor the process and control requirements we expect of our third-party partners as part of the Company’s overall cybersecurity program. The CIO and CISO lead a team that includes third-party cybersecurity professionals to administer the Company’s cybersecurity program. The CIO and CISO are responsible for the reporting of cybersecurity matters to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Fleet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As of December 31, 2023, Sun Country's fleet consisted of 60 Boeing 737-NG aircraft, comprised of 55 Boeing 737-800s and five Boeing 737-900ERs. This includes 42 aircraft in the passenger fleet, 12 cargo operated aircraft through the ATSA with Amazon, and six aircraft that are currently on lease to</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unaffiliated airlines. We do not have an aircraft order book because we only purchase mid-life aircraft. As a result, unlike many other airlines, we are not locked into large future capital expenditures. Rather, we opportunistically take advantage of aircraft prices with purchases at the time of our choosing.</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we operated 42 aircraft in our passenger fleet. Of these passenger aircraft, 13 were financed under finance leases, 26 of the owned aircraft were financed and three aircraft were unencumbered. The average age of the passenger aircraft in our fleet was approximately 15 years as of December 31, 2023.</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2023, the Company acquired five 737-900ERs that are currently on lease to an unaffiliated airline. The Company obtained outright ownership of the Owned Aircraft Held for Operating Lease upon purchase and assumed the position of lessor until the end of the lease terms. The Company is entitled to fixed payments over the remaining lease term for each aircraft, which expire at various dates between the fourth quarter of 2024 and the fourth quarter of 2025. On each lease expiry date, the Owned Aircraft Held for Operating Lease will be redelivered to Sun Country and are expected to be inducted into the Company’s fleet. The average age of the Owned Aircraft Held for Operating lease in our fleet was approximately 9 years as of December 31, 2023.</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the Company had a commitment to purchase an aircraft with an expected delivery in the first quarter of 2024. The purchase agreement calls for a base price of $27,500 that is subject to adjustment based on the aircraft's maintenance condition on the date of delivery.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a commitment to lease three aircraft with deliveries spanning the fourth quarter of 2023 and the first quarter of 2024. The leases have annual lease payments of approximately $2,000 for six years. As of December 31, 2023, the Company had taken control of one of the three aircraft, which was subsequently subleased. The sublease expires in the fourth quarter of 2024. The aircraft will be delivered to Sun Country on the sublease expiry date and the aircraft will continue to be leased by the Company. The aircraft is expected to be inducted into the Company's fleet upon redelivery. The age of the subleased aircraft was approximately 11 years as of December 31, 2023.</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operate 12 aircraft dedicated to our Cargo business. These freighters had an average age of 21 years as of December 31, 2023. This fleet of freighters is subleased directly from Amazon and we operate them pursuant to the ATSA. Based upon review of the ATSA, the sublease arrangement does not qualify as a lease under ASC 842, </w:t>
      </w:r>
      <w:r>
        <w:rPr>
          <w:rFonts w:ascii="Arial" w:cs="Arial" w:eastAsia="Arial" w:hAnsi="Arial"/>
          <w:sz w:val="18"/>
          <w:szCs w:val="18"/>
          <w:i w:val="1"/>
          <w:iCs w:val="1"/>
          <w:color w:val="auto"/>
        </w:rPr>
        <w:t>Leases</w:t>
      </w:r>
      <w:r>
        <w:rPr>
          <w:rFonts w:ascii="Arial" w:cs="Arial" w:eastAsia="Arial" w:hAnsi="Arial"/>
          <w:sz w:val="18"/>
          <w:szCs w:val="18"/>
          <w:color w:val="auto"/>
        </w:rPr>
        <w:t>, because we do not control the use of the aircraft. As such, no right-of-use asset and lease liability is recognized in our financial statements for the Amazon arrangement. We may expand our freighter fleet in order to serve additional cargo customers or provide additional service to Amazon.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primarily operate out of eight of the 14 gates at Terminal 2 at MSP, which we have access to on an "Enhanced Priority" basis through 2028, with common use access to the remaining gates. All other leases for our terminal passenger service facilities, which include operational support space and baggage service offices, are leased on a month-to-month basis.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Gate space and ticket counter space is used and billed on a per operation (each arrival and departure) basis until an annual operating cap is met. Our leases also include two hangars:</w:t>
      </w:r>
    </w:p>
    <w:p>
      <w:pPr>
        <w:spacing w:after="0" w:line="153" w:lineRule="exact"/>
        <w:rPr>
          <w:sz w:val="20"/>
          <w:szCs w:val="20"/>
          <w:color w:val="auto"/>
        </w:rPr>
      </w:pPr>
    </w:p>
    <w:p>
      <w:pPr>
        <w:ind w:left="660" w:right="20" w:hanging="328"/>
        <w:spacing w:after="0" w:line="28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108,000 square foot maintenance hangar, which includes office space and is where we provide certain maintenance on our aircraft;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90,000 square foot office and hangar facility which has been converted into our corporate headquarters.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Charter Service with an origin or destination where we do not have ground handling capabilities, we arrange with airports, fixed base operators or military bases to provide ground services on an as needed basis.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AND EQUITY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17, 2021, our common stock began trading on the Nasdaq under the symbol “SNCY”. Prior to that date, there was no public market for our common stock. As of December 31, 2023, there were 53,291,001 shares of common stock outstanding and held of record by approximately 3 stockholders and no shares of preferred stock were outstanding. The number of record holders of our common stock does not include DTC participants or beneficial owners holding shares through nominee names. We are unable to estimate the total number of stockholders represented by the holders. For this reason, the actual number of stockholders is greater than this number of record 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As a holding company, our ability to pay dividends also depends on our receipt of cash dividends from our operating subsidiaries. Our ability to pay dividends is restricted as a result of the Credit Agreement and may be restricted under future indebtedness that we or our subsidiaries may incur. For more information on the Company's Credit Agreement,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3,600,000 shares authorized under the Sun Country Airlines Holdings, Inc. 2021 Omnibus Incentive Plan, of which 2,881,120 remains available as of December 31, 2023. For more information on the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Company's compensation plans,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Weighted-average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39"/>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be issued upon</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rPr>
              <w:t>exercise price of</w:t>
            </w:r>
          </w:p>
        </w:tc>
        <w:tc>
          <w:tcPr>
            <w:tcW w:w="21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exercise of outstanding</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outstanding</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future issuance under</w:t>
            </w:r>
          </w:p>
        </w:tc>
        <w:tc>
          <w:tcPr>
            <w:tcW w:w="0" w:type="dxa"/>
            <w:vAlign w:val="bottom"/>
          </w:tcPr>
          <w:p>
            <w:pPr>
              <w:spacing w:after="0"/>
              <w:rPr>
                <w:sz w:val="1"/>
                <w:szCs w:val="1"/>
                <w:color w:val="auto"/>
              </w:rPr>
            </w:pPr>
          </w:p>
        </w:tc>
      </w:tr>
      <w:tr>
        <w:trPr>
          <w:trHeight w:val="144"/>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80" w:type="dxa"/>
            <w:vAlign w:val="bottom"/>
            <w:vMerge w:val="restart"/>
          </w:tcPr>
          <w:p>
            <w:pPr>
              <w:spacing w:after="0"/>
              <w:rPr>
                <w:sz w:val="12"/>
                <w:szCs w:val="12"/>
                <w:color w:val="auto"/>
              </w:rPr>
            </w:pPr>
          </w:p>
        </w:tc>
        <w:tc>
          <w:tcPr>
            <w:tcW w:w="21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options, warrants and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options, warrants</w:t>
            </w: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equity compensation</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rights</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and rights</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169"/>
        </w:trPr>
        <w:tc>
          <w:tcPr>
            <w:tcW w:w="47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Sun Country Airlines Holdings, Inc. 2021 Omnibus</w:t>
            </w:r>
          </w:p>
        </w:tc>
        <w:tc>
          <w:tcPr>
            <w:tcW w:w="80" w:type="dxa"/>
            <w:vAlign w:val="bottom"/>
            <w:shd w:val="clear" w:color="auto" w:fill="CCEEFF"/>
          </w:tcPr>
          <w:p>
            <w:pPr>
              <w:spacing w:after="0"/>
              <w:rPr>
                <w:sz w:val="14"/>
                <w:szCs w:val="14"/>
                <w:color w:val="auto"/>
              </w:rPr>
            </w:pPr>
          </w:p>
        </w:tc>
        <w:tc>
          <w:tcPr>
            <w:tcW w:w="216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68,540</w:t>
            </w: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33.03</w:t>
            </w:r>
          </w:p>
        </w:tc>
        <w:tc>
          <w:tcPr>
            <w:tcW w:w="100" w:type="dxa"/>
            <w:vAlign w:val="bottom"/>
            <w:shd w:val="clear" w:color="auto" w:fill="CCEEFF"/>
          </w:tcPr>
          <w:p>
            <w:pPr>
              <w:spacing w:after="0"/>
              <w:rPr>
                <w:sz w:val="14"/>
                <w:szCs w:val="14"/>
                <w:color w:val="auto"/>
              </w:rPr>
            </w:pPr>
          </w:p>
        </w:tc>
        <w:tc>
          <w:tcPr>
            <w:tcW w:w="2140" w:type="dxa"/>
            <w:vAlign w:val="bottom"/>
            <w:vMerge w:val="restart"/>
            <w:shd w:val="clear" w:color="auto" w:fill="CCEEFF"/>
          </w:tcPr>
          <w:p>
            <w:pPr>
              <w:jc w:val="right"/>
              <w:ind w:right="1"/>
              <w:spacing w:after="0"/>
              <w:rPr>
                <w:sz w:val="20"/>
                <w:szCs w:val="20"/>
                <w:color w:val="auto"/>
              </w:rPr>
            </w:pPr>
            <w:r>
              <w:rPr>
                <w:rFonts w:ascii="Arial" w:cs="Arial" w:eastAsia="Arial" w:hAnsi="Arial"/>
                <w:sz w:val="18"/>
                <w:szCs w:val="18"/>
                <w:color w:val="auto"/>
              </w:rPr>
              <w:t>2,881,120</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2160" w:type="dxa"/>
            <w:vAlign w:val="bottom"/>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Sun Country Airlines 2018 Equity Incentive Plan</w:t>
            </w:r>
          </w:p>
        </w:tc>
        <w:tc>
          <w:tcPr>
            <w:tcW w:w="21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3,992,712</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tcPr>
          <w:p>
            <w:pPr>
              <w:jc w:val="right"/>
              <w:ind w:right="1"/>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21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4,061,252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2,881,120</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Security by the Issuer and Affiliated Purchasers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31, 2022, the Company’s Board of Directors authorized a $50,000 stock repurchase program of its Common Stock. On August 1, 2023 and November 6, 2023, the Company's Board of Directors authorized the addition of $30,000 and $25,000, respectively to the Company's existing stock repurchase program. The Company may purchase shares of its Common Stock on a discretionary basis from time-to-time through open market repurchases, privately negotiated transactions, accelerated share repurchase, or other means, including through Rule 10b5-1 trading plans.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stock repurchase program has no expiration date and may be modified, suspended, or terminated at any time. Any repurchases made under this program will be funded from the Company’s existing cash flows, or future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 Number of Shares</w:t>
            </w: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Average Price Paid per</w:t>
            </w:r>
          </w:p>
        </w:tc>
        <w:tc>
          <w:tcPr>
            <w:tcW w:w="2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tcPr>
          <w:p>
            <w:pPr>
              <w:jc w:val="center"/>
              <w:ind w:right="56"/>
              <w:spacing w:after="0" w:line="145" w:lineRule="exact"/>
              <w:rPr>
                <w:sz w:val="20"/>
                <w:szCs w:val="20"/>
                <w:color w:val="auto"/>
              </w:rPr>
            </w:pPr>
            <w:r>
              <w:rPr>
                <w:rFonts w:ascii="Arial" w:cs="Arial" w:eastAsia="Arial" w:hAnsi="Arial"/>
                <w:sz w:val="14"/>
                <w:szCs w:val="14"/>
                <w:b w:val="1"/>
                <w:bCs w:val="1"/>
                <w:color w:val="auto"/>
              </w:rPr>
              <w:t>in thousands) of Shares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Purchased as Part of</w:t>
            </w:r>
          </w:p>
        </w:tc>
        <w:tc>
          <w:tcPr>
            <w:tcW w:w="1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6"/>
                <w:szCs w:val="16"/>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Publicly Announced Plans</w:t>
            </w:r>
          </w:p>
        </w:tc>
        <w:tc>
          <w:tcPr>
            <w:tcW w:w="140" w:type="dxa"/>
            <w:vAlign w:val="bottom"/>
          </w:tcPr>
          <w:p>
            <w:pPr>
              <w:spacing w:after="0"/>
              <w:rPr>
                <w:sz w:val="16"/>
                <w:szCs w:val="16"/>
                <w:color w:val="auto"/>
              </w:rPr>
            </w:pPr>
          </w:p>
        </w:tc>
        <w:tc>
          <w:tcPr>
            <w:tcW w:w="1820" w:type="dxa"/>
            <w:vAlign w:val="bottom"/>
          </w:tcPr>
          <w:p>
            <w:pPr>
              <w:jc w:val="center"/>
              <w:ind w:right="56"/>
              <w:spacing w:after="0"/>
              <w:rPr>
                <w:sz w:val="20"/>
                <w:szCs w:val="20"/>
                <w:color w:val="auto"/>
              </w:rPr>
            </w:pPr>
            <w:r>
              <w:rPr>
                <w:rFonts w:ascii="Arial" w:cs="Arial" w:eastAsia="Arial" w:hAnsi="Arial"/>
                <w:sz w:val="14"/>
                <w:szCs w:val="14"/>
                <w:b w:val="1"/>
                <w:bCs w:val="1"/>
                <w:color w:val="auto"/>
              </w:rPr>
              <w:t>Under Plan</w:t>
            </w:r>
          </w:p>
        </w:tc>
        <w:tc>
          <w:tcPr>
            <w:tcW w:w="0" w:type="dxa"/>
            <w:vAlign w:val="bottom"/>
          </w:tcPr>
          <w:p>
            <w:pPr>
              <w:spacing w:after="0"/>
              <w:rPr>
                <w:sz w:val="1"/>
                <w:szCs w:val="1"/>
                <w:color w:val="auto"/>
              </w:rPr>
            </w:pPr>
          </w:p>
        </w:tc>
      </w:tr>
      <w:tr>
        <w:trPr>
          <w:trHeight w:val="223"/>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2023</w:t>
            </w:r>
          </w:p>
        </w:tc>
        <w:tc>
          <w:tcPr>
            <w:tcW w:w="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November 1-30, 2023 </w:t>
            </w:r>
            <w:r>
              <w:rPr>
                <w:rFonts w:ascii="Arial" w:cs="Arial" w:eastAsia="Arial" w:hAnsi="Arial"/>
                <w:sz w:val="23"/>
                <w:szCs w:val="23"/>
                <w:color w:val="auto"/>
                <w:vertAlign w:val="superscript"/>
              </w:rPr>
              <w:t>(1)</w:t>
            </w:r>
          </w:p>
        </w:tc>
        <w:tc>
          <w:tcPr>
            <w:tcW w:w="1960" w:type="dxa"/>
            <w:vAlign w:val="bottom"/>
          </w:tcPr>
          <w:p>
            <w:pPr>
              <w:jc w:val="right"/>
              <w:spacing w:after="0"/>
              <w:rPr>
                <w:sz w:val="20"/>
                <w:szCs w:val="20"/>
                <w:color w:val="auto"/>
              </w:rPr>
            </w:pPr>
            <w:r>
              <w:rPr>
                <w:rFonts w:ascii="Arial" w:cs="Arial" w:eastAsia="Arial" w:hAnsi="Arial"/>
                <w:sz w:val="18"/>
                <w:szCs w:val="18"/>
                <w:color w:val="auto"/>
              </w:rPr>
              <w:t>446,948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446,948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18,757</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1-31, 2023</w:t>
            </w:r>
          </w:p>
        </w:tc>
        <w:tc>
          <w:tcPr>
            <w:tcW w:w="8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459,486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223"/>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906,434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906,434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73" w:lineRule="exact"/>
        <w:rPr>
          <w:sz w:val="20"/>
          <w:szCs w:val="20"/>
          <w:color w:val="auto"/>
        </w:rPr>
      </w:pPr>
    </w:p>
    <w:p>
      <w:pPr>
        <w:ind w:left="580" w:hanging="554"/>
        <w:spacing w:after="0"/>
        <w:tabs>
          <w:tab w:leader="none" w:pos="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On November 6, 2023, the Company's Board of Directors authorized an additional $25,000 to the Company's existing stock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graph compares the cumulative total return from March 17, 2021 through December 31, 2023 on our common stock with the cumulative total return on the NASDAQ Composite Index and the NYSE ARCA Airline Index. The graph assumes that the value of the investment on our common stock and each of the Indexes was $100 on March 17, 2021, and further assumes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123825</wp:posOffset>
            </wp:positionV>
            <wp:extent cx="5254625" cy="32575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3/17/2021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12/31/2021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12/31/2022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12/31/2023</w:t>
            </w:r>
          </w:p>
        </w:tc>
      </w:tr>
      <w:tr>
        <w:trPr>
          <w:trHeight w:val="224"/>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SNCY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NYSE Arca Airline Index</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59.15</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Composite Index</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110.99</w:t>
            </w:r>
          </w:p>
        </w:tc>
      </w:tr>
    </w:tbl>
    <w:p>
      <w:pPr>
        <w:spacing w:after="0" w:line="29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stock performance depicted in the graph above represents historical performance and is not to be relied upon as indicative of future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years ended December 31, 2023 and 2022. Also discussed is our financial position as of December 31, 2023 and 2022. Unless expressly stated otherwise, for discussion and analysis of fiscal year 2021 items and fiscal year 2022 compared to fiscal year 2021, please refer to Item 7 of Part II, "Management's Discussion and Analysis of Financial Condition and Results of Operations" in our Annual Report on Form 10-K, for the fiscal year ended December 31, 2022, which was filed with the SEC and is incorporated herein by reference. This section should be read in conjunction with our Consolidated Financial Statements and related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notes appearing elsewhere in this Annual Report. This discussion contains forward-looking statements that involve risks,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Annual Report titled “Risk Factors” “Cautionary Note Regarding Forward-Looking Statements” and elsewhere in this Annual Report. The “Risk Factors” and the “Cautionary Note Regarding Forward-Looking Statements” should be read carefully to gain an understanding of the important factors that could cause actual results to differ materially from our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 high growth, high margins and strong cash flows</w:t>
      </w:r>
    </w:p>
    <w:p>
      <w:pPr>
        <w:jc w:val="both"/>
        <w:spacing w:after="0" w:line="226" w:lineRule="auto"/>
        <w:rPr>
          <w:sz w:val="20"/>
          <w:szCs w:val="20"/>
          <w:color w:val="auto"/>
        </w:rPr>
      </w:pPr>
      <w:r>
        <w:rPr>
          <w:rFonts w:ascii="Arial" w:cs="Arial" w:eastAsia="Arial" w:hAnsi="Arial"/>
          <w:sz w:val="18"/>
          <w:szCs w:val="18"/>
          <w:color w:val="auto"/>
        </w:rPr>
        <w:t>with greater resilience than other passenger airlines. Based in Minnesota, we focus on serving leisure and VFR passengers, Charter customers and providing CMI service to Amazon, with flights throughout the U.S. and to destinations in Canada, Mexico, Central America</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the Caribbean. We share resources, such as flight crews, across our Scheduled Service, Charter and Cargo business lines with the objective of generating high returns and margins and mitigating the seasonality of our route network. We optimize capacity using an agile peak demand scheduling strategy which aims to shift flying to markets during periods of peak demand and away from markets during periods of low demand. This allows us to produce higher unit revenue with a competitive low-cost structure, in line with other ULCCs resulting in best-in-class unit profitability, while also providing greater resiliency to economic or industry downturns. This strategy has been implemented and executed by an experienced management team with deep knowledge of the industry.</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Scheduled Service business combines low costs with a high-quality product to generate higher TRASM than ULCCs while maintaining lower Adjusted CASM than LCCs, resulting in best-in-class unit profitability. Our business includes many cost characteristics of ULCCs, such as an unbundled product (which means we offer a base fare and allow customers to purchase ancillary products and services for an additional fee), point-to-point service and a single-family fleet of Boeing 737-NG aircraft, which allow us to maintain a cost base comparable to ULCCs. However, we offer a high-quality product that we believe is superior to ULCCs and consistent with that of LCCs. For example, our product includes more average legroom than ULCCs, complimentary soft drinks and juices, complimentary in-flight entertainment, and in-seat power, none of which are offered by other ULCCs.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because it provides both inherent diversification and downside protection as well as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DoD, and collegiate and professional sports teams. Our Charter business includes ad hoc, repeat, short-term and long-term service contracts with pass through fuel arrangements and annual rate escalations. Most of our business is non-cyclical because the DoD and sports teams still fly during normal economic downturns and our casino contracts are long-term in nature.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December 13, 2019, we signed </w:t>
      </w:r>
      <w:r>
        <w:rPr>
          <w:rFonts w:ascii="Arial" w:cs="Arial" w:eastAsia="Arial" w:hAnsi="Arial"/>
          <w:sz w:val="18"/>
          <w:szCs w:val="18"/>
          <w:color w:val="231F20"/>
        </w:rPr>
        <w:t>the</w:t>
      </w:r>
      <w:r>
        <w:rPr>
          <w:rFonts w:ascii="Arial" w:cs="Arial" w:eastAsia="Arial" w:hAnsi="Arial"/>
          <w:sz w:val="18"/>
          <w:szCs w:val="18"/>
          <w:color w:val="auto"/>
        </w:rPr>
        <w:t xml:space="preserve"> ATSA with Amazon to provide air cargo services. Flying under the ATSA began in May 2020 and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complimentary streaming of in-flight entertainment to passenger devices, seat reclining and seat-back power in all of our aircraft.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Pilot training throughput issues, fuel price volatility due to market conditions and geopolitical events, and the impact of macroeconomic conditions, including inflationary pressures, continue to impact the Company, as well as the industry. In the current demand environment, we have been able to maintain strong performance by relying on its core competency of optimizing capacity allocation by market, time of year, day of week and line of business by appropriately allocating capacity to best meet demand. Further, our diversified business model, which includes a focus on leisure and VFR passengers, Charter and e-commerce related Cargo service, is unique in the airline sector and mitigates the impact of economic and industry downturns on our business when compared with other large U.S. passenger airlines. This strategy has allowed us to offset a majority of these additional costs. Additionally, our Charter and Cargo businesses have the ability to pass on certain costs, including fuel. Our flexible business model gives us the ability to adjust our services in response to market conditions, which is targeted at producing the highest possible returns for Sun Country.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our business and strategic advantages, see the "Business" section within Part I,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of this Annual Report.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mainly consists of base fares and expired passenger travel credits.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consists of revenue earned from our Charter business, primarily generated through our service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DoD, collegiate and professional sports teams, and casinos.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Ancillary</w:t>
      </w:r>
      <w:r>
        <w:rPr>
          <w:rFonts w:ascii="Arial" w:cs="Arial" w:eastAsia="Arial" w:hAnsi="Arial"/>
          <w:sz w:val="18"/>
          <w:szCs w:val="18"/>
          <w:color w:val="auto"/>
        </w:rPr>
        <w:t>. Ancillary revenue consists primarily of revenue generated from air travel-related services, such as baggage fees, seat selection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fees, priority check-in and boarding fees, other fees and on-board sales.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ATSA with Amazon, primarily related to e-commerce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SCV products, including organizing ground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hotel, car and transfers, as well as the rental revenue related to certain transactions where we act as an aircraft lessor. Other revenue also includes services not directly related to providing passenger services such as the advertising, marketing and brand elements resulting from our co-branded credit card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includes jet fuel, federal and state taxes, and other fees. Aircraft fuel expense can be volatile, even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quarters, due to global economic and geopolitical factors as well as domestic and local supply factors that impact the price of crude oil.</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Salaries, Wages, and Benefits</w:t>
      </w:r>
      <w:r>
        <w:rPr>
          <w:rFonts w:ascii="Arial" w:cs="Arial" w:eastAsia="Arial" w:hAnsi="Arial"/>
          <w:sz w:val="18"/>
          <w:szCs w:val="18"/>
          <w:color w:val="auto"/>
        </w:rPr>
        <w:t>. Salaries, wages, and benefits expense includes salaries, hourly wages,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profit sharing paid to employees for their services, as well as related expenses associated with medical benefits, employee benefit plans, employer payroll taxes and other employee related costs.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Aircraft Rent</w:t>
      </w:r>
      <w:r>
        <w:rPr>
          <w:rFonts w:ascii="Arial" w:cs="Arial" w:eastAsia="Arial" w:hAnsi="Arial"/>
          <w:sz w:val="18"/>
          <w:szCs w:val="18"/>
          <w:color w:val="auto"/>
        </w:rPr>
        <w:t>. Aircraft rent expense consists of monthly lease charges for aircraft and spare engines under the terms of the related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As of December 31, 2023, we operated no aircraft under operating leases. The acquisition of future aircraft through operating leases is at the discretion of management. Aircraft rent expense was partially offset by the amortization of over-market liabilities related to unfavorable terms of our operating leases and maintenance reserves which existed as of the date of our acquisition by the Apollo Funds in 2018. As of December 31, 2023, we did not have any remaining over-market liabilities related to aircraft under operating leases which existed as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 the date of our acquisition by the Apollo Funds in 2018, due to transactions which resulted in either acquiring these aircraft or executing amendments that modified the classification to a finance lease.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Maintenance</w:t>
      </w:r>
      <w:r>
        <w:rPr>
          <w:rFonts w:ascii="Arial" w:cs="Arial" w:eastAsia="Arial" w:hAnsi="Arial"/>
          <w:sz w:val="18"/>
          <w:szCs w:val="18"/>
          <w:color w:val="auto"/>
        </w:rPr>
        <w:t>. Maintenance expense includes the cost of all parts, materials and fees for repairs performed by us and our third-party vendors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maintain our fleet. It excludes direct labor costs related to our own mechanics, which are included in salaries, wages, and benefits expense. It also excludes maintenance expenses, which are deferred based on the built-in overhaul method for owned and finance leased aircraft, which is subsequently amortized as a component of depreciation and amortization expense. Certain maintenance expenses are reduced by the amortization of a liability (or contra -asset) established at the time of our acquisition by the Apollo Funds in 2018 related to maintenance events incurred by the new owners of Sun Country, but paid for by the previous owners. As of December 31, 2023, the contra-asset will be recognized as maintenance events occur or as the balance is applied towards the purchase price of aircraft that were reclassified to finance leases. For more information on these maintenance expense credits,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Consolidated Financial Statements included in Part II, Item 8 of this Annual Report.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 commissions and related GDS fees,</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sponsorship and distribution costs, such as the costs of our call centers, and costs associated with our loyalty program. It excludes related salary and wages of personnel, which are included in salaries, wages, and benefits expense.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 own,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 amortization of finance leased assets, as well as the amortization of certain finite-lived intangible assets. It also includes the depreciation of significant maintenance expenses deferred under the built-in overhaul method for owned and certain finance leased aircraft.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services at airports, including baggage handling, ticket counter and other ground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 use of airport facilities.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 information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taxes and insurance, including hull-liability insurance, supplies, legal and other professional fees, facilities and all other administrative and operational overhead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cash equivalents and investment balances.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and fees related to our outstanding debt and our finance leases,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financing costs.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 Operations, such as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 Liability.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Income taxes are accounted for using the asset and liability method. Deferred taxes are recorded based on differences between the financial statement basis and tax basis of assets and liabilities and available tax loss and credit carryforwards.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Statistics and Metrics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9"/>
              </w:rPr>
              <w:t xml:space="preserve">Year Ended December 31, 2023 </w:t>
            </w:r>
            <w:r>
              <w:rPr>
                <w:rFonts w:ascii="Arial" w:cs="Arial" w:eastAsia="Arial" w:hAnsi="Arial"/>
                <w:sz w:val="16"/>
                <w:szCs w:val="16"/>
                <w:b w:val="1"/>
                <w:bCs w:val="1"/>
                <w:color w:val="auto"/>
                <w:w w:val="99"/>
                <w:vertAlign w:val="superscript"/>
              </w:rPr>
              <w:t>(1)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3"/>
                <w:szCs w:val="13"/>
                <w:b w:val="1"/>
                <w:bCs w:val="1"/>
                <w:color w:val="auto"/>
                <w:w w:val="96"/>
              </w:rPr>
              <w:t xml:space="preserve">Year Ended December 31, 2022 </w:t>
            </w:r>
            <w:r>
              <w:rPr>
                <w:rFonts w:ascii="Arial" w:cs="Arial" w:eastAsia="Arial" w:hAnsi="Arial"/>
                <w:sz w:val="16"/>
                <w:szCs w:val="16"/>
                <w:b w:val="1"/>
                <w:bCs w:val="1"/>
                <w:color w:val="auto"/>
                <w:w w:val="96"/>
                <w:vertAlign w:val="superscript"/>
              </w:rPr>
              <w:t>(1)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317"/>
              <w:spacing w:after="0" w:line="115" w:lineRule="exact"/>
              <w:rPr>
                <w:sz w:val="20"/>
                <w:szCs w:val="20"/>
                <w:color w:val="auto"/>
              </w:rPr>
            </w:pPr>
            <w:r>
              <w:rPr>
                <w:rFonts w:ascii="Arial" w:cs="Arial" w:eastAsia="Arial" w:hAnsi="Arial"/>
                <w:sz w:val="13"/>
                <w:szCs w:val="13"/>
                <w:b w:val="1"/>
                <w:bCs w:val="1"/>
                <w:color w:val="auto"/>
                <w:w w:val="97"/>
              </w:rPr>
              <w:t>Scheduled</w:t>
            </w:r>
          </w:p>
        </w:tc>
        <w:tc>
          <w:tcPr>
            <w:tcW w:w="9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Charter</w:t>
            </w:r>
          </w:p>
        </w:tc>
        <w:tc>
          <w:tcPr>
            <w:tcW w:w="10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Cargo</w:t>
            </w:r>
          </w:p>
        </w:tc>
        <w:tc>
          <w:tcPr>
            <w:tcW w:w="160" w:type="dxa"/>
            <w:vAlign w:val="bottom"/>
          </w:tcPr>
          <w:p>
            <w:pPr>
              <w:spacing w:after="0"/>
              <w:rPr>
                <w:sz w:val="10"/>
                <w:szCs w:val="10"/>
                <w:color w:val="auto"/>
              </w:rPr>
            </w:pPr>
          </w:p>
        </w:tc>
        <w:tc>
          <w:tcPr>
            <w:tcW w:w="1040" w:type="dxa"/>
            <w:vAlign w:val="bottom"/>
            <w:gridSpan w:val="3"/>
            <w:vMerge w:val="restart"/>
          </w:tcPr>
          <w:p>
            <w:pPr>
              <w:jc w:val="right"/>
              <w:ind w:right="560"/>
              <w:spacing w:after="0"/>
              <w:rPr>
                <w:sz w:val="20"/>
                <w:szCs w:val="20"/>
                <w:color w:val="auto"/>
              </w:rPr>
            </w:pPr>
            <w:r>
              <w:rPr>
                <w:rFonts w:ascii="Arial" w:cs="Arial" w:eastAsia="Arial" w:hAnsi="Arial"/>
                <w:sz w:val="13"/>
                <w:szCs w:val="13"/>
                <w:b w:val="1"/>
                <w:bCs w:val="1"/>
                <w:color w:val="auto"/>
              </w:rPr>
              <w:t>Total</w:t>
            </w:r>
          </w:p>
        </w:tc>
        <w:tc>
          <w:tcPr>
            <w:tcW w:w="1160" w:type="dxa"/>
            <w:vAlign w:val="bottom"/>
            <w:gridSpan w:val="3"/>
          </w:tcPr>
          <w:p>
            <w:pPr>
              <w:jc w:val="center"/>
              <w:ind w:right="377"/>
              <w:spacing w:after="0" w:line="115" w:lineRule="exact"/>
              <w:rPr>
                <w:sz w:val="20"/>
                <w:szCs w:val="20"/>
                <w:color w:val="auto"/>
              </w:rPr>
            </w:pPr>
            <w:r>
              <w:rPr>
                <w:rFonts w:ascii="Arial" w:cs="Arial" w:eastAsia="Arial" w:hAnsi="Arial"/>
                <w:sz w:val="13"/>
                <w:szCs w:val="13"/>
                <w:b w:val="1"/>
                <w:bCs w:val="1"/>
                <w:color w:val="auto"/>
                <w:w w:val="97"/>
              </w:rPr>
              <w:t>Scheduled</w:t>
            </w:r>
          </w:p>
        </w:tc>
        <w:tc>
          <w:tcPr>
            <w:tcW w:w="9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Charter</w:t>
            </w:r>
          </w:p>
        </w:tc>
        <w:tc>
          <w:tcPr>
            <w:tcW w:w="1280" w:type="dxa"/>
            <w:vAlign w:val="bottom"/>
            <w:gridSpan w:val="3"/>
            <w:vMerge w:val="restart"/>
          </w:tcPr>
          <w:p>
            <w:pPr>
              <w:jc w:val="right"/>
              <w:ind w:right="620"/>
              <w:spacing w:after="0"/>
              <w:rPr>
                <w:sz w:val="20"/>
                <w:szCs w:val="20"/>
                <w:color w:val="auto"/>
              </w:rPr>
            </w:pPr>
            <w:r>
              <w:rPr>
                <w:rFonts w:ascii="Arial" w:cs="Arial" w:eastAsia="Arial" w:hAnsi="Arial"/>
                <w:sz w:val="13"/>
                <w:szCs w:val="13"/>
                <w:b w:val="1"/>
                <w:bCs w:val="1"/>
                <w:color w:val="auto"/>
              </w:rPr>
              <w:t>Cargo</w:t>
            </w:r>
          </w:p>
        </w:tc>
        <w:tc>
          <w:tcPr>
            <w:tcW w:w="82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jc w:val="center"/>
              <w:ind w:right="337"/>
              <w:spacing w:after="0"/>
              <w:rPr>
                <w:sz w:val="20"/>
                <w:szCs w:val="20"/>
                <w:color w:val="auto"/>
              </w:rPr>
            </w:pPr>
            <w:r>
              <w:rPr>
                <w:rFonts w:ascii="Arial" w:cs="Arial" w:eastAsia="Arial" w:hAnsi="Arial"/>
                <w:sz w:val="13"/>
                <w:szCs w:val="13"/>
                <w:b w:val="1"/>
                <w:bCs w:val="1"/>
                <w:color w:val="auto"/>
                <w:w w:val="99"/>
              </w:rPr>
              <w:t>Service</w:t>
            </w:r>
          </w:p>
        </w:tc>
        <w:tc>
          <w:tcPr>
            <w:tcW w:w="90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160" w:type="dxa"/>
            <w:vAlign w:val="bottom"/>
            <w:gridSpan w:val="3"/>
          </w:tcPr>
          <w:p>
            <w:pPr>
              <w:jc w:val="center"/>
              <w:ind w:right="377"/>
              <w:spacing w:after="0"/>
              <w:rPr>
                <w:sz w:val="20"/>
                <w:szCs w:val="20"/>
                <w:color w:val="auto"/>
              </w:rPr>
            </w:pPr>
            <w:r>
              <w:rPr>
                <w:rFonts w:ascii="Arial" w:cs="Arial" w:eastAsia="Arial" w:hAnsi="Arial"/>
                <w:sz w:val="13"/>
                <w:szCs w:val="13"/>
                <w:b w:val="1"/>
                <w:bCs w:val="1"/>
                <w:color w:val="auto"/>
                <w:w w:val="95"/>
              </w:rPr>
              <w:t>Service</w:t>
            </w:r>
          </w:p>
        </w:tc>
        <w:tc>
          <w:tcPr>
            <w:tcW w:w="96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620" w:type="dxa"/>
            <w:vAlign w:val="bottom"/>
            <w:tcBorders>
              <w:top w:val="single" w:sz="8" w:color="CCEEFF"/>
            </w:tcBorders>
            <w:shd w:val="clear" w:color="auto" w:fill="CCEEFF"/>
          </w:tcPr>
          <w:p>
            <w:pPr>
              <w:ind w:left="20"/>
              <w:spacing w:after="0" w:line="173" w:lineRule="exact"/>
              <w:rPr>
                <w:sz w:val="20"/>
                <w:szCs w:val="20"/>
                <w:color w:val="auto"/>
              </w:rPr>
            </w:pPr>
            <w:r>
              <w:rPr>
                <w:rFonts w:ascii="Arial" w:cs="Arial" w:eastAsia="Arial" w:hAnsi="Arial"/>
                <w:sz w:val="13"/>
                <w:szCs w:val="13"/>
                <w:color w:val="auto"/>
              </w:rPr>
              <w:t xml:space="preserve">Departures </w:t>
            </w:r>
            <w:r>
              <w:rPr>
                <w:rFonts w:ascii="Arial" w:cs="Arial" w:eastAsia="Arial" w:hAnsi="Arial"/>
                <w:sz w:val="16"/>
                <w:szCs w:val="16"/>
                <w:color w:val="auto"/>
                <w:vertAlign w:val="superscript"/>
              </w:rPr>
              <w:t>(2)</w:t>
            </w: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26,144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10,387</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13,009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50,040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23,166</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8,616</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11,619</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43,686</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Block hours </w:t>
            </w:r>
            <w:r>
              <w:rPr>
                <w:rFonts w:ascii="Arial" w:cs="Arial" w:eastAsia="Arial" w:hAnsi="Arial"/>
                <w:sz w:val="16"/>
                <w:szCs w:val="16"/>
                <w:color w:val="auto"/>
                <w:vertAlign w:val="superscript"/>
              </w:rPr>
              <w:t>(2)</w:t>
            </w: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82,618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21,154</w:t>
            </w:r>
          </w:p>
        </w:tc>
        <w:tc>
          <w:tcPr>
            <w:tcW w:w="100" w:type="dxa"/>
            <w:vAlign w:val="bottom"/>
          </w:tcPr>
          <w:p>
            <w:pPr>
              <w:spacing w:after="0"/>
              <w:rPr>
                <w:sz w:val="15"/>
                <w:szCs w:val="15"/>
                <w:color w:val="auto"/>
              </w:rPr>
            </w:pPr>
          </w:p>
        </w:tc>
        <w:tc>
          <w:tcPr>
            <w:tcW w:w="980" w:type="dxa"/>
            <w:vAlign w:val="bottom"/>
          </w:tcPr>
          <w:p>
            <w:pPr>
              <w:jc w:val="right"/>
              <w:ind w:right="77"/>
              <w:spacing w:after="0"/>
              <w:rPr>
                <w:sz w:val="20"/>
                <w:szCs w:val="20"/>
                <w:color w:val="auto"/>
              </w:rPr>
            </w:pPr>
            <w:r>
              <w:rPr>
                <w:rFonts w:ascii="Arial" w:cs="Arial" w:eastAsia="Arial" w:hAnsi="Arial"/>
                <w:sz w:val="13"/>
                <w:szCs w:val="13"/>
                <w:color w:val="auto"/>
              </w:rPr>
              <w:t>34,592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139,841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76,081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17,788</w:t>
            </w:r>
          </w:p>
        </w:tc>
        <w:tc>
          <w:tcPr>
            <w:tcW w:w="160" w:type="dxa"/>
            <w:vAlign w:val="bottom"/>
          </w:tcPr>
          <w:p>
            <w:pPr>
              <w:spacing w:after="0"/>
              <w:rPr>
                <w:sz w:val="15"/>
                <w:szCs w:val="15"/>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32,691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127,361</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Aircraft miles </w:t>
            </w:r>
            <w:r>
              <w:rPr>
                <w:rFonts w:ascii="Arial" w:cs="Arial" w:eastAsia="Arial" w:hAnsi="Arial"/>
                <w:sz w:val="16"/>
                <w:szCs w:val="16"/>
                <w:color w:val="auto"/>
                <w:vertAlign w:val="superscript"/>
              </w:rPr>
              <w:t>(2)</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32,494,683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7,331,362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13,145,001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53,450,328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30,413,446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6,295,154</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12,502,451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49,438,373</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ASMs (thousands) </w:t>
            </w:r>
            <w:r>
              <w:rPr>
                <w:rFonts w:ascii="Arial" w:cs="Arial" w:eastAsia="Arial" w:hAnsi="Arial"/>
                <w:sz w:val="16"/>
                <w:szCs w:val="16"/>
                <w:color w:val="auto"/>
                <w:vertAlign w:val="superscript"/>
              </w:rPr>
              <w:t>(2)</w:t>
            </w: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6,044,011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1,286,175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7,416,189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5,637,233</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1,093,530</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6,771,340</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TRASM (cents) </w:t>
            </w:r>
            <w:r>
              <w:rPr>
                <w:rFonts w:ascii="Arial" w:cs="Arial" w:eastAsia="Arial" w:hAnsi="Arial"/>
                <w:sz w:val="16"/>
                <w:szCs w:val="16"/>
                <w:color w:val="auto"/>
                <w:vertAlign w:val="superscript"/>
              </w:rPr>
              <w:t>(3)</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11.87</w:t>
            </w:r>
          </w:p>
        </w:tc>
        <w:tc>
          <w:tcPr>
            <w:tcW w:w="0" w:type="dxa"/>
            <w:vAlign w:val="bottom"/>
          </w:tcPr>
          <w:p>
            <w:pPr>
              <w:spacing w:after="0"/>
              <w:rPr>
                <w:sz w:val="1"/>
                <w:szCs w:val="1"/>
                <w:color w:val="auto"/>
              </w:rPr>
            </w:pPr>
          </w:p>
        </w:tc>
      </w:tr>
      <w:tr>
        <w:trPr>
          <w:trHeight w:val="122"/>
        </w:trPr>
        <w:tc>
          <w:tcPr>
            <w:tcW w:w="2620" w:type="dxa"/>
            <w:vAlign w:val="bottom"/>
          </w:tcPr>
          <w:p>
            <w:pPr>
              <w:ind w:left="20"/>
              <w:spacing w:after="0" w:line="122" w:lineRule="exact"/>
              <w:rPr>
                <w:sz w:val="20"/>
                <w:szCs w:val="20"/>
                <w:color w:val="auto"/>
              </w:rPr>
            </w:pPr>
            <w:r>
              <w:rPr>
                <w:rFonts w:ascii="Arial" w:cs="Arial" w:eastAsia="Arial" w:hAnsi="Arial"/>
                <w:sz w:val="13"/>
                <w:szCs w:val="13"/>
                <w:color w:val="auto"/>
              </w:rPr>
              <w:t>Average passenger aircraft during the period</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28"/>
        </w:trPr>
        <w:tc>
          <w:tcPr>
            <w:tcW w:w="2620" w:type="dxa"/>
            <w:vAlign w:val="bottom"/>
          </w:tcPr>
          <w:p>
            <w:pPr>
              <w:ind w:left="20"/>
              <w:spacing w:after="0"/>
              <w:rPr>
                <w:sz w:val="20"/>
                <w:szCs w:val="20"/>
                <w:color w:val="auto"/>
              </w:rPr>
            </w:pPr>
            <w:r>
              <w:rPr>
                <w:rFonts w:ascii="Arial" w:cs="Arial" w:eastAsia="Arial" w:hAnsi="Arial"/>
                <w:sz w:val="8"/>
                <w:szCs w:val="8"/>
                <w:color w:val="auto"/>
              </w:rPr>
              <w:t>(4)</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line="183" w:lineRule="exact"/>
              <w:rPr>
                <w:sz w:val="20"/>
                <w:szCs w:val="20"/>
                <w:color w:val="auto"/>
              </w:rPr>
            </w:pPr>
            <w:r>
              <w:rPr>
                <w:rFonts w:ascii="Arial" w:cs="Arial" w:eastAsia="Arial" w:hAnsi="Arial"/>
                <w:sz w:val="13"/>
                <w:szCs w:val="13"/>
                <w:color w:val="auto"/>
              </w:rPr>
              <w:t xml:space="preserve">Passenger aircraft at end of period </w:t>
            </w:r>
            <w:r>
              <w:rPr>
                <w:rFonts w:ascii="Arial" w:cs="Arial" w:eastAsia="Arial" w:hAnsi="Arial"/>
                <w:sz w:val="16"/>
                <w:szCs w:val="16"/>
                <w:color w:val="auto"/>
                <w:vertAlign w:val="superscript"/>
              </w:rPr>
              <w:t>(4)</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Leased aircraft </w:t>
            </w:r>
            <w:r>
              <w:rPr>
                <w:rFonts w:ascii="Arial" w:cs="Arial" w:eastAsia="Arial" w:hAnsi="Arial"/>
                <w:sz w:val="16"/>
                <w:szCs w:val="16"/>
                <w:color w:val="auto"/>
                <w:vertAlign w:val="superscript"/>
              </w:rPr>
              <w:t>(5)</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Cargo aircraft at end of period</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Average daily aircraft utilization (hours) </w:t>
            </w:r>
            <w:r>
              <w:rPr>
                <w:rFonts w:ascii="Arial" w:cs="Arial" w:eastAsia="Arial" w:hAnsi="Arial"/>
                <w:sz w:val="16"/>
                <w:szCs w:val="16"/>
                <w:color w:val="auto"/>
                <w:vertAlign w:val="superscript"/>
              </w:rPr>
              <w:t>(4)</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Average stage length (miles)</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1,155</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Revenue passengers carried </w:t>
            </w:r>
            <w:r>
              <w:rPr>
                <w:rFonts w:ascii="Arial" w:cs="Arial" w:eastAsia="Arial" w:hAnsi="Arial"/>
                <w:sz w:val="16"/>
                <w:szCs w:val="16"/>
                <w:color w:val="auto"/>
                <w:vertAlign w:val="superscript"/>
              </w:rPr>
              <w:t>(6)</w:t>
            </w: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4,140,663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3,598,584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6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Revenue passenger miles (RPMs)</w:t>
            </w: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(thousands) </w:t>
            </w:r>
            <w:r>
              <w:rPr>
                <w:rFonts w:ascii="Arial" w:cs="Arial" w:eastAsia="Arial" w:hAnsi="Arial"/>
                <w:sz w:val="16"/>
                <w:szCs w:val="16"/>
                <w:color w:val="auto"/>
                <w:vertAlign w:val="superscript"/>
              </w:rPr>
              <w:t>(6)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5,217,852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4,706,996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Load factor </w:t>
            </w:r>
            <w:r>
              <w:rPr>
                <w:rFonts w:ascii="Arial" w:cs="Arial" w:eastAsia="Arial" w:hAnsi="Arial"/>
                <w:sz w:val="16"/>
                <w:szCs w:val="16"/>
                <w:color w:val="auto"/>
                <w:vertAlign w:val="superscript"/>
              </w:rPr>
              <w:t>(6)</w:t>
            </w:r>
          </w:p>
        </w:tc>
        <w:tc>
          <w:tcPr>
            <w:tcW w:w="14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83.5%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Average base fare per passenger </w:t>
            </w:r>
            <w:r>
              <w:rPr>
                <w:rFonts w:ascii="Arial" w:cs="Arial" w:eastAsia="Arial" w:hAnsi="Arial"/>
                <w:sz w:val="16"/>
                <w:szCs w:val="16"/>
                <w:color w:val="auto"/>
                <w:vertAlign w:val="superscript"/>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121.80</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Ancillary revenue per passenger </w:t>
            </w:r>
            <w:r>
              <w:rPr>
                <w:rFonts w:ascii="Arial" w:cs="Arial" w:eastAsia="Arial" w:hAnsi="Arial"/>
                <w:sz w:val="16"/>
                <w:szCs w:val="16"/>
                <w:color w:val="auto"/>
                <w:vertAlign w:val="superscript"/>
              </w:rPr>
              <w:t>(6)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66.69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53.49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Total fare per passenger </w:t>
            </w:r>
            <w:r>
              <w:rPr>
                <w:rFonts w:ascii="Arial" w:cs="Arial" w:eastAsia="Arial" w:hAnsi="Arial"/>
                <w:sz w:val="16"/>
                <w:szCs w:val="16"/>
                <w:color w:val="auto"/>
                <w:vertAlign w:val="superscript"/>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176.30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175.29</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Charter revenue per block hour </w:t>
            </w:r>
            <w:r>
              <w:rPr>
                <w:rFonts w:ascii="Arial" w:cs="Arial" w:eastAsia="Arial" w:hAnsi="Arial"/>
                <w:sz w:val="16"/>
                <w:szCs w:val="16"/>
                <w:color w:val="auto"/>
                <w:vertAlign w:val="superscript"/>
              </w:rPr>
              <w:t>(6)</w:t>
            </w:r>
          </w:p>
        </w:tc>
        <w:tc>
          <w:tcPr>
            <w:tcW w:w="140" w:type="dxa"/>
            <w:vAlign w:val="bottom"/>
          </w:tcPr>
          <w:p>
            <w:pPr>
              <w:spacing w:after="0"/>
              <w:rPr>
                <w:sz w:val="15"/>
                <w:szCs w:val="15"/>
                <w:color w:val="auto"/>
              </w:rPr>
            </w:pPr>
          </w:p>
        </w:tc>
        <w:tc>
          <w:tcPr>
            <w:tcW w:w="1100" w:type="dxa"/>
            <w:vAlign w:val="bottom"/>
            <w:gridSpan w:val="3"/>
          </w:tcPr>
          <w:p>
            <w:pPr>
              <w:ind w:left="96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8,988</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9,086</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Fuel gallons consumed (thousands) </w:t>
            </w:r>
            <w:r>
              <w:rPr>
                <w:rFonts w:ascii="Arial" w:cs="Arial" w:eastAsia="Arial" w:hAnsi="Arial"/>
                <w:sz w:val="16"/>
                <w:szCs w:val="16"/>
                <w:color w:val="auto"/>
                <w:vertAlign w:val="superscript"/>
              </w:rPr>
              <w:t>(2)</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64,450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14,299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79,574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59,222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12,055</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71,690</w:t>
            </w:r>
          </w:p>
        </w:tc>
        <w:tc>
          <w:tcPr>
            <w:tcW w:w="0" w:type="dxa"/>
            <w:vAlign w:val="bottom"/>
          </w:tcPr>
          <w:p>
            <w:pPr>
              <w:spacing w:after="0"/>
              <w:rPr>
                <w:sz w:val="1"/>
                <w:szCs w:val="1"/>
                <w:color w:val="auto"/>
              </w:rPr>
            </w:pPr>
          </w:p>
        </w:tc>
      </w:tr>
      <w:tr>
        <w:trPr>
          <w:trHeight w:val="121"/>
        </w:trPr>
        <w:tc>
          <w:tcPr>
            <w:tcW w:w="2620" w:type="dxa"/>
            <w:vAlign w:val="bottom"/>
          </w:tcPr>
          <w:p>
            <w:pPr>
              <w:ind w:left="20"/>
              <w:spacing w:after="0" w:line="122" w:lineRule="exact"/>
              <w:rPr>
                <w:sz w:val="20"/>
                <w:szCs w:val="20"/>
                <w:color w:val="auto"/>
              </w:rPr>
            </w:pPr>
            <w:r>
              <w:rPr>
                <w:rFonts w:ascii="Arial" w:cs="Arial" w:eastAsia="Arial" w:hAnsi="Arial"/>
                <w:sz w:val="13"/>
                <w:szCs w:val="13"/>
                <w:color w:val="auto"/>
              </w:rPr>
              <w:t>Fuel cost per gallon, excluding indirect fuel</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620" w:type="dxa"/>
            <w:vAlign w:val="bottom"/>
          </w:tcPr>
          <w:p>
            <w:pPr>
              <w:ind w:left="20"/>
              <w:spacing w:after="0"/>
              <w:rPr>
                <w:sz w:val="20"/>
                <w:szCs w:val="20"/>
                <w:color w:val="auto"/>
              </w:rPr>
            </w:pPr>
            <w:r>
              <w:rPr>
                <w:rFonts w:ascii="Arial" w:cs="Arial" w:eastAsia="Arial" w:hAnsi="Arial"/>
                <w:sz w:val="13"/>
                <w:szCs w:val="13"/>
                <w:color w:val="auto"/>
              </w:rPr>
              <w:t>credits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Employees at end of period</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2,510</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5" w:lineRule="exact"/>
              <w:rPr>
                <w:sz w:val="20"/>
                <w:szCs w:val="20"/>
                <w:color w:val="auto"/>
              </w:rPr>
            </w:pPr>
            <w:r>
              <w:rPr>
                <w:rFonts w:ascii="Arial" w:cs="Arial" w:eastAsia="Arial" w:hAnsi="Arial"/>
                <w:sz w:val="13"/>
                <w:szCs w:val="13"/>
                <w:color w:val="auto"/>
              </w:rPr>
              <w:t xml:space="preserve">CASM (cents) </w:t>
            </w:r>
            <w:r>
              <w:rPr>
                <w:rFonts w:ascii="Arial" w:cs="Arial" w:eastAsia="Arial" w:hAnsi="Arial"/>
                <w:sz w:val="16"/>
                <w:szCs w:val="16"/>
                <w:color w:val="auto"/>
                <w:vertAlign w:val="superscript"/>
              </w:rPr>
              <w:t>(7)</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12.39</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 xml:space="preserve">Adjusted CASM (cents) </w:t>
            </w:r>
            <w:r>
              <w:rPr>
                <w:rFonts w:ascii="Arial" w:cs="Arial" w:eastAsia="Arial" w:hAnsi="Arial"/>
                <w:sz w:val="16"/>
                <w:szCs w:val="16"/>
                <w:color w:val="auto"/>
                <w:vertAlign w:val="superscript"/>
              </w:rPr>
              <w:t>(8)</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w:t>
      </w:r>
    </w:p>
    <w:p>
      <w:pPr>
        <w:spacing w:after="0" w:line="7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5"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340" w:hanging="332"/>
        <w:spacing w:after="0" w:line="26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Scheduled Service TRASM includes Schedule Service revenue, Ancillary revenue, and ASM generating revenue classified within Other Revenue on the Consolidated Statements of Operations.</w:t>
      </w: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both the Company's Owned Aircraft Held for Operating Lease as well as subleased aircraft.</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hanging="332"/>
        <w:spacing w:after="0" w:line="284"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and certain other costs that are unrelated to our airline operations.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2023 and 2022</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18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2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8"/>
        </w:trPr>
        <w:tc>
          <w:tcPr>
            <w:tcW w:w="49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20" w:type="dxa"/>
            <w:vAlign w:val="bottom"/>
          </w:tcPr>
          <w:p>
            <w:pPr>
              <w:jc w:val="right"/>
              <w:ind w:right="4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Scheduled Service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453,862</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438,308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Charter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28,509</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Ancillary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276,133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9,385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1,049,620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155,176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295,640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245,855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49,785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60,588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13,984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88,151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20,510</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Arial" w:cs="Arial" w:eastAsia="Arial" w:hAnsi="Arial"/>
                <w:sz w:val="18"/>
                <w:szCs w:val="18"/>
                <w:color w:val="auto"/>
              </w:rPr>
              <w:t>Landing Fees and Airport Rent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83,384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71,792</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70,177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293 %</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15,672</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Revenues increased $155,176, or 17%, to $1,049,620 for the year ended December 31, 2023 as compared to the year ended December 31, 2022. The revenue increase was largely driven by an increase in demand for our passenger service offerings during the year ended December 31, 2023, as compared to the year ended December 31, 2022. Operating Revenues further benefited from the increase in Other as a result of the rental income associated with the five Owned Aircraft Held for Operating Lease acquired during the first half of 2023.</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Passenger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Passenger revenue increased by $127,690, or 16%, to $920,123 for the year ended December 31, 2023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2022. The table below presents select operating data for lines of revenue within Passenger: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9"/>
        </w:trPr>
        <w:tc>
          <w:tcPr>
            <w:tcW w:w="4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60" w:type="dxa"/>
            <w:vAlign w:val="bottom"/>
          </w:tcPr>
          <w:p>
            <w:pPr>
              <w:jc w:val="right"/>
              <w:ind w:right="3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Scheduled Service and Ancillary Statistics:</w:t>
            </w:r>
          </w:p>
        </w:tc>
        <w:tc>
          <w:tcPr>
            <w:tcW w:w="3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26,144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23,166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82,618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76,081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Passengers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4,140,663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3,598,584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542,079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base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121.80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color w:val="auto"/>
              </w:rPr>
              <w:t>Ancillary revenue per passenger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53.49</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175.29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RPMs (thousands)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5,217,852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4,706,996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510,856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ASMs (thousands)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6,044,011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5,637,233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406,778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TRASM (cents)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0.87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Passenger load factor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2.8 pts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Charter Statistics: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Departures</w:t>
            </w: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10,387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1"/>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Block hours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21,154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17,788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9"/>
        </w:trPr>
        <w:tc>
          <w:tcPr>
            <w:tcW w:w="4740" w:type="dxa"/>
            <w:vAlign w:val="bottom"/>
          </w:tcPr>
          <w:p>
            <w:pPr>
              <w:ind w:left="220"/>
              <w:spacing w:after="0"/>
              <w:rPr>
                <w:sz w:val="20"/>
                <w:szCs w:val="20"/>
                <w:color w:val="auto"/>
              </w:rPr>
            </w:pPr>
            <w:r>
              <w:rPr>
                <w:rFonts w:ascii="Arial" w:cs="Arial" w:eastAsia="Arial" w:hAnsi="Arial"/>
                <w:sz w:val="18"/>
                <w:szCs w:val="18"/>
                <w:color w:val="auto"/>
              </w:rPr>
              <w:t>Charter revenue per block hour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8,988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ind w:right="17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year-over-year increase in Scheduled Service operating revenue was primarily the result of an increase in demand year-over-year. The year-over-year increase in demand is demonstrated by a 15% increase in passengers, which was supported by a 7% increase in ASMs. Strong demand kept Total Fare per passenger materially consistent year-over-year, despite the growth in operations. The 15% increase in Scheduled Service passengers during the period also resulted in greater sales of our ancillary products.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Passenger revenue was further supported by the $28,509 increase, or 18%, to $190,128 for Charter Service revenue during the year ended December 31, 2023, as compared to the year ended December 31, 2022. The increase in Charter Service revenue was driven by a 21% and 19% increase in Charter Service departures and block hours, respectively, primarily because of increased utilization by our long-term contract customers.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increased $9,385, or 10%, to $99,735 for the year ended December 31, 2023,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2022. The increase was primarily driven by a 12% and 6% increase in Cargo departures and block hours, respectively. Revenue for the year ended December 31, 2023 also benefited from the annual rate escalation included in the ATSA, which went into effect on December 13, 2022.</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increased $18,101, or 155%, to $29,762 for the year ended December 31, 2023,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Other revenue in the current year benefited from $17,689 of rental revenue primarily associated with the five Owned Aircraft Held for Operating Lease acquired during the first half of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 excluding indirect fuel credits, is the best measure of the effect of fuel prices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as it consists solely of direct fuel expenses that are related to our operations and is consistent with how management analyzes our operating performance. This measure is defined as GAAP Aircraft Fuel expense, excluding indirect fuel credits that are recognized within Aircraft Fuel expense, but are not directly related to our Fuel Cost per Gallon.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gridSpan w:val="2"/>
            <w:vMerge w:val="restart"/>
          </w:tcPr>
          <w:p>
            <w:pPr>
              <w:jc w:val="right"/>
              <w:ind w:right="6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9"/>
        </w:trPr>
        <w:tc>
          <w:tcPr>
            <w:tcW w:w="49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Indirect Fuel Credits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Expense, Excluding Indirect Fuel Credits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Gallons Consumed (thousands)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79,574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Fuel Cost per Gallon, Excluding Indirect Fuel Credits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Aircraft Fuel expense decreased by 8% year-over-year, primarily due to a 17% decrease in the average fuel cost per gallon, slightly offset by an 11% increase in consumption as a result of the increased operations.</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Salaries, Wages, and Benefits</w:t>
      </w:r>
      <w:r>
        <w:rPr>
          <w:rFonts w:ascii="Arial" w:cs="Arial" w:eastAsia="Arial" w:hAnsi="Arial"/>
          <w:sz w:val="18"/>
          <w:szCs w:val="18"/>
          <w:color w:val="auto"/>
        </w:rPr>
        <w:t>. Salaries, wages, and benefits expense increased $49,785, or 20%, to $295,640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31, 2023, as compared to the year ended December 31, 2022. The year-over-year increase in Salaries, Wages, and Benefits was due to an 11% increase in employee headcount, increased per unit costs for pilots and flight crews to support the increase in operations, and an acceleration of stock-based compensation expense recognized during the current year for our time-based and performance-based stock options. For more information on the acceleration of stock-based compensation expense,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of the Consolidated Financial Statements included in Part II, Item 8 of this Annual Report.</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$6,487, or 74%, to $2,281 for the year ended December 31, 2023,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2022. The decrease was primarily due to the composition of our aircraft fleet shifting from aircraft under operating leases (expense is recorded within Aircraft Rent) to owned aircraft or finance leases (expense is recorded through Depreciation and Amortization and Interest Expense). For the years ended December 31, 2023 and 2022, there was an average of one and four aircraft under operating leases, respectively</w:t>
      </w:r>
      <w:r>
        <w:rPr>
          <w:rFonts w:ascii="Arial" w:cs="Arial" w:eastAsia="Arial" w:hAnsi="Arial"/>
          <w:sz w:val="19"/>
          <w:szCs w:val="19"/>
          <w:color w:val="auto"/>
        </w:rPr>
        <w:t>.</w:t>
      </w:r>
      <w:r>
        <w:rPr>
          <w:rFonts w:ascii="Arial" w:cs="Arial" w:eastAsia="Arial" w:hAnsi="Arial"/>
          <w:sz w:val="18"/>
          <w:szCs w:val="18"/>
          <w:color w:val="auto"/>
        </w:rPr>
        <w:t xml:space="preserve"> As of December 31, 2023, we did not operate any aircraft under operating leases. The acquisition of new aircraft through operating leases is at the discretion of management.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$13,984, or 30%, to $60,588 for the year ended December 31, 2023,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year ended December 31, 2022. The increase in Maintenance expense was primarily driven by higher maintenance costs due to the year-over-year increase in the size of our fleet and operations, as well as an increase in heavy maintenance events and unscheduled repair events.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$3,052, or 10%, to $34,105 for the year ended December 31, 2023,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year ended December 31, 2022. The year-over-year increase was driven by approximately $2,900 increase in credit card processing and other travel agent fees, as a result of the 15% increase in Scheduled Service passengers.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$20,510, or 30%, to $88,151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2023, as compared to the year ended December 31, 2022. The increase was primarily due to the impact of a change in the composition of our aircraft fleet that resulted in an increased number of owned aircraft and aircraft under finance leases (the expense is recorded as Depreciation and Amortization and Interest Expense). For the years ended December 31, 2023 and 2022, there were an average of 33 and 25 owned aircraft and 12 and 11 aircraft under finance leases, respectively.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$3,690, or 11%, to $37,506 for the year ended December 31, 2023,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2022. The increase was primarily driven by the 15% increase in Passenger segment departures, due to our expanding operations, as well as rate increases due to inflationary and market pressures.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$3,957, or 9%, to $ 49,615 for the year ended December 31, 2023,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the year ended December 31, 2022. The increase was primarily driven by the 15% increase in Passenger segment departures, resulting from our expanding operations, as well as rate increases due to inflationary and market pressures.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$ 16,587, or 18%, to $ 107,565 for the year ended December 31, 2023,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year ended December 31, 2022, primarily due to the 15% increase in total departures, which resulted in higher crew travel costs and catering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increased by $5,653, or 125%, to $10,180 for the year ended December 31, 2023. The increase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prior year change in our investment strategy, which led to the purchase of debt securities in May 2022. The continued rise in interest rates also contributed to the increase in the current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$11,616, or 37%, to $42,634 for the year ended December 31, 2023,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December 31, 2022. The change was primarily due to a 19% increase in owned aircraft that were financed or refinanced with debt proceeds. This includes the term loan credit facility for the purpose of financing the five Owned Aircraft Held for Operating Lease purchased during the first half of 2023, which was financed in a higher interest rate environment. The year-over-year increase was partially offset by a $1,557 loss on extinguishment of debt incurred during the year ended December 31, 2022 related to the repayment of the DDTL. For more information on the Company's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decreased by $4,348 to a net expense of $887 for the year ended December 31, 2023, as compared to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31, 2022. The change over prior year was primarily due to the $5,000 adjustment to increase the estimated TRA liability during the prior year, partially offset by $1,128 of secondary offering expenses incurred during 2023. For more information on the TRA Liability and secondary offerings,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tax rate decreased by 3.0% to 23.3% for the year ended December 31, 2023, as compared to 26.3%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year ended December 31, 2022. The effective tax rate represents a blend of federal and state taxes and includes the impact of certain nondeductible or nontaxable items. The year-over-year decrease in the effective tax rate was impacted by the non-taxable adjustments of the TRA liability, which was an expense of $ 5,000 in 2022. The adjustment to the TRA Liability during the year ended December 31, 2023 was immaterial. For more information on the Company's tax rate and the TRA Liability,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to the Consolidated Financial Statements included in Part II, Item 8, "Financial Statements" of this Annual Report.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2023 and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712"/>
              <w:spacing w:after="0"/>
              <w:rPr>
                <w:sz w:val="20"/>
                <w:szCs w:val="20"/>
                <w:color w:val="auto"/>
              </w:rPr>
            </w:pPr>
            <w:r>
              <w:rPr>
                <w:rFonts w:ascii="Arial" w:cs="Arial" w:eastAsia="Arial" w:hAnsi="Arial"/>
                <w:sz w:val="14"/>
                <w:szCs w:val="14"/>
                <w:b w:val="1"/>
                <w:bCs w:val="1"/>
                <w:color w:val="auto"/>
              </w:rPr>
              <w:t>Year Ended December 31, 2023</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center"/>
              <w:ind w:left="672"/>
              <w:spacing w:after="0"/>
              <w:rPr>
                <w:sz w:val="20"/>
                <w:szCs w:val="20"/>
                <w:color w:val="auto"/>
              </w:rPr>
            </w:pPr>
            <w:r>
              <w:rPr>
                <w:rFonts w:ascii="Arial" w:cs="Arial" w:eastAsia="Arial" w:hAnsi="Arial"/>
                <w:sz w:val="14"/>
                <w:szCs w:val="14"/>
                <w:b w:val="1"/>
                <w:bCs w:val="1"/>
                <w:color w:val="auto"/>
              </w:rPr>
              <w:t>Year Ended December 31, 2022</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40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Cargo</w:t>
            </w:r>
          </w:p>
        </w:tc>
        <w:tc>
          <w:tcPr>
            <w:tcW w:w="420" w:type="dxa"/>
            <w:vAlign w:val="bottom"/>
          </w:tcPr>
          <w:p>
            <w:pPr>
              <w:spacing w:after="0"/>
              <w:rPr>
                <w:sz w:val="17"/>
                <w:szCs w:val="17"/>
                <w:color w:val="auto"/>
              </w:rPr>
            </w:pPr>
          </w:p>
        </w:tc>
        <w:tc>
          <w:tcPr>
            <w:tcW w:w="98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949,885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99,735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1,049,620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804,094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90,350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894,444</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246,669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268,279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268,363</w:t>
            </w:r>
          </w:p>
        </w:tc>
        <w:tc>
          <w:tcPr>
            <w:tcW w:w="0" w:type="dxa"/>
            <w:vAlign w:val="bottom"/>
          </w:tcPr>
          <w:p>
            <w:pPr>
              <w:spacing w:after="0"/>
              <w:rPr>
                <w:sz w:val="1"/>
                <w:szCs w:val="1"/>
                <w:color w:val="auto"/>
              </w:rPr>
            </w:pPr>
          </w:p>
        </w:tc>
      </w:tr>
      <w:tr>
        <w:trPr>
          <w:trHeight w:val="176"/>
        </w:trPr>
        <w:tc>
          <w:tcPr>
            <w:tcW w:w="2520" w:type="dxa"/>
            <w:vAlign w:val="bottom"/>
          </w:tcPr>
          <w:p>
            <w:pPr>
              <w:ind w:left="140"/>
              <w:spacing w:after="0" w:line="176" w:lineRule="exact"/>
              <w:rPr>
                <w:sz w:val="20"/>
                <w:szCs w:val="20"/>
                <w:color w:val="auto"/>
              </w:rPr>
            </w:pPr>
            <w:r>
              <w:rPr>
                <w:rFonts w:ascii="Arial" w:cs="Arial" w:eastAsia="Arial" w:hAnsi="Arial"/>
                <w:sz w:val="18"/>
                <w:szCs w:val="18"/>
                <w:color w:val="auto"/>
              </w:rPr>
              <w:t>Salaries, Wages, and</w:t>
            </w:r>
          </w:p>
        </w:tc>
        <w:tc>
          <w:tcPr>
            <w:tcW w:w="24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225,744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69,896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295,640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189,134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56,721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245,855</w:t>
            </w:r>
          </w:p>
        </w:tc>
        <w:tc>
          <w:tcPr>
            <w:tcW w:w="0" w:type="dxa"/>
            <w:vAlign w:val="bottom"/>
          </w:tcPr>
          <w:p>
            <w:pPr>
              <w:spacing w:after="0"/>
              <w:rPr>
                <w:sz w:val="1"/>
                <w:szCs w:val="1"/>
                <w:color w:val="auto"/>
              </w:rPr>
            </w:pPr>
          </w:p>
        </w:tc>
      </w:tr>
      <w:tr>
        <w:trPr>
          <w:trHeight w:val="243"/>
        </w:trPr>
        <w:tc>
          <w:tcPr>
            <w:tcW w:w="2520" w:type="dxa"/>
            <w:vAlign w:val="bottom"/>
          </w:tcPr>
          <w:p>
            <w:pPr>
              <w:ind w:left="30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Rent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8,768</w:t>
            </w:r>
          </w:p>
        </w:tc>
        <w:tc>
          <w:tcPr>
            <w:tcW w:w="0" w:type="dxa"/>
            <w:vAlign w:val="bottom"/>
          </w:tcPr>
          <w:p>
            <w:pPr>
              <w:spacing w:after="0"/>
              <w:rPr>
                <w:sz w:val="1"/>
                <w:szCs w:val="1"/>
                <w:color w:val="auto"/>
              </w:rPr>
            </w:pPr>
          </w:p>
        </w:tc>
      </w:tr>
      <w:tr>
        <w:trPr>
          <w:trHeight w:val="229"/>
        </w:trPr>
        <w:tc>
          <w:tcPr>
            <w:tcW w:w="252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2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46,211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14,377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60,588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33,293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13,311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46,604</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31,053</w:t>
            </w:r>
          </w:p>
        </w:tc>
        <w:tc>
          <w:tcPr>
            <w:tcW w:w="0" w:type="dxa"/>
            <w:vAlign w:val="bottom"/>
          </w:tcPr>
          <w:p>
            <w:pPr>
              <w:spacing w:after="0"/>
              <w:rPr>
                <w:sz w:val="1"/>
                <w:szCs w:val="1"/>
                <w:color w:val="auto"/>
              </w:rPr>
            </w:pPr>
          </w:p>
        </w:tc>
      </w:tr>
      <w:tr>
        <w:trPr>
          <w:trHeight w:val="176"/>
        </w:trPr>
        <w:tc>
          <w:tcPr>
            <w:tcW w:w="2520" w:type="dxa"/>
            <w:vAlign w:val="bottom"/>
          </w:tcPr>
          <w:p>
            <w:pPr>
              <w:ind w:left="140"/>
              <w:spacing w:after="0" w:line="176" w:lineRule="exact"/>
              <w:rPr>
                <w:sz w:val="20"/>
                <w:szCs w:val="20"/>
                <w:color w:val="auto"/>
              </w:rPr>
            </w:pPr>
            <w:r>
              <w:rPr>
                <w:rFonts w:ascii="Arial" w:cs="Arial" w:eastAsia="Arial" w:hAnsi="Arial"/>
                <w:sz w:val="18"/>
                <w:szCs w:val="18"/>
                <w:color w:val="auto"/>
              </w:rPr>
              <w:t>Depreciation and</w:t>
            </w:r>
          </w:p>
        </w:tc>
        <w:tc>
          <w:tcPr>
            <w:tcW w:w="24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88,098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88,151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67,530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67,641</w:t>
            </w:r>
          </w:p>
        </w:tc>
        <w:tc>
          <w:tcPr>
            <w:tcW w:w="0" w:type="dxa"/>
            <w:vAlign w:val="bottom"/>
          </w:tcPr>
          <w:p>
            <w:pPr>
              <w:spacing w:after="0"/>
              <w:rPr>
                <w:sz w:val="1"/>
                <w:szCs w:val="1"/>
                <w:color w:val="auto"/>
              </w:rPr>
            </w:pPr>
          </w:p>
        </w:tc>
      </w:tr>
      <w:tr>
        <w:trPr>
          <w:trHeight w:val="243"/>
        </w:trPr>
        <w:tc>
          <w:tcPr>
            <w:tcW w:w="2520" w:type="dxa"/>
            <w:vAlign w:val="bottom"/>
          </w:tcPr>
          <w:p>
            <w:pPr>
              <w:ind w:left="30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33,808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33,816</w:t>
            </w:r>
          </w:p>
        </w:tc>
        <w:tc>
          <w:tcPr>
            <w:tcW w:w="0" w:type="dxa"/>
            <w:vAlign w:val="bottom"/>
          </w:tcPr>
          <w:p>
            <w:pPr>
              <w:spacing w:after="0"/>
              <w:rPr>
                <w:sz w:val="1"/>
                <w:szCs w:val="1"/>
                <w:color w:val="auto"/>
              </w:rPr>
            </w:pPr>
          </w:p>
        </w:tc>
      </w:tr>
      <w:tr>
        <w:trPr>
          <w:trHeight w:val="175"/>
        </w:trPr>
        <w:tc>
          <w:tcPr>
            <w:tcW w:w="2520" w:type="dxa"/>
            <w:vAlign w:val="bottom"/>
          </w:tcPr>
          <w:p>
            <w:pPr>
              <w:ind w:left="140"/>
              <w:spacing w:after="0" w:line="176" w:lineRule="exact"/>
              <w:rPr>
                <w:sz w:val="20"/>
                <w:szCs w:val="20"/>
                <w:color w:val="auto"/>
              </w:rPr>
            </w:pPr>
            <w:r>
              <w:rPr>
                <w:rFonts w:ascii="Arial" w:cs="Arial" w:eastAsia="Arial" w:hAnsi="Arial"/>
                <w:sz w:val="18"/>
                <w:szCs w:val="18"/>
                <w:color w:val="auto"/>
              </w:rPr>
              <w:t>Landing Fees and Airport</w:t>
            </w:r>
          </w:p>
        </w:tc>
        <w:tc>
          <w:tcPr>
            <w:tcW w:w="24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49,175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49,615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45,234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45,658</w:t>
            </w:r>
          </w:p>
        </w:tc>
        <w:tc>
          <w:tcPr>
            <w:tcW w:w="0" w:type="dxa"/>
            <w:vAlign w:val="bottom"/>
          </w:tcPr>
          <w:p>
            <w:pPr>
              <w:spacing w:after="0"/>
              <w:rPr>
                <w:sz w:val="1"/>
                <w:szCs w:val="1"/>
                <w:color w:val="auto"/>
              </w:rPr>
            </w:pPr>
          </w:p>
        </w:tc>
      </w:tr>
      <w:tr>
        <w:trPr>
          <w:trHeight w:val="243"/>
        </w:trPr>
        <w:tc>
          <w:tcPr>
            <w:tcW w:w="2520" w:type="dxa"/>
            <w:vAlign w:val="bottom"/>
          </w:tcPr>
          <w:p>
            <w:pPr>
              <w:ind w:left="300"/>
              <w:spacing w:after="0"/>
              <w:rPr>
                <w:sz w:val="20"/>
                <w:szCs w:val="20"/>
                <w:color w:val="auto"/>
              </w:rPr>
            </w:pPr>
            <w:r>
              <w:rPr>
                <w:rFonts w:ascii="Arial" w:cs="Arial" w:eastAsia="Arial" w:hAnsi="Arial"/>
                <w:sz w:val="18"/>
                <w:szCs w:val="18"/>
                <w:color w:val="auto"/>
              </w:rPr>
              <w:t>Rent</w:t>
            </w:r>
          </w:p>
        </w:tc>
        <w:tc>
          <w:tcPr>
            <w:tcW w:w="2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87,293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20,272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107,565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71,148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19,830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90,978</w:t>
            </w:r>
          </w:p>
        </w:tc>
        <w:tc>
          <w:tcPr>
            <w:tcW w:w="0" w:type="dxa"/>
            <w:vAlign w:val="bottom"/>
          </w:tcPr>
          <w:p>
            <w:pPr>
              <w:spacing w:after="0"/>
              <w:rPr>
                <w:sz w:val="1"/>
                <w:szCs w:val="1"/>
                <w:color w:val="auto"/>
              </w:rPr>
            </w:pPr>
          </w:p>
        </w:tc>
      </w:tr>
      <w:tr>
        <w:trPr>
          <w:trHeight w:val="223"/>
        </w:trPr>
        <w:tc>
          <w:tcPr>
            <w:tcW w:w="2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817,013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105,107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922,120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748,247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90,489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838,736</w:t>
            </w:r>
          </w:p>
        </w:tc>
        <w:tc>
          <w:tcPr>
            <w:tcW w:w="0" w:type="dxa"/>
            <w:vAlign w:val="bottom"/>
          </w:tcPr>
          <w:p>
            <w:pPr>
              <w:spacing w:after="0"/>
              <w:rPr>
                <w:sz w:val="1"/>
                <w:szCs w:val="1"/>
                <w:color w:val="auto"/>
              </w:rPr>
            </w:pP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132,872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127,500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55,847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55,708</w:t>
            </w:r>
          </w:p>
        </w:tc>
        <w:tc>
          <w:tcPr>
            <w:tcW w:w="0" w:type="dxa"/>
            <w:vAlign w:val="bottom"/>
          </w:tcPr>
          <w:p>
            <w:pPr>
              <w:spacing w:after="0"/>
              <w:rPr>
                <w:sz w:val="1"/>
                <w:szCs w:val="1"/>
                <w:color w:val="auto"/>
              </w:rPr>
            </w:pPr>
          </w:p>
        </w:tc>
      </w:tr>
      <w:tr>
        <w:trPr>
          <w:trHeight w:val="21"/>
        </w:trPr>
        <w:tc>
          <w:tcPr>
            <w:tcW w:w="2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 %</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increased by $77,025 to $132,872 for the year ended December 31, 2023 as compared to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2022. Operating Margin Percentage increased by 7.1 percentage points, to 14.0%, from 6.9% over the same period. The increase in Passenger Operating Income and Operating Margin was driven by a year-over-year increase in demand for passenger service, supported by an increase in the average passenger aircraft which increased capacity and ASMs. Passenger Operating Income and Operating Margin for the year ended December 31, 2023 also benefited from a 8% year-over-year decrease in Aircraft Fuel expense due to a 17% decrease in the average fuel cost per gallon, slightly offset by an 11% increase in consumption. These amounts were partially offset by an increase in Salaries, Wages, and Benefits due to an increase in employee head count and an increase in per unit costs for pilots to support our expanded operations, as well as an increase in other operating expenses resulting from an increase in departures. For more information on the changes in the components of Operating Income for the Passenger segment, refer to the Results of Operations discussion above</w:t>
      </w:r>
      <w:r>
        <w:rPr>
          <w:rFonts w:ascii="Arial" w:cs="Arial" w:eastAsia="Arial" w:hAnsi="Arial"/>
          <w:sz w:val="19"/>
          <w:szCs w:val="19"/>
          <w:color w:val="auto"/>
        </w:rPr>
        <w:t>.</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had an operating loss of $5,372 for the year ended December 31, 2023, as compared to a loss of $139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which is a decrease of $5,233. Operating Margin Percentage decreased by 5.2 percentage points over the same periods. The decrease was primarily driven by a year-over-year increase in Salaries, Wages, and Benefits due to an increase in employee head count and an increase in per unit costs for pilots. The decreases in Operating Loss and Operating Margin Percentage were partially offset by the annual rate escalation included in the ATSA, which went into effect on December 13, 2023 and 2022. For more information on the components of Operating Income for the Cargo segment, refer to the Results of Operations discussion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Annual Report to the most directly comparable 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and Adjusted EBITDA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Adjusted Operating Income, Adjusted Operating Income Margin, Adjusted Net Income,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measures described above have limitations as analytical tools. Some of the limitations applicable to these measures include: they do not reflect the impact of certain cash and non-cash charges resulting from matters we consider not to be indicative of our ongoing operations; and other companies in our industry may calculate these non-GAAP measures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and Adjusted EBITDA have significant limitations which affect their use as indicators of our profitability. Accordingly, readers are cautioned not to place undue reliance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w:t>
      </w:r>
      <w:r>
        <w:rPr>
          <w:rFonts w:ascii="Arial" w:cs="Arial" w:eastAsia="Arial" w:hAnsi="Arial"/>
          <w:sz w:val="21"/>
          <w:szCs w:val="21"/>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Year Ended December 31,</w:t>
            </w:r>
          </w:p>
        </w:tc>
      </w:tr>
      <w:tr>
        <w:trPr>
          <w:trHeight w:val="223"/>
        </w:trPr>
        <w:tc>
          <w:tcPr>
            <w:tcW w:w="78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1,049,620</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894,444</w:t>
            </w:r>
          </w:p>
        </w:tc>
      </w:tr>
      <w:tr>
        <w:trPr>
          <w:trHeight w:val="23"/>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127,500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55,708</w:t>
            </w:r>
          </w:p>
        </w:tc>
      </w:tr>
      <w:tr>
        <w:trPr>
          <w:trHeight w:val="270"/>
        </w:trPr>
        <w:tc>
          <w:tcPr>
            <w:tcW w:w="78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9,274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2,774</w:t>
            </w:r>
          </w:p>
        </w:tc>
      </w:tr>
      <w:tr>
        <w:trPr>
          <w:trHeight w:val="263"/>
        </w:trPr>
        <w:tc>
          <w:tcPr>
            <w:tcW w:w="788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136,774</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58,482</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78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47"/>
        </w:trPr>
        <w:tc>
          <w:tcPr>
            <w:tcW w:w="788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3"/>
        </w:trPr>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3"/>
        </w:trPr>
        <w:tc>
          <w:tcPr>
            <w:tcW w:w="78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Net Income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reconciliation: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17,676</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14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7"/>
        </w:trPr>
        <w:tc>
          <w:tcPr>
            <w:tcW w:w="8140" w:type="dxa"/>
            <w:vAlign w:val="bottom"/>
          </w:tcPr>
          <w:p>
            <w:pPr>
              <w:ind w:left="180"/>
              <w:spacing w:after="0"/>
              <w:rPr>
                <w:sz w:val="20"/>
                <w:szCs w:val="20"/>
                <w:color w:val="auto"/>
              </w:rPr>
            </w:pPr>
            <w:r>
              <w:rPr>
                <w:rFonts w:ascii="Arial" w:cs="Arial" w:eastAsia="Arial" w:hAnsi="Arial"/>
                <w:sz w:val="18"/>
                <w:szCs w:val="18"/>
                <w:color w:val="auto"/>
              </w:rPr>
              <w:t>Loss on refinancing credit facility</w:t>
            </w: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(b)</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(c)</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64"/>
        </w:trPr>
        <w:tc>
          <w:tcPr>
            <w:tcW w:w="81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79,860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right="60" w:hanging="377"/>
        <w:spacing w:after="0" w:line="235" w:lineRule="auto"/>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of 2022, certain asset transactions will no longer be included as adjustments to Adjusted Net Income because these transactions are part of our recurring operations. This change was made prospectively beginning in the fourth quarter of 2022, and no prior period amounts have been adjusted.</w:t>
      </w:r>
    </w:p>
    <w:p>
      <w:pPr>
        <w:spacing w:after="0" w:line="13" w:lineRule="exact"/>
        <w:rPr>
          <w:rFonts w:ascii="Arial" w:cs="Arial" w:eastAsia="Arial" w:hAnsi="Arial"/>
          <w:sz w:val="14"/>
          <w:szCs w:val="14"/>
          <w:color w:val="auto"/>
        </w:rPr>
      </w:pPr>
    </w:p>
    <w:p>
      <w:pPr>
        <w:ind w:left="560" w:hanging="377"/>
        <w:spacing w:after="0"/>
        <w:tabs>
          <w:tab w:leader="none" w:pos="5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 net.</w:t>
      </w:r>
    </w:p>
    <w:p>
      <w:pPr>
        <w:spacing w:after="0" w:line="82" w:lineRule="exact"/>
        <w:rPr>
          <w:rFonts w:ascii="Arial" w:cs="Arial" w:eastAsia="Arial" w:hAnsi="Arial"/>
          <w:sz w:val="14"/>
          <w:szCs w:val="14"/>
          <w:color w:val="auto"/>
        </w:rPr>
      </w:pPr>
    </w:p>
    <w:p>
      <w:pPr>
        <w:ind w:left="560" w:right="80" w:hanging="373"/>
        <w:spacing w:after="0" w:line="183" w:lineRule="auto"/>
        <w:tabs>
          <w:tab w:leader="none" w:pos="560" w:val="left"/>
        </w:tabs>
        <w:numPr>
          <w:ilvl w:val="0"/>
          <w:numId w:val="20"/>
        </w:numPr>
        <w:rPr>
          <w:rFonts w:ascii="Arial" w:cs="Arial" w:eastAsia="Arial" w:hAnsi="Arial"/>
          <w:sz w:val="24"/>
          <w:szCs w:val="24"/>
          <w:color w:val="auto"/>
          <w:vertAlign w:val="superscript"/>
        </w:rPr>
      </w:pPr>
      <w:r>
        <w:rPr>
          <w:rFonts w:ascii="Arial" w:cs="Arial" w:eastAsia="Arial" w:hAnsi="Arial"/>
          <w:sz w:val="13"/>
          <w:szCs w:val="13"/>
          <w:color w:val="auto"/>
        </w:rPr>
        <w:t>The tax effect of adjusting items, net is calculated at the Company’s statutory rate for the applicable period. The TRA adjustment is not tax deductible and therefore not included in this adjustment.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to Adjusted EBITDA for the periods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72,181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17,676</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Gain on asset transactions, net </w:t>
            </w:r>
            <w:r>
              <w:rPr>
                <w:rFonts w:ascii="Arial" w:cs="Arial" w:eastAsia="Arial" w:hAnsi="Arial"/>
                <w:sz w:val="23"/>
                <w:szCs w:val="23"/>
                <w:color w:val="auto"/>
                <w:vertAlign w:val="superscript"/>
              </w:rPr>
              <w:t>(a)</w:t>
            </w:r>
          </w:p>
        </w:tc>
        <w:tc>
          <w:tcPr>
            <w:tcW w:w="36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(b)</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47"/>
        </w:trPr>
        <w:tc>
          <w:tcPr>
            <w:tcW w:w="81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31,018</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47"/>
        </w:trPr>
        <w:tc>
          <w:tcPr>
            <w:tcW w:w="8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67,641</w:t>
            </w:r>
          </w:p>
        </w:tc>
        <w:tc>
          <w:tcPr>
            <w:tcW w:w="0" w:type="dxa"/>
            <w:vAlign w:val="bottom"/>
          </w:tcPr>
          <w:p>
            <w:pPr>
              <w:spacing w:after="0"/>
              <w:rPr>
                <w:sz w:val="1"/>
                <w:szCs w:val="1"/>
                <w:color w:val="auto"/>
              </w:rPr>
            </w:pPr>
          </w:p>
        </w:tc>
      </w:tr>
      <w:tr>
        <w:trPr>
          <w:trHeight w:val="23"/>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224,835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125,570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14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60" w:right="280" w:hanging="377"/>
        <w:spacing w:after="0" w:line="242" w:lineRule="auto"/>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Due to changes in the Company’s operations, Management determined that, beginning in the fourth quarter of 2022, certain asset transactions will no longer be included as adjustments to Adjusted EBITDA because these transactions are part of our recurring operations. This change was made prospectively beginning in the fourth quarter of 2022, and no prior period amounts have been adjusted.</w:t>
      </w:r>
    </w:p>
    <w:p>
      <w:pPr>
        <w:ind w:left="560" w:hanging="377"/>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 net.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CASM is a key airline cost metric defined as operating expenses divided by total available seat miles. Adjusted CASM is a non-GAAP measure derived from CASM by excluding fuel costs, costs related to our Cargo operations, depreciation and amortization recognized on certain assets that generate lease income, stock-based compensation,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excluded costs related to the Cargo operations, as well as depreciation and amortization recognized on certain assets that generate lease income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During the year ended December 31, 2023, we entered into a series of transactions where we act as an aircraft lessor. As of December 31, 2023, we leased or subleased six aircraft. Depreciation and Amortization expense on these aircraft materially began during the three months ended June 30, 2023.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attract and retain employees and executives and is principally aimed at aligning their interests with those of our stockholders and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aforementioned reasons, Adjusted CASM has significant limitations which affect its use as an indicator of our profitability. Accordingly, readers are cautioned not to place undue reliance on this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Borders>
              <w:bottom w:val="single" w:sz="8" w:color="auto"/>
            </w:tcBorders>
          </w:tcPr>
          <w:p>
            <w:pPr>
              <w:spacing w:after="0"/>
              <w:rPr>
                <w:sz w:val="17"/>
                <w:szCs w:val="17"/>
                <w:color w:val="auto"/>
              </w:rPr>
            </w:pPr>
          </w:p>
        </w:tc>
      </w:tr>
      <w:tr>
        <w:trPr>
          <w:trHeight w:val="223"/>
        </w:trPr>
        <w:tc>
          <w:tcPr>
            <w:tcW w:w="4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1220" w:type="dxa"/>
            <w:vAlign w:val="bottom"/>
            <w:tcBorders>
              <w:bottom w:val="single" w:sz="8" w:color="auto"/>
            </w:tcBorders>
          </w:tcPr>
          <w:p>
            <w:pPr>
              <w:spacing w:after="0"/>
              <w:rPr>
                <w:sz w:val="19"/>
                <w:szCs w:val="19"/>
                <w:color w:val="auto"/>
              </w:rPr>
            </w:pPr>
          </w:p>
        </w:tc>
      </w:tr>
      <w:tr>
        <w:trPr>
          <w:trHeight w:val="180"/>
        </w:trPr>
        <w:tc>
          <w:tcPr>
            <w:tcW w:w="4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Operating</w:t>
            </w: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 ASM</w:t>
            </w:r>
          </w:p>
        </w:tc>
        <w:tc>
          <w:tcPr>
            <w:tcW w:w="280" w:type="dxa"/>
            <w:vAlign w:val="bottom"/>
          </w:tcPr>
          <w:p>
            <w:pPr>
              <w:spacing w:after="0"/>
              <w:rPr>
                <w:sz w:val="15"/>
                <w:szCs w:val="15"/>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Operating</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Per ASM</w:t>
            </w:r>
          </w:p>
        </w:tc>
      </w:tr>
      <w:tr>
        <w:trPr>
          <w:trHeight w:val="196"/>
        </w:trPr>
        <w:tc>
          <w:tcPr>
            <w:tcW w:w="4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(in cents)</w:t>
            </w:r>
          </w:p>
        </w:tc>
        <w:tc>
          <w:tcPr>
            <w:tcW w:w="280" w:type="dxa"/>
            <w:vAlign w:val="bottom"/>
          </w:tcPr>
          <w:p>
            <w:pPr>
              <w:spacing w:after="0"/>
              <w:rPr>
                <w:sz w:val="17"/>
                <w:szCs w:val="17"/>
                <w:color w:val="auto"/>
              </w:rPr>
            </w:pPr>
          </w:p>
        </w:tc>
        <w:tc>
          <w:tcPr>
            <w:tcW w:w="160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(in cents)</w:t>
            </w:r>
          </w:p>
        </w:tc>
      </w:tr>
      <w:tr>
        <w:trPr>
          <w:trHeight w:val="29"/>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922,120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246,669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47"/>
        </w:trPr>
        <w:tc>
          <w:tcPr>
            <w:tcW w:w="49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102,995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47"/>
        </w:trPr>
        <w:tc>
          <w:tcPr>
            <w:tcW w:w="4960" w:type="dxa"/>
            <w:vAlign w:val="bottom"/>
          </w:tcPr>
          <w:p>
            <w:pPr>
              <w:ind w:left="180"/>
              <w:spacing w:after="0"/>
              <w:rPr>
                <w:sz w:val="20"/>
                <w:szCs w:val="20"/>
                <w:color w:val="auto"/>
              </w:rPr>
            </w:pPr>
            <w:r>
              <w:rPr>
                <w:rFonts w:ascii="Arial" w:cs="Arial" w:eastAsia="Arial" w:hAnsi="Arial"/>
                <w:sz w:val="18"/>
                <w:szCs w:val="18"/>
                <w:color w:val="auto"/>
              </w:rPr>
              <w:t>Sun Country Vacations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Leased Aircraft, Depreciation and Amortization Expense</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960" w:type="dxa"/>
            <w:vAlign w:val="bottom"/>
          </w:tcPr>
          <w:p>
            <w:pPr>
              <w:ind w:left="20"/>
              <w:spacing w:after="0"/>
              <w:rPr>
                <w:sz w:val="20"/>
                <w:szCs w:val="20"/>
                <w:color w:val="auto"/>
              </w:rPr>
            </w:pPr>
            <w:r>
              <w:rPr>
                <w:rFonts w:ascii="Arial" w:cs="Arial" w:eastAsia="Arial" w:hAnsi="Arial"/>
                <w:sz w:val="18"/>
                <w:szCs w:val="18"/>
                <w:color w:val="auto"/>
              </w:rPr>
              <w:t>Adjusted CASM</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555,375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476,791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5"/>
        </w:trPr>
        <w:tc>
          <w:tcPr>
            <w:tcW w:w="4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7"/>
        </w:trPr>
        <w:tc>
          <w:tcPr>
            <w:tcW w:w="4960" w:type="dxa"/>
            <w:vAlign w:val="bottom"/>
          </w:tcPr>
          <w:p>
            <w:pPr>
              <w:ind w:left="20"/>
              <w:spacing w:after="0"/>
              <w:rPr>
                <w:sz w:val="20"/>
                <w:szCs w:val="20"/>
                <w:color w:val="auto"/>
              </w:rPr>
            </w:pPr>
            <w:r>
              <w:rPr>
                <w:rFonts w:ascii="Arial" w:cs="Arial" w:eastAsia="Arial" w:hAnsi="Arial"/>
                <w:sz w:val="18"/>
                <w:szCs w:val="18"/>
                <w:color w:val="auto"/>
              </w:rPr>
              <w:t>Available Seat Miles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7,416,189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6,771,340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with attractive terms and maintaining sufficient liquidity. We have historically funded our operations and capital expenditures primarily through cash from operations, proceeds from stockholders’ capital contributions, the issuance of promissory notes, and debt financing.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sources of liquidity as of December 31, 2023 included our existing cash and cash equivalents of $46,279 and short-term investments of $141,127, our expected cash generated from operations, and the $24,650 of available funds from the Revolving Credit Facility. In addition, we had restricted cash of $17,401 as of December 31, 2023, which generally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working capital requirements, and other general corporate purposes. Our single largest capital expenditure requirement relates to the acquisition of aircraft. We do not maintain an aircraft order book; instead, we enter into aircraft transactions on an opportunistic basis based on market conditions, our prevailing level of liquidity and capital market availability. As a result, we are not locked into large future capital expenditures. We have historically acquired aircraft through operating leases, finance leases, and debt. Our management team retains broad discretion to allocate liquidity.</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geopolitical factors, regulations, or acts of terrorism.</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December 31, 2023, we had a fleet of 60 Boeing 737-NG aircraft. This includes 42 aircraft in the passenger fleet and 12</w:t>
      </w:r>
      <w:r>
        <w:rPr>
          <w:rFonts w:ascii="Arial" w:cs="Arial" w:eastAsia="Arial" w:hAnsi="Arial"/>
          <w:sz w:val="18"/>
          <w:szCs w:val="18"/>
          <w:b w:val="1"/>
          <w:bCs w:val="1"/>
          <w:color w:val="auto"/>
        </w:rPr>
        <w:t xml:space="preserve"> </w:t>
      </w:r>
      <w:r>
        <w:rPr>
          <w:rFonts w:ascii="Arial" w:cs="Arial" w:eastAsia="Arial" w:hAnsi="Arial"/>
          <w:sz w:val="18"/>
          <w:szCs w:val="18"/>
          <w:color w:val="auto"/>
        </w:rPr>
        <w:t>cargo operated aircraft through the ATSA and six aircraft that are currently on lease to unaffiliated airlines. During the year ended December 31, 2023, we acquired five Owned Aircraft Held for Operating Lease for total consideration of approximately $158,000.</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For more information on our fleet and probable future aircraft acquisitions, 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17</w:t>
      </w:r>
      <w:r>
        <w:rPr>
          <w:rFonts w:ascii="Arial" w:cs="Arial" w:eastAsia="Arial" w:hAnsi="Arial"/>
          <w:sz w:val="18"/>
          <w:szCs w:val="18"/>
          <w:color w:val="auto"/>
        </w:rPr>
        <w:t xml:space="preserve"> to the Consolidated Financial Statements included in Part II, Item 8 of this Annual Report. For more information on the purchase of five Owned Aircraft Held for Operating Lease,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Consolidated Financial Statements included in Part II, Item 8 of this Annual Report.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cash</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in advance of scheduled maintenance to act as collateral for the benefit of lessors. Qualifying payments that are expected to be recovered from lessors are recorded as Lessor Maintenance Deposits on our Consolidated Balance Sheets. As of December 31, 2023, we had $ 45,721 of total Lessor Maintenance Deposits. As of December 31, 2023, all maintenance deposits are estimated to be recoverable either through reimbursable maintenance events or through application towards the purchase of the aircraft.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We invest cash and cash equivalents in highly liquid securities with strong credit ratings. As of December 31, 2023, we held</w:t>
      </w:r>
      <w:r>
        <w:rPr>
          <w:rFonts w:ascii="Arial" w:cs="Arial" w:eastAsia="Arial" w:hAnsi="Arial"/>
          <w:sz w:val="18"/>
          <w:szCs w:val="18"/>
          <w:b w:val="1"/>
          <w:bCs w:val="1"/>
          <w:color w:val="auto"/>
        </w:rPr>
        <w:t xml:space="preserve"> </w:t>
      </w:r>
      <w:r>
        <w:rPr>
          <w:rFonts w:ascii="Arial" w:cs="Arial" w:eastAsia="Arial" w:hAnsi="Arial"/>
          <w:sz w:val="18"/>
          <w:szCs w:val="18"/>
          <w:color w:val="auto"/>
        </w:rPr>
        <w:t>$134,240 of debt securities, all of which are classified as current assets because of their highly liquid nature and availability to be converted into cash to fund current operations. Given the significant portion of our portfolio held in cash and cash equivalents and the high credit quality of our debt security investments, we do not anticipate fluctuations in the aggregate fair value of our investments to have a material impact on our liquidity or capital position.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also hold $6,887 of Certificates of Deposit that are included in Investments on the Consolidated Balance Sheets as of December 31, 2023.</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We use our Credit Facilities to provide liquidity support for general corporate purposes and to finance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aircraft.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2023, we had $24,650 of the $25,000 Revolving Credit Facility available due to $ 350 being pledged to support a letter of credit, and no balance drawn. The Credit Agreement includes financial covenants that require a minimum trailing 12-month EBITDAR ($87,700 as of March 31, 2022 and beyond) and a minimum liquidity, as defined within the Credit Agreement, of $30,000 at the close of any business day. We were in compliance with these covenants as of December 31, 2023 and December 31, 2022.</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We may obtain debt financing through the issuance of pass-through trust certificates to purchase, or refinance, aircraft.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2019, we arranged for the issuance of Class A, Class B and Class C trust certificates Series 2019-1 (the “2019-1 EETC”), in an aggregate face amount of $248,587 for the purpose of financing or refinancing 13 used aircraft. During March 2022, we arranged for the issuance of Class A and Class B trust certificates Series 2022-1 (the "2022-1 EETC") in an aggregate face amount of $188,277 for the purpose of financing or refinancing 13 aircraft.</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year ended December 31, 2023, we executed a term loan credit facility with a face amount of $119,200 for the purpose of financing the five Owned Aircraft Held for Operating Lease. The loan is to be repaid monthly through March 2030. During the lease term, payments collected from the lessee will be applied directly to the repayment of principal and interest on the term loan credit facility. The Owned Aircraft Held for Operating Lease, as well as the related lease payments received from the lessee, are pledged as collateral.</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Company and a LTV ratio calculation is completed at the end of the lease term. The interest rate in effect as of December 31, 2023 was 9.2%. To the extent that the LTV ratio exceeds 75% at the end of the lease term, a principal prepayment will be required in order to reduce the ratio to 75%. If at any point within 12 months of the end of the lease term for each respective aircraft the Company deems it probable that a principal prepayment will be required in order to reduce the LTV ratio to 75%, and such amount can be reasonably estimated, the estimated principal prepayment amount will be reclassified from Long-term Debt, net to Current Maturities of Long-Term Debt, net on our Consolidated Balance Sheets. In the event a principal prepayment is required, amounts received under the end of lease maintenance compensation clause may be applied towards the prepayment.</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quarter of 2023, one of the Owned Aircraft Held for Operating Lease was within 12 months of the end of its lease term. We obtained an appraisal on the aircraft from an independent, third-party specialist, which confirmed that the LTV level was not in excess of 75% as of the test date. As a result, no amounts related to an estimated principal prepayment have been reclassified from Long-term Debt, net to Current Maturities of Long-Term Debt, net on our Consolidated Balance Sheets as of December 31, 2023.</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TRA Liability - </w:t>
      </w:r>
      <w:r>
        <w:rPr>
          <w:rFonts w:ascii="Arial" w:cs="Arial" w:eastAsia="Arial" w:hAnsi="Arial"/>
          <w:sz w:val="18"/>
          <w:szCs w:val="18"/>
          <w:color w:val="auto"/>
        </w:rPr>
        <w:t>In connection with the Company’s IPO, we entered into a TRA with pre-IPO stockholders (the “TRA holders”). The TRA</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for the payment by the Company to the TRA holders of 85% of the amount of cash savings, if any, in U.S. federal, state, local, and foreign income tax that the Company actually realizes (or is deemed to realize in certain circumstances) as a result of certain tax attributes that existed at the time of the IPO (the “Pre-IPO Tax Attributes”). We will retain the benefit of the remaining 15% of these cash savings.</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During the year ended December 31, 2023, we made a payment of $2,425 to the TRA holders. Payments will be made in future periods as Pre-IPO Tax Attributes are utilized. For more information on the TRA liability,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to the Consolidated Financial Statements included in Part II, Item 8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 Indicators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7"/>
                <w:szCs w:val="17"/>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92,086</w:t>
            </w: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172,635</w:t>
            </w:r>
          </w:p>
        </w:tc>
      </w:tr>
      <w:tr>
        <w:trPr>
          <w:trHeight w:val="23"/>
        </w:trPr>
        <w:tc>
          <w:tcPr>
            <w:tcW w:w="7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w:t>
            </w:r>
          </w:p>
        </w:tc>
      </w:tr>
      <w:tr>
        <w:trPr>
          <w:trHeight w:val="263"/>
        </w:trPr>
        <w:tc>
          <w:tcPr>
            <w:tcW w:w="758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205,169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289,371</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2"/>
        </w:trPr>
        <w:tc>
          <w:tcPr>
            <w:tcW w:w="758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r>
      <w:tr>
        <w:trPr>
          <w:trHeight w:val="223"/>
        </w:trPr>
        <w:tc>
          <w:tcPr>
            <w:tcW w:w="75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9"/>
                <w:szCs w:val="19"/>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net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401,645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352,235</w:t>
            </w:r>
          </w:p>
        </w:tc>
      </w:tr>
      <w:tr>
        <w:trPr>
          <w:trHeight w:val="247"/>
        </w:trPr>
        <w:tc>
          <w:tcPr>
            <w:tcW w:w="758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277,302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251,296</w:t>
            </w:r>
          </w:p>
        </w:tc>
      </w:tr>
      <w:tr>
        <w:trPr>
          <w:trHeight w:val="23"/>
        </w:trPr>
        <w:tc>
          <w:tcPr>
            <w:tcW w:w="7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26,132</w:t>
            </w:r>
          </w:p>
        </w:tc>
      </w:tr>
      <w:tr>
        <w:trPr>
          <w:trHeight w:val="240"/>
        </w:trPr>
        <w:tc>
          <w:tcPr>
            <w:tcW w:w="758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697,777</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629,663</w:t>
            </w:r>
          </w:p>
        </w:tc>
      </w:tr>
      <w:tr>
        <w:trPr>
          <w:trHeight w:val="23"/>
        </w:trPr>
        <w:tc>
          <w:tcPr>
            <w:tcW w:w="7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492,712</w:t>
            </w:r>
          </w:p>
        </w:tc>
      </w:tr>
      <w:tr>
        <w:trPr>
          <w:trHeight w:val="263"/>
        </w:trPr>
        <w:tc>
          <w:tcPr>
            <w:tcW w:w="758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1,212,180</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1,122,375</w:t>
            </w:r>
          </w:p>
        </w:tc>
      </w:tr>
      <w:tr>
        <w:trPr>
          <w:trHeight w:val="46"/>
        </w:trPr>
        <w:tc>
          <w:tcPr>
            <w:tcW w:w="75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7"/>
        </w:trPr>
        <w:tc>
          <w:tcPr>
            <w:tcW w:w="7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Debt-to-Capital</w:t>
            </w:r>
          </w:p>
        </w:tc>
        <w:tc>
          <w:tcPr>
            <w:tcW w:w="42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Borders>
              <w:top w:val="single" w:sz="8" w:color="CCEEFF"/>
            </w:tcBorders>
          </w:tcPr>
          <w:p>
            <w:pPr>
              <w:spacing w:after="0"/>
              <w:rPr>
                <w:sz w:val="21"/>
                <w:szCs w:val="21"/>
                <w:color w:val="auto"/>
              </w:rPr>
            </w:pPr>
          </w:p>
        </w:tc>
        <w:tc>
          <w:tcPr>
            <w:tcW w:w="58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Pr>
          <w:p>
            <w:pPr>
              <w:spacing w:after="0"/>
              <w:rPr>
                <w:sz w:val="17"/>
                <w:szCs w:val="17"/>
                <w:color w:val="auto"/>
              </w:rPr>
            </w:pPr>
          </w:p>
        </w:tc>
        <w:tc>
          <w:tcPr>
            <w:tcW w:w="118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2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20" w:type="dxa"/>
            <w:vAlign w:val="bottom"/>
          </w:tcPr>
          <w:p>
            <w:pPr>
              <w:jc w:val="right"/>
              <w:ind w:right="4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174,120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94"/>
        </w:trPr>
        <w:tc>
          <w:tcPr>
            <w:tcW w:w="49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920" w:type="dxa"/>
            <w:vAlign w:val="bottom"/>
          </w:tcPr>
          <w:p>
            <w:pPr>
              <w:ind w:left="360"/>
              <w:spacing w:after="0"/>
              <w:rPr>
                <w:sz w:val="20"/>
                <w:szCs w:val="20"/>
                <w:color w:val="auto"/>
              </w:rPr>
            </w:pPr>
            <w:r>
              <w:rPr>
                <w:rFonts w:ascii="Arial" w:cs="Arial" w:eastAsia="Arial" w:hAnsi="Arial"/>
                <w:sz w:val="18"/>
                <w:szCs w:val="18"/>
                <w:color w:val="auto"/>
              </w:rPr>
              <w:t>Purchases of Property &amp;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(218,160)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(30,238)</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Sale of Property &amp;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47"/>
        </w:trPr>
        <w:tc>
          <w:tcPr>
            <w:tcW w:w="4920" w:type="dxa"/>
            <w:vAlign w:val="bottom"/>
          </w:tcPr>
          <w:p>
            <w:pPr>
              <w:ind w:left="360"/>
              <w:spacing w:after="0"/>
              <w:rPr>
                <w:sz w:val="20"/>
                <w:szCs w:val="20"/>
                <w:color w:val="auto"/>
              </w:rPr>
            </w:pPr>
            <w:r>
              <w:rPr>
                <w:rFonts w:ascii="Arial" w:cs="Arial" w:eastAsia="Arial" w:hAnsi="Arial"/>
                <w:sz w:val="18"/>
                <w:szCs w:val="18"/>
                <w:color w:val="auto"/>
              </w:rPr>
              <w:t>Proceeds from Insurance Settlements</w:t>
            </w:r>
          </w:p>
        </w:tc>
        <w:tc>
          <w:tcPr>
            <w:tcW w:w="3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(95,535)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83,425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7"/>
        </w:trPr>
        <w:tc>
          <w:tcPr>
            <w:tcW w:w="4920" w:type="dxa"/>
            <w:vAlign w:val="bottom"/>
          </w:tcPr>
          <w:p>
            <w:pPr>
              <w:ind w:left="360"/>
              <w:spacing w:after="0"/>
              <w:rPr>
                <w:sz w:val="20"/>
                <w:szCs w:val="20"/>
                <w:color w:val="auto"/>
              </w:rPr>
            </w:pPr>
            <w:r>
              <w:rPr>
                <w:rFonts w:ascii="Arial" w:cs="Arial" w:eastAsia="Arial" w:hAnsi="Arial"/>
                <w:sz w:val="18"/>
                <w:szCs w:val="18"/>
                <w:color w:val="auto"/>
              </w:rPr>
              <w:t>Proceeds from the Sale of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Maturities of Investments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137,220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132,220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1"/>
        </w:trPr>
        <w:tc>
          <w:tcPr>
            <w:tcW w:w="492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(171,231)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178,099</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49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49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Stock Option and Warrant Exercises,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7"/>
        </w:trPr>
        <w:tc>
          <w:tcPr>
            <w:tcW w:w="4920" w:type="dxa"/>
            <w:vAlign w:val="bottom"/>
          </w:tcPr>
          <w:p>
            <w:pPr>
              <w:ind w:left="360"/>
              <w:spacing w:after="0"/>
              <w:rPr>
                <w:sz w:val="20"/>
                <w:szCs w:val="20"/>
                <w:color w:val="auto"/>
              </w:rPr>
            </w:pPr>
            <w:r>
              <w:rPr>
                <w:rFonts w:ascii="Arial" w:cs="Arial" w:eastAsia="Arial" w:hAnsi="Arial"/>
                <w:sz w:val="18"/>
                <w:szCs w:val="18"/>
                <w:color w:val="auto"/>
              </w:rPr>
              <w:t>Common Stock Repurchases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(68,585)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(43,531)</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(69,077)</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7"/>
        </w:trPr>
        <w:tc>
          <w:tcPr>
            <w:tcW w:w="4920" w:type="dxa"/>
            <w:vAlign w:val="bottom"/>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Borrowings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7"/>
        </w:trPr>
        <w:tc>
          <w:tcPr>
            <w:tcW w:w="4920" w:type="dxa"/>
            <w:vAlign w:val="bottom"/>
          </w:tcPr>
          <w:p>
            <w:pPr>
              <w:ind w:left="360"/>
              <w:spacing w:after="0"/>
              <w:rPr>
                <w:sz w:val="20"/>
                <w:szCs w:val="20"/>
                <w:color w:val="auto"/>
              </w:rPr>
            </w:pPr>
            <w:r>
              <w:rPr>
                <w:rFonts w:ascii="Arial" w:cs="Arial" w:eastAsia="Arial" w:hAnsi="Arial"/>
                <w:sz w:val="18"/>
                <w:szCs w:val="18"/>
                <w:color w:val="auto"/>
              </w:rPr>
              <w:t>Payment of Tax Receivable Agreement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0"/>
        </w:trPr>
        <w:tc>
          <w:tcPr>
            <w:tcW w:w="4920" w:type="dxa"/>
            <w:vAlign w:val="bottom"/>
          </w:tcPr>
          <w:p>
            <w:pPr>
              <w:ind w:left="20"/>
              <w:spacing w:after="0"/>
              <w:rPr>
                <w:sz w:val="20"/>
                <w:szCs w:val="20"/>
                <w:color w:val="auto"/>
              </w:rPr>
            </w:pPr>
            <w:r>
              <w:rPr>
                <w:rFonts w:ascii="Arial" w:cs="Arial" w:eastAsia="Arial" w:hAnsi="Arial"/>
                <w:sz w:val="18"/>
                <w:szCs w:val="18"/>
                <w:color w:val="auto"/>
              </w:rPr>
              <w:t>Total Financing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(42,137)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(49,170)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(214,857)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175,609</w:t>
            </w:r>
          </w:p>
        </w:tc>
        <w:tc>
          <w:tcPr>
            <w:tcW w:w="10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7"/>
          <w:szCs w:val="7"/>
          <w:u w:val="single" w:color="auto"/>
          <w:color w:val="auto"/>
        </w:rPr>
        <w:t>_________________________</w:t>
      </w:r>
      <w:r>
        <w:rPr>
          <w:rFonts w:ascii="Arial" w:cs="Arial" w:eastAsia="Arial" w:hAnsi="Arial"/>
          <w:sz w:val="7"/>
          <w:szCs w:val="7"/>
          <w:color w:val="auto"/>
        </w:rPr>
        <w:t>_</w:t>
      </w:r>
    </w:p>
    <w:p>
      <w:pPr>
        <w:spacing w:after="0" w:line="12" w:lineRule="exact"/>
        <w:rPr>
          <w:sz w:val="20"/>
          <w:szCs w:val="20"/>
          <w:color w:val="auto"/>
        </w:rPr>
      </w:pPr>
    </w:p>
    <w:p>
      <w:pPr>
        <w:spacing w:after="0"/>
        <w:rPr>
          <w:sz w:val="20"/>
          <w:szCs w:val="20"/>
          <w:color w:val="auto"/>
        </w:rPr>
      </w:pPr>
      <w:r>
        <w:rPr>
          <w:rFonts w:ascii="Arial" w:cs="Arial" w:eastAsia="Arial" w:hAnsi="Arial"/>
          <w:sz w:val="7"/>
          <w:szCs w:val="7"/>
          <w:color w:val="auto"/>
        </w:rPr>
        <w:t>“</w:t>
      </w:r>
      <w:r>
        <w:rPr>
          <w:rFonts w:ascii="Arial" w:cs="Arial" w:eastAsia="Arial" w:hAnsi="Arial"/>
          <w:sz w:val="12"/>
          <w:szCs w:val="12"/>
          <w:color w:val="auto"/>
        </w:rPr>
        <w:t>Cash” consists of Cash, Cash Equivalents and Restricted Cash</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“NM” stands for not meaningful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activities in the years ended December 31, 2023 and 2022 provided $ 174,120 and $127,440 of cash, respectively. During the years ended December 31, 2023 and 2022, Net Income was $ 72,181 and $17,676, respectively. For more information on the components of Net Income for the years ended December 31, 2023 and 2022, refer to the Consolidated Results of Operations discussion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 Air Traffic liabilities were materially consistent year-over-year.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Aircraft Fuel. </w:t>
      </w:r>
      <w:r>
        <w:rPr>
          <w:rFonts w:ascii="Arial" w:cs="Arial" w:eastAsia="Arial" w:hAnsi="Arial"/>
          <w:sz w:val="18"/>
          <w:szCs w:val="18"/>
          <w:color w:val="auto"/>
        </w:rPr>
        <w:t>Aircraft Fuel expense represented approximately 27% and 32% of our total operating expense for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and 2022, respectively. The market price for jet fuel is volatile, which can impact the comparability of our periodic cash flows from operations. Fuel cost per gallon decreased by 17% year-over-year due to the impact of global geopolitical events on the price of fuel during the year ended December 31, 2022. Fuel consumption has increased by 11% year-over-year, as a result of the increase in fleet size and total operations. We expect volatility in Aircraft Fuel prices per gallon throughout 2024 due to market conditions and global geopolitical events.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Payments for our Operating Lease Liabilities decreased primarily due to the composition of our aircraft fleet shifting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aircraft under operating leases to owned aircraft or finance leases. For the years ended December 31, 2023 and 2022, there was an average of one and four aircraft under operating leases, respectively. As of December 31, 2023, we operated no aircraft under operating leases.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$218,160 and $187,922 for the years ended December 31, 2023 and 2022,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expenditures during the year ended December 31, 2023 primarily included the purchase of five Owned Aircraft Held for Operating Lease and one incremental aircraft for our passenger fleet.</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expenditures during the year ended December 31, 2022 primarily included the purchase of five incremental aircraft, two aircraft off operating leases, five spare engines, and a flight simulator.</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During the year ended December 31, 2023, our net investment activity resulted in cash inflows of $41,976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maturing debt securities exceeding purchases of investments. These maturing cash inflows were used to fund the purchase of aircraft during the year ended December 31, 2023. During the second quarter of 2022, we changed our investment strategy which led to the purchase of $178,960 of investments during the year ended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During the year ended December 31, 2023, we executed a term loan credit facility with a face amount of $ 119,200 for the purpose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the five Owned Aircraft Held for Operating Lease. The loan is to be repaid monthly through March 2030. In March 2022, we arranged for the issuance of the 2022-1 EETC in an aggregate face amount of $188,277 for the purpose of financing or refinancing 13 aircraft. Five of these aircraft were owned fleet assets previously financed by the DDTL, which was repaid with the proceeds from the 2022-1 EETC.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make bi-annual principal and interest payments on the 2022-1 EETC each March and September, through March 2031.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make bi-annual principal and interest payments on the 2019-1 EETC each June and December, through December 2027.</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For additional information regarding these financing arrangements,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to the Consolidated Financial Statements included in Part II, Item 8 of this Annual Report.</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Finance Leases</w:t>
      </w:r>
      <w:r>
        <w:rPr>
          <w:rFonts w:ascii="Arial" w:cs="Arial" w:eastAsia="Arial" w:hAnsi="Arial"/>
          <w:sz w:val="18"/>
          <w:szCs w:val="18"/>
          <w:color w:val="auto"/>
        </w:rPr>
        <w:t>. Our repayments of finance lease obligations were $21,883 and $42,062 for the years ended December 31, 2023 and 2022,</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During 2022, we purchased two aircraft previously classified as finance leases using proceeds from the 2022-1 EETC. The resulting cash outflows are recorded as payments for finance lease obligations. There were no similar aircraft transactions during the year ended December 31, 2023. For the years ended December 31, 2023 and 2022, there were an average of 12 and 11 finance leases, respectively.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year ended December 31, 2023, we repurchased 4,213,975 shares of our Common Stock at a total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cost of $68,585, or an average price of $16.28 per share. The repurchases were part of secondary public offerings of our shares by the Apollo Stockholder, as well as open market purchases. During the fourth quarter of 2022, we entered into a $25,000 Accelerated Share Repurchase Program, which was settled in January 2023 resulting in 1,371,518 shares repurchased at an average price of $18.23 per share. For more information on the stock repurchase program and this purchase,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to the Consolidated Financial Statements included in Part II, Item 8 of this Annual Report.</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 xml:space="preserve">TRA Payments. </w:t>
      </w:r>
      <w:r>
        <w:rPr>
          <w:rFonts w:ascii="Arial" w:cs="Arial" w:eastAsia="Arial" w:hAnsi="Arial"/>
          <w:sz w:val="18"/>
          <w:szCs w:val="18"/>
          <w:color w:val="auto"/>
        </w:rPr>
        <w:t>During the year ended December 31, 2023, we made a payment of $2,425 to the TRA holders. For more information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payment of the TRA,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of the Consolidated Financial Statements included in Part II, Item 8 of this Annual Report.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and 2022-1 EETC. Generally, the structure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We use these certificates to finance or refinance aircraft purchases. The obligations are listed in </w:t>
      </w:r>
      <w:r>
        <w:rPr>
          <w:rFonts w:ascii="Arial" w:cs="Arial" w:eastAsia="Arial" w:hAnsi="Arial"/>
          <w:sz w:val="18"/>
          <w:szCs w:val="18"/>
          <w:u w:val="single" w:color="auto"/>
          <w:color w:val="0000FF"/>
        </w:rPr>
        <w:t>Note 8</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included in Part II, Item 8 of this Annual Report.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various airports throughout the U.S. and we expect to expand our participation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1) not VIEs because they are not legal entities, or 2) are variable interest entities, but the Company is not deemed the primary beneficiary. Therefore, these agreements are not reflected on our Consolidated Balance Sheets. There are no assets or liabilities on our Balance Sheets related to these VIEs, since our participation is limited to purchasing aircraft fuel.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long-term cash requirements under our various contractual obligations and commitments include:</w:t>
      </w:r>
    </w:p>
    <w:p>
      <w:pPr>
        <w:spacing w:after="0" w:line="212" w:lineRule="exact"/>
        <w:rPr>
          <w:sz w:val="20"/>
          <w:szCs w:val="20"/>
          <w:color w:val="auto"/>
        </w:rPr>
      </w:pPr>
    </w:p>
    <w:p>
      <w:pPr>
        <w:jc w:val="both"/>
        <w:ind w:left="660" w:hanging="328"/>
        <w:spacing w:after="0" w:line="268" w:lineRule="auto"/>
        <w:tabs>
          <w:tab w:leader="none" w:pos="65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For further detail of our long-term debt and the timing of expected future payments, see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8</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II, Item 8, included in this Annual Report. Interest coupon payments on the Company's EETC financings are paid semi-annually. The Term Loan is repaid monthly.</w:t>
      </w:r>
    </w:p>
    <w:p>
      <w:pPr>
        <w:spacing w:after="0" w:line="62" w:lineRule="exact"/>
        <w:rPr>
          <w:rFonts w:ascii="Arial" w:cs="Arial" w:eastAsia="Arial" w:hAnsi="Arial"/>
          <w:sz w:val="18"/>
          <w:szCs w:val="18"/>
          <w:b w:val="1"/>
          <w:bCs w:val="1"/>
          <w:i w:val="1"/>
          <w:iCs w:val="1"/>
          <w:color w:val="auto"/>
        </w:rPr>
      </w:pPr>
    </w:p>
    <w:p>
      <w:pPr>
        <w:ind w:left="66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Aircraft Leases and Maintenance Reserves. </w:t>
      </w:r>
      <w:r>
        <w:rPr>
          <w:rFonts w:ascii="Arial" w:cs="Arial" w:eastAsia="Arial" w:hAnsi="Arial"/>
          <w:sz w:val="18"/>
          <w:szCs w:val="18"/>
          <w:color w:val="auto"/>
        </w:rPr>
        <w:t>For more information on our finance leases, as well as the timing of expected future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payments,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to the Consolidated Financial Statements included in Part II, Item 8, included in this Annual Report.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 Liability. </w:t>
      </w:r>
      <w:r>
        <w:rPr>
          <w:rFonts w:ascii="Arial" w:cs="Arial" w:eastAsia="Arial" w:hAnsi="Arial"/>
          <w:sz w:val="18"/>
          <w:szCs w:val="18"/>
          <w:color w:val="auto"/>
        </w:rPr>
        <w:t>For more information on the TRA liability to be paid to the TRA holders, see</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Note 14</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Part II, Item 8, included in this Annual Report.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For additional information on the status of our union contracts, as well as our contractual obligations and commitments, refer to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17</w:t>
      </w:r>
      <w:r>
        <w:rPr>
          <w:rFonts w:ascii="Arial" w:cs="Arial" w:eastAsia="Arial" w:hAnsi="Arial"/>
          <w:sz w:val="18"/>
          <w:szCs w:val="18"/>
          <w:color w:val="0000FF"/>
        </w:rPr>
        <w:t xml:space="preserve"> </w:t>
      </w:r>
      <w:r>
        <w:rPr>
          <w:rFonts w:ascii="Arial" w:cs="Arial" w:eastAsia="Arial" w:hAnsi="Arial"/>
          <w:sz w:val="18"/>
          <w:szCs w:val="18"/>
          <w:color w:val="000000"/>
        </w:rPr>
        <w:t>to the Consolidated Financial Statements included in Part II, Item 8, included in this Annual Report. Except as described herein,</w:t>
      </w:r>
      <w:r>
        <w:rPr>
          <w:rFonts w:ascii="Arial" w:cs="Arial" w:eastAsia="Arial" w:hAnsi="Arial"/>
          <w:sz w:val="18"/>
          <w:szCs w:val="18"/>
          <w:color w:val="0000FF"/>
        </w:rPr>
        <w:t xml:space="preserve"> </w:t>
      </w:r>
      <w:r>
        <w:rPr>
          <w:rFonts w:ascii="Arial" w:cs="Arial" w:eastAsia="Arial" w:hAnsi="Arial"/>
          <w:sz w:val="18"/>
          <w:szCs w:val="18"/>
          <w:color w:val="000000"/>
        </w:rPr>
        <w:t>there have been no material changes in our contractual obligations and commitments other than in the ordinary course of business since our fiscal year ended December 31, 2023.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Our significant accounting policies are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the Consolidated Financial Statements in Part II, Item 8 of this Annual Report. Some of those significant accounting policies require us to make difficult,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subjective, or complex judgments, or estimates. An accounting estimate is considered to be critical if it meets both of the following criteria:</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estimate requires assumptions about matters that are highly uncertain at the time the accounting estimate is made, and</w:t>
      </w:r>
    </w:p>
    <w:p>
      <w:pPr>
        <w:spacing w:after="0" w:line="22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critical accounting policies: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Revenue Recognition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Asset Impairment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Scheduled Service, Charter Service, and most Ancillary revenues are recognized when the passenger flight occurs. Revenues exclude amounts collected on behalf of other parties, including transportation taxes.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initially defer Scheduled Service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Revenue for change fees is deferred and recognized when the passenger travel is provided.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Travel credits may generally be redeemed toward future travel for up to 12 months after the date of the original booking. As of December 31, 2023 and 2022, the Company’s air traffic liability included $6,048 and $10,192, respectively, related to travel credits for future travel. The Company records an estimate for travel credits that will expire unused, otherwise known as breakage, in Passenger Revenue upon issuance of the travel credit. During the years ended December 31, 2023 and 2022, the Company recorded $10,240 and $ 12,560, respectively, of estimated travel credit breakage. A portion of travel credits will expire unused, at which time any remaining revenue is recognized.</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breakage rate is primarily based on historical experience of travel credit activity and other factors that may not be indicative of future trends, such as the COVID-19 pandemic,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year ended December 31, 2023, a 10% change in the Company’s estimated travel credit breakage rate would have resulted in a change to Passenger Revenue of approximately $827.</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are no critical accounting estimates associated with Charter or Cargo revenue recognition that would materially impact the amount of revenue recognized in any specific period.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 Analysis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long-lived assets, such as Property &amp; Equipment and finite-lived Intangible Assets, are reviewed for impairment whenever events or changes in circumstances indicate that the carrying amount of an asset (or asset group) may not be recoverable. The Company’s assets include aircraft and associated engines, operating and finance lease assets, the Company’s customer relationship and over-market finite-lived intangible assets, and other long-lived assets. The Company reviews the current economic and operating environment to determine whether events or circumstances indicate that these assets (or asset groups) may be impaired. Such indicators include, but are not limited to: 1) significant, permanent decrease in the market price of the Company’s long-lived assets, 2) significant decrease in the projected cash flows generated from the use of its long-lived assets, 3) changes in the estimated useful life or productive capacity of the asset, 4) changes in the regulatory environment in which the Company operates, and 5) a decision to permanently remove flight equipment or other long-lived assets from operations. If such factors are identified and the Company determines that the carrying amount of the long-lived asset (or asset group) is not recoverable on an undiscounted cash flow basis, an impairment is recognized to the extent that the asset (or asset group’s) carrying amount exceeds its fair value. Fair value is determined using various valuation techniques, including discounted cash flow models, quoted market values and third-party independent appraisals, as considered necessary.</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the Company assesses its long-lived assets for impairment, it utilizes certain assumptions, including, but not limited to: 1) estimated fair value of the assets, and 2) estimated future undiscounted cash flows expected to be generated by those assets. Cash flow estimates are determined based on additional assumptions, including asset utilization, average fares, projected fuel costs and other operating costs, along with the estimated service life of the asset. Certain of these assumptions are highly volatile and could change significantly from period to period due to various macroeconomic and industry-specific events.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determine whether impairment exists, the Company groups its assets based on the lowest level of identifiable cash flows. The Company operates a fleet comprised exclusively of one type of aircraft, the Boeing 737-NG. Therefore, the Company's largest asset group is its fleet of 737-NG aircraft, associated engines, as well as related finite-lived intangible assets. Primarily all of the Company’s long-lived assets are owned by, or associated with, the Passenger operating segment.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not recorded an impairment on its long-lived assets for any of the periods presented in these Consolidated Financial Statements, nor did it identify any triggering events during the year ended December 31, 2023 and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For example, based on our forecasted Aircraft Fuel expense for the first quarter of 2024, we estimate that a one cent per gallon increase in the average aircraft fuel price would increase Aircraft Fuel expense by approximately $233. Aircraft Fuel expense does not include amounts where we are considered the customer's agent for procuring fuel. We had no fuel option and swap contracts in place to hedge the economic risk associated with volatile fuel prices as of December 31, 2023. We currently do not expect to enter into these types of contracts prospectively, although significant changes in market conditions could affect our decisions.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and our short-term investment securities. A change in market interest rates would impact interest expense under the $119,200 term loan credit facility used to finance the Owned Aircraft Held for Operating Lease. A 100 basis point increase in interest rates on the term loan would result in a corresponding increase in interest expense of approximately $1,084 annually. As of the date of this filing,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entire term loan credit facility has been drawn. The Company also maintains a $25,000 Revolving Credit Facility with a variable interest rate that is impacted by market conditions. As of December 31, 2023, the Company had $24,650 of financing available through the Revolving Credit Facility, as $350 had been pledged to support a letter of credit. As of December 31, 2023, no amounts on the Revolving Credit Facility had been drawn.</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$ 134,240 as of December 31, 2023. The Company limits its investments to investment grade quality securities. Given these factors and that a significant portion of our portfolio is held in cash and cash equivalents, we do not anticipate fluctuations in the aggregate fair value of our financial assets to have a material impact on our liquidity or capital position.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886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3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058"/>
        </w:trPr>
        <w:tc>
          <w:tcPr>
            <w:tcW w:w="8860" w:type="dxa"/>
            <w:vAlign w:val="bottom"/>
            <w:gridSpan w:val="2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38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8840" w:type="dxa"/>
            <w:vAlign w:val="bottom"/>
            <w:gridSpan w:val="26"/>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(ID #185)</w:t>
            </w:r>
          </w:p>
        </w:tc>
        <w:tc>
          <w:tcPr>
            <w:tcW w:w="23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515"/>
        </w:trPr>
        <w:tc>
          <w:tcPr>
            <w:tcW w:w="20" w:type="dxa"/>
            <w:vAlign w:val="bottom"/>
          </w:tcPr>
          <w:p>
            <w:pPr>
              <w:spacing w:after="0"/>
              <w:rPr>
                <w:sz w:val="24"/>
                <w:szCs w:val="24"/>
                <w:color w:val="auto"/>
              </w:rPr>
            </w:pPr>
          </w:p>
        </w:tc>
        <w:tc>
          <w:tcPr>
            <w:tcW w:w="4600" w:type="dxa"/>
            <w:vAlign w:val="bottom"/>
            <w:tcBorders>
              <w:top w:val="single" w:sz="8" w:color="0000FF"/>
            </w:tcBorders>
            <w:gridSpan w:val="23"/>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240" w:type="dxa"/>
            <w:vAlign w:val="bottom"/>
            <w:gridSpan w:val="3"/>
          </w:tcPr>
          <w:p>
            <w:pPr>
              <w:spacing w:after="0"/>
              <w:rPr>
                <w:sz w:val="24"/>
                <w:szCs w:val="24"/>
                <w:color w:val="auto"/>
              </w:rPr>
            </w:pPr>
          </w:p>
        </w:tc>
        <w:tc>
          <w:tcPr>
            <w:tcW w:w="2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8840" w:type="dxa"/>
            <w:vAlign w:val="bottom"/>
            <w:gridSpan w:val="26"/>
          </w:tcPr>
          <w:p>
            <w:pPr>
              <w:spacing w:after="0" w:line="195" w:lineRule="exact"/>
              <w:rPr>
                <w:sz w:val="20"/>
                <w:szCs w:val="20"/>
                <w:color w:val="auto"/>
              </w:rPr>
            </w:pPr>
            <w:r>
              <w:rPr>
                <w:rFonts w:ascii="Arial" w:cs="Arial" w:eastAsia="Arial" w:hAnsi="Arial"/>
                <w:sz w:val="18"/>
                <w:szCs w:val="18"/>
                <w:color w:val="0000FF"/>
              </w:rPr>
              <w:t>Consolidated Balance Sheets</w:t>
            </w:r>
          </w:p>
        </w:tc>
        <w:tc>
          <w:tcPr>
            <w:tcW w:w="2380" w:type="dxa"/>
            <w:vAlign w:val="bottom"/>
          </w:tcPr>
          <w:p>
            <w:pPr>
              <w:jc w:val="right"/>
              <w:spacing w:after="0" w:line="195" w:lineRule="exact"/>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40" w:type="dxa"/>
            <w:vAlign w:val="bottom"/>
            <w:gridSpan w:val="26"/>
          </w:tcPr>
          <w:p>
            <w:pPr>
              <w:spacing w:after="0"/>
              <w:rPr>
                <w:sz w:val="20"/>
                <w:szCs w:val="20"/>
                <w:color w:val="auto"/>
              </w:rPr>
            </w:pPr>
            <w:r>
              <w:rPr>
                <w:rFonts w:ascii="Arial" w:cs="Arial" w:eastAsia="Arial" w:hAnsi="Arial"/>
                <w:sz w:val="18"/>
                <w:szCs w:val="18"/>
                <w:color w:val="0000FF"/>
              </w:rPr>
              <w:t>Consolidated Statements of Operations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40" w:type="dxa"/>
            <w:vAlign w:val="bottom"/>
            <w:gridSpan w:val="26"/>
          </w:tcPr>
          <w:p>
            <w:pPr>
              <w:spacing w:after="0"/>
              <w:rPr>
                <w:sz w:val="20"/>
                <w:szCs w:val="20"/>
                <w:color w:val="auto"/>
              </w:rPr>
            </w:pPr>
            <w:r>
              <w:rPr>
                <w:rFonts w:ascii="Arial" w:cs="Arial" w:eastAsia="Arial" w:hAnsi="Arial"/>
                <w:sz w:val="18"/>
                <w:szCs w:val="18"/>
                <w:color w:val="0000FF"/>
              </w:rPr>
              <w:t>Consolidated Statements of Comprehensive Income</w:t>
            </w:r>
          </w:p>
        </w:tc>
        <w:tc>
          <w:tcPr>
            <w:tcW w:w="23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Consolidated Statements of Changes in Stockholders' Equity</w:t>
            </w:r>
          </w:p>
        </w:tc>
        <w:tc>
          <w:tcPr>
            <w:tcW w:w="3980" w:type="dxa"/>
            <w:vAlign w:val="bottom"/>
            <w:gridSpan w:val="2"/>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0"/>
        </w:trPr>
        <w:tc>
          <w:tcPr>
            <w:tcW w:w="20" w:type="dxa"/>
            <w:vAlign w:val="bottom"/>
          </w:tcPr>
          <w:p>
            <w:pPr>
              <w:spacing w:after="0"/>
              <w:rPr>
                <w:sz w:val="18"/>
                <w:szCs w:val="18"/>
                <w:color w:val="auto"/>
              </w:rPr>
            </w:pPr>
          </w:p>
        </w:tc>
        <w:tc>
          <w:tcPr>
            <w:tcW w:w="8840" w:type="dxa"/>
            <w:vAlign w:val="bottom"/>
            <w:gridSpan w:val="26"/>
          </w:tcPr>
          <w:p>
            <w:pPr>
              <w:spacing w:after="0"/>
              <w:rPr>
                <w:sz w:val="20"/>
                <w:szCs w:val="20"/>
                <w:color w:val="auto"/>
              </w:rPr>
            </w:pPr>
            <w:r>
              <w:rPr>
                <w:rFonts w:ascii="Arial" w:cs="Arial" w:eastAsia="Arial" w:hAnsi="Arial"/>
                <w:sz w:val="18"/>
                <w:szCs w:val="18"/>
                <w:color w:val="0000FF"/>
              </w:rPr>
              <w:t>Consolidated Statements of Cash Flows</w:t>
            </w:r>
          </w:p>
        </w:tc>
        <w:tc>
          <w:tcPr>
            <w:tcW w:w="23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8840" w:type="dxa"/>
            <w:vAlign w:val="bottom"/>
            <w:gridSpan w:val="26"/>
          </w:tcPr>
          <w:p>
            <w:pPr>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38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540" w:type="dxa"/>
            <w:vAlign w:val="bottom"/>
          </w:tcPr>
          <w:p>
            <w:pPr>
              <w:spacing w:after="0" w:line="195" w:lineRule="exact"/>
              <w:rPr>
                <w:sz w:val="20"/>
                <w:szCs w:val="20"/>
                <w:color w:val="auto"/>
              </w:rPr>
            </w:pPr>
            <w:r>
              <w:rPr>
                <w:rFonts w:ascii="Arial" w:cs="Arial" w:eastAsia="Arial" w:hAnsi="Arial"/>
                <w:sz w:val="18"/>
                <w:szCs w:val="18"/>
                <w:color w:val="0000FF"/>
                <w:w w:val="97"/>
              </w:rPr>
              <w:t>Note 1</w:t>
            </w:r>
          </w:p>
        </w:tc>
        <w:tc>
          <w:tcPr>
            <w:tcW w:w="10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7580" w:type="dxa"/>
            <w:vAlign w:val="bottom"/>
            <w:gridSpan w:val="22"/>
          </w:tcPr>
          <w:p>
            <w:pPr>
              <w:spacing w:after="0" w:line="195" w:lineRule="exact"/>
              <w:rPr>
                <w:sz w:val="20"/>
                <w:szCs w:val="20"/>
                <w:color w:val="auto"/>
              </w:rPr>
            </w:pPr>
            <w:r>
              <w:rPr>
                <w:rFonts w:ascii="Arial" w:cs="Arial" w:eastAsia="Arial" w:hAnsi="Arial"/>
                <w:sz w:val="18"/>
                <w:szCs w:val="18"/>
                <w:color w:val="0000FF"/>
              </w:rPr>
              <w:t>Company Background</w:t>
            </w:r>
          </w:p>
        </w:tc>
        <w:tc>
          <w:tcPr>
            <w:tcW w:w="2380" w:type="dxa"/>
            <w:vAlign w:val="bottom"/>
          </w:tcPr>
          <w:p>
            <w:pPr>
              <w:jc w:val="right"/>
              <w:spacing w:after="0" w:line="195" w:lineRule="exact"/>
              <w:rPr>
                <w:sz w:val="20"/>
                <w:szCs w:val="20"/>
                <w:color w:val="auto"/>
              </w:rPr>
            </w:pP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2</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580" w:type="dxa"/>
            <w:vAlign w:val="bottom"/>
            <w:gridSpan w:val="22"/>
          </w:tcPr>
          <w:p>
            <w:pPr>
              <w:spacing w:after="0"/>
              <w:rPr>
                <w:sz w:val="20"/>
                <w:szCs w:val="20"/>
                <w:color w:val="auto"/>
              </w:rPr>
            </w:pPr>
            <w:r>
              <w:rPr>
                <w:rFonts w:ascii="Arial" w:cs="Arial" w:eastAsia="Arial" w:hAnsi="Arial"/>
                <w:sz w:val="18"/>
                <w:szCs w:val="18"/>
                <w:color w:val="0000FF"/>
              </w:rPr>
              <w:t>Basis of Presentation and Summary of Significant Accounting Policies</w:t>
            </w:r>
          </w:p>
        </w:tc>
        <w:tc>
          <w:tcPr>
            <w:tcW w:w="23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3</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550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Revenue</w:t>
            </w:r>
          </w:p>
        </w:tc>
        <w:tc>
          <w:tcPr>
            <w:tcW w:w="208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4</w:t>
            </w:r>
          </w:p>
        </w:tc>
        <w:tc>
          <w:tcPr>
            <w:tcW w:w="8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Earnings per Share</w:t>
            </w:r>
          </w:p>
        </w:tc>
        <w:tc>
          <w:tcPr>
            <w:tcW w:w="6080" w:type="dxa"/>
            <w:vAlign w:val="bottom"/>
            <w:gridSpan w:val="15"/>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9"/>
        </w:trPr>
        <w:tc>
          <w:tcPr>
            <w:tcW w:w="20" w:type="dxa"/>
            <w:vAlign w:val="bottom"/>
          </w:tcPr>
          <w:p>
            <w:pPr>
              <w:spacing w:after="0"/>
              <w:rPr>
                <w:sz w:val="18"/>
                <w:szCs w:val="18"/>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Note 5</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Aircraft</w:t>
            </w:r>
          </w:p>
        </w:tc>
        <w:tc>
          <w:tcPr>
            <w:tcW w:w="7060" w:type="dxa"/>
            <w:vAlign w:val="bottom"/>
            <w:gridSpan w:val="20"/>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6</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580" w:type="dxa"/>
            <w:vAlign w:val="bottom"/>
            <w:gridSpan w:val="22"/>
          </w:tcPr>
          <w:p>
            <w:pPr>
              <w:spacing w:after="0"/>
              <w:rPr>
                <w:sz w:val="20"/>
                <w:szCs w:val="20"/>
                <w:color w:val="auto"/>
              </w:rPr>
            </w:pPr>
            <w:r>
              <w:rPr>
                <w:rFonts w:ascii="Arial" w:cs="Arial" w:eastAsia="Arial" w:hAnsi="Arial"/>
                <w:sz w:val="18"/>
                <w:szCs w:val="18"/>
                <w:color w:val="0000FF"/>
              </w:rPr>
              <w:t>Asset Acquisitions</w:t>
            </w:r>
          </w:p>
        </w:tc>
        <w:tc>
          <w:tcPr>
            <w:tcW w:w="23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7</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580" w:type="dxa"/>
            <w:vAlign w:val="bottom"/>
            <w:gridSpan w:val="22"/>
          </w:tcPr>
          <w:p>
            <w:pPr>
              <w:spacing w:after="0"/>
              <w:rPr>
                <w:sz w:val="20"/>
                <w:szCs w:val="20"/>
                <w:color w:val="auto"/>
              </w:rPr>
            </w:pPr>
            <w:r>
              <w:rPr>
                <w:rFonts w:ascii="Arial" w:cs="Arial" w:eastAsia="Arial" w:hAnsi="Arial"/>
                <w:sz w:val="18"/>
                <w:szCs w:val="18"/>
                <w:color w:val="0000FF"/>
              </w:rPr>
              <w:t>Goodwill and Other Intangible Assets</w:t>
            </w:r>
          </w:p>
        </w:tc>
        <w:tc>
          <w:tcPr>
            <w:tcW w:w="23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7"/>
              </w:rPr>
              <w:t>Note 8</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Debt</w:t>
            </w:r>
          </w:p>
        </w:tc>
        <w:tc>
          <w:tcPr>
            <w:tcW w:w="4680" w:type="dxa"/>
            <w:vAlign w:val="bottom"/>
            <w:gridSpan w:val="5"/>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0000FF"/>
                <w:w w:val="97"/>
              </w:rPr>
              <w:t>Note 9</w:t>
            </w:r>
          </w:p>
        </w:tc>
        <w:tc>
          <w:tcPr>
            <w:tcW w:w="10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7580" w:type="dxa"/>
            <w:vAlign w:val="bottom"/>
            <w:gridSpan w:val="22"/>
          </w:tcPr>
          <w:p>
            <w:pPr>
              <w:spacing w:after="0"/>
              <w:rPr>
                <w:sz w:val="20"/>
                <w:szCs w:val="20"/>
                <w:color w:val="auto"/>
              </w:rPr>
            </w:pPr>
            <w:r>
              <w:rPr>
                <w:rFonts w:ascii="Arial" w:cs="Arial" w:eastAsia="Arial" w:hAnsi="Arial"/>
                <w:sz w:val="18"/>
                <w:szCs w:val="18"/>
                <w:color w:val="0000FF"/>
              </w:rPr>
              <w:t>Leases</w:t>
            </w:r>
          </w:p>
        </w:tc>
        <w:tc>
          <w:tcPr>
            <w:tcW w:w="23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10</w:t>
            </w:r>
          </w:p>
        </w:tc>
        <w:tc>
          <w:tcPr>
            <w:tcW w:w="620" w:type="dxa"/>
            <w:vAlign w:val="bottom"/>
          </w:tcPr>
          <w:p>
            <w:pPr>
              <w:spacing w:after="0"/>
              <w:rPr>
                <w:sz w:val="18"/>
                <w:szCs w:val="18"/>
                <w:color w:val="auto"/>
              </w:rPr>
            </w:pPr>
          </w:p>
        </w:tc>
        <w:tc>
          <w:tcPr>
            <w:tcW w:w="21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6"/>
              </w:rPr>
              <w:t>Stock-Based Compensation</w:t>
            </w:r>
          </w:p>
        </w:tc>
        <w:tc>
          <w:tcPr>
            <w:tcW w:w="5400" w:type="dxa"/>
            <w:vAlign w:val="bottom"/>
            <w:gridSpan w:val="8"/>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11</w:t>
            </w:r>
          </w:p>
        </w:tc>
        <w:tc>
          <w:tcPr>
            <w:tcW w:w="620" w:type="dxa"/>
            <w:vAlign w:val="bottom"/>
          </w:tcPr>
          <w:p>
            <w:pPr>
              <w:spacing w:after="0"/>
              <w:rPr>
                <w:sz w:val="18"/>
                <w:szCs w:val="18"/>
                <w:color w:val="auto"/>
              </w:rPr>
            </w:pPr>
          </w:p>
        </w:tc>
        <w:tc>
          <w:tcPr>
            <w:tcW w:w="25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7"/>
              </w:rPr>
              <w:t>Defined Contribution 401(k) Plan</w:t>
            </w:r>
          </w:p>
        </w:tc>
        <w:tc>
          <w:tcPr>
            <w:tcW w:w="5020" w:type="dxa"/>
            <w:vAlign w:val="bottom"/>
            <w:gridSpan w:val="7"/>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12</w:t>
            </w:r>
          </w:p>
        </w:tc>
        <w:tc>
          <w:tcPr>
            <w:tcW w:w="620" w:type="dxa"/>
            <w:vAlign w:val="bottom"/>
          </w:tcPr>
          <w:p>
            <w:pPr>
              <w:spacing w:after="0"/>
              <w:rPr>
                <w:sz w:val="18"/>
                <w:szCs w:val="18"/>
                <w:color w:val="auto"/>
              </w:rPr>
            </w:pP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Investments</w:t>
            </w:r>
          </w:p>
        </w:tc>
        <w:tc>
          <w:tcPr>
            <w:tcW w:w="6660" w:type="dxa"/>
            <w:vAlign w:val="bottom"/>
            <w:gridSpan w:val="18"/>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13</w:t>
            </w:r>
          </w:p>
        </w:tc>
        <w:tc>
          <w:tcPr>
            <w:tcW w:w="620" w:type="dxa"/>
            <w:vAlign w:val="bottom"/>
          </w:tcPr>
          <w:p>
            <w:pPr>
              <w:spacing w:after="0"/>
              <w:rPr>
                <w:sz w:val="18"/>
                <w:szCs w:val="18"/>
                <w:color w:val="auto"/>
              </w:rPr>
            </w:pPr>
          </w:p>
        </w:tc>
        <w:tc>
          <w:tcPr>
            <w:tcW w:w="2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6"/>
              </w:rPr>
              <w:t>Fair Value Measurements</w:t>
            </w:r>
          </w:p>
        </w:tc>
        <w:tc>
          <w:tcPr>
            <w:tcW w:w="5580" w:type="dxa"/>
            <w:vAlign w:val="bottom"/>
            <w:gridSpan w:val="9"/>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14</w:t>
            </w:r>
          </w:p>
        </w:tc>
        <w:tc>
          <w:tcPr>
            <w:tcW w:w="620" w:type="dxa"/>
            <w:vAlign w:val="bottom"/>
          </w:tcPr>
          <w:p>
            <w:pPr>
              <w:spacing w:after="0"/>
              <w:rPr>
                <w:sz w:val="18"/>
                <w:szCs w:val="18"/>
                <w:color w:val="auto"/>
              </w:rPr>
            </w:pPr>
          </w:p>
        </w:tc>
        <w:tc>
          <w:tcPr>
            <w:tcW w:w="1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3"/>
              </w:rPr>
              <w:t>Income Taxes</w:t>
            </w:r>
          </w:p>
        </w:tc>
        <w:tc>
          <w:tcPr>
            <w:tcW w:w="6480" w:type="dxa"/>
            <w:vAlign w:val="bottom"/>
            <w:gridSpan w:val="17"/>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15</w:t>
            </w:r>
          </w:p>
        </w:tc>
        <w:tc>
          <w:tcPr>
            <w:tcW w:w="620" w:type="dxa"/>
            <w:vAlign w:val="bottom"/>
          </w:tcPr>
          <w:p>
            <w:pPr>
              <w:spacing w:after="0"/>
              <w:rPr>
                <w:sz w:val="18"/>
                <w:szCs w:val="18"/>
                <w:color w:val="auto"/>
              </w:rPr>
            </w:pPr>
          </w:p>
        </w:tc>
        <w:tc>
          <w:tcPr>
            <w:tcW w:w="15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Stockholders' Equity</w:t>
            </w:r>
          </w:p>
        </w:tc>
        <w:tc>
          <w:tcPr>
            <w:tcW w:w="6000" w:type="dxa"/>
            <w:vAlign w:val="bottom"/>
            <w:gridSpan w:val="14"/>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16</w:t>
            </w:r>
          </w:p>
        </w:tc>
        <w:tc>
          <w:tcPr>
            <w:tcW w:w="620" w:type="dxa"/>
            <w:vAlign w:val="bottom"/>
          </w:tcPr>
          <w:p>
            <w:pPr>
              <w:spacing w:after="0"/>
              <w:rPr>
                <w:sz w:val="18"/>
                <w:szCs w:val="18"/>
                <w:color w:val="auto"/>
              </w:rPr>
            </w:pPr>
          </w:p>
        </w:tc>
        <w:tc>
          <w:tcPr>
            <w:tcW w:w="14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5"/>
              </w:rPr>
              <w:t>Special Items, net</w:t>
            </w:r>
          </w:p>
        </w:tc>
        <w:tc>
          <w:tcPr>
            <w:tcW w:w="6180" w:type="dxa"/>
            <w:vAlign w:val="bottom"/>
            <w:gridSpan w:val="16"/>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17</w:t>
            </w:r>
          </w:p>
        </w:tc>
        <w:tc>
          <w:tcPr>
            <w:tcW w:w="620" w:type="dxa"/>
            <w:vAlign w:val="bottom"/>
          </w:tcPr>
          <w:p>
            <w:pPr>
              <w:spacing w:after="0"/>
              <w:rPr>
                <w:sz w:val="18"/>
                <w:szCs w:val="18"/>
                <w:color w:val="auto"/>
              </w:rPr>
            </w:pPr>
          </w:p>
        </w:tc>
        <w:tc>
          <w:tcPr>
            <w:tcW w:w="26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7"/>
              </w:rPr>
              <w:t>Commitments and Contingencies</w:t>
            </w:r>
          </w:p>
        </w:tc>
        <w:tc>
          <w:tcPr>
            <w:tcW w:w="4980" w:type="dxa"/>
            <w:vAlign w:val="bottom"/>
            <w:gridSpan w:val="6"/>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Note 18</w:t>
            </w:r>
          </w:p>
        </w:tc>
        <w:tc>
          <w:tcPr>
            <w:tcW w:w="620" w:type="dxa"/>
            <w:vAlign w:val="bottom"/>
          </w:tcPr>
          <w:p>
            <w:pPr>
              <w:spacing w:after="0"/>
              <w:rPr>
                <w:sz w:val="18"/>
                <w:szCs w:val="18"/>
                <w:color w:val="auto"/>
              </w:rPr>
            </w:pPr>
          </w:p>
        </w:tc>
        <w:tc>
          <w:tcPr>
            <w:tcW w:w="16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5"/>
              </w:rPr>
              <w:t>Operating Segments</w:t>
            </w:r>
          </w:p>
        </w:tc>
        <w:tc>
          <w:tcPr>
            <w:tcW w:w="5980" w:type="dxa"/>
            <w:vAlign w:val="bottom"/>
            <w:gridSpan w:val="13"/>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9"/>
        </w:trPr>
        <w:tc>
          <w:tcPr>
            <w:tcW w:w="20" w:type="dxa"/>
            <w:vAlign w:val="bottom"/>
          </w:tcPr>
          <w:p>
            <w:pPr>
              <w:spacing w:after="0"/>
              <w:rPr>
                <w:sz w:val="18"/>
                <w:szCs w:val="18"/>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0000FF"/>
                <w:w w:val="98"/>
              </w:rPr>
              <w:t>Note 19</w:t>
            </w:r>
          </w:p>
        </w:tc>
        <w:tc>
          <w:tcPr>
            <w:tcW w:w="620" w:type="dxa"/>
            <w:vAlign w:val="bottom"/>
          </w:tcPr>
          <w:p>
            <w:pPr>
              <w:spacing w:after="0"/>
              <w:rPr>
                <w:sz w:val="18"/>
                <w:szCs w:val="18"/>
                <w:color w:val="auto"/>
              </w:rPr>
            </w:pPr>
          </w:p>
        </w:tc>
        <w:tc>
          <w:tcPr>
            <w:tcW w:w="7580" w:type="dxa"/>
            <w:vAlign w:val="bottom"/>
            <w:gridSpan w:val="22"/>
          </w:tcPr>
          <w:p>
            <w:pPr>
              <w:spacing w:after="0"/>
              <w:rPr>
                <w:sz w:val="20"/>
                <w:szCs w:val="20"/>
                <w:color w:val="auto"/>
              </w:rPr>
            </w:pPr>
            <w:r>
              <w:rPr>
                <w:rFonts w:ascii="Arial" w:cs="Arial" w:eastAsia="Arial" w:hAnsi="Arial"/>
                <w:sz w:val="18"/>
                <w:szCs w:val="18"/>
                <w:color w:val="0000FF"/>
              </w:rPr>
              <w:t>Parent Company Financial Statements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9"/>
        </w:trPr>
        <w:tc>
          <w:tcPr>
            <w:tcW w:w="20" w:type="dxa"/>
            <w:vAlign w:val="bottom"/>
          </w:tcPr>
          <w:p>
            <w:pPr>
              <w:spacing w:after="0"/>
              <w:rPr>
                <w:sz w:val="18"/>
                <w:szCs w:val="18"/>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w w:val="98"/>
              </w:rPr>
              <w:t>Note 20</w:t>
            </w:r>
          </w:p>
        </w:tc>
        <w:tc>
          <w:tcPr>
            <w:tcW w:w="620" w:type="dxa"/>
            <w:vAlign w:val="bottom"/>
          </w:tcPr>
          <w:p>
            <w:pPr>
              <w:spacing w:after="0"/>
              <w:rPr>
                <w:sz w:val="18"/>
                <w:szCs w:val="18"/>
                <w:color w:val="auto"/>
              </w:rPr>
            </w:pPr>
          </w:p>
        </w:tc>
        <w:tc>
          <w:tcPr>
            <w:tcW w:w="3020" w:type="dxa"/>
            <w:vAlign w:val="bottom"/>
            <w:tcBorders>
              <w:top w:val="single" w:sz="8" w:color="0000FF"/>
            </w:tcBorders>
            <w:gridSpan w:val="18"/>
          </w:tcPr>
          <w:p>
            <w:pPr>
              <w:spacing w:after="0"/>
              <w:rPr>
                <w:sz w:val="20"/>
                <w:szCs w:val="20"/>
                <w:color w:val="auto"/>
              </w:rPr>
            </w:pPr>
            <w:r>
              <w:rPr>
                <w:rFonts w:ascii="Arial" w:cs="Arial" w:eastAsia="Arial" w:hAnsi="Arial"/>
                <w:sz w:val="18"/>
                <w:szCs w:val="18"/>
                <w:color w:val="0000FF"/>
              </w:rPr>
              <w:t>Subsequent Events</w:t>
            </w:r>
          </w:p>
        </w:tc>
        <w:tc>
          <w:tcPr>
            <w:tcW w:w="4560" w:type="dxa"/>
            <w:vAlign w:val="bottom"/>
            <w:gridSpan w:val="4"/>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916"/>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Borders>
              <w:top w:val="single" w:sz="8" w:color="0000FF"/>
            </w:tcBorders>
            <w:gridSpan w:val="7"/>
          </w:tcPr>
          <w:p>
            <w:pPr>
              <w:spacing w:after="0"/>
              <w:rPr>
                <w:sz w:val="24"/>
                <w:szCs w:val="24"/>
                <w:color w:val="auto"/>
              </w:rPr>
            </w:pPr>
          </w:p>
        </w:tc>
        <w:tc>
          <w:tcPr>
            <w:tcW w:w="4000" w:type="dxa"/>
            <w:vAlign w:val="bottom"/>
            <w:gridSpan w:val="14"/>
          </w:tcPr>
          <w:p>
            <w:pPr>
              <w:jc w:val="right"/>
              <w:ind w:right="1060"/>
              <w:spacing w:after="0"/>
              <w:rPr>
                <w:sz w:val="20"/>
                <w:szCs w:val="20"/>
                <w:color w:val="auto"/>
              </w:rPr>
            </w:pPr>
            <w:r>
              <w:rPr>
                <w:rFonts w:ascii="Arial" w:cs="Arial" w:eastAsia="Arial" w:hAnsi="Arial"/>
                <w:sz w:val="18"/>
                <w:szCs w:val="18"/>
                <w:color w:val="auto"/>
              </w:rPr>
              <w:t>83</w:t>
            </w:r>
          </w:p>
        </w:tc>
        <w:tc>
          <w:tcPr>
            <w:tcW w:w="20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Sun Country Airlines Holdings,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audited the accompanying consolidated balance sheets of Sun Country Airlines Holdings, Inc. and subsidiaries (the Company) as of December 31, 2023 and 2022, the related consolidated statements of operations, comprehensive income, changes in stockholders’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Relative fair value measurement of the five aircraft held for operating lease and related maintenance rights asset</w:t>
      </w:r>
    </w:p>
    <w:p>
      <w:pPr>
        <w:spacing w:after="0" w:line="11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discussed in Note 6 to the consolidated financial statements, the Company acquired five aircraft in 2023, including the related maintenance right assets and over-market intangible assets for total consideration of $157,926 thousand. The Company performed a fair value measurement for each of the acquired assets and allocated the total consideration paid to the underlying assets based upon their relative fair value as of the acquisition date. At the time of the acquisition, the Company allocated $114,652 thousand of the total consideration to the estimated fair value of the aircraft held for operating lease, which was principally based on market appraisals.</w:t>
      </w:r>
    </w:p>
    <w:p>
      <w:pPr>
        <w:spacing w:after="0" w:line="74"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We identified the assessment of the fair value of the acquired aircraft as a critical audit matter. The estimation of the fair value of the acquired aircraft involved a subjective determination of estimated market prices, which required the use of professionals with specialized skills and knowledge.</w:t>
      </w:r>
    </w:p>
    <w:p>
      <w:pPr>
        <w:spacing w:after="0" w:line="6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acquisition-date valuation process, including controls related to the fair value of the acquired aircraft. We involved valuation professionals with specialized skills and knowledge, who assisted in assessing the fair value of the acquired aircraft by developing an independent estimate of the fair value using market prices for comparable aircraft considering the aircraft model, age and utilization levels, and comparing it to the Company’s estimate of fair value.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10"/>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238"/>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6"/>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92,086</w:t>
            </w:r>
          </w:p>
        </w:tc>
      </w:tr>
      <w:tr>
        <w:trPr>
          <w:trHeight w:val="252"/>
        </w:trPr>
        <w:tc>
          <w:tcPr>
            <w:tcW w:w="81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10,842</w:t>
            </w: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141,127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178,936</w:t>
            </w:r>
          </w:p>
        </w:tc>
      </w:tr>
      <w:tr>
        <w:trPr>
          <w:trHeight w:val="256"/>
        </w:trPr>
        <w:tc>
          <w:tcPr>
            <w:tcW w:w="8140" w:type="dxa"/>
            <w:vAlign w:val="bottom"/>
          </w:tcPr>
          <w:p>
            <w:pPr>
              <w:ind w:left="180"/>
              <w:spacing w:after="0"/>
              <w:rPr>
                <w:sz w:val="20"/>
                <w:szCs w:val="20"/>
                <w:color w:val="auto"/>
              </w:rPr>
            </w:pPr>
            <w:r>
              <w:rPr>
                <w:rFonts w:ascii="Arial" w:cs="Arial" w:eastAsia="Arial" w:hAnsi="Arial"/>
                <w:sz w:val="18"/>
                <w:szCs w:val="18"/>
                <w:color w:val="auto"/>
              </w:rPr>
              <w:t>Accounts Receivable, net of an allowance for credit losses of $17 and $231, respectively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38,166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35,124</w:t>
            </w:r>
          </w:p>
        </w:tc>
      </w:tr>
      <w:tr>
        <w:trPr>
          <w:trHeight w:val="257"/>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Lessor Maintenance Deposits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52"/>
        </w:trPr>
        <w:tc>
          <w:tcPr>
            <w:tcW w:w="8140" w:type="dxa"/>
            <w:vAlign w:val="bottom"/>
          </w:tcPr>
          <w:p>
            <w:pPr>
              <w:ind w:left="180"/>
              <w:spacing w:after="0"/>
              <w:rPr>
                <w:sz w:val="20"/>
                <w:szCs w:val="20"/>
                <w:color w:val="auto"/>
              </w:rPr>
            </w:pPr>
            <w:r>
              <w:rPr>
                <w:rFonts w:ascii="Arial" w:cs="Arial" w:eastAsia="Arial" w:hAnsi="Arial"/>
                <w:sz w:val="18"/>
                <w:szCs w:val="18"/>
                <w:color w:val="auto"/>
              </w:rPr>
              <w:t>Inventory, net of a reserve for obsolescence of $977 and $1,107, respectively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7,659</w:t>
            </w: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11,423</w:t>
            </w:r>
          </w:p>
        </w:tc>
      </w:tr>
      <w:tr>
        <w:trPr>
          <w:trHeight w:val="252"/>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8,179</w:t>
            </w:r>
          </w:p>
        </w:tc>
      </w:tr>
      <w:tr>
        <w:trPr>
          <w:trHeight w:val="255"/>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345,490</w:t>
            </w:r>
          </w:p>
        </w:tc>
      </w:tr>
      <w:tr>
        <w:trPr>
          <w:trHeight w:val="256"/>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Property &amp; Equipment, net:</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and Flight Equipment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685,559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636,584</w:t>
            </w:r>
          </w:p>
        </w:tc>
      </w:tr>
      <w:tr>
        <w:trPr>
          <w:trHeight w:val="252"/>
        </w:trPr>
        <w:tc>
          <w:tcPr>
            <w:tcW w:w="8140" w:type="dxa"/>
            <w:vAlign w:val="bottom"/>
          </w:tcPr>
          <w:p>
            <w:pPr>
              <w:ind w:left="180"/>
              <w:spacing w:after="0"/>
              <w:rPr>
                <w:sz w:val="20"/>
                <w:szCs w:val="20"/>
                <w:color w:val="auto"/>
              </w:rPr>
            </w:pPr>
            <w:r>
              <w:rPr>
                <w:rFonts w:ascii="Arial" w:cs="Arial" w:eastAsia="Arial" w:hAnsi="Arial"/>
                <w:sz w:val="18"/>
                <w:szCs w:val="18"/>
                <w:color w:val="auto"/>
              </w:rPr>
              <w:t>Aircraft and Flight Equipment Held for Operating Lease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154,185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Equipment and Leasehold Improvements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35,948</w:t>
            </w:r>
          </w:p>
        </w:tc>
      </w:tr>
      <w:tr>
        <w:trPr>
          <w:trHeight w:val="252"/>
        </w:trPr>
        <w:tc>
          <w:tcPr>
            <w:tcW w:w="8140" w:type="dxa"/>
            <w:vAlign w:val="bottom"/>
          </w:tcPr>
          <w:p>
            <w:pPr>
              <w:ind w:left="180"/>
              <w:spacing w:after="0"/>
              <w:rPr>
                <w:sz w:val="20"/>
                <w:szCs w:val="20"/>
                <w:color w:val="auto"/>
              </w:rPr>
            </w:pPr>
            <w:r>
              <w:rPr>
                <w:rFonts w:ascii="Arial" w:cs="Arial" w:eastAsia="Arial" w:hAnsi="Arial"/>
                <w:sz w:val="18"/>
                <w:szCs w:val="18"/>
                <w:color w:val="auto"/>
              </w:rPr>
              <w:t>Computer Hardware and Software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10,831</w:t>
            </w: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261,991</w:t>
            </w:r>
          </w:p>
        </w:tc>
      </w:tr>
      <w:tr>
        <w:trPr>
          <w:trHeight w:val="252"/>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Rotable Parts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17,059</w:t>
            </w:r>
          </w:p>
        </w:tc>
      </w:tr>
      <w:tr>
        <w:trPr>
          <w:trHeight w:val="255"/>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&amp; Equipment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1,221,698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962,413</w:t>
            </w:r>
          </w:p>
        </w:tc>
      </w:tr>
      <w:tr>
        <w:trPr>
          <w:trHeight w:val="252"/>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Depreciation &amp; Amortization</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(252,717)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(176,746)</w:t>
            </w:r>
          </w:p>
        </w:tc>
      </w:tr>
      <w:tr>
        <w:trPr>
          <w:trHeight w:val="255"/>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&amp; Equipment, net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968,981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785,667</w:t>
            </w:r>
          </w:p>
        </w:tc>
      </w:tr>
      <w:tr>
        <w:trPr>
          <w:trHeight w:val="256"/>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52"/>
        </w:trPr>
        <w:tc>
          <w:tcPr>
            <w:tcW w:w="8140" w:type="dxa"/>
            <w:vAlign w:val="bottom"/>
          </w:tcPr>
          <w:p>
            <w:pPr>
              <w:ind w:left="180"/>
              <w:spacing w:after="0"/>
              <w:rPr>
                <w:sz w:val="20"/>
                <w:szCs w:val="20"/>
                <w:color w:val="auto"/>
              </w:rPr>
            </w:pPr>
            <w:r>
              <w:rPr>
                <w:rFonts w:ascii="Arial" w:cs="Arial" w:eastAsia="Arial" w:hAnsi="Arial"/>
                <w:sz w:val="18"/>
                <w:szCs w:val="18"/>
                <w:color w:val="auto"/>
              </w:rPr>
              <w:t>Other Intangible Assets, net of accumulated amortization of $24,190 and $18,890, respectively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83,551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85,110</w:t>
            </w: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w:t>
            </w:r>
          </w:p>
        </w:tc>
      </w:tr>
      <w:tr>
        <w:trPr>
          <w:trHeight w:val="252"/>
        </w:trPr>
        <w:tc>
          <w:tcPr>
            <w:tcW w:w="8140" w:type="dxa"/>
            <w:vAlign w:val="bottom"/>
          </w:tcPr>
          <w:p>
            <w:pPr>
              <w:ind w:left="180"/>
              <w:spacing w:after="0"/>
              <w:rPr>
                <w:sz w:val="20"/>
                <w:szCs w:val="20"/>
                <w:color w:val="auto"/>
              </w:rPr>
            </w:pPr>
            <w:r>
              <w:rPr>
                <w:rFonts w:ascii="Arial" w:cs="Arial" w:eastAsia="Arial" w:hAnsi="Arial"/>
                <w:sz w:val="18"/>
                <w:szCs w:val="18"/>
                <w:color w:val="auto"/>
              </w:rPr>
              <w:t>Aircraft Deposits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9,134</w:t>
            </w: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Lessor Maintenance Deposits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32,433</w:t>
            </w:r>
          </w:p>
        </w:tc>
      </w:tr>
      <w:tr>
        <w:trPr>
          <w:trHeight w:val="252"/>
        </w:trPr>
        <w:tc>
          <w:tcPr>
            <w:tcW w:w="81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12,956</w:t>
            </w: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9,217</w:t>
            </w:r>
          </w:p>
        </w:tc>
      </w:tr>
      <w:tr>
        <w:trPr>
          <w:trHeight w:val="245"/>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383,295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393,255</w:t>
            </w:r>
          </w:p>
        </w:tc>
      </w:tr>
      <w:tr>
        <w:trPr>
          <w:trHeight w:val="28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1,623,627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1,524,412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4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8"/>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62,370</w:t>
            </w:r>
          </w:p>
        </w:tc>
        <w:tc>
          <w:tcPr>
            <w:tcW w:w="0" w:type="dxa"/>
            <w:vAlign w:val="bottom"/>
          </w:tcPr>
          <w:p>
            <w:pPr>
              <w:spacing w:after="0"/>
              <w:rPr>
                <w:sz w:val="1"/>
                <w:szCs w:val="1"/>
                <w:color w:val="auto"/>
              </w:rPr>
            </w:pPr>
          </w:p>
        </w:tc>
      </w:tr>
      <w:tr>
        <w:trPr>
          <w:trHeight w:val="252"/>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Accrued Salaries, Wages, and Benefits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61"/>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Transportation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0" w:type="dxa"/>
            <w:vAlign w:val="bottom"/>
          </w:tcPr>
          <w:p>
            <w:pPr>
              <w:spacing w:after="0"/>
              <w:rPr>
                <w:sz w:val="1"/>
                <w:szCs w:val="1"/>
                <w:color w:val="auto"/>
              </w:rPr>
            </w:pPr>
          </w:p>
        </w:tc>
      </w:tr>
      <w:tr>
        <w:trPr>
          <w:trHeight w:val="252"/>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Air Traffic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157,996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157,995</w:t>
            </w:r>
          </w:p>
        </w:tc>
        <w:tc>
          <w:tcPr>
            <w:tcW w:w="0" w:type="dxa"/>
            <w:vAlign w:val="bottom"/>
          </w:tcPr>
          <w:p>
            <w:pPr>
              <w:spacing w:after="0"/>
              <w:rPr>
                <w:sz w:val="1"/>
                <w:szCs w:val="1"/>
                <w:color w:val="auto"/>
              </w:rPr>
            </w:pPr>
          </w:p>
        </w:tc>
      </w:tr>
      <w:tr>
        <w:trPr>
          <w:trHeight w:val="261"/>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0" w:type="dxa"/>
            <w:vAlign w:val="bottom"/>
          </w:tcPr>
          <w:p>
            <w:pPr>
              <w:spacing w:after="0"/>
              <w:rPr>
                <w:sz w:val="1"/>
                <w:szCs w:val="1"/>
                <w:color w:val="auto"/>
              </w:rPr>
            </w:pPr>
          </w:p>
        </w:tc>
      </w:tr>
      <w:tr>
        <w:trPr>
          <w:trHeight w:val="252"/>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Loyalty Program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13,963</w:t>
            </w:r>
          </w:p>
        </w:tc>
        <w:tc>
          <w:tcPr>
            <w:tcW w:w="0" w:type="dxa"/>
            <w:vAlign w:val="bottom"/>
          </w:tcPr>
          <w:p>
            <w:pPr>
              <w:spacing w:after="0"/>
              <w:rPr>
                <w:sz w:val="1"/>
                <w:szCs w:val="1"/>
                <w:color w:val="auto"/>
              </w:rPr>
            </w:pPr>
          </w:p>
        </w:tc>
      </w:tr>
      <w:tr>
        <w:trPr>
          <w:trHeight w:val="261"/>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52"/>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Current Maturities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74,177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57,548</w:t>
            </w:r>
          </w:p>
        </w:tc>
        <w:tc>
          <w:tcPr>
            <w:tcW w:w="0" w:type="dxa"/>
            <w:vAlign w:val="bottom"/>
          </w:tcPr>
          <w:p>
            <w:pPr>
              <w:spacing w:after="0"/>
              <w:rPr>
                <w:sz w:val="1"/>
                <w:szCs w:val="1"/>
                <w:color w:val="auto"/>
              </w:rPr>
            </w:pPr>
          </w:p>
        </w:tc>
      </w:tr>
      <w:tr>
        <w:trPr>
          <w:trHeight w:val="261"/>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52"/>
        </w:trPr>
        <w:tc>
          <w:tcPr>
            <w:tcW w:w="8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w:t>
            </w:r>
          </w:p>
        </w:tc>
        <w:tc>
          <w:tcPr>
            <w:tcW w:w="0" w:type="dxa"/>
            <w:vAlign w:val="bottom"/>
          </w:tcPr>
          <w:p>
            <w:pPr>
              <w:spacing w:after="0"/>
              <w:rPr>
                <w:sz w:val="1"/>
                <w:szCs w:val="1"/>
                <w:color w:val="auto"/>
              </w:rPr>
            </w:pPr>
          </w:p>
        </w:tc>
      </w:tr>
      <w:tr>
        <w:trPr>
          <w:trHeight w:val="255"/>
        </w:trPr>
        <w:tc>
          <w:tcPr>
            <w:tcW w:w="81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418,582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377,128</w:t>
            </w:r>
          </w:p>
        </w:tc>
        <w:tc>
          <w:tcPr>
            <w:tcW w:w="0" w:type="dxa"/>
            <w:vAlign w:val="bottom"/>
          </w:tcPr>
          <w:p>
            <w:pPr>
              <w:spacing w:after="0"/>
              <w:rPr>
                <w:sz w:val="1"/>
                <w:szCs w:val="1"/>
                <w:color w:val="auto"/>
              </w:rPr>
            </w:pPr>
          </w:p>
        </w:tc>
      </w:tr>
      <w:tr>
        <w:trPr>
          <w:trHeight w:val="256"/>
        </w:trPr>
        <w:tc>
          <w:tcPr>
            <w:tcW w:w="8120" w:type="dxa"/>
            <w:vAlign w:val="bottom"/>
            <w:gridSpan w:val="3"/>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233,306</w:t>
            </w:r>
          </w:p>
        </w:tc>
        <w:tc>
          <w:tcPr>
            <w:tcW w:w="0" w:type="dxa"/>
            <w:vAlign w:val="bottom"/>
          </w:tcPr>
          <w:p>
            <w:pPr>
              <w:spacing w:after="0"/>
              <w:rPr>
                <w:sz w:val="1"/>
                <w:szCs w:val="1"/>
                <w:color w:val="auto"/>
              </w:rPr>
            </w:pPr>
          </w:p>
        </w:tc>
      </w:tr>
      <w:tr>
        <w:trPr>
          <w:trHeight w:val="252"/>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Loyalty Program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61"/>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52"/>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327,468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294,687</w:t>
            </w:r>
          </w:p>
        </w:tc>
        <w:tc>
          <w:tcPr>
            <w:tcW w:w="0" w:type="dxa"/>
            <w:vAlign w:val="bottom"/>
          </w:tcPr>
          <w:p>
            <w:pPr>
              <w:spacing w:after="0"/>
              <w:rPr>
                <w:sz w:val="1"/>
                <w:szCs w:val="1"/>
                <w:color w:val="auto"/>
              </w:rPr>
            </w:pPr>
          </w:p>
        </w:tc>
      </w:tr>
      <w:tr>
        <w:trPr>
          <w:trHeight w:val="261"/>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101,540</w:t>
            </w:r>
          </w:p>
        </w:tc>
        <w:tc>
          <w:tcPr>
            <w:tcW w:w="0" w:type="dxa"/>
            <w:vAlign w:val="bottom"/>
          </w:tcPr>
          <w:p>
            <w:pPr>
              <w:spacing w:after="0"/>
              <w:rPr>
                <w:sz w:val="1"/>
                <w:szCs w:val="1"/>
                <w:color w:val="auto"/>
              </w:rPr>
            </w:pPr>
          </w:p>
        </w:tc>
      </w:tr>
      <w:tr>
        <w:trPr>
          <w:trHeight w:val="261"/>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45"/>
        </w:trPr>
        <w:tc>
          <w:tcPr>
            <w:tcW w:w="81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Long-term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690,642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654,572</w:t>
            </w:r>
          </w:p>
        </w:tc>
        <w:tc>
          <w:tcPr>
            <w:tcW w:w="0" w:type="dxa"/>
            <w:vAlign w:val="bottom"/>
          </w:tcPr>
          <w:p>
            <w:pPr>
              <w:spacing w:after="0"/>
              <w:rPr>
                <w:sz w:val="1"/>
                <w:szCs w:val="1"/>
                <w:color w:val="auto"/>
              </w:rPr>
            </w:pPr>
          </w:p>
        </w:tc>
      </w:tr>
      <w:tr>
        <w:trPr>
          <w:trHeight w:val="255"/>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1,109,224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1,031,700</w:t>
            </w:r>
          </w:p>
        </w:tc>
        <w:tc>
          <w:tcPr>
            <w:tcW w:w="0" w:type="dxa"/>
            <w:vAlign w:val="bottom"/>
          </w:tcPr>
          <w:p>
            <w:pPr>
              <w:spacing w:after="0"/>
              <w:rPr>
                <w:sz w:val="1"/>
                <w:szCs w:val="1"/>
                <w:color w:val="auto"/>
              </w:rPr>
            </w:pPr>
          </w:p>
        </w:tc>
      </w:tr>
      <w:tr>
        <w:trPr>
          <w:trHeight w:val="189"/>
        </w:trPr>
        <w:tc>
          <w:tcPr>
            <w:tcW w:w="81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Commitments and Contingencies (</w:t>
            </w:r>
            <w:r>
              <w:rPr>
                <w:rFonts w:ascii="Arial" w:cs="Arial" w:eastAsia="Arial" w:hAnsi="Arial"/>
                <w:sz w:val="18"/>
                <w:szCs w:val="18"/>
                <w:b w:val="1"/>
                <w:bCs w:val="1"/>
                <w:color w:val="0000FF"/>
              </w:rPr>
              <w:t>Note 17</w:t>
            </w:r>
            <w:r>
              <w:rPr>
                <w:rFonts w:ascii="Arial" w:cs="Arial" w:eastAsia="Arial" w:hAnsi="Arial"/>
                <w:sz w:val="18"/>
                <w:szCs w:val="18"/>
                <w:b w:val="1"/>
                <w:bCs w:val="1"/>
                <w:color w:val="auto"/>
              </w:rPr>
              <w:t>)</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8120" w:type="dxa"/>
            <w:vAlign w:val="bottom"/>
            <w:gridSpan w:val="3"/>
          </w:tcPr>
          <w:p>
            <w:pPr>
              <w:ind w:left="300"/>
              <w:spacing w:after="0" w:line="183" w:lineRule="exact"/>
              <w:rPr>
                <w:sz w:val="20"/>
                <w:szCs w:val="20"/>
                <w:color w:val="auto"/>
              </w:rPr>
            </w:pPr>
            <w:r>
              <w:rPr>
                <w:rFonts w:ascii="Arial" w:cs="Arial" w:eastAsia="Arial" w:hAnsi="Arial"/>
                <w:sz w:val="18"/>
                <w:szCs w:val="18"/>
                <w:color w:val="auto"/>
              </w:rPr>
              <w:t>Common Stock with $0.01 par value, 995,000,000 shares authorized, 58,878,723 and 58,217,647</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120" w:type="dxa"/>
            <w:vAlign w:val="bottom"/>
            <w:gridSpan w:val="3"/>
          </w:tcPr>
          <w:p>
            <w:pPr>
              <w:ind w:left="460"/>
              <w:spacing w:after="0" w:line="181" w:lineRule="exact"/>
              <w:rPr>
                <w:sz w:val="20"/>
                <w:szCs w:val="20"/>
                <w:color w:val="auto"/>
              </w:rPr>
            </w:pPr>
            <w:r>
              <w:rPr>
                <w:rFonts w:ascii="Arial" w:cs="Arial" w:eastAsia="Arial" w:hAnsi="Arial"/>
                <w:sz w:val="18"/>
                <w:szCs w:val="18"/>
                <w:color w:val="auto"/>
              </w:rPr>
              <w:t>issued and 53,291,001 and 57,325,238 outstanding at December 31, 2023 and 2022,</w:t>
            </w:r>
          </w:p>
        </w:tc>
        <w:tc>
          <w:tcPr>
            <w:tcW w:w="3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0"/>
        </w:trPr>
        <w:tc>
          <w:tcPr>
            <w:tcW w:w="8120" w:type="dxa"/>
            <w:vAlign w:val="bottom"/>
            <w:gridSpan w:val="3"/>
          </w:tcPr>
          <w:p>
            <w:pPr>
              <w:ind w:left="46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Preferred Stock with $0.01 par value, 5,000,000 shares authorized, no shares issued and</w:t>
            </w:r>
          </w:p>
        </w:tc>
        <w:tc>
          <w:tcPr>
            <w:tcW w:w="360" w:type="dxa"/>
            <w:vAlign w:val="bottom"/>
            <w:shd w:val="clear" w:color="auto" w:fill="CCEEFF"/>
          </w:tcPr>
          <w:p>
            <w:pPr>
              <w:spacing w:after="0"/>
              <w:rPr>
                <w:sz w:val="19"/>
                <w:szCs w:val="19"/>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1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outstanding at December 31, 2023 and 2022, respectively</w:t>
            </w:r>
          </w:p>
        </w:tc>
        <w:tc>
          <w:tcPr>
            <w:tcW w:w="36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120" w:type="dxa"/>
            <w:vAlign w:val="bottom"/>
            <w:gridSpan w:val="3"/>
          </w:tcPr>
          <w:p>
            <w:pPr>
              <w:ind w:left="300"/>
              <w:spacing w:after="0"/>
              <w:rPr>
                <w:sz w:val="20"/>
                <w:szCs w:val="20"/>
                <w:color w:val="auto"/>
              </w:rPr>
            </w:pPr>
            <w:r>
              <w:rPr>
                <w:rFonts w:ascii="Arial" w:cs="Arial" w:eastAsia="Arial" w:hAnsi="Arial"/>
                <w:sz w:val="18"/>
                <w:szCs w:val="18"/>
                <w:color w:val="auto"/>
              </w:rPr>
              <w:t>Treasury Stock, at cost, 5,587,722 and 892,409 shares held at December 31, 2023 and 2022,</w:t>
            </w:r>
          </w:p>
        </w:tc>
        <w:tc>
          <w:tcPr>
            <w:tcW w:w="36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(94,341)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(17,605)</w:t>
            </w:r>
          </w:p>
        </w:tc>
        <w:tc>
          <w:tcPr>
            <w:tcW w:w="0" w:type="dxa"/>
            <w:vAlign w:val="bottom"/>
          </w:tcPr>
          <w:p>
            <w:pPr>
              <w:spacing w:after="0"/>
              <w:rPr>
                <w:sz w:val="1"/>
                <w:szCs w:val="1"/>
                <w:color w:val="auto"/>
              </w:rPr>
            </w:pPr>
          </w:p>
        </w:tc>
      </w:tr>
      <w:tr>
        <w:trPr>
          <w:trHeight w:val="235"/>
        </w:trPr>
        <w:tc>
          <w:tcPr>
            <w:tcW w:w="8120" w:type="dxa"/>
            <w:vAlign w:val="bottom"/>
            <w:gridSpan w:val="3"/>
          </w:tcPr>
          <w:p>
            <w:pPr>
              <w:ind w:left="46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513,988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488,494</w:t>
            </w:r>
          </w:p>
        </w:tc>
        <w:tc>
          <w:tcPr>
            <w:tcW w:w="0" w:type="dxa"/>
            <w:vAlign w:val="bottom"/>
          </w:tcPr>
          <w:p>
            <w:pPr>
              <w:spacing w:after="0"/>
              <w:rPr>
                <w:sz w:val="1"/>
                <w:szCs w:val="1"/>
                <w:color w:val="auto"/>
              </w:rPr>
            </w:pPr>
          </w:p>
        </w:tc>
      </w:tr>
      <w:tr>
        <w:trPr>
          <w:trHeight w:val="252"/>
        </w:trPr>
        <w:tc>
          <w:tcPr>
            <w:tcW w:w="812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22,048</w:t>
            </w:r>
          </w:p>
        </w:tc>
        <w:tc>
          <w:tcPr>
            <w:tcW w:w="0" w:type="dxa"/>
            <w:vAlign w:val="bottom"/>
          </w:tcPr>
          <w:p>
            <w:pPr>
              <w:spacing w:after="0"/>
              <w:rPr>
                <w:sz w:val="1"/>
                <w:szCs w:val="1"/>
                <w:color w:val="auto"/>
              </w:rPr>
            </w:pPr>
          </w:p>
        </w:tc>
      </w:tr>
      <w:tr>
        <w:trPr>
          <w:trHeight w:val="261"/>
        </w:trPr>
        <w:tc>
          <w:tcPr>
            <w:tcW w:w="8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45"/>
        </w:trPr>
        <w:tc>
          <w:tcPr>
            <w:tcW w:w="812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514,403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492,712</w:t>
            </w:r>
          </w:p>
        </w:tc>
        <w:tc>
          <w:tcPr>
            <w:tcW w:w="0" w:type="dxa"/>
            <w:vAlign w:val="bottom"/>
          </w:tcPr>
          <w:p>
            <w:pPr>
              <w:spacing w:after="0"/>
              <w:rPr>
                <w:sz w:val="1"/>
                <w:szCs w:val="1"/>
                <w:color w:val="auto"/>
              </w:rPr>
            </w:pPr>
          </w:p>
        </w:tc>
      </w:tr>
      <w:tr>
        <w:trPr>
          <w:trHeight w:val="275"/>
        </w:trPr>
        <w:tc>
          <w:tcPr>
            <w:tcW w:w="81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1,623,627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1,524,412</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27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8"/>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60" w:type="dxa"/>
            <w:vAlign w:val="bottom"/>
          </w:tcPr>
          <w:p>
            <w:pPr>
              <w:ind w:left="18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920,123</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792,433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523,945</w:t>
            </w:r>
          </w:p>
        </w:tc>
        <w:tc>
          <w:tcPr>
            <w:tcW w:w="0" w:type="dxa"/>
            <w:vAlign w:val="bottom"/>
          </w:tcPr>
          <w:p>
            <w:pPr>
              <w:spacing w:after="0"/>
              <w:rPr>
                <w:sz w:val="1"/>
                <w:szCs w:val="1"/>
                <w:color w:val="auto"/>
              </w:rPr>
            </w:pPr>
          </w:p>
        </w:tc>
      </w:tr>
      <w:tr>
        <w:trPr>
          <w:trHeight w:val="261"/>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91,428</w:t>
            </w:r>
          </w:p>
        </w:tc>
        <w:tc>
          <w:tcPr>
            <w:tcW w:w="0" w:type="dxa"/>
            <w:vAlign w:val="bottom"/>
          </w:tcPr>
          <w:p>
            <w:pPr>
              <w:spacing w:after="0"/>
              <w:rPr>
                <w:sz w:val="1"/>
                <w:szCs w:val="1"/>
                <w:color w:val="auto"/>
              </w:rPr>
            </w:pPr>
          </w:p>
        </w:tc>
      </w:tr>
      <w:tr>
        <w:trPr>
          <w:trHeight w:val="252"/>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29,762</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1,049,620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894,444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623,015</w:t>
            </w:r>
          </w:p>
        </w:tc>
        <w:tc>
          <w:tcPr>
            <w:tcW w:w="0" w:type="dxa"/>
            <w:vAlign w:val="bottom"/>
          </w:tcPr>
          <w:p>
            <w:pPr>
              <w:spacing w:after="0"/>
              <w:rPr>
                <w:sz w:val="1"/>
                <w:szCs w:val="1"/>
                <w:color w:val="auto"/>
              </w:rPr>
            </w:pPr>
          </w:p>
        </w:tc>
      </w:tr>
      <w:tr>
        <w:trPr>
          <w:trHeight w:val="241"/>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246,669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268,363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129,110</w:t>
            </w:r>
          </w:p>
        </w:tc>
        <w:tc>
          <w:tcPr>
            <w:tcW w:w="0" w:type="dxa"/>
            <w:vAlign w:val="bottom"/>
          </w:tcPr>
          <w:p>
            <w:pPr>
              <w:spacing w:after="0"/>
              <w:rPr>
                <w:sz w:val="1"/>
                <w:szCs w:val="1"/>
                <w:color w:val="auto"/>
              </w:rPr>
            </w:pPr>
          </w:p>
        </w:tc>
      </w:tr>
      <w:tr>
        <w:trPr>
          <w:trHeight w:val="261"/>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178,207</w:t>
            </w:r>
          </w:p>
        </w:tc>
        <w:tc>
          <w:tcPr>
            <w:tcW w:w="0" w:type="dxa"/>
            <w:vAlign w:val="bottom"/>
          </w:tcPr>
          <w:p>
            <w:pPr>
              <w:spacing w:after="0"/>
              <w:rPr>
                <w:sz w:val="1"/>
                <w:szCs w:val="1"/>
                <w:color w:val="auto"/>
              </w:rPr>
            </w:pPr>
          </w:p>
        </w:tc>
      </w:tr>
      <w:tr>
        <w:trPr>
          <w:trHeight w:val="252"/>
        </w:trPr>
        <w:tc>
          <w:tcPr>
            <w:tcW w:w="656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17,653</w:t>
            </w:r>
          </w:p>
        </w:tc>
        <w:tc>
          <w:tcPr>
            <w:tcW w:w="0" w:type="dxa"/>
            <w:vAlign w:val="bottom"/>
          </w:tcPr>
          <w:p>
            <w:pPr>
              <w:spacing w:after="0"/>
              <w:rPr>
                <w:sz w:val="1"/>
                <w:szCs w:val="1"/>
                <w:color w:val="auto"/>
              </w:rPr>
            </w:pPr>
          </w:p>
        </w:tc>
      </w:tr>
      <w:tr>
        <w:trPr>
          <w:trHeight w:val="261"/>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60,588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40,095</w:t>
            </w:r>
          </w:p>
        </w:tc>
        <w:tc>
          <w:tcPr>
            <w:tcW w:w="0" w:type="dxa"/>
            <w:vAlign w:val="bottom"/>
          </w:tcPr>
          <w:p>
            <w:pPr>
              <w:spacing w:after="0"/>
              <w:rPr>
                <w:sz w:val="1"/>
                <w:szCs w:val="1"/>
                <w:color w:val="auto"/>
              </w:rPr>
            </w:pPr>
          </w:p>
        </w:tc>
      </w:tr>
      <w:tr>
        <w:trPr>
          <w:trHeight w:val="252"/>
        </w:trPr>
        <w:tc>
          <w:tcPr>
            <w:tcW w:w="65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22,060</w:t>
            </w:r>
          </w:p>
        </w:tc>
        <w:tc>
          <w:tcPr>
            <w:tcW w:w="0" w:type="dxa"/>
            <w:vAlign w:val="bottom"/>
          </w:tcPr>
          <w:p>
            <w:pPr>
              <w:spacing w:after="0"/>
              <w:rPr>
                <w:sz w:val="1"/>
                <w:szCs w:val="1"/>
                <w:color w:val="auto"/>
              </w:rPr>
            </w:pPr>
          </w:p>
        </w:tc>
      </w:tr>
      <w:tr>
        <w:trPr>
          <w:trHeight w:val="261"/>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57,075</w:t>
            </w:r>
          </w:p>
        </w:tc>
        <w:tc>
          <w:tcPr>
            <w:tcW w:w="0" w:type="dxa"/>
            <w:vAlign w:val="bottom"/>
          </w:tcPr>
          <w:p>
            <w:pPr>
              <w:spacing w:after="0"/>
              <w:rPr>
                <w:sz w:val="1"/>
                <w:szCs w:val="1"/>
                <w:color w:val="auto"/>
              </w:rPr>
            </w:pPr>
          </w:p>
        </w:tc>
      </w:tr>
      <w:tr>
        <w:trPr>
          <w:trHeight w:val="252"/>
        </w:trPr>
        <w:tc>
          <w:tcPr>
            <w:tcW w:w="656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37,506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26,981</w:t>
            </w:r>
          </w:p>
        </w:tc>
        <w:tc>
          <w:tcPr>
            <w:tcW w:w="0" w:type="dxa"/>
            <w:vAlign w:val="bottom"/>
          </w:tcPr>
          <w:p>
            <w:pPr>
              <w:spacing w:after="0"/>
              <w:rPr>
                <w:sz w:val="1"/>
                <w:szCs w:val="1"/>
                <w:color w:val="auto"/>
              </w:rPr>
            </w:pPr>
          </w:p>
        </w:tc>
      </w:tr>
      <w:tr>
        <w:trPr>
          <w:trHeight w:val="261"/>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 Rent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0" w:type="dxa"/>
            <w:vAlign w:val="bottom"/>
          </w:tcPr>
          <w:p>
            <w:pPr>
              <w:spacing w:after="0"/>
              <w:rPr>
                <w:sz w:val="1"/>
                <w:szCs w:val="1"/>
                <w:color w:val="auto"/>
              </w:rPr>
            </w:pPr>
          </w:p>
        </w:tc>
      </w:tr>
      <w:tr>
        <w:trPr>
          <w:trHeight w:val="252"/>
        </w:trPr>
        <w:tc>
          <w:tcPr>
            <w:tcW w:w="656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(72,419)</w:t>
            </w:r>
          </w:p>
        </w:tc>
        <w:tc>
          <w:tcPr>
            <w:tcW w:w="0" w:type="dxa"/>
            <w:vAlign w:val="bottom"/>
          </w:tcPr>
          <w:p>
            <w:pPr>
              <w:spacing w:after="0"/>
              <w:rPr>
                <w:sz w:val="1"/>
                <w:szCs w:val="1"/>
                <w:color w:val="auto"/>
              </w:rPr>
            </w:pPr>
          </w:p>
        </w:tc>
      </w:tr>
      <w:tr>
        <w:trPr>
          <w:trHeight w:val="261"/>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107,565</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90,978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71,580</w:t>
            </w:r>
          </w:p>
        </w:tc>
        <w:tc>
          <w:tcPr>
            <w:tcW w:w="0" w:type="dxa"/>
            <w:vAlign w:val="bottom"/>
          </w:tcPr>
          <w:p>
            <w:pPr>
              <w:spacing w:after="0"/>
              <w:rPr>
                <w:sz w:val="1"/>
                <w:szCs w:val="1"/>
                <w:color w:val="auto"/>
              </w:rPr>
            </w:pPr>
          </w:p>
        </w:tc>
      </w:tr>
      <w:tr>
        <w:trPr>
          <w:trHeight w:val="245"/>
        </w:trPr>
        <w:tc>
          <w:tcPr>
            <w:tcW w:w="6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922,120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838,736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511,068</w:t>
            </w: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111,947</w:t>
            </w:r>
          </w:p>
        </w:tc>
        <w:tc>
          <w:tcPr>
            <w:tcW w:w="0" w:type="dxa"/>
            <w:vAlign w:val="bottom"/>
          </w:tcPr>
          <w:p>
            <w:pPr>
              <w:spacing w:after="0"/>
              <w:rPr>
                <w:sz w:val="1"/>
                <w:szCs w:val="1"/>
                <w:color w:val="auto"/>
              </w:rPr>
            </w:pPr>
          </w:p>
        </w:tc>
      </w:tr>
      <w:tr>
        <w:trPr>
          <w:trHeight w:val="241"/>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10,180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61"/>
        </w:trPr>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(26,326)</w:t>
            </w:r>
          </w:p>
        </w:tc>
        <w:tc>
          <w:tcPr>
            <w:tcW w:w="0" w:type="dxa"/>
            <w:vAlign w:val="bottom"/>
          </w:tcPr>
          <w:p>
            <w:pPr>
              <w:spacing w:after="0"/>
              <w:rPr>
                <w:sz w:val="1"/>
                <w:szCs w:val="1"/>
                <w:color w:val="auto"/>
              </w:rPr>
            </w:pPr>
          </w:p>
        </w:tc>
      </w:tr>
      <w:tr>
        <w:trPr>
          <w:trHeight w:val="252"/>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14,624</w:t>
            </w:r>
          </w:p>
        </w:tc>
        <w:tc>
          <w:tcPr>
            <w:tcW w:w="0" w:type="dxa"/>
            <w:vAlign w:val="bottom"/>
          </w:tcPr>
          <w:p>
            <w:pPr>
              <w:spacing w:after="0"/>
              <w:rPr>
                <w:sz w:val="1"/>
                <w:szCs w:val="1"/>
                <w:color w:val="auto"/>
              </w:rPr>
            </w:pPr>
          </w:p>
        </w:tc>
      </w:tr>
      <w:tr>
        <w:trPr>
          <w:trHeight w:val="255"/>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0" w:type="dxa"/>
            <w:vAlign w:val="bottom"/>
          </w:tcPr>
          <w:p>
            <w:pPr>
              <w:spacing w:after="0"/>
              <w:rPr>
                <w:sz w:val="1"/>
                <w:szCs w:val="1"/>
                <w:color w:val="auto"/>
              </w:rPr>
            </w:pPr>
          </w:p>
        </w:tc>
      </w:tr>
      <w:tr>
        <w:trPr>
          <w:trHeight w:val="257"/>
        </w:trPr>
        <w:tc>
          <w:tcPr>
            <w:tcW w:w="6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94,159</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100,330</w:t>
            </w:r>
          </w:p>
        </w:tc>
        <w:tc>
          <w:tcPr>
            <w:tcW w:w="0" w:type="dxa"/>
            <w:vAlign w:val="bottom"/>
          </w:tcPr>
          <w:p>
            <w:pPr>
              <w:spacing w:after="0"/>
              <w:rPr>
                <w:sz w:val="1"/>
                <w:szCs w:val="1"/>
                <w:color w:val="auto"/>
              </w:rPr>
            </w:pPr>
          </w:p>
        </w:tc>
      </w:tr>
      <w:tr>
        <w:trPr>
          <w:trHeight w:val="245"/>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21,978</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8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to common stockholders: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560" w:type="dxa"/>
            <w:vAlign w:val="bottom"/>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for computation: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55,507,144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57,951,955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55,182,811</w:t>
            </w:r>
          </w:p>
        </w:tc>
        <w:tc>
          <w:tcPr>
            <w:tcW w:w="0" w:type="dxa"/>
            <w:vAlign w:val="bottom"/>
          </w:tcPr>
          <w:p>
            <w:pPr>
              <w:spacing w:after="0"/>
              <w:rPr>
                <w:sz w:val="1"/>
                <w:szCs w:val="1"/>
                <w:color w:val="auto"/>
              </w:rPr>
            </w:pPr>
          </w:p>
        </w:tc>
      </w:tr>
      <w:tr>
        <w:trPr>
          <w:trHeight w:val="247"/>
        </w:trPr>
        <w:tc>
          <w:tcPr>
            <w:tcW w:w="65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58,524,652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61,046,595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59,324,040</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c>
          <w:tcPr>
            <w:tcW w:w="0" w:type="dxa"/>
            <w:vAlign w:val="bottom"/>
          </w:tcPr>
          <w:p>
            <w:pPr>
              <w:spacing w:after="0"/>
              <w:rPr>
                <w:sz w:val="1"/>
                <w:szCs w:val="1"/>
                <w:color w:val="auto"/>
              </w:rPr>
            </w:pPr>
          </w:p>
        </w:tc>
      </w:tr>
      <w:tr>
        <w:trPr>
          <w:trHeight w:val="250"/>
        </w:trPr>
        <w:tc>
          <w:tcPr>
            <w:tcW w:w="6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560" w:type="dxa"/>
            <w:vAlign w:val="bottom"/>
          </w:tcPr>
          <w:p>
            <w:pPr>
              <w:ind w:left="240"/>
              <w:spacing w:after="0" w:line="183" w:lineRule="exact"/>
              <w:rPr>
                <w:sz w:val="20"/>
                <w:szCs w:val="20"/>
                <w:color w:val="auto"/>
              </w:rPr>
            </w:pPr>
            <w:r>
              <w:rPr>
                <w:rFonts w:ascii="Arial" w:cs="Arial" w:eastAsia="Arial" w:hAnsi="Arial"/>
                <w:sz w:val="18"/>
                <w:szCs w:val="18"/>
                <w:color w:val="auto"/>
              </w:rPr>
              <w:t>Net unrealized gains (losses) on Available-for-Sale securities, net of deferred</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745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5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tax expense (benefit) of $222, $(241), and $—, respectively</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72,926</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81,248</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4760"/>
        <w:spacing w:after="0" w:line="296" w:lineRule="auto"/>
        <w:rPr>
          <w:sz w:val="20"/>
          <w:szCs w:val="20"/>
          <w:color w:val="auto"/>
        </w:rPr>
      </w:pPr>
      <w:r>
        <w:rPr>
          <w:rFonts w:ascii="Arial" w:cs="Arial" w:eastAsia="Arial" w:hAnsi="Arial"/>
          <w:sz w:val="18"/>
          <w:szCs w:val="18"/>
          <w:b w:val="1"/>
          <w:bCs w:val="1"/>
          <w:color w:val="auto"/>
        </w:rPr>
        <w:t>CONSOLIDATED STATEMENTS OF CHANGES IN STOCKHOLDERS’ EQUITY (Dollars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Common Stock</w:t>
            </w:r>
          </w:p>
        </w:tc>
        <w:tc>
          <w:tcPr>
            <w:tcW w:w="1760" w:type="dxa"/>
            <w:vAlign w:val="bottom"/>
            <w:gridSpan w:val="5"/>
            <w:vMerge w:val="restart"/>
          </w:tcPr>
          <w:p>
            <w:pPr>
              <w:ind w:left="38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Accumulated Other</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gridSpan w:val="5"/>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restart"/>
          </w:tcPr>
          <w:p>
            <w:pPr>
              <w:ind w:left="160"/>
              <w:spacing w:after="0" w:line="106" w:lineRule="exact"/>
              <w:rPr>
                <w:sz w:val="20"/>
                <w:szCs w:val="20"/>
                <w:color w:val="auto"/>
              </w:rPr>
            </w:pPr>
            <w:r>
              <w:rPr>
                <w:rFonts w:ascii="Arial" w:cs="Arial" w:eastAsia="Arial" w:hAnsi="Arial"/>
                <w:sz w:val="12"/>
                <w:szCs w:val="12"/>
                <w:b w:val="1"/>
                <w:bCs w:val="1"/>
                <w:color w:val="auto"/>
              </w:rPr>
              <w:t>Loans to</w:t>
            </w:r>
          </w:p>
        </w:tc>
        <w:tc>
          <w:tcPr>
            <w:tcW w:w="120" w:type="dxa"/>
            <w:vAlign w:val="bottom"/>
          </w:tcPr>
          <w:p>
            <w:pPr>
              <w:spacing w:after="0"/>
              <w:rPr>
                <w:sz w:val="7"/>
                <w:szCs w:val="7"/>
                <w:color w:val="auto"/>
              </w:rPr>
            </w:pPr>
          </w:p>
        </w:tc>
        <w:tc>
          <w:tcPr>
            <w:tcW w:w="860" w:type="dxa"/>
            <w:vAlign w:val="bottom"/>
            <w:gridSpan w:val="2"/>
            <w:vMerge w:val="restart"/>
          </w:tcPr>
          <w:p>
            <w:pPr>
              <w:jc w:val="center"/>
              <w:ind w:right="200"/>
              <w:spacing w:after="0" w:line="106"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7"/>
                <w:szCs w:val="7"/>
                <w:color w:val="auto"/>
              </w:rPr>
            </w:pPr>
          </w:p>
        </w:tc>
        <w:tc>
          <w:tcPr>
            <w:tcW w:w="820" w:type="dxa"/>
            <w:vAlign w:val="bottom"/>
            <w:gridSpan w:val="2"/>
            <w:vMerge w:val="restart"/>
          </w:tcPr>
          <w:p>
            <w:pPr>
              <w:ind w:left="20"/>
              <w:spacing w:after="0" w:line="106"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7"/>
                <w:szCs w:val="7"/>
                <w:color w:val="auto"/>
              </w:rPr>
            </w:pPr>
          </w:p>
        </w:tc>
        <w:tc>
          <w:tcPr>
            <w:tcW w:w="1260" w:type="dxa"/>
            <w:vAlign w:val="bottom"/>
            <w:gridSpan w:val="2"/>
            <w:vMerge w:val="restart"/>
          </w:tcPr>
          <w:p>
            <w:pPr>
              <w:jc w:val="center"/>
              <w:ind w:right="240"/>
              <w:spacing w:after="0" w:line="106"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Warrants</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7"/>
              </w:rPr>
              <w:t>Stockholders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December 31, 2020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885,052</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46,839,659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248,525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38,324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283,817</w:t>
            </w:r>
          </w:p>
        </w:tc>
        <w:tc>
          <w:tcPr>
            <w:tcW w:w="0" w:type="dxa"/>
            <w:vAlign w:val="bottom"/>
          </w:tcPr>
          <w:p>
            <w:pPr>
              <w:spacing w:after="0"/>
              <w:rPr>
                <w:sz w:val="1"/>
                <w:szCs w:val="1"/>
                <w:color w:val="auto"/>
              </w:rPr>
            </w:pPr>
          </w:p>
        </w:tc>
      </w:tr>
      <w:tr>
        <w:trPr>
          <w:trHeight w:val="138"/>
        </w:trPr>
        <w:tc>
          <w:tcPr>
            <w:tcW w:w="1460" w:type="dxa"/>
            <w:vAlign w:val="bottom"/>
          </w:tcPr>
          <w:p>
            <w:pPr>
              <w:ind w:left="20"/>
              <w:spacing w:after="0" w:line="138" w:lineRule="exact"/>
              <w:rPr>
                <w:sz w:val="20"/>
                <w:szCs w:val="20"/>
                <w:color w:val="auto"/>
              </w:rPr>
            </w:pPr>
            <w:r>
              <w:rPr>
                <w:rFonts w:ascii="Arial" w:cs="Arial" w:eastAsia="Arial" w:hAnsi="Arial"/>
                <w:sz w:val="13"/>
                <w:szCs w:val="13"/>
                <w:color w:val="auto"/>
              </w:rPr>
              <w:t>Stock issued for Stock-</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718,985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4,226</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4,233</w:t>
            </w:r>
          </w:p>
        </w:tc>
        <w:tc>
          <w:tcPr>
            <w:tcW w:w="0" w:type="dxa"/>
            <w:vAlign w:val="bottom"/>
          </w:tcPr>
          <w:p>
            <w:pPr>
              <w:spacing w:after="0"/>
              <w:rPr>
                <w:sz w:val="1"/>
                <w:szCs w:val="1"/>
                <w:color w:val="auto"/>
              </w:rPr>
            </w:pPr>
          </w:p>
        </w:tc>
      </w:tr>
      <w:tr>
        <w:trPr>
          <w:trHeight w:val="173"/>
        </w:trPr>
        <w:tc>
          <w:tcPr>
            <w:tcW w:w="1460" w:type="dxa"/>
            <w:vAlign w:val="bottom"/>
          </w:tcPr>
          <w:p>
            <w:pPr>
              <w:ind w:left="100"/>
              <w:spacing w:after="0"/>
              <w:rPr>
                <w:sz w:val="20"/>
                <w:szCs w:val="20"/>
                <w:color w:val="auto"/>
              </w:rPr>
            </w:pPr>
            <w:r>
              <w:rPr>
                <w:rFonts w:ascii="Arial" w:cs="Arial" w:eastAsia="Arial" w:hAnsi="Arial"/>
                <w:sz w:val="13"/>
                <w:szCs w:val="13"/>
                <w:color w:val="auto"/>
              </w:rPr>
              <w:t>Based Awards</w:t>
            </w:r>
          </w:p>
        </w:tc>
        <w:tc>
          <w:tcPr>
            <w:tcW w:w="8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Surrendered by</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(140,737)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Stockholders</w:t>
            </w:r>
          </w:p>
        </w:tc>
        <w:tc>
          <w:tcPr>
            <w:tcW w:w="92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rPr>
                <w:sz w:val="20"/>
                <w:szCs w:val="20"/>
                <w:color w:val="auto"/>
              </w:rPr>
            </w:pPr>
            <w:r>
              <w:rPr>
                <w:rFonts w:ascii="Arial" w:cs="Arial" w:eastAsia="Arial" w:hAnsi="Arial"/>
                <w:sz w:val="13"/>
                <w:szCs w:val="13"/>
                <w:color w:val="auto"/>
              </w:rPr>
              <w:t>Initial Public Offering</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10,454,545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225,224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225,329</w:t>
            </w: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81,248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81,248</w:t>
            </w: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rPr>
                <w:sz w:val="20"/>
                <w:szCs w:val="20"/>
                <w:color w:val="auto"/>
              </w:rPr>
            </w:pPr>
            <w:r>
              <w:rPr>
                <w:rFonts w:ascii="Arial" w:cs="Arial" w:eastAsia="Arial" w:hAnsi="Arial"/>
                <w:sz w:val="13"/>
                <w:szCs w:val="13"/>
                <w:color w:val="auto"/>
              </w:rPr>
              <w:t>Income Tax Receivable</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(115,200)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(115,200)</w:t>
            </w:r>
          </w:p>
        </w:tc>
        <w:tc>
          <w:tcPr>
            <w:tcW w:w="0" w:type="dxa"/>
            <w:vAlign w:val="bottom"/>
          </w:tcPr>
          <w:p>
            <w:pPr>
              <w:spacing w:after="0"/>
              <w:rPr>
                <w:sz w:val="1"/>
                <w:szCs w:val="1"/>
                <w:color w:val="auto"/>
              </w:rPr>
            </w:pPr>
          </w:p>
        </w:tc>
      </w:tr>
      <w:tr>
        <w:trPr>
          <w:trHeight w:val="173"/>
        </w:trPr>
        <w:tc>
          <w:tcPr>
            <w:tcW w:w="1460" w:type="dxa"/>
            <w:vAlign w:val="bottom"/>
          </w:tcPr>
          <w:p>
            <w:pPr>
              <w:ind w:left="100"/>
              <w:spacing w:after="0"/>
              <w:rPr>
                <w:sz w:val="20"/>
                <w:szCs w:val="20"/>
                <w:color w:val="auto"/>
              </w:rPr>
            </w:pPr>
            <w:r>
              <w:rPr>
                <w:rFonts w:ascii="Arial" w:cs="Arial" w:eastAsia="Arial" w:hAnsi="Arial"/>
                <w:sz w:val="13"/>
                <w:szCs w:val="13"/>
                <w:color w:val="auto"/>
              </w:rPr>
              <w:t>Agreement</w:t>
            </w:r>
          </w:p>
        </w:tc>
        <w:tc>
          <w:tcPr>
            <w:tcW w:w="9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Amazon Warrants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758,608</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5,600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5,600</w:t>
            </w: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rPr>
                <w:sz w:val="20"/>
                <w:szCs w:val="20"/>
                <w:color w:val="auto"/>
              </w:rPr>
            </w:pPr>
            <w:r>
              <w:rPr>
                <w:rFonts w:ascii="Arial" w:cs="Arial" w:eastAsia="Arial" w:hAnsi="Arial"/>
                <w:sz w:val="13"/>
                <w:szCs w:val="13"/>
                <w:color w:val="auto"/>
              </w:rPr>
              <w:t>Stock-based</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5,562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5,562</w:t>
            </w:r>
          </w:p>
        </w:tc>
        <w:tc>
          <w:tcPr>
            <w:tcW w:w="0" w:type="dxa"/>
            <w:vAlign w:val="bottom"/>
          </w:tcPr>
          <w:p>
            <w:pPr>
              <w:spacing w:after="0"/>
              <w:rPr>
                <w:sz w:val="1"/>
                <w:szCs w:val="1"/>
                <w:color w:val="auto"/>
              </w:rPr>
            </w:pPr>
          </w:p>
        </w:tc>
      </w:tr>
      <w:tr>
        <w:trPr>
          <w:trHeight w:val="173"/>
        </w:trPr>
        <w:tc>
          <w:tcPr>
            <w:tcW w:w="14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Compensation</w:t>
            </w: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December 31, 2021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1,643,660</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57,872,452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485,638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490,589</w:t>
            </w:r>
          </w:p>
        </w:tc>
        <w:tc>
          <w:tcPr>
            <w:tcW w:w="0" w:type="dxa"/>
            <w:vAlign w:val="bottom"/>
          </w:tcPr>
          <w:p>
            <w:pPr>
              <w:spacing w:after="0"/>
              <w:rPr>
                <w:sz w:val="1"/>
                <w:szCs w:val="1"/>
                <w:color w:val="auto"/>
              </w:rPr>
            </w:pPr>
          </w:p>
        </w:tc>
      </w:tr>
      <w:tr>
        <w:trPr>
          <w:trHeight w:val="138"/>
        </w:trPr>
        <w:tc>
          <w:tcPr>
            <w:tcW w:w="1460" w:type="dxa"/>
            <w:vAlign w:val="bottom"/>
          </w:tcPr>
          <w:p>
            <w:pPr>
              <w:ind w:left="20"/>
              <w:spacing w:after="0" w:line="138" w:lineRule="exact"/>
              <w:rPr>
                <w:sz w:val="20"/>
                <w:szCs w:val="20"/>
                <w:color w:val="auto"/>
              </w:rPr>
            </w:pPr>
            <w:r>
              <w:rPr>
                <w:rFonts w:ascii="Arial" w:cs="Arial" w:eastAsia="Arial" w:hAnsi="Arial"/>
                <w:sz w:val="13"/>
                <w:szCs w:val="13"/>
                <w:color w:val="auto"/>
              </w:rPr>
              <w:t>Stock issued for Stock-</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345,195</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1,983</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1,986</w:t>
            </w:r>
          </w:p>
        </w:tc>
        <w:tc>
          <w:tcPr>
            <w:tcW w:w="0" w:type="dxa"/>
            <w:vAlign w:val="bottom"/>
          </w:tcPr>
          <w:p>
            <w:pPr>
              <w:spacing w:after="0"/>
              <w:rPr>
                <w:sz w:val="1"/>
                <w:szCs w:val="1"/>
                <w:color w:val="auto"/>
              </w:rPr>
            </w:pPr>
          </w:p>
        </w:tc>
      </w:tr>
      <w:tr>
        <w:trPr>
          <w:trHeight w:val="173"/>
        </w:trPr>
        <w:tc>
          <w:tcPr>
            <w:tcW w:w="1460" w:type="dxa"/>
            <w:vAlign w:val="bottom"/>
          </w:tcPr>
          <w:p>
            <w:pPr>
              <w:ind w:left="100"/>
              <w:spacing w:after="0"/>
              <w:rPr>
                <w:sz w:val="20"/>
                <w:szCs w:val="20"/>
                <w:color w:val="auto"/>
              </w:rPr>
            </w:pPr>
            <w:r>
              <w:rPr>
                <w:rFonts w:ascii="Arial" w:cs="Arial" w:eastAsia="Arial" w:hAnsi="Arial"/>
                <w:sz w:val="13"/>
                <w:szCs w:val="13"/>
                <w:color w:val="auto"/>
              </w:rPr>
              <w:t>Based Awards</w:t>
            </w:r>
          </w:p>
        </w:tc>
        <w:tc>
          <w:tcPr>
            <w:tcW w:w="8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Stock Settlement of</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Awards</w:t>
            </w:r>
          </w:p>
        </w:tc>
        <w:tc>
          <w:tcPr>
            <w:tcW w:w="92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890,586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(17,553)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(7,501)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(25,054)</w:t>
            </w:r>
          </w:p>
        </w:tc>
        <w:tc>
          <w:tcPr>
            <w:tcW w:w="0" w:type="dxa"/>
            <w:vAlign w:val="bottom"/>
          </w:tcPr>
          <w:p>
            <w:pPr>
              <w:spacing w:after="0"/>
              <w:rPr>
                <w:sz w:val="1"/>
                <w:szCs w:val="1"/>
                <w:color w:val="auto"/>
              </w:rPr>
            </w:pPr>
          </w:p>
        </w:tc>
      </w:tr>
      <w:tr>
        <w:trPr>
          <w:trHeight w:val="173"/>
        </w:trPr>
        <w:tc>
          <w:tcPr>
            <w:tcW w:w="1460" w:type="dxa"/>
            <w:vAlign w:val="bottom"/>
          </w:tcPr>
          <w:p>
            <w:pPr>
              <w:ind w:left="100"/>
              <w:spacing w:after="0"/>
              <w:rPr>
                <w:sz w:val="20"/>
                <w:szCs w:val="20"/>
                <w:color w:val="auto"/>
              </w:rPr>
            </w:pPr>
            <w:r>
              <w:rPr>
                <w:rFonts w:ascii="Arial" w:cs="Arial" w:eastAsia="Arial" w:hAnsi="Arial"/>
                <w:sz w:val="13"/>
                <w:szCs w:val="13"/>
                <w:color w:val="auto"/>
              </w:rPr>
              <w:t>Repurchases</w:t>
            </w:r>
          </w:p>
        </w:tc>
        <w:tc>
          <w:tcPr>
            <w:tcW w:w="9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17,676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17,676</w:t>
            </w: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820" w:type="dxa"/>
            <w:vAlign w:val="bottom"/>
          </w:tcPr>
          <w:p>
            <w:pPr>
              <w:jc w:val="right"/>
              <w:spacing w:after="0"/>
              <w:rPr>
                <w:sz w:val="20"/>
                <w:szCs w:val="20"/>
                <w:color w:val="auto"/>
              </w:rPr>
            </w:pPr>
            <w:r>
              <w:rPr>
                <w:rFonts w:ascii="Arial" w:cs="Arial" w:eastAsia="Arial" w:hAnsi="Arial"/>
                <w:sz w:val="13"/>
                <w:szCs w:val="13"/>
                <w:color w:val="auto"/>
              </w:rPr>
              <w:t>758,608</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5,600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5,600</w:t>
            </w: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2,774</w:t>
            </w: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w:t>
            </w:r>
          </w:p>
        </w:tc>
        <w:tc>
          <w:tcPr>
            <w:tcW w:w="92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rPr>
                <w:sz w:val="20"/>
                <w:szCs w:val="20"/>
                <w:color w:val="auto"/>
              </w:rPr>
            </w:pPr>
            <w:r>
              <w:rPr>
                <w:rFonts w:ascii="Arial" w:cs="Arial" w:eastAsia="Arial" w:hAnsi="Arial"/>
                <w:sz w:val="13"/>
                <w:szCs w:val="13"/>
                <w:color w:val="auto"/>
              </w:rPr>
              <w:t>Other Comprehensive</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173"/>
        </w:trPr>
        <w:tc>
          <w:tcPr>
            <w:tcW w:w="14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Loss</w:t>
            </w: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December 31,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2,402,268</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58,217,647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892,409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488,494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22,048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492,712</w:t>
            </w:r>
          </w:p>
        </w:tc>
        <w:tc>
          <w:tcPr>
            <w:tcW w:w="0" w:type="dxa"/>
            <w:vAlign w:val="bottom"/>
          </w:tcPr>
          <w:p>
            <w:pPr>
              <w:spacing w:after="0"/>
              <w:rPr>
                <w:sz w:val="1"/>
                <w:szCs w:val="1"/>
                <w:color w:val="auto"/>
              </w:rPr>
            </w:pPr>
          </w:p>
        </w:tc>
      </w:tr>
      <w:tr>
        <w:trPr>
          <w:trHeight w:val="138"/>
        </w:trPr>
        <w:tc>
          <w:tcPr>
            <w:tcW w:w="1460" w:type="dxa"/>
            <w:vAlign w:val="bottom"/>
          </w:tcPr>
          <w:p>
            <w:pPr>
              <w:ind w:left="20"/>
              <w:spacing w:after="0" w:line="138" w:lineRule="exact"/>
              <w:rPr>
                <w:sz w:val="20"/>
                <w:szCs w:val="20"/>
                <w:color w:val="auto"/>
              </w:rPr>
            </w:pPr>
            <w:r>
              <w:rPr>
                <w:rFonts w:ascii="Arial" w:cs="Arial" w:eastAsia="Arial" w:hAnsi="Arial"/>
                <w:sz w:val="13"/>
                <w:szCs w:val="13"/>
                <w:color w:val="auto"/>
              </w:rPr>
              <w:t>Stock issued for Stock-</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661,076</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2,653</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2,660</w:t>
            </w:r>
          </w:p>
        </w:tc>
        <w:tc>
          <w:tcPr>
            <w:tcW w:w="0" w:type="dxa"/>
            <w:vAlign w:val="bottom"/>
          </w:tcPr>
          <w:p>
            <w:pPr>
              <w:spacing w:after="0"/>
              <w:rPr>
                <w:sz w:val="1"/>
                <w:szCs w:val="1"/>
                <w:color w:val="auto"/>
              </w:rPr>
            </w:pPr>
          </w:p>
        </w:tc>
      </w:tr>
      <w:tr>
        <w:trPr>
          <w:trHeight w:val="173"/>
        </w:trPr>
        <w:tc>
          <w:tcPr>
            <w:tcW w:w="1460" w:type="dxa"/>
            <w:vAlign w:val="bottom"/>
          </w:tcPr>
          <w:p>
            <w:pPr>
              <w:ind w:left="100"/>
              <w:spacing w:after="0"/>
              <w:rPr>
                <w:sz w:val="20"/>
                <w:szCs w:val="20"/>
                <w:color w:val="auto"/>
              </w:rPr>
            </w:pPr>
            <w:r>
              <w:rPr>
                <w:rFonts w:ascii="Arial" w:cs="Arial" w:eastAsia="Arial" w:hAnsi="Arial"/>
                <w:sz w:val="13"/>
                <w:szCs w:val="13"/>
                <w:color w:val="auto"/>
              </w:rPr>
              <w:t>Based Awards</w:t>
            </w:r>
          </w:p>
        </w:tc>
        <w:tc>
          <w:tcPr>
            <w:tcW w:w="8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Stock Settlement of</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Stock-Based Awards</w:t>
            </w:r>
          </w:p>
        </w:tc>
        <w:tc>
          <w:tcPr>
            <w:tcW w:w="92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4,694,907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(76,728)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7,501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(69,227)</w:t>
            </w:r>
          </w:p>
        </w:tc>
        <w:tc>
          <w:tcPr>
            <w:tcW w:w="0" w:type="dxa"/>
            <w:vAlign w:val="bottom"/>
          </w:tcPr>
          <w:p>
            <w:pPr>
              <w:spacing w:after="0"/>
              <w:rPr>
                <w:sz w:val="1"/>
                <w:szCs w:val="1"/>
                <w:color w:val="auto"/>
              </w:rPr>
            </w:pPr>
          </w:p>
        </w:tc>
      </w:tr>
      <w:tr>
        <w:trPr>
          <w:trHeight w:val="173"/>
        </w:trPr>
        <w:tc>
          <w:tcPr>
            <w:tcW w:w="1460" w:type="dxa"/>
            <w:vAlign w:val="bottom"/>
          </w:tcPr>
          <w:p>
            <w:pPr>
              <w:ind w:left="100"/>
              <w:spacing w:after="0"/>
              <w:rPr>
                <w:sz w:val="20"/>
                <w:szCs w:val="20"/>
                <w:color w:val="auto"/>
              </w:rPr>
            </w:pPr>
            <w:r>
              <w:rPr>
                <w:rFonts w:ascii="Arial" w:cs="Arial" w:eastAsia="Arial" w:hAnsi="Arial"/>
                <w:sz w:val="13"/>
                <w:szCs w:val="13"/>
                <w:color w:val="auto"/>
              </w:rPr>
              <w:t>Repurchases</w:t>
            </w:r>
          </w:p>
        </w:tc>
        <w:tc>
          <w:tcPr>
            <w:tcW w:w="9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72,181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72,181</w:t>
            </w:r>
          </w:p>
        </w:tc>
        <w:tc>
          <w:tcPr>
            <w:tcW w:w="0" w:type="dxa"/>
            <w:vAlign w:val="bottom"/>
          </w:tcPr>
          <w:p>
            <w:pPr>
              <w:spacing w:after="0"/>
              <w:rPr>
                <w:sz w:val="1"/>
                <w:szCs w:val="1"/>
                <w:color w:val="auto"/>
              </w:rPr>
            </w:pPr>
          </w:p>
        </w:tc>
      </w:tr>
      <w:tr>
        <w:trPr>
          <w:trHeight w:val="175"/>
        </w:trPr>
        <w:tc>
          <w:tcPr>
            <w:tcW w:w="1460" w:type="dxa"/>
            <w:vAlign w:val="bottom"/>
          </w:tcPr>
          <w:p>
            <w:pPr>
              <w:ind w:left="20"/>
              <w:spacing w:after="0"/>
              <w:rPr>
                <w:sz w:val="20"/>
                <w:szCs w:val="20"/>
                <w:color w:val="auto"/>
              </w:rPr>
            </w:pPr>
            <w:r>
              <w:rPr>
                <w:rFonts w:ascii="Arial" w:cs="Arial" w:eastAsia="Arial" w:hAnsi="Arial"/>
                <w:sz w:val="13"/>
                <w:szCs w:val="13"/>
                <w:color w:val="auto"/>
              </w:rPr>
              <w:t>Amazon Warrants</w:t>
            </w:r>
          </w:p>
        </w:tc>
        <w:tc>
          <w:tcPr>
            <w:tcW w:w="820" w:type="dxa"/>
            <w:vAlign w:val="bottom"/>
          </w:tcPr>
          <w:p>
            <w:pPr>
              <w:jc w:val="right"/>
              <w:spacing w:after="0"/>
              <w:rPr>
                <w:sz w:val="20"/>
                <w:szCs w:val="20"/>
                <w:color w:val="auto"/>
              </w:rPr>
            </w:pPr>
            <w:r>
              <w:rPr>
                <w:rFonts w:ascii="Arial" w:cs="Arial" w:eastAsia="Arial" w:hAnsi="Arial"/>
                <w:sz w:val="13"/>
                <w:szCs w:val="13"/>
                <w:color w:val="auto"/>
              </w:rPr>
              <w:t>821,825</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6,066</w:t>
            </w:r>
          </w:p>
        </w:tc>
        <w:tc>
          <w:tcPr>
            <w:tcW w:w="0" w:type="dxa"/>
            <w:vAlign w:val="bottom"/>
          </w:tcPr>
          <w:p>
            <w:pPr>
              <w:spacing w:after="0"/>
              <w:rPr>
                <w:sz w:val="1"/>
                <w:szCs w:val="1"/>
                <w:color w:val="auto"/>
              </w:rPr>
            </w:pPr>
          </w:p>
        </w:tc>
      </w:tr>
      <w:tr>
        <w:trPr>
          <w:trHeight w:val="28"/>
        </w:trPr>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9,274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9,274</w:t>
            </w:r>
          </w:p>
        </w:tc>
        <w:tc>
          <w:tcPr>
            <w:tcW w:w="0" w:type="dxa"/>
            <w:vAlign w:val="bottom"/>
          </w:tcPr>
          <w:p>
            <w:pPr>
              <w:spacing w:after="0"/>
              <w:rPr>
                <w:sz w:val="1"/>
                <w:szCs w:val="1"/>
                <w:color w:val="auto"/>
              </w:rPr>
            </w:pPr>
          </w:p>
        </w:tc>
      </w:tr>
      <w:tr>
        <w:trPr>
          <w:trHeight w:val="180"/>
        </w:trPr>
        <w:tc>
          <w:tcPr>
            <w:tcW w:w="1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Compensation</w:t>
            </w:r>
          </w:p>
        </w:tc>
        <w:tc>
          <w:tcPr>
            <w:tcW w:w="92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tcPr>
          <w:p>
            <w:pPr>
              <w:ind w:left="20"/>
              <w:spacing w:after="0"/>
              <w:rPr>
                <w:sz w:val="20"/>
                <w:szCs w:val="20"/>
                <w:color w:val="auto"/>
              </w:rPr>
            </w:pPr>
            <w:r>
              <w:rPr>
                <w:rFonts w:ascii="Arial" w:cs="Arial" w:eastAsia="Arial" w:hAnsi="Arial"/>
                <w:sz w:val="13"/>
                <w:szCs w:val="13"/>
                <w:color w:val="auto"/>
              </w:rPr>
              <w:t>Other Comprehensive</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745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745</w:t>
            </w:r>
          </w:p>
        </w:tc>
        <w:tc>
          <w:tcPr>
            <w:tcW w:w="0" w:type="dxa"/>
            <w:vAlign w:val="bottom"/>
          </w:tcPr>
          <w:p>
            <w:pPr>
              <w:spacing w:after="0"/>
              <w:rPr>
                <w:sz w:val="1"/>
                <w:szCs w:val="1"/>
                <w:color w:val="auto"/>
              </w:rPr>
            </w:pPr>
          </w:p>
        </w:tc>
      </w:tr>
      <w:tr>
        <w:trPr>
          <w:trHeight w:val="173"/>
        </w:trPr>
        <w:tc>
          <w:tcPr>
            <w:tcW w:w="14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Income</w:t>
            </w: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2023</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3,224,093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58,878,723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5,587,722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513,988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514,403</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6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9"/>
        </w:trPr>
        <w:tc>
          <w:tcPr>
            <w:tcW w:w="66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2021</w:t>
            </w:r>
          </w:p>
        </w:tc>
      </w:tr>
      <w:tr>
        <w:trPr>
          <w:trHeight w:val="175"/>
        </w:trPr>
        <w:tc>
          <w:tcPr>
            <w:tcW w:w="66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w:t>
            </w:r>
          </w:p>
        </w:tc>
        <w:tc>
          <w:tcPr>
            <w:tcW w:w="920" w:type="dxa"/>
            <w:vAlign w:val="bottom"/>
            <w:shd w:val="clear" w:color="auto" w:fill="CCEEFF"/>
          </w:tcPr>
          <w:p>
            <w:pPr>
              <w:jc w:val="right"/>
              <w:ind w:right="786"/>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72,181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17,676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81,248</w:t>
            </w:r>
          </w:p>
        </w:tc>
      </w:tr>
      <w:tr>
        <w:trPr>
          <w:trHeight w:val="169"/>
        </w:trPr>
        <w:tc>
          <w:tcPr>
            <w:tcW w:w="6600" w:type="dxa"/>
            <w:vAlign w:val="bottom"/>
          </w:tcPr>
          <w:p>
            <w:pPr>
              <w:ind w:left="180"/>
              <w:spacing w:after="0"/>
              <w:rPr>
                <w:sz w:val="20"/>
                <w:szCs w:val="20"/>
                <w:color w:val="auto"/>
              </w:rPr>
            </w:pPr>
            <w:r>
              <w:rPr>
                <w:rFonts w:ascii="Arial" w:cs="Arial" w:eastAsia="Arial" w:hAnsi="Arial"/>
                <w:sz w:val="11"/>
                <w:szCs w:val="11"/>
                <w:b w:val="1"/>
                <w:bCs w:val="1"/>
                <w:color w:val="auto"/>
              </w:rPr>
              <w:t>Adjustments to reconcile Net Income to Cash from Operating Activities: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Depreciation and Amortization</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88,151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67,641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57,075</w:t>
            </w:r>
          </w:p>
        </w:tc>
      </w:tr>
      <w:tr>
        <w:trPr>
          <w:trHeight w:val="155"/>
        </w:trPr>
        <w:tc>
          <w:tcPr>
            <w:tcW w:w="6600" w:type="dxa"/>
            <w:vAlign w:val="bottom"/>
          </w:tcPr>
          <w:p>
            <w:pPr>
              <w:ind w:left="180"/>
              <w:spacing w:after="0"/>
              <w:rPr>
                <w:sz w:val="20"/>
                <w:szCs w:val="20"/>
                <w:color w:val="auto"/>
              </w:rPr>
            </w:pPr>
            <w:r>
              <w:rPr>
                <w:rFonts w:ascii="Arial" w:cs="Arial" w:eastAsia="Arial" w:hAnsi="Arial"/>
                <w:sz w:val="11"/>
                <w:szCs w:val="11"/>
                <w:color w:val="auto"/>
              </w:rPr>
              <w:t>Tax Receivable Agreement Adjustment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5,000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(16,400)</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Operating Lease Right-of-use Assets</w:t>
            </w:r>
          </w:p>
        </w:tc>
        <w:tc>
          <w:tcPr>
            <w:tcW w:w="9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4,291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1,538</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16,477</w:t>
            </w:r>
          </w:p>
        </w:tc>
      </w:tr>
      <w:tr>
        <w:trPr>
          <w:trHeight w:val="165"/>
        </w:trPr>
        <w:tc>
          <w:tcPr>
            <w:tcW w:w="6600" w:type="dxa"/>
            <w:vAlign w:val="bottom"/>
          </w:tcPr>
          <w:p>
            <w:pPr>
              <w:ind w:left="180"/>
              <w:spacing w:after="0"/>
              <w:rPr>
                <w:sz w:val="20"/>
                <w:szCs w:val="20"/>
                <w:color w:val="auto"/>
              </w:rPr>
            </w:pPr>
            <w:r>
              <w:rPr>
                <w:rFonts w:ascii="Arial" w:cs="Arial" w:eastAsia="Arial" w:hAnsi="Arial"/>
                <w:sz w:val="11"/>
                <w:szCs w:val="11"/>
                <w:color w:val="auto"/>
              </w:rPr>
              <w:t>Gain on Asset Transactions, net</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(1,107)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6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Unrealized Gain on Fuel Derivatives</w:t>
            </w:r>
          </w:p>
        </w:tc>
        <w:tc>
          <w:tcPr>
            <w:tcW w:w="9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(3,527)</w:t>
            </w:r>
          </w:p>
        </w:tc>
      </w:tr>
      <w:tr>
        <w:trPr>
          <w:trHeight w:val="156"/>
        </w:trPr>
        <w:tc>
          <w:tcPr>
            <w:tcW w:w="6600" w:type="dxa"/>
            <w:vAlign w:val="bottom"/>
          </w:tcPr>
          <w:p>
            <w:pPr>
              <w:ind w:left="180"/>
              <w:spacing w:after="0"/>
              <w:rPr>
                <w:sz w:val="20"/>
                <w:szCs w:val="20"/>
                <w:color w:val="auto"/>
              </w:rPr>
            </w:pPr>
            <w:r>
              <w:rPr>
                <w:rFonts w:ascii="Arial" w:cs="Arial" w:eastAsia="Arial" w:hAnsi="Arial"/>
                <w:sz w:val="11"/>
                <w:szCs w:val="11"/>
                <w:color w:val="auto"/>
              </w:rPr>
              <w:t>Amortization of Over-market Liabilities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(2,837)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(5,236)</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Amortization of Over-market Assets</w:t>
            </w:r>
          </w:p>
        </w:tc>
        <w:tc>
          <w:tcPr>
            <w:tcW w:w="9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1,300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6"/>
        </w:trPr>
        <w:tc>
          <w:tcPr>
            <w:tcW w:w="6600" w:type="dxa"/>
            <w:vAlign w:val="bottom"/>
          </w:tcPr>
          <w:p>
            <w:pPr>
              <w:ind w:left="180"/>
              <w:spacing w:after="0"/>
              <w:rPr>
                <w:sz w:val="20"/>
                <w:szCs w:val="20"/>
                <w:color w:val="auto"/>
              </w:rPr>
            </w:pPr>
            <w:r>
              <w:rPr>
                <w:rFonts w:ascii="Arial" w:cs="Arial" w:eastAsia="Arial" w:hAnsi="Arial"/>
                <w:sz w:val="11"/>
                <w:szCs w:val="11"/>
                <w:color w:val="auto"/>
              </w:rPr>
              <w:t>Deferred Income Taxes</w:t>
            </w:r>
          </w:p>
        </w:tc>
        <w:tc>
          <w:tcPr>
            <w:tcW w:w="9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21,886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4,893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18,609</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Amazon Warrants Vested</w:t>
            </w:r>
          </w:p>
        </w:tc>
        <w:tc>
          <w:tcPr>
            <w:tcW w:w="9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6,066</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5,600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5,600</w:t>
            </w:r>
          </w:p>
        </w:tc>
      </w:tr>
      <w:tr>
        <w:trPr>
          <w:trHeight w:val="156"/>
        </w:trPr>
        <w:tc>
          <w:tcPr>
            <w:tcW w:w="6600" w:type="dxa"/>
            <w:vAlign w:val="bottom"/>
          </w:tcPr>
          <w:p>
            <w:pPr>
              <w:ind w:left="180"/>
              <w:spacing w:after="0"/>
              <w:rPr>
                <w:sz w:val="20"/>
                <w:szCs w:val="20"/>
                <w:color w:val="auto"/>
              </w:rPr>
            </w:pPr>
            <w:r>
              <w:rPr>
                <w:rFonts w:ascii="Arial" w:cs="Arial" w:eastAsia="Arial" w:hAnsi="Arial"/>
                <w:sz w:val="11"/>
                <w:szCs w:val="11"/>
                <w:color w:val="auto"/>
              </w:rPr>
              <w:t>Stock-based Compensation Expense</w:t>
            </w:r>
          </w:p>
        </w:tc>
        <w:tc>
          <w:tcPr>
            <w:tcW w:w="9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9,274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2,774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5,562</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6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of Debt Issuance Costs and Debt Securities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1,239</w:t>
            </w:r>
          </w:p>
        </w:tc>
      </w:tr>
      <w:tr>
        <w:trPr>
          <w:trHeight w:val="156"/>
        </w:trPr>
        <w:tc>
          <w:tcPr>
            <w:tcW w:w="6600" w:type="dxa"/>
            <w:vAlign w:val="bottom"/>
          </w:tcPr>
          <w:p>
            <w:pPr>
              <w:ind w:left="180"/>
              <w:spacing w:after="0"/>
              <w:rPr>
                <w:sz w:val="20"/>
                <w:szCs w:val="20"/>
                <w:color w:val="auto"/>
              </w:rPr>
            </w:pPr>
            <w:r>
              <w:rPr>
                <w:rFonts w:ascii="Arial" w:cs="Arial" w:eastAsia="Arial" w:hAnsi="Arial"/>
                <w:sz w:val="11"/>
                <w:szCs w:val="11"/>
                <w:color w:val="auto"/>
              </w:rPr>
              <w:t>Property &amp; Equipment Write-Off</w:t>
            </w:r>
          </w:p>
        </w:tc>
        <w:tc>
          <w:tcPr>
            <w:tcW w:w="9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Loss on Extinguishment of Debt</w:t>
            </w:r>
          </w:p>
        </w:tc>
        <w:tc>
          <w:tcPr>
            <w:tcW w:w="9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1,557</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1,224</w:t>
            </w:r>
          </w:p>
        </w:tc>
      </w:tr>
      <w:tr>
        <w:trPr>
          <w:trHeight w:val="168"/>
        </w:trPr>
        <w:tc>
          <w:tcPr>
            <w:tcW w:w="6600" w:type="dxa"/>
            <w:vAlign w:val="bottom"/>
          </w:tcPr>
          <w:p>
            <w:pPr>
              <w:ind w:left="180"/>
              <w:spacing w:after="0"/>
              <w:rPr>
                <w:sz w:val="20"/>
                <w:szCs w:val="20"/>
                <w:color w:val="auto"/>
              </w:rPr>
            </w:pPr>
            <w:r>
              <w:rPr>
                <w:rFonts w:ascii="Arial" w:cs="Arial" w:eastAsia="Arial" w:hAnsi="Arial"/>
                <w:sz w:val="11"/>
                <w:szCs w:val="11"/>
                <w:b w:val="1"/>
                <w:bCs w:val="1"/>
                <w:color w:val="auto"/>
              </w:rPr>
              <w:t>Changes in Operating Assets and Liabilities: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Accounts Receivable</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(2,667)</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(3,312)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(481)</w:t>
            </w:r>
          </w:p>
        </w:tc>
      </w:tr>
      <w:tr>
        <w:trPr>
          <w:trHeight w:val="166"/>
        </w:trPr>
        <w:tc>
          <w:tcPr>
            <w:tcW w:w="6600" w:type="dxa"/>
            <w:vAlign w:val="bottom"/>
          </w:tcPr>
          <w:p>
            <w:pPr>
              <w:ind w:left="180"/>
              <w:spacing w:after="0"/>
              <w:rPr>
                <w:sz w:val="20"/>
                <w:szCs w:val="20"/>
                <w:color w:val="auto"/>
              </w:rPr>
            </w:pPr>
            <w:r>
              <w:rPr>
                <w:rFonts w:ascii="Arial" w:cs="Arial" w:eastAsia="Arial" w:hAnsi="Arial"/>
                <w:sz w:val="11"/>
                <w:szCs w:val="11"/>
                <w:color w:val="auto"/>
              </w:rPr>
              <w:t>Inventory</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(3,014)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(484)</w:t>
            </w:r>
          </w:p>
        </w:tc>
      </w:tr>
      <w:tr>
        <w:trPr>
          <w:trHeight w:val="16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Prepaid Expenses</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(4,394)</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(2,918)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(510)</w:t>
            </w:r>
          </w:p>
        </w:tc>
      </w:tr>
      <w:tr>
        <w:trPr>
          <w:trHeight w:val="156"/>
        </w:trPr>
        <w:tc>
          <w:tcPr>
            <w:tcW w:w="6600" w:type="dxa"/>
            <w:vAlign w:val="bottom"/>
          </w:tcPr>
          <w:p>
            <w:pPr>
              <w:ind w:left="180"/>
              <w:spacing w:after="0"/>
              <w:rPr>
                <w:sz w:val="20"/>
                <w:szCs w:val="20"/>
                <w:color w:val="auto"/>
              </w:rPr>
            </w:pPr>
            <w:r>
              <w:rPr>
                <w:rFonts w:ascii="Arial" w:cs="Arial" w:eastAsia="Arial" w:hAnsi="Arial"/>
                <w:sz w:val="11"/>
                <w:szCs w:val="11"/>
                <w:color w:val="auto"/>
              </w:rPr>
              <w:t>Lessor Maintenance Deposits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(12,047)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(13,005)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(8,089)</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Aircraft Deposits</w:t>
            </w:r>
          </w:p>
        </w:tc>
        <w:tc>
          <w:tcPr>
            <w:tcW w:w="9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(457)</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(2,583)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445</w:t>
            </w:r>
          </w:p>
        </w:tc>
      </w:tr>
      <w:tr>
        <w:trPr>
          <w:trHeight w:val="166"/>
        </w:trPr>
        <w:tc>
          <w:tcPr>
            <w:tcW w:w="6600" w:type="dxa"/>
            <w:vAlign w:val="bottom"/>
          </w:tcPr>
          <w:p>
            <w:pPr>
              <w:ind w:left="180"/>
              <w:spacing w:after="0"/>
              <w:rPr>
                <w:sz w:val="20"/>
                <w:szCs w:val="20"/>
                <w:color w:val="auto"/>
              </w:rPr>
            </w:pPr>
            <w:r>
              <w:rPr>
                <w:rFonts w:ascii="Arial" w:cs="Arial" w:eastAsia="Arial" w:hAnsi="Arial"/>
                <w:sz w:val="11"/>
                <w:szCs w:val="11"/>
                <w:color w:val="auto"/>
              </w:rPr>
              <w:t>Other Assets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(8,403)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2,351</w:t>
            </w:r>
          </w:p>
        </w:tc>
      </w:tr>
      <w:tr>
        <w:trPr>
          <w:trHeight w:val="16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Accounts Payable</w:t>
            </w:r>
          </w:p>
        </w:tc>
        <w:tc>
          <w:tcPr>
            <w:tcW w:w="9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(3,028)</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17,623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5,820</w:t>
            </w:r>
          </w:p>
        </w:tc>
      </w:tr>
      <w:tr>
        <w:trPr>
          <w:trHeight w:val="155"/>
        </w:trPr>
        <w:tc>
          <w:tcPr>
            <w:tcW w:w="6600" w:type="dxa"/>
            <w:vAlign w:val="bottom"/>
          </w:tcPr>
          <w:p>
            <w:pPr>
              <w:ind w:left="180"/>
              <w:spacing w:after="0"/>
              <w:rPr>
                <w:sz w:val="20"/>
                <w:szCs w:val="20"/>
                <w:color w:val="auto"/>
              </w:rPr>
            </w:pPr>
            <w:r>
              <w:rPr>
                <w:rFonts w:ascii="Arial" w:cs="Arial" w:eastAsia="Arial" w:hAnsi="Arial"/>
                <w:sz w:val="11"/>
                <w:szCs w:val="11"/>
                <w:color w:val="auto"/>
              </w:rPr>
              <w:t>Accrued Transportation Taxes</w:t>
            </w:r>
          </w:p>
        </w:tc>
        <w:tc>
          <w:tcPr>
            <w:tcW w:w="9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430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4,930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6,853</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Air Traffic Liabilities</w:t>
            </w:r>
          </w:p>
        </w:tc>
        <w:tc>
          <w:tcPr>
            <w:tcW w:w="9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39,433</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17,486</w:t>
            </w:r>
          </w:p>
        </w:tc>
      </w:tr>
      <w:tr>
        <w:trPr>
          <w:trHeight w:val="155"/>
        </w:trPr>
        <w:tc>
          <w:tcPr>
            <w:tcW w:w="6600" w:type="dxa"/>
            <w:vAlign w:val="bottom"/>
          </w:tcPr>
          <w:p>
            <w:pPr>
              <w:ind w:left="180"/>
              <w:spacing w:after="0"/>
              <w:rPr>
                <w:sz w:val="20"/>
                <w:szCs w:val="20"/>
                <w:color w:val="auto"/>
              </w:rPr>
            </w:pPr>
            <w:r>
              <w:rPr>
                <w:rFonts w:ascii="Arial" w:cs="Arial" w:eastAsia="Arial" w:hAnsi="Arial"/>
                <w:sz w:val="11"/>
                <w:szCs w:val="11"/>
                <w:color w:val="auto"/>
              </w:rPr>
              <w:t>Loyalty Program Liabilities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(1,701)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(4,281)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(2,351)</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6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Operating Lease Obligations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(37,101)</w:t>
            </w:r>
          </w:p>
        </w:tc>
      </w:tr>
      <w:tr>
        <w:trPr>
          <w:trHeight w:val="169"/>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Liabilities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7,463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1,781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13,171</w:t>
            </w:r>
          </w:p>
        </w:tc>
      </w:tr>
      <w:tr>
        <w:trPr>
          <w:trHeight w:val="175"/>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b w:val="1"/>
                <w:bCs w:val="1"/>
                <w:color w:val="auto"/>
              </w:rPr>
              <w:t>Net Cash Provided by 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174,120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127,440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158,976</w:t>
            </w:r>
          </w:p>
        </w:tc>
      </w:tr>
      <w:tr>
        <w:trPr>
          <w:trHeight w:val="141"/>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8"/>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6"/>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Purchases of Property &amp; Equipment</w:t>
            </w:r>
          </w:p>
        </w:tc>
        <w:tc>
          <w:tcPr>
            <w:tcW w:w="9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(218,160)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(187,922)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(123,332)</w:t>
            </w:r>
          </w:p>
        </w:tc>
      </w:tr>
      <w:tr>
        <w:trPr>
          <w:trHeight w:val="155"/>
        </w:trPr>
        <w:tc>
          <w:tcPr>
            <w:tcW w:w="6600" w:type="dxa"/>
            <w:vAlign w:val="bottom"/>
          </w:tcPr>
          <w:p>
            <w:pPr>
              <w:ind w:left="180"/>
              <w:spacing w:after="0"/>
              <w:rPr>
                <w:sz w:val="20"/>
                <w:szCs w:val="20"/>
                <w:color w:val="auto"/>
              </w:rPr>
            </w:pPr>
            <w:r>
              <w:rPr>
                <w:rFonts w:ascii="Arial" w:cs="Arial" w:eastAsia="Arial" w:hAnsi="Arial"/>
                <w:sz w:val="11"/>
                <w:szCs w:val="11"/>
                <w:color w:val="auto"/>
              </w:rPr>
              <w:t>Proceeds from the Sale of Property &amp; Equipment</w:t>
            </w:r>
          </w:p>
        </w:tc>
        <w:tc>
          <w:tcPr>
            <w:tcW w:w="9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4,953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2,451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56</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Proceeds from Insurance Settlements</w:t>
            </w:r>
          </w:p>
        </w:tc>
        <w:tc>
          <w:tcPr>
            <w:tcW w:w="9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8,865</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65"/>
        </w:trPr>
        <w:tc>
          <w:tcPr>
            <w:tcW w:w="6600" w:type="dxa"/>
            <w:vAlign w:val="bottom"/>
          </w:tcPr>
          <w:p>
            <w:pPr>
              <w:ind w:left="180"/>
              <w:spacing w:after="0"/>
              <w:rPr>
                <w:sz w:val="20"/>
                <w:szCs w:val="20"/>
                <w:color w:val="auto"/>
              </w:rPr>
            </w:pPr>
            <w:r>
              <w:rPr>
                <w:rFonts w:ascii="Arial" w:cs="Arial" w:eastAsia="Arial" w:hAnsi="Arial"/>
                <w:sz w:val="11"/>
                <w:szCs w:val="11"/>
                <w:color w:val="auto"/>
              </w:rPr>
              <w:t>Purchases of Investments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(95,535)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(178,960)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(1,797)</w:t>
            </w:r>
          </w:p>
        </w:tc>
      </w:tr>
      <w:tr>
        <w:trPr>
          <w:trHeight w:val="185"/>
        </w:trPr>
        <w:tc>
          <w:tcPr>
            <w:tcW w:w="6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the Sale of Investments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291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1,137</w:t>
            </w:r>
          </w:p>
        </w:tc>
      </w:tr>
      <w:tr>
        <w:trPr>
          <w:trHeight w:val="169"/>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Proceeds from the Maturities of Investments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137,220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5,000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75"/>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b w:val="1"/>
                <w:bCs w:val="1"/>
                <w:color w:val="auto"/>
              </w:rPr>
              <w:t>Net Cash Used in Investing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(171,231)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(349,330)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(123,936)</w:t>
            </w:r>
          </w:p>
        </w:tc>
      </w:tr>
      <w:tr>
        <w:trPr>
          <w:trHeight w:val="142"/>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9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8"/>
        </w:trPr>
        <w:tc>
          <w:tcPr>
            <w:tcW w:w="6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Cash Received from Stock Offering</w:t>
            </w:r>
          </w:p>
        </w:tc>
        <w:tc>
          <w:tcPr>
            <w:tcW w:w="9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235,894</w:t>
            </w:r>
          </w:p>
        </w:tc>
      </w:tr>
      <w:tr>
        <w:trPr>
          <w:trHeight w:val="155"/>
        </w:trPr>
        <w:tc>
          <w:tcPr>
            <w:tcW w:w="6600" w:type="dxa"/>
            <w:vAlign w:val="bottom"/>
          </w:tcPr>
          <w:p>
            <w:pPr>
              <w:ind w:left="180"/>
              <w:spacing w:after="0"/>
              <w:rPr>
                <w:sz w:val="20"/>
                <w:szCs w:val="20"/>
                <w:color w:val="auto"/>
              </w:rPr>
            </w:pPr>
            <w:r>
              <w:rPr>
                <w:rFonts w:ascii="Arial" w:cs="Arial" w:eastAsia="Arial" w:hAnsi="Arial"/>
                <w:sz w:val="11"/>
                <w:szCs w:val="11"/>
                <w:color w:val="auto"/>
              </w:rPr>
              <w:t>Costs of Stock Offering</w:t>
            </w:r>
          </w:p>
        </w:tc>
        <w:tc>
          <w:tcPr>
            <w:tcW w:w="9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(8,384)</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6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Proceeds from Stock Option and Warrant Exercises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2,660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4,233</w:t>
            </w:r>
          </w:p>
        </w:tc>
      </w:tr>
      <w:tr>
        <w:trPr>
          <w:trHeight w:val="165"/>
        </w:trPr>
        <w:tc>
          <w:tcPr>
            <w:tcW w:w="6600" w:type="dxa"/>
            <w:vAlign w:val="bottom"/>
          </w:tcPr>
          <w:p>
            <w:pPr>
              <w:ind w:left="180"/>
              <w:spacing w:after="0"/>
              <w:rPr>
                <w:sz w:val="20"/>
                <w:szCs w:val="20"/>
                <w:color w:val="auto"/>
              </w:rPr>
            </w:pPr>
            <w:r>
              <w:rPr>
                <w:rFonts w:ascii="Arial" w:cs="Arial" w:eastAsia="Arial" w:hAnsi="Arial"/>
                <w:sz w:val="11"/>
                <w:szCs w:val="11"/>
                <w:color w:val="auto"/>
              </w:rPr>
              <w:t>Taxes Paid for Net Stock Settlement of Stock-Based Awards</w:t>
            </w:r>
          </w:p>
        </w:tc>
        <w:tc>
          <w:tcPr>
            <w:tcW w:w="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85"/>
        </w:trPr>
        <w:tc>
          <w:tcPr>
            <w:tcW w:w="6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Common Stock Repurchases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(68,585)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(25,054)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56"/>
        </w:trPr>
        <w:tc>
          <w:tcPr>
            <w:tcW w:w="6600" w:type="dxa"/>
            <w:vAlign w:val="bottom"/>
          </w:tcPr>
          <w:p>
            <w:pPr>
              <w:ind w:left="180"/>
              <w:spacing w:after="0"/>
              <w:rPr>
                <w:sz w:val="20"/>
                <w:szCs w:val="20"/>
                <w:color w:val="auto"/>
              </w:rPr>
            </w:pPr>
            <w:r>
              <w:rPr>
                <w:rFonts w:ascii="Arial" w:cs="Arial" w:eastAsia="Arial" w:hAnsi="Arial"/>
                <w:sz w:val="11"/>
                <w:szCs w:val="11"/>
                <w:color w:val="auto"/>
              </w:rPr>
              <w:t>Proceeds from Borrowings</w:t>
            </w:r>
          </w:p>
        </w:tc>
        <w:tc>
          <w:tcPr>
            <w:tcW w:w="920" w:type="dxa"/>
            <w:vAlign w:val="bottom"/>
          </w:tcPr>
          <w:p>
            <w:pPr>
              <w:spacing w:after="0"/>
              <w:rPr>
                <w:sz w:val="13"/>
                <w:szCs w:val="13"/>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119,200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188,277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6"/>
              <w:spacing w:after="0"/>
              <w:rPr>
                <w:sz w:val="20"/>
                <w:szCs w:val="20"/>
                <w:color w:val="auto"/>
              </w:rPr>
            </w:pPr>
            <w:r>
              <w:rPr>
                <w:rFonts w:ascii="Arial" w:cs="Arial" w:eastAsia="Arial" w:hAnsi="Arial"/>
                <w:sz w:val="11"/>
                <w:szCs w:val="11"/>
                <w:color w:val="auto"/>
              </w:rPr>
              <w:t>80,500</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55"/>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Repayment of Finance Lease Obligations</w:t>
            </w:r>
          </w:p>
        </w:tc>
        <w:tc>
          <w:tcPr>
            <w:tcW w:w="92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(21,883)</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(42,062)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(11,931)</w:t>
            </w:r>
          </w:p>
        </w:tc>
      </w:tr>
      <w:tr>
        <w:trPr>
          <w:trHeight w:val="155"/>
        </w:trPr>
        <w:tc>
          <w:tcPr>
            <w:tcW w:w="6600" w:type="dxa"/>
            <w:vAlign w:val="bottom"/>
          </w:tcPr>
          <w:p>
            <w:pPr>
              <w:ind w:left="180"/>
              <w:spacing w:after="0"/>
              <w:rPr>
                <w:sz w:val="20"/>
                <w:szCs w:val="20"/>
                <w:color w:val="auto"/>
              </w:rPr>
            </w:pPr>
            <w:r>
              <w:rPr>
                <w:rFonts w:ascii="Arial" w:cs="Arial" w:eastAsia="Arial" w:hAnsi="Arial"/>
                <w:sz w:val="11"/>
                <w:szCs w:val="11"/>
                <w:color w:val="auto"/>
              </w:rPr>
              <w:t>Repayment of Borrowings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(69,276)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1"/>
                <w:szCs w:val="11"/>
                <w:color w:val="auto"/>
              </w:rPr>
              <w:t>(113,492)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(85,370)</w:t>
            </w:r>
          </w:p>
        </w:tc>
      </w:tr>
      <w:tr>
        <w:trPr>
          <w:trHeight w:val="20"/>
        </w:trPr>
        <w:tc>
          <w:tcPr>
            <w:tcW w:w="6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66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Payment of Tax Receivable Agreement Liability</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r>
      <w:tr>
        <w:trPr>
          <w:trHeight w:val="169"/>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Debt Issuance Costs</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(2,570)</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(2,560)</w:t>
            </w:r>
          </w:p>
        </w:tc>
      </w:tr>
      <w:tr>
        <w:trPr>
          <w:trHeight w:val="175"/>
        </w:trPr>
        <w:tc>
          <w:tcPr>
            <w:tcW w:w="6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1"/>
                <w:szCs w:val="11"/>
                <w:b w:val="1"/>
                <w:bCs w:val="1"/>
                <w:color w:val="auto"/>
              </w:rPr>
              <w:t>Net Cash (Used in) Provided by Financing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(42,137)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7,033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212,382</w:t>
            </w:r>
          </w:p>
        </w:tc>
      </w:tr>
      <w:tr>
        <w:trPr>
          <w:trHeight w:val="159"/>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Net (Decrease) Increase in Cash, Cash Equivalents and Restricted Cash</w:t>
            </w:r>
          </w:p>
        </w:tc>
        <w:tc>
          <w:tcPr>
            <w:tcW w:w="9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(39,248)</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(214,857)</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247,422</w:t>
            </w:r>
          </w:p>
        </w:tc>
      </w:tr>
      <w:tr>
        <w:trPr>
          <w:trHeight w:val="186"/>
        </w:trPr>
        <w:tc>
          <w:tcPr>
            <w:tcW w:w="66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Cash, Cash Equivalents and Restricted Cash--Beginning of the Period</w:t>
            </w: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102,928</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317,785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70,363</w:t>
            </w:r>
          </w:p>
        </w:tc>
      </w:tr>
      <w:tr>
        <w:trPr>
          <w:trHeight w:val="163"/>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Cash, Cash Equivalents and Restricted Cash--End of the Period</w:t>
            </w:r>
          </w:p>
        </w:tc>
        <w:tc>
          <w:tcPr>
            <w:tcW w:w="920" w:type="dxa"/>
            <w:vAlign w:val="bottom"/>
            <w:tcBorders>
              <w:bottom w:val="single" w:sz="8" w:color="auto"/>
            </w:tcBorders>
          </w:tcPr>
          <w:p>
            <w:pPr>
              <w:jc w:val="right"/>
              <w:ind w:right="78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63,680</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102,928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317,785</w:t>
            </w:r>
          </w:p>
        </w:tc>
      </w:tr>
      <w:tr>
        <w:trPr>
          <w:trHeight w:val="27"/>
        </w:trPr>
        <w:tc>
          <w:tcPr>
            <w:tcW w:w="6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1" w:name="page92"/>
    <w:bookmarkEnd w:id="91"/>
    <w:p>
      <w:pPr>
        <w:ind w:left="81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27940</wp:posOffset>
            </wp:positionV>
            <wp:extent cx="2948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22"/>
        </w:trPr>
        <w:tc>
          <w:tcPr>
            <w:tcW w:w="6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180"/>
              <w:spacing w:after="0"/>
              <w:rPr>
                <w:sz w:val="20"/>
                <w:szCs w:val="20"/>
                <w:color w:val="auto"/>
              </w:rPr>
            </w:pPr>
            <w:r>
              <w:rPr>
                <w:rFonts w:ascii="Arial" w:cs="Arial" w:eastAsia="Arial" w:hAnsi="Arial"/>
                <w:sz w:val="13"/>
                <w:szCs w:val="13"/>
                <w:color w:val="auto"/>
              </w:rPr>
              <w:t>Cash Payments for Interest</w:t>
            </w:r>
          </w:p>
        </w:tc>
        <w:tc>
          <w:tcPr>
            <w:tcW w:w="960" w:type="dxa"/>
            <w:vAlign w:val="bottom"/>
          </w:tcPr>
          <w:p>
            <w:pPr>
              <w:jc w:val="right"/>
              <w:ind w:right="817"/>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41,454</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24,051</w:t>
            </w:r>
          </w:p>
        </w:tc>
        <w:tc>
          <w:tcPr>
            <w:tcW w:w="10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23,601</w:t>
            </w: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Cash Payments for Income Taxes, net</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1,691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81"/>
        </w:trPr>
        <w:tc>
          <w:tcPr>
            <w:tcW w:w="6600" w:type="dxa"/>
            <w:vAlign w:val="bottom"/>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Settlement of Accelerated Share Repurchase Program</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7,501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600" w:type="dxa"/>
            <w:vAlign w:val="bottom"/>
          </w:tcPr>
          <w:p>
            <w:pPr>
              <w:ind w:left="180"/>
              <w:spacing w:after="0"/>
              <w:rPr>
                <w:sz w:val="20"/>
                <w:szCs w:val="20"/>
                <w:color w:val="auto"/>
              </w:rPr>
            </w:pPr>
            <w:r>
              <w:rPr>
                <w:rFonts w:ascii="Arial" w:cs="Arial" w:eastAsia="Arial" w:hAnsi="Arial"/>
                <w:sz w:val="13"/>
                <w:szCs w:val="13"/>
                <w:color w:val="auto"/>
              </w:rPr>
              <w:t>Aircraft and Flight Equipment Acquired through Finance Leases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18,419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40,480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91,134</w:t>
            </w: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Changes to Finance Lease Assets due to Lease Modifications</w:t>
            </w: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26,427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46,311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6600" w:type="dxa"/>
            <w:vAlign w:val="bottom"/>
          </w:tcPr>
          <w:p>
            <w:pPr>
              <w:ind w:left="180"/>
              <w:spacing w:after="0"/>
              <w:rPr>
                <w:sz w:val="20"/>
                <w:szCs w:val="20"/>
                <w:color w:val="auto"/>
              </w:rPr>
            </w:pPr>
            <w:r>
              <w:rPr>
                <w:rFonts w:ascii="Arial" w:cs="Arial" w:eastAsia="Arial" w:hAnsi="Arial"/>
                <w:sz w:val="13"/>
                <w:szCs w:val="13"/>
                <w:color w:val="auto"/>
              </w:rPr>
              <w:t>Aircraft and Flight Equipment Acquired from Exercise of Finance Lease Purchase Option, net of Accumulated</w:t>
            </w:r>
          </w:p>
        </w:tc>
        <w:tc>
          <w:tcPr>
            <w:tcW w:w="96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2,386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28,012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6600" w:type="dxa"/>
            <w:vAlign w:val="bottom"/>
          </w:tcPr>
          <w:p>
            <w:pPr>
              <w:ind w:left="260"/>
              <w:spacing w:after="0"/>
              <w:rPr>
                <w:sz w:val="20"/>
                <w:szCs w:val="20"/>
                <w:color w:val="auto"/>
              </w:rPr>
            </w:pPr>
            <w:r>
              <w:rPr>
                <w:rFonts w:ascii="Arial" w:cs="Arial" w:eastAsia="Arial" w:hAnsi="Arial"/>
                <w:sz w:val="13"/>
                <w:szCs w:val="13"/>
                <w:color w:val="auto"/>
              </w:rPr>
              <w:t>Depreciation</w:t>
            </w:r>
          </w:p>
        </w:tc>
        <w:tc>
          <w:tcPr>
            <w:tcW w:w="9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Purchases of Property &amp; Equipment in Accounts Payable</w:t>
            </w:r>
          </w:p>
        </w:tc>
        <w:tc>
          <w:tcPr>
            <w:tcW w:w="9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3,035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4,367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75"/>
        </w:trPr>
        <w:tc>
          <w:tcPr>
            <w:tcW w:w="6600" w:type="dxa"/>
            <w:vAlign w:val="bottom"/>
          </w:tcPr>
          <w:p>
            <w:pPr>
              <w:ind w:left="180"/>
              <w:spacing w:after="0"/>
              <w:rPr>
                <w:sz w:val="20"/>
                <w:szCs w:val="20"/>
                <w:color w:val="auto"/>
              </w:rPr>
            </w:pPr>
            <w:r>
              <w:rPr>
                <w:rFonts w:ascii="Arial" w:cs="Arial" w:eastAsia="Arial" w:hAnsi="Arial"/>
                <w:sz w:val="13"/>
                <w:szCs w:val="13"/>
                <w:color w:val="auto"/>
              </w:rPr>
              <w:t>Property &amp; Equipment Acquired through Maintenance Contract Incentive Liability</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Operating Lease Deposits Applied Against the Purchase of Aircraft</w:t>
            </w:r>
          </w:p>
        </w:tc>
        <w:tc>
          <w:tcPr>
            <w:tcW w:w="9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3,296</w:t>
            </w:r>
          </w:p>
        </w:tc>
        <w:tc>
          <w:tcPr>
            <w:tcW w:w="0" w:type="dxa"/>
            <w:vAlign w:val="bottom"/>
          </w:tcPr>
          <w:p>
            <w:pPr>
              <w:spacing w:after="0"/>
              <w:rPr>
                <w:sz w:val="1"/>
                <w:szCs w:val="1"/>
                <w:color w:val="auto"/>
              </w:rPr>
            </w:pPr>
          </w:p>
        </w:tc>
      </w:tr>
      <w:tr>
        <w:trPr>
          <w:trHeight w:val="175"/>
        </w:trPr>
        <w:tc>
          <w:tcPr>
            <w:tcW w:w="6600" w:type="dxa"/>
            <w:vAlign w:val="bottom"/>
          </w:tcPr>
          <w:p>
            <w:pPr>
              <w:ind w:left="180"/>
              <w:spacing w:after="0"/>
              <w:rPr>
                <w:sz w:val="20"/>
                <w:szCs w:val="20"/>
                <w:color w:val="auto"/>
              </w:rPr>
            </w:pPr>
            <w:r>
              <w:rPr>
                <w:rFonts w:ascii="Arial" w:cs="Arial" w:eastAsia="Arial" w:hAnsi="Arial"/>
                <w:sz w:val="13"/>
                <w:szCs w:val="13"/>
                <w:color w:val="auto"/>
              </w:rPr>
              <w:t>Derecognition of Operating Lease Right-of-Use Assets, net due to Purchase Aircraft and Flight Equipment</w:t>
            </w:r>
          </w:p>
        </w:tc>
        <w:tc>
          <w:tcPr>
            <w:tcW w:w="9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8,674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41,135</w:t>
            </w: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6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Derecognition of Operating Lease Obligations due to Purchase Aircraft and Flight Equipment</w:t>
            </w:r>
          </w:p>
        </w:tc>
        <w:tc>
          <w:tcPr>
            <w:tcW w:w="960" w:type="dxa"/>
            <w:vAlign w:val="bottom"/>
            <w:shd w:val="clear" w:color="auto" w:fill="CCEEFF"/>
          </w:tcPr>
          <w:p>
            <w:pPr>
              <w:jc w:val="right"/>
              <w:ind w:right="817"/>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44,726</w:t>
            </w:r>
          </w:p>
        </w:tc>
        <w:tc>
          <w:tcPr>
            <w:tcW w:w="0" w:type="dxa"/>
            <w:vAlign w:val="bottom"/>
          </w:tcPr>
          <w:p>
            <w:pPr>
              <w:spacing w:after="0"/>
              <w:rPr>
                <w:sz w:val="1"/>
                <w:szCs w:val="1"/>
                <w:color w:val="auto"/>
              </w:rPr>
            </w:pPr>
          </w:p>
        </w:tc>
      </w:tr>
      <w:tr>
        <w:trPr>
          <w:trHeight w:val="28"/>
        </w:trPr>
        <w:tc>
          <w:tcPr>
            <w:tcW w:w="6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provides a reconciliation of Cash, Cash Equivalents and Restricted Cash to the amounts reported on the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4"/>
        </w:trPr>
        <w:tc>
          <w:tcPr>
            <w:tcW w:w="660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2023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3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Arial" w:cs="Arial" w:eastAsia="Arial" w:hAnsi="Arial"/>
                <w:sz w:val="13"/>
                <w:szCs w:val="13"/>
                <w:b w:val="1"/>
                <w:bCs w:val="1"/>
                <w:color w:val="auto"/>
              </w:rPr>
              <w:t>2021</w:t>
            </w:r>
          </w:p>
        </w:tc>
      </w:tr>
      <w:tr>
        <w:trPr>
          <w:trHeight w:val="22"/>
        </w:trPr>
        <w:tc>
          <w:tcPr>
            <w:tcW w:w="66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tcBorders>
              <w:bottom w:val="single" w:sz="8" w:color="CCEEFF"/>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46,279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92,086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309,338</w:t>
            </w:r>
          </w:p>
        </w:tc>
      </w:tr>
      <w:tr>
        <w:trPr>
          <w:trHeight w:val="175"/>
        </w:trPr>
        <w:tc>
          <w:tcPr>
            <w:tcW w:w="6600" w:type="dxa"/>
            <w:vAlign w:val="bottom"/>
          </w:tcPr>
          <w:p>
            <w:pPr>
              <w:ind w:left="20"/>
              <w:spacing w:after="0"/>
              <w:rPr>
                <w:sz w:val="20"/>
                <w:szCs w:val="20"/>
                <w:color w:val="auto"/>
              </w:rPr>
            </w:pPr>
            <w:r>
              <w:rPr>
                <w:rFonts w:ascii="Arial" w:cs="Arial" w:eastAsia="Arial" w:hAnsi="Arial"/>
                <w:sz w:val="13"/>
                <w:szCs w:val="13"/>
                <w:color w:val="auto"/>
              </w:rPr>
              <w:t>Restricted Cash</w:t>
            </w: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17,401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10,842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8,447</w:t>
            </w:r>
          </w:p>
        </w:tc>
      </w:tr>
      <w:tr>
        <w:trPr>
          <w:trHeight w:val="28"/>
        </w:trPr>
        <w:tc>
          <w:tcPr>
            <w:tcW w:w="66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6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63,680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317,785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COMPANY BACKGROUND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 Country Airlines Holdings, Inc. (together with its consolidated subsidiaries, "Sun Country" or the "Company") is the parent company of Sun Country, Inc., which is a certificated air carrier providing scheduled passenger service, air cargo service, charter air transportation and related services. Services are provided to the general public, cargo customers, military branches, collegiate and professional sports teams, wholesale tour operators, schools, companies and other individual entities for air transportation to various U.S. and international destinations. Except as otherwise stated, the financial information, accounting policies, and activities of Sun Country Airlines Holdings, Inc. are referred to as those of the "Company" or "Sun Country".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certain investment funds managed by affiliates of Apollo Global Management, Inc. (the “Apollo Funds”) purchased the Company in 2018, SCA Horus Holdings, LLC, (the “Apollo Stockholder”) was issued 5,326,755 shares of common stock of SCA Acquisition Holdings, LLC with no par value. Also in 2018, SCA Acquisition Holdings, LLC issued 40,005,885 warrants to the Apollo Stockholder allowing it to acquire shares of common stock of SCA Acquisition Holdings, LLC at the exercise price of approximately $0.0005 per share. On January 31, 2020, all 40,005,885 outstanding warrants were exercised to purchase common stock of SCA Acquisition Holdings, LLC.</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conjunction with the issuance of 1,416,645 shares of common stock of SCA Acquisition Holdings, LLC in 2018 to two stockholders, the Company issued recourse promissory notes of $3,500, which are included as Loans to Stockholders on the Consolidated Statements of Changes in Stockholders’ Equity. In February of 2021, these promissory notes were repaid in full with equivalent shares of stock.</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January 31, 2020, SCA Acquisition Holdings, LLC was converted into a Delaware corporation pursuant to a statutory conversion and changed its name to Sun Country Airlines Holdings, Inc. In connection with the conversion to a corporation, all of the outstanding shares, warrants and options were converted into shares or rights to shares of Sun Country Airlines Holdings,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Principles of Consolidation – </w:t>
      </w:r>
      <w:r>
        <w:rPr>
          <w:rFonts w:ascii="Arial" w:cs="Arial" w:eastAsia="Arial" w:hAnsi="Arial"/>
          <w:sz w:val="18"/>
          <w:szCs w:val="18"/>
          <w:color w:val="auto"/>
        </w:rPr>
        <w:t>The consolidated financial statements include the accounts of Sun Country Airlines Holdings, Inc.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and have been prepared in accordance with U.S. GAAP. All material intercompany balances and transactions have been eliminated in consolidation. The Company reclassified certain prior period amounts to conform to the current period presentation. The Company operates its fiscal year on a calendar year basis.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assumptions that affect the reported amounts of assets and liabilities, revenues and expenses and the disclosure of contingent assets and liabilities at the date of the financial statements and the reported amounts of revenues and expenses during the reporting periods. Actual results could differ from those estimates. Significant areas of judgment relate to passenger revenue recognition, maintenance under the built-in overhaul method, lease accounting, impairment of long-lived and intangible assets, and air traffic liabilities.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A summary of significant accounting policies consistently applied in the preparation of the accompanying financial statements is as follows: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Scheduled Service, Charter Service, and most ancillary revenues are recognized when the passenger flight occurs.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exclude amounts collected on behalf of other parties, including transportation taxes.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Scheduled Service. </w:t>
      </w:r>
      <w:r>
        <w:rPr>
          <w:rFonts w:ascii="Arial" w:cs="Arial" w:eastAsia="Arial" w:hAnsi="Arial"/>
          <w:sz w:val="18"/>
          <w:szCs w:val="18"/>
          <w:color w:val="auto"/>
        </w:rPr>
        <w:t>The Company initially defers ticket sales as an Air Traffic Liability and recognizes revenue when the passenger flight</w:t>
      </w:r>
      <w:r>
        <w:rPr>
          <w:rFonts w:ascii="Arial" w:cs="Arial" w:eastAsia="Arial" w:hAnsi="Arial"/>
          <w:sz w:val="18"/>
          <w:szCs w:val="18"/>
          <w:i w:val="1"/>
          <w:iCs w:val="1"/>
          <w:color w:val="auto"/>
        </w:rPr>
        <w:t xml:space="preserve"> </w:t>
      </w:r>
      <w:r>
        <w:rPr>
          <w:rFonts w:ascii="Arial" w:cs="Arial" w:eastAsia="Arial" w:hAnsi="Arial"/>
          <w:sz w:val="18"/>
          <w:szCs w:val="18"/>
          <w:color w:val="auto"/>
        </w:rPr>
        <w:t>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Travel credits may generally be redeemed toward future travel for up to 12 months after the date of the original booking. Therefore, these credits are recorded as a current liability on the Company's Consolidated Balance Sheets. The Company records an estimate for travel credits that will expire unused, otherwise known as breakage, in Passenger Revenue upon issuance of the travel credit. The estimated breakage rate is primarily based on historical experience of travel credit activity and other factors that may not be indicative of future trends, such as the COVID-19 pandemic,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 The Company currently accounts for direct selling costs, including credit card fees, and commissions, in accordance with the terms of each service. The expense is deferred and recognized when the travel occurs.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Ancillary. </w:t>
      </w:r>
      <w:r>
        <w:rPr>
          <w:rFonts w:ascii="Arial" w:cs="Arial" w:eastAsia="Arial" w:hAnsi="Arial"/>
          <w:sz w:val="18"/>
          <w:szCs w:val="18"/>
          <w:color w:val="auto"/>
        </w:rPr>
        <w:t>Ancillary revenue consists primarily of revenue generated from air travel-related services such as baggage fees, seat selection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upgrade fees, priority check-in and boarding fees, other fees and on-board sales, which are recognized when the associated flight occurs. Revenue for change fees is deferred and recognized when the passenger travel occurs. Fees received in advance of the flight date are initially recorded as an Air Traffic Liability.</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Charter. </w:t>
      </w:r>
      <w:r>
        <w:rPr>
          <w:rFonts w:ascii="Arial" w:cs="Arial" w:eastAsia="Arial" w:hAnsi="Arial"/>
          <w:sz w:val="18"/>
          <w:szCs w:val="18"/>
          <w:color w:val="auto"/>
        </w:rPr>
        <w:t>Our Charter business includes ad hoc, repeat, short-term and long-term service contracts that typically include pass-through fuel</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Under these Charter agreements, the Company is obligated to provide aircraft, crew, maintenance, and insurance for travel. Customers are generally responsible for aircraft fuel, transportation taxes, and certain other flight expenses, which are typically arranged by the Company. When functioning as the customers' agent for arranging such services, the Company records amounts reimbursable from the customer as revenues, net of the associated costs incurred to fulfill the performance obligations. In certain situations, the Company may be responsible for the aforementioned costs and is reimbursed by the customer. In these situations, the Company is the principal. The reimbursed costs are recognized as revenue and the costs are recognized as expenses on the Company's Statement of Operations.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 is recognized as the services are performed based on Block Hours operated on behalf of customers. The typical lead time for a charter flight is significantly less than one year; therefore, the Company does not capitalize costs related to obtaining the contract.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The ATSA is a six-year contract signed on December 13, 2019, and includes two, two-year extensions exercisable at Amazon’s</w:t>
      </w:r>
      <w:r>
        <w:rPr>
          <w:rFonts w:ascii="Arial" w:cs="Arial" w:eastAsia="Arial" w:hAnsi="Arial"/>
          <w:sz w:val="18"/>
          <w:szCs w:val="18"/>
          <w:i w:val="1"/>
          <w:iCs w:val="1"/>
          <w:color w:val="auto"/>
        </w:rPr>
        <w:t xml:space="preserve"> </w:t>
      </w:r>
      <w:r>
        <w:rPr>
          <w:rFonts w:ascii="Arial" w:cs="Arial" w:eastAsia="Arial" w:hAnsi="Arial"/>
          <w:sz w:val="18"/>
          <w:szCs w:val="18"/>
          <w:color w:val="auto"/>
        </w:rPr>
        <w:t>option, providing for a total term of ten years if both extension options are exercised. Each extension must be exercised with at least 180 days’ prior written notice before the expiration of the then-current term. The ATSA has annual rate escalations. Cargo revenue is typically recognized based on hours flown, number of flights, and the number of aircraft operated during a reporting period.</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ATSA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aircraft fuel and heavy maintenance are recognized in revenue, net of the associated costs incurred to fulfill the performance obligations.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ATSA with Amazon consists of three main revenue components; a fixed amount is received each month per aircraft, a fixed amount is received each month per flight, and an amount per block hour is received each month. The ATSA contains a SLA and penalties for certain delays and cancellations. The SLA can result in a bonus or penalty for the month depending on the Company's performance. When determining the transaction price, the Company will estimate the variable consideration and consideration payable to Amazon over the contract term. Each period, the Company updates its estimate for the variable consideration and consideration payable to the customer and treats the adjustment as an adjustment to the transaction price. When updating the estimate, the Company considers whether there are any changes in expected block hours, changes in expected bonuses or penalties based on performance, changes in warrants expected to be issued, and changes in reimbursable costs.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ATSA.</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Loyalty Program Accounting </w:t>
      </w:r>
      <w:r>
        <w:rPr>
          <w:rFonts w:ascii="Arial" w:cs="Arial" w:eastAsia="Arial" w:hAnsi="Arial"/>
          <w:sz w:val="18"/>
          <w:szCs w:val="18"/>
          <w:color w:val="auto"/>
        </w:rPr>
        <w:t>– The Company records a liability for loyalty points earned by passengers under its Sun Country Rewards</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co-branded credit card holders is established by deferring a portion of payments received from the Company’s co-branded agreement. The Company’s Sun Country Rewards program allows for the redemption of loyalty points to include payment towards air travel, land travel, taxes, and other ancillary purchases. The Company determines the standalone selling price of loyalty points issued using a redemption value approach, which considers the value a passenger will receive upon redemption of the loyalty points. Consideration allocated to loyalty points is deferred, net of estimated breakage, and recognized as Passenger Revenue when both the loyalty points have been redeemed and the passenger travel occurs. The Company estimates breakage for loyalty points that are not likely to be redeemed. These estimates are based on historical experience of loyalty point redemption activity and other factors, such as program changes and modifications that could affect the ultimate usage pattern of loyalty points. The current portion of the Loyalty Point Liability is an estimate primarily based on historical redemption patterns over the past 12 months, as well as other factors that may not be indicative of historical trends.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Company's co-branded credit card program, funds received for the marketing of a co-branded credit card and delivery of loyalty points are accounted for as a multiple-deliverable arrangement. The arrangement has two distinct performance obligations: loyalty points to be awarded, 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when both the loyalty points have been redeemed and the passenger travel occurs.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 The Company considers all highly liquid investments with an original maturity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The Company maintains cash balances at several financial institutions; at times, such balances may be in excess of insurance limits. The Company has not experienced any losses on these balances.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The Company's Restricted Cash balance primarily relates to Charter revenue receipts received prior to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transportation. These amounts are also recorded as a component of the Company's Air Traffic Liabilities. DOT regulations require that Charter revenue receipts received prior to the date of transportation are maintained in a separate third-party escrow account. The restrictions are released once transportation is provided, which is typically within 12 months of booking. For that reason, the balance of Restricted Cash is classified as a current asset on the Company's Consolidated Balance Sheets.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The Company's investments consist of Debt Securities and Certificates of Deposit. The Certificates of Deposit are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at cost, plus accrued interest. These certificates serve as collateral for letters of credit required by various airports and other vendors. All of the certificates have original maturities greater than 90 days.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Debt Securities are classified as Current Assets on the Consolidated Balance Sheets because the securities are highly liquid and are available to be quickly converted into known amounts of cash to fund current operations. These investments have original maturities of three months or greater. Most of the Company's Debt Securities will mature within one year. The Company limits its exposure to any one issuer or market sector, and largely limits its investments to investment grade quality securities. Securities downgraded below policy minimums after purchase will be disposed of in accordance with the Company’s investment policy.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Debt Securities are classified as Available-for-Sale and are reported at fair value on the Company's Consolidated Balance Sheets. Unrealized gains and losses on the Company's Available-for-Sale securities are excluded from Net Income and are reported as a component of Accumulated Other Comprehensive Income, net of income tax effects, within Stockholders' Equity on the Consolidated Balance Sheets until realized. Realized gains and losses are recorded using the specific identification method and reflected in Other, net within Non-operating Income (Expense), net on the Company's Consolidated Statement of Operations. The Company did not realize any gains or losses on its Available-for-Sale investments for the years ended December 31, 2023 and 2022. Premiums and discounts recorded on Available-for-Sale debt securities are accounted for in Interest Income within Non-operating Income (Expense), net on the Company's Consolidated Statement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each reporting period, the Company assesses its Available-for-Sale investments in an unrealized loss position to determine whether an impairment exists. The Company will record an impairment if management intends to sell an impaired security, will likely be required to sell a security before recovery of the entire amortized cost, or the same level of collectible cash flows from the security is no longer expected. The entire impairment will be included in Other, net within Non-operating Income (Expense), net on the Company's Consolidated Statement of Operations. The Company did not recognize any impairment losses on its Available-for-Sale investments for the years ended December 31, 2023 and 2022.</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are recorded at the amount due from customers and do not bear interest. They consist</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amounts due from Amazon, credit card companies associated with ticket sales and Charter Service customers. The Company's Accounts Receivable balances at December 31, 2023 and 2022 also included $ 664 and $1,000, respectively, due from aircraft lessors related to maintenance deposits. Accounts outstanding longer than the contractual payment terms are considered past due. The Company determines its allowance for credit losses by considering a number of factors, including the length of time accounts receivable are past due, the Company’s previous loss history, the customer’s current ability to pay its obligation to the Company, and the condition of the general economy and the industry as a whole. During the years ended December 31, 2023, 2022 and 2021, $127, $70 and $17 in Accounts Receivable were written off, respectively.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Lessor Maintenance Deposits </w:t>
      </w:r>
      <w:r>
        <w:rPr>
          <w:rFonts w:ascii="Arial" w:cs="Arial" w:eastAsia="Arial" w:hAnsi="Arial"/>
          <w:sz w:val="18"/>
          <w:szCs w:val="18"/>
          <w:color w:val="auto"/>
        </w:rPr>
        <w:t>– Certain of the Company’s aircraft lease agreements provide that the Company pay maintenance reserves</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to aircraft lessors to be held as collateral in advance of major maintenance activities required to be performed by the Company. Generally, maintenance reserve payments are variable based on actual flight hours or cycles. These lease agreements provide that maintenance reserves are reimbursable to the Company upon completion of the maintenance event in an amount equal to the lesser of (1) the amount of the maintenance reserve held by the lessor associated with the specific maintenance event or (2) the qualifying costs related to the specific maintenance event.</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Maintenance reserve payments that are expected to be recoverable via reimbursable expenses are reflected as Lessor Maintenance Deposits on the accompanying Consolidated Balance Sheets. These deposits are expected to be reimbursed to the Company upon performance of maintenance activities. Upon completion of the maintenance event, the lessor is billed and the amount due is recorded in Accounts Receivable. Lessor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Maintenance Deposits deemed improbable of recovery are expensed as incurred and recorded within Aircraft Rent.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makes certain assumptions at the inception of the lease and at each Balance Sheet date to determine the recoverability of maintenance deposits. These assumptions are based on various factors, such as the estimated time between the maintenance events, the cost of such maintenance events, the date the aircraft is due to be returned to the lessor, and the estimated number of flight hours and cycles the aircraft is to be utilized before it is purchased or returned to the lessor. Changes in estimates are accounted for on a prospective basis. As of December 31, 2023, all maintenance deposits are estimated to be recoverable either through reimbursable maintenance events or through application towards the purchase of the aircraft.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Acquisition Date, the Company established a contra-asset to represent the Company’s obligation to perform planned maintenance events on leased aircraft held as of the Acquisition Date. As reimbursable maintenance events were performed and maintenance expense was incurred, the contra-asset was recognized as a reduction to Maintenance expense as reimbursable maintenance events are performed. Further, any balance remaining at the end of the lease term may be applied towards the purchase price of the leased aircraft. As of December 31, 2023 and 2022, the remaining balance of the contra-asset was $13,211.</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 Inventories primarily consist of expendable parts related to flight equipment, which cannot be economically repaired,</w:t>
      </w:r>
      <w:r>
        <w:rPr>
          <w:rFonts w:ascii="Arial" w:cs="Arial" w:eastAsia="Arial" w:hAnsi="Arial"/>
          <w:sz w:val="18"/>
          <w:szCs w:val="18"/>
          <w:b w:val="1"/>
          <w:bCs w:val="1"/>
          <w:color w:val="auto"/>
        </w:rPr>
        <w:t xml:space="preserve"> </w:t>
      </w:r>
      <w:r>
        <w:rPr>
          <w:rFonts w:ascii="Arial" w:cs="Arial" w:eastAsia="Arial" w:hAnsi="Arial"/>
          <w:sz w:val="18"/>
          <w:szCs w:val="18"/>
          <w:color w:val="auto"/>
        </w:rPr>
        <w:t>reconditioned or reused after removal from the aircraft, are carried at average cost and charged to operations as consumed. An allowance for obsolescence and excess is provided over the remaining useful life of the related fleet for spare parts expected to be on hand at the date that aircraft type is retired from service. These parts are assumed to have an estimated residual value of 10% of the original cost.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Lease classification is evaluated by the Company at lease commencement and when significant amendments are executed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leases generally do not provide a readily determinable implicit rate; therefore, the Company estimates the incremental borrowing rate to discount lease payments based on information available at lease commencement. The lease term consists of the noncancellable period of the lease and periods covered by options to extend the lease if the Company is reasonably certain to exercise the option. For leases of 12 months or less, the Company expenses lease payments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Right-of-Use Asset and Liabilities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all operating leases with a term greater than 12 months, the Company recognizes a right-of-use asset and a lease liability at the lease commencement date based on the estimated present value of future minimum lease payments, which includes certain lease and non-lease components, over the lease term. Operating Lease Right-of-use Assets and Operating Lease Obligations have their own lines on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Finance leases are initially recorded at the net present value of future minimum lease payments, which includes certain lease and non-lease components. Finance leases generally have one of these five attributes: 1) ownership of the underlying asset transfers to the Company at the end of the lease term, 2) the lease agreement contains a purchase option that the Company is reasonably certain to exercise, 3) the lease term represents the major part of the asset’s economic life</w:t>
      </w:r>
      <w:r>
        <w:rPr>
          <w:rFonts w:ascii="Arial" w:cs="Arial" w:eastAsia="Arial" w:hAnsi="Arial"/>
          <w:sz w:val="18"/>
          <w:szCs w:val="18"/>
          <w:i w:val="1"/>
          <w:iCs w:val="1"/>
          <w:color w:val="auto"/>
        </w:rPr>
        <w:t>,</w:t>
      </w:r>
      <w:r>
        <w:rPr>
          <w:rFonts w:ascii="Arial" w:cs="Arial" w:eastAsia="Arial" w:hAnsi="Arial"/>
          <w:sz w:val="18"/>
          <w:szCs w:val="18"/>
          <w:color w:val="auto"/>
        </w:rPr>
        <w:t xml:space="preserve"> 4) the present value of lease payments over the lease term equals or exceeds substantially all of the fair value of the asset, and 5) the underlying asset is so specialized in nature that it provides no alternative use to the lessor after the lease term</w:t>
      </w:r>
      <w:r>
        <w:rPr>
          <w:rFonts w:ascii="Arial" w:cs="Arial" w:eastAsia="Arial" w:hAnsi="Arial"/>
          <w:sz w:val="18"/>
          <w:szCs w:val="18"/>
          <w:i w:val="1"/>
          <w:iCs w:val="1"/>
          <w:color w:val="auto"/>
        </w:rPr>
        <w:t>.</w:t>
      </w:r>
      <w:r>
        <w:rPr>
          <w:rFonts w:ascii="Arial" w:cs="Arial" w:eastAsia="Arial" w:hAnsi="Arial"/>
          <w:sz w:val="18"/>
          <w:szCs w:val="18"/>
          <w:color w:val="auto"/>
        </w:rPr>
        <w:t xml:space="preserve"> Finance Lease Assets are presented separately on the Consolidated Balance Sheets. The Company depreciates Finance Lease Assets consistent with its useful life policy presented in the table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Leased Aircraft Return Costs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aircraft lease agreements often contain provisions that require the Company to return aircraft airframes, engines, and other aircraft components to the lessor in a certain condition or pay an amount to the lessor based on the airframe and engine's actual return condition. Lease return costs are recognized beginning when it is probable that such costs will be incurred and they can be estimated. The Company assesses the need to accrue lease return costs periodically throughout the year or whenever facts and circumstances warrant an assessment. When costs become both probable and estimable, lease return costs are expensed as a component of Aircraft Rent expense on the Consolidated Statements of Operations.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Property &amp; Equipment </w:t>
      </w:r>
      <w:r>
        <w:rPr>
          <w:rFonts w:ascii="Arial" w:cs="Arial" w:eastAsia="Arial" w:hAnsi="Arial"/>
          <w:sz w:val="18"/>
          <w:szCs w:val="18"/>
          <w:color w:val="auto"/>
        </w:rPr>
        <w:t>– Property and equipment are recorded at cost or fair value at the Acquisition Date and depreciated, when the asset</w:t>
      </w:r>
      <w:r>
        <w:rPr>
          <w:rFonts w:ascii="Arial" w:cs="Arial" w:eastAsia="Arial" w:hAnsi="Arial"/>
          <w:sz w:val="18"/>
          <w:szCs w:val="18"/>
          <w:b w:val="1"/>
          <w:bCs w:val="1"/>
          <w:color w:val="auto"/>
        </w:rPr>
        <w:t xml:space="preserve"> </w:t>
      </w:r>
      <w:r>
        <w:rPr>
          <w:rFonts w:ascii="Arial" w:cs="Arial" w:eastAsia="Arial" w:hAnsi="Arial"/>
          <w:sz w:val="18"/>
          <w:szCs w:val="18"/>
          <w:color w:val="auto"/>
        </w:rPr>
        <w:t>is ready for its intended use, on a straight-line basis to an estimated residual value over their estimated useful lives or lease term (if applicable), whichever is shorter,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Airframes</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10-25 years (depending on age)</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Engines – Core</w:t>
            </w:r>
          </w:p>
        </w:tc>
        <w:tc>
          <w:tcPr>
            <w:tcW w:w="5200" w:type="dxa"/>
            <w:vAlign w:val="bottom"/>
          </w:tcPr>
          <w:p>
            <w:pPr>
              <w:ind w:left="220"/>
              <w:spacing w:after="0"/>
              <w:rPr>
                <w:sz w:val="20"/>
                <w:szCs w:val="20"/>
                <w:color w:val="auto"/>
              </w:rPr>
            </w:pPr>
            <w:r>
              <w:rPr>
                <w:rFonts w:ascii="Arial" w:cs="Arial" w:eastAsia="Arial" w:hAnsi="Arial"/>
                <w:sz w:val="18"/>
                <w:szCs w:val="18"/>
                <w:color w:val="auto"/>
              </w:rPr>
              <w:t>7 or 12 years (based on remaining cycles)</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Engines - Initial Greentime (time remaining until the first scheduled major</w:t>
            </w:r>
          </w:p>
        </w:tc>
        <w:tc>
          <w:tcPr>
            <w:tcW w:w="52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scheduled maintenance event</w:t>
            </w:r>
          </w:p>
        </w:tc>
        <w:tc>
          <w:tcPr>
            <w:tcW w:w="0" w:type="dxa"/>
            <w:vAlign w:val="bottom"/>
          </w:tcPr>
          <w:p>
            <w:pPr>
              <w:spacing w:after="0"/>
              <w:rPr>
                <w:sz w:val="1"/>
                <w:szCs w:val="1"/>
                <w:color w:val="auto"/>
              </w:rPr>
            </w:pPr>
          </w:p>
        </w:tc>
      </w:tr>
      <w:tr>
        <w:trPr>
          <w:trHeight w:val="248"/>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maintenance event)</w:t>
            </w:r>
          </w:p>
        </w:tc>
        <w:tc>
          <w:tcPr>
            <w:tcW w:w="5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040" w:type="dxa"/>
            <w:vAlign w:val="bottom"/>
          </w:tcPr>
          <w:p>
            <w:pPr>
              <w:ind w:left="20"/>
              <w:spacing w:after="0"/>
              <w:rPr>
                <w:sz w:val="20"/>
                <w:szCs w:val="20"/>
                <w:color w:val="auto"/>
              </w:rPr>
            </w:pPr>
            <w:r>
              <w:rPr>
                <w:rFonts w:ascii="Arial" w:cs="Arial" w:eastAsia="Arial" w:hAnsi="Arial"/>
                <w:sz w:val="18"/>
                <w:szCs w:val="18"/>
                <w:color w:val="auto"/>
              </w:rPr>
              <w:t>Leasehold Improvements, Aircraft, Other</w:t>
            </w:r>
          </w:p>
        </w:tc>
        <w:tc>
          <w:tcPr>
            <w:tcW w:w="5200" w:type="dxa"/>
            <w:vAlign w:val="bottom"/>
          </w:tcPr>
          <w:p>
            <w:pPr>
              <w:ind w:left="220"/>
              <w:spacing w:after="0"/>
              <w:rPr>
                <w:sz w:val="20"/>
                <w:szCs w:val="20"/>
                <w:color w:val="auto"/>
              </w:rPr>
            </w:pPr>
            <w:r>
              <w:rPr>
                <w:rFonts w:ascii="Arial" w:cs="Arial" w:eastAsia="Arial" w:hAnsi="Arial"/>
                <w:sz w:val="18"/>
                <w:szCs w:val="18"/>
                <w:color w:val="auto"/>
              </w:rPr>
              <w:t>3-25 years (or life of lease, if shorter)</w:t>
            </w:r>
          </w:p>
        </w:tc>
        <w:tc>
          <w:tcPr>
            <w:tcW w:w="0" w:type="dxa"/>
            <w:vAlign w:val="bottom"/>
          </w:tcPr>
          <w:p>
            <w:pPr>
              <w:spacing w:after="0"/>
              <w:rPr>
                <w:sz w:val="1"/>
                <w:szCs w:val="1"/>
                <w:color w:val="auto"/>
              </w:rPr>
            </w:pPr>
          </w:p>
        </w:tc>
      </w:tr>
      <w:tr>
        <w:trPr>
          <w:trHeight w:val="261"/>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and Ground Equipment</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52"/>
        </w:trPr>
        <w:tc>
          <w:tcPr>
            <w:tcW w:w="6040" w:type="dxa"/>
            <w:vAlign w:val="bottom"/>
          </w:tcPr>
          <w:p>
            <w:pPr>
              <w:ind w:left="20"/>
              <w:spacing w:after="0"/>
              <w:rPr>
                <w:sz w:val="20"/>
                <w:szCs w:val="20"/>
                <w:color w:val="auto"/>
              </w:rPr>
            </w:pPr>
            <w:r>
              <w:rPr>
                <w:rFonts w:ascii="Arial" w:cs="Arial" w:eastAsia="Arial" w:hAnsi="Arial"/>
                <w:sz w:val="18"/>
                <w:szCs w:val="18"/>
                <w:color w:val="auto"/>
              </w:rPr>
              <w:t>Computer Hardware and Software</w:t>
            </w:r>
          </w:p>
        </w:tc>
        <w:tc>
          <w:tcPr>
            <w:tcW w:w="5200" w:type="dxa"/>
            <w:vAlign w:val="bottom"/>
          </w:tcPr>
          <w:p>
            <w:pPr>
              <w:ind w:left="220"/>
              <w:spacing w:after="0"/>
              <w:rPr>
                <w:sz w:val="20"/>
                <w:szCs w:val="20"/>
                <w:color w:val="auto"/>
              </w:rPr>
            </w:pPr>
            <w:r>
              <w:rPr>
                <w:rFonts w:ascii="Arial" w:cs="Arial" w:eastAsia="Arial" w:hAnsi="Arial"/>
                <w:sz w:val="18"/>
                <w:szCs w:val="18"/>
                <w:color w:val="auto"/>
              </w:rPr>
              <w:t>3-5 years</w:t>
            </w:r>
          </w:p>
        </w:tc>
        <w:tc>
          <w:tcPr>
            <w:tcW w:w="0" w:type="dxa"/>
            <w:vAlign w:val="bottom"/>
          </w:tcPr>
          <w:p>
            <w:pPr>
              <w:spacing w:after="0"/>
              <w:rPr>
                <w:sz w:val="1"/>
                <w:szCs w:val="1"/>
                <w:color w:val="auto"/>
              </w:rPr>
            </w:pPr>
          </w:p>
        </w:tc>
      </w:tr>
      <w:tr>
        <w:trPr>
          <w:trHeight w:val="261"/>
        </w:trPr>
        <w:tc>
          <w:tcPr>
            <w:tcW w:w="604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Property and Equipment under Finance Leases </w:t>
            </w:r>
            <w:r>
              <w:rPr>
                <w:rFonts w:ascii="Arial" w:cs="Arial" w:eastAsia="Arial" w:hAnsi="Arial"/>
                <w:sz w:val="23"/>
                <w:szCs w:val="23"/>
                <w:color w:val="auto"/>
                <w:vertAlign w:val="superscript"/>
              </w:rPr>
              <w:t>(1)</w:t>
            </w:r>
          </w:p>
        </w:tc>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Lesser of the lease term or economic life</w:t>
            </w:r>
          </w:p>
        </w:tc>
        <w:tc>
          <w:tcPr>
            <w:tcW w:w="0" w:type="dxa"/>
            <w:vAlign w:val="bottom"/>
          </w:tcPr>
          <w:p>
            <w:pPr>
              <w:spacing w:after="0"/>
              <w:rPr>
                <w:sz w:val="1"/>
                <w:szCs w:val="1"/>
                <w:color w:val="auto"/>
              </w:rPr>
            </w:pPr>
          </w:p>
        </w:tc>
      </w:tr>
      <w:tr>
        <w:trPr>
          <w:trHeight w:val="211"/>
        </w:trPr>
        <w:tc>
          <w:tcPr>
            <w:tcW w:w="6040" w:type="dxa"/>
            <w:vAlign w:val="bottom"/>
          </w:tcPr>
          <w:p>
            <w:pPr>
              <w:ind w:left="20"/>
              <w:spacing w:after="0"/>
              <w:rPr>
                <w:sz w:val="20"/>
                <w:szCs w:val="20"/>
                <w:color w:val="auto"/>
              </w:rPr>
            </w:pPr>
            <w:r>
              <w:rPr>
                <w:rFonts w:ascii="Arial" w:cs="Arial" w:eastAsia="Arial" w:hAnsi="Arial"/>
                <w:sz w:val="18"/>
                <w:szCs w:val="18"/>
                <w:color w:val="auto"/>
              </w:rPr>
              <w:t>Rotable Parts</w:t>
            </w:r>
          </w:p>
        </w:tc>
        <w:tc>
          <w:tcPr>
            <w:tcW w:w="5200" w:type="dxa"/>
            <w:vAlign w:val="bottom"/>
          </w:tcPr>
          <w:p>
            <w:pPr>
              <w:ind w:left="220"/>
              <w:spacing w:after="0"/>
              <w:rPr>
                <w:sz w:val="20"/>
                <w:szCs w:val="20"/>
                <w:color w:val="auto"/>
              </w:rPr>
            </w:pPr>
            <w:r>
              <w:rPr>
                <w:rFonts w:ascii="Arial" w:cs="Arial" w:eastAsia="Arial" w:hAnsi="Arial"/>
                <w:sz w:val="18"/>
                <w:szCs w:val="18"/>
                <w:color w:val="auto"/>
              </w:rPr>
              <w:t>Average remaining life of aircraft fleet, currently estimated to</w:t>
            </w:r>
          </w:p>
        </w:tc>
        <w:tc>
          <w:tcPr>
            <w:tcW w:w="0" w:type="dxa"/>
            <w:vAlign w:val="bottom"/>
          </w:tcPr>
          <w:p>
            <w:pPr>
              <w:spacing w:after="0"/>
              <w:rPr>
                <w:sz w:val="1"/>
                <w:szCs w:val="1"/>
                <w:color w:val="auto"/>
              </w:rPr>
            </w:pPr>
          </w:p>
        </w:tc>
      </w:tr>
      <w:tr>
        <w:trPr>
          <w:trHeight w:val="239"/>
        </w:trPr>
        <w:tc>
          <w:tcPr>
            <w:tcW w:w="6040" w:type="dxa"/>
            <w:vAlign w:val="bottom"/>
          </w:tcPr>
          <w:p>
            <w:pPr>
              <w:spacing w:after="0"/>
              <w:rPr>
                <w:sz w:val="20"/>
                <w:szCs w:val="20"/>
                <w:color w:val="auto"/>
              </w:rPr>
            </w:pPr>
          </w:p>
        </w:tc>
        <w:tc>
          <w:tcPr>
            <w:tcW w:w="5200" w:type="dxa"/>
            <w:vAlign w:val="bottom"/>
          </w:tcPr>
          <w:p>
            <w:pPr>
              <w:ind w:left="220"/>
              <w:spacing w:after="0"/>
              <w:rPr>
                <w:sz w:val="20"/>
                <w:szCs w:val="20"/>
                <w:color w:val="auto"/>
              </w:rPr>
            </w:pPr>
            <w:r>
              <w:rPr>
                <w:rFonts w:ascii="Arial" w:cs="Arial" w:eastAsia="Arial" w:hAnsi="Arial"/>
                <w:sz w:val="18"/>
                <w:szCs w:val="18"/>
                <w:color w:val="auto"/>
              </w:rPr>
              <w:t>be 10 years</w:t>
            </w:r>
          </w:p>
        </w:tc>
        <w:tc>
          <w:tcPr>
            <w:tcW w:w="0" w:type="dxa"/>
            <w:vAlign w:val="bottom"/>
          </w:tcPr>
          <w:p>
            <w:pPr>
              <w:spacing w:after="0"/>
              <w:rPr>
                <w:sz w:val="1"/>
                <w:szCs w:val="1"/>
                <w:color w:val="auto"/>
              </w:rPr>
            </w:pPr>
          </w:p>
        </w:tc>
      </w:tr>
      <w:tr>
        <w:trPr>
          <w:trHeight w:val="310"/>
        </w:trPr>
        <w:tc>
          <w:tcPr>
            <w:tcW w:w="6040" w:type="dxa"/>
            <w:vAlign w:val="bottom"/>
          </w:tcPr>
          <w:p>
            <w:pPr>
              <w:spacing w:after="0"/>
              <w:rPr>
                <w:sz w:val="20"/>
                <w:szCs w:val="20"/>
                <w:color w:val="auto"/>
              </w:rPr>
            </w:pPr>
            <w:r>
              <w:rPr>
                <w:rFonts w:ascii="Arial" w:cs="Arial" w:eastAsia="Arial" w:hAnsi="Arial"/>
                <w:sz w:val="18"/>
                <w:szCs w:val="18"/>
                <w:color w:val="auto"/>
              </w:rPr>
              <w:t>_____________________________</w:t>
            </w:r>
          </w:p>
        </w:tc>
        <w:tc>
          <w:tcPr>
            <w:tcW w:w="5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580" w:right="20" w:hanging="554"/>
        <w:spacing w:after="0" w:line="261"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finance leases where the Company is reasonably certain to exercise the purchase option, the lease asset value is assigned to the engine and airframe components which are depreciated on a straight-line basis in accordance with the useful lives outlined in the table above.</w:t>
      </w:r>
    </w:p>
    <w:p>
      <w:pPr>
        <w:spacing w:after="0" w:line="2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tangible assets consist primarily of Aircraft and Flight Equipment, which are mobile across geographic markets. Therefore, assets are not allocated to specific geographic regions.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depreciates Rotable Parts to an estimated residual value using the pooling life method. Depreciation under the pooling life method is calculated over the estimated average useful life of the passenger aircraft fleet.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capitalizes certain costs of activities necessary to get the asset ready for its intended use. Capitalized interest represents interest costs incurred during the aircraft induction period, capitalization ceases when the asset is ready for service.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Airframe and Engine Maintenance </w:t>
      </w:r>
      <w:r>
        <w:rPr>
          <w:rFonts w:ascii="Arial" w:cs="Arial" w:eastAsia="Arial" w:hAnsi="Arial"/>
          <w:sz w:val="18"/>
          <w:szCs w:val="18"/>
          <w:color w:val="auto"/>
        </w:rPr>
        <w:t>– The Company accounts for non-major maintenance and repair costs incurred, as well as major</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costs of owned airframes, all leased airframes, and engines acquired via operating leases, using the expense as incurred method. Certain costs covered by third-party maintenance agreements are charged to expense based on fleet utilization, as defined by the contract. These expenses are reported as a component of Maintenance expense on the accompanying Consolidated Statements of Operations.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applies the built-in overhaul method for significant maintenance costs of owned engines, as well as to engines acquired via finance leases where the Company is reasonably certain to exercise a purchase option. Under this method, engine values are separated into amounts for life limited parts and “greentime”, representing the value of the engine for the time on-wing remaining until the next anticipated major maintenance event. Life limited parts are capitalized based on catalog rates published by the original equipment manufacturer and depreciated over their estimated useful lives. Initial engine "greentime" and subsequent major engine maintenance events are capitalized and depreciated until the next anticipated major maintenance event, assuming no residual value. The period until the next scheduled major maintenance event is estimated based on assumptions such as estimated cycles, hours, and months, required maintenance intervals, and the age/condition of related parts. These assumptions may change based on forecasted aircraft utilization changes, updates to government regulations, and manufacturer maintenance intervals, as well as unplanned incidents causing damage requiring a major maintenance event prior to a scheduled visit. If the estimated timing of the next maintenance event changes, the related depreciation period changes prospectively. These expenses are reported as a component of Depreciation and Amortization on the accompanying Consolidated Statements of Operations.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Asset Impairment Analysis </w:t>
      </w:r>
      <w:r>
        <w:rPr>
          <w:rFonts w:ascii="Arial" w:cs="Arial" w:eastAsia="Arial" w:hAnsi="Arial"/>
          <w:sz w:val="18"/>
          <w:szCs w:val="18"/>
          <w:color w:val="auto"/>
        </w:rPr>
        <w:t>– Long-lived assets, such as Property &amp; Equipment and Finite-Lived Intangible Assets are reviewed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changes in circumstances indicate that the carrying amount of an asset (or asset group) may not be recoverable. If circumstances require a long-lived asset or asset group be tested for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losses on the Company's long-lived assets were recognized during the years ended December 31, 2023, 2022 or 2021.</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Goodwill represents the excess purchase price over the estimated fair value of net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in a business combination. Indefinite-Lived Intangible Assets represents a tradename acquired in a business combination. Finite-Lived Intangible Assets represent customer relationships acquired in a business combination and over-market lease assets acquired when the Company purchased five Owned Aircraft Held for Operating Lease. Goodwill and Other Indefinite-Lived Intangible Assets must be tested for impairment at least annually, or more frequently if events or changes in circumstances indicate that they might be impaired. Goodwill is tested at the reporting unit level. The Company has two reporting units: Passenger and Cargo, all Goodwill is related to the passenger reporting unit.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Finite-Lived Intangible Assets are amortized over an estimated useful life. The estimated useful life for the Company's customer relationship intangible asset was based on several factors, including the effects of demand, competition, contractual relationship, and other business factors. The Company concluded that the customer relationships Finite-Lived Intangible Assets have an estimated life of 12 years and are being amortized over this period on a straight-line basis. The Company's over-market lease asset will be amortized over the remaining lease terms for the respective aircraft, which ranged from 1.2-2.7 years as of the acquisition date and 0.9-1.9 years remain as of December 31, 2023.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included within these Consolidated Financial Statements for more information on the Company's over-market lease asset.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value of Goodwill and Other Indefinite-lived Intangible Assets is assessed under either a qualitative or quantitative approach. Under a qualitative approach, the Company considers various market factors, including certain key assumptions, such as the market value of the airline and other airlines, fuel prices, the overall economy, passenger yields and changes to the regulatory environment. The Company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the Company evaluates Goodwill or its Other Indefinite-Lived Intangible Assets for impairment using a quantitative approach, the Company utilizes market and income approach valuation techniques. These measurements include the following key assumptions, 1) forecasted revenues, expenses and cash flows, 2) current discount rates, 3) observable market transactions, and 4) anticipated changes to the regulatory environment. These assumptions are consistent with those that hypothetical market participants would use. Because the Company is required to make estimates and assumptions when evaluating Goodwill and Other Indefinite-Lived Intangible Assets for impairment, actual transaction amounts may differ materially from these estimates.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performed its most recent annual Goodwill and Other Indefinite-Lived Intangible Assets impairment analysis as of October 1, 2023. The Company did not recognize any impairment losses for the years ended December 31, 2023, 2022 or 2021.</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Deferred income taxes are recognized for the tax consequences in future years of differences between the tax basis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TRA Liability </w:t>
      </w:r>
      <w:r>
        <w:rPr>
          <w:rFonts w:ascii="Arial" w:cs="Arial" w:eastAsia="Arial" w:hAnsi="Arial"/>
          <w:sz w:val="18"/>
          <w:szCs w:val="18"/>
          <w:color w:val="auto"/>
        </w:rPr>
        <w:t>– In connection with the Company’s IPO, the legal entity Sun Country Airlines Holdings, Inc. entered into a TRA with pre-IPO</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expiration of the dividend and capital distribution restrictions included in the CARES Act on September 30, 2022, the TRA Liability was subject to adjustments as a result of changes in taxable income earned during the restricted period. Future adjustments in the TRA liability balance and/or timing of TRA liability payments are contingent upon, among other things, 1) generation of future taxable income over the term of the TRA, 2) the Company’s participation in future government programs, and 3) future changes in tax laws. All adjustments to the TRA liability were recorded in Other, net within Non-Operating Income (Expense), net in the Company’s Consolidated Statements of Operations.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certain CARES Act restrictions, payments under the TRA were prohibited through September 30, 2022. The Company began making TRA payments during the year ended December 31, 2023. TRA payments are classified as Financing Activities in the Company's Consolidated Statement of Cash Flows. The portion of the TRA expected to be paid in 2024 is reflected as a current liability on the Consolidated Balance Sheets. All other amounts are reflected as a non-current liability on the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Aircraft Fuel - </w:t>
      </w:r>
      <w:r>
        <w:rPr>
          <w:rFonts w:ascii="Arial" w:cs="Arial" w:eastAsia="Arial" w:hAnsi="Arial"/>
          <w:sz w:val="18"/>
          <w:szCs w:val="18"/>
          <w:color w:val="auto"/>
        </w:rPr>
        <w:t>Aircraft fuel expense includes jet fuel, federal and state taxes, other fees and the mark-to-market gains and losses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Company's fuel derivative contracts since it does not apply hedge accounting. As of December 31, 2023 and 2022, the Company had no outstanding fuel derivative contracts.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Sales and Marketing - </w:t>
      </w:r>
      <w:r>
        <w:rPr>
          <w:rFonts w:ascii="Arial" w:cs="Arial" w:eastAsia="Arial" w:hAnsi="Arial"/>
          <w:sz w:val="18"/>
          <w:szCs w:val="18"/>
          <w:color w:val="auto"/>
        </w:rPr>
        <w:t>Sales and Marketing expense includes credit card processing fees, travel agent commissions and related global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systems fees, advertising, sponsorship and distribution costs, such as the costs of our call centers, and costs associated with our loyalty program. The Company expenses advertising costs as incurred.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Equity Incentive Plan </w:t>
      </w:r>
      <w:r>
        <w:rPr>
          <w:rFonts w:ascii="Arial" w:cs="Arial" w:eastAsia="Arial" w:hAnsi="Arial"/>
          <w:sz w:val="18"/>
          <w:szCs w:val="18"/>
          <w:color w:val="auto"/>
        </w:rPr>
        <w:t>– Under its Equity Incentive Plan, the Company has primarily issued Time-Based Stock Options, Performance-Based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Options, Restricted Stock and RSUs awards. Further, the Company has elected to account for forfeitures as they occur, rather than forecasting the future forfeitures. If an award is forfeited prior to vesting, the associated reduction in expense is reflected net in stock-based compensation expense in that period. Stock compensation expense is reported as a component of Salaries, Wages, and Benefits within the Company's Consolidated Statement of Operations. See </w:t>
      </w:r>
      <w:r>
        <w:rPr>
          <w:rFonts w:ascii="Arial" w:cs="Arial" w:eastAsia="Arial" w:hAnsi="Arial"/>
          <w:sz w:val="18"/>
          <w:szCs w:val="18"/>
          <w:u w:val="single" w:color="auto"/>
          <w:color w:val="0000FF"/>
        </w:rPr>
        <w:t>Note 10</w:t>
      </w:r>
      <w:r>
        <w:rPr>
          <w:rFonts w:ascii="Arial" w:cs="Arial" w:eastAsia="Arial" w:hAnsi="Arial"/>
          <w:sz w:val="18"/>
          <w:szCs w:val="18"/>
          <w:color w:val="auto"/>
        </w:rPr>
        <w:t xml:space="preserve"> for further information on the Equity Incentive Plan.</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Earnings per Share - </w:t>
      </w:r>
      <w:r>
        <w:rPr>
          <w:rFonts w:ascii="Arial" w:cs="Arial" w:eastAsia="Arial" w:hAnsi="Arial"/>
          <w:sz w:val="18"/>
          <w:szCs w:val="18"/>
          <w:color w:val="auto"/>
        </w:rPr>
        <w:t>Basic earnings per share, which excludes dilution, is computed by dividing Net Income available to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by the weighted average number of shares of common stock outstanding for the period. Diluted earnings per share reflects the potential dilution that could occur if securities or other contracts to issue common stock were exercised or converted into common stock. The number of incremental shares from the assumed issuance of shares relating to securities or other contracts to issue common stock is calculated by applying the treasury stock method. The treasury stock method assumes a hypothetical issuance of shares to settle the securities or other contracts to issue common stock, with the assumed proceeds used to purchase common stock at the average market price for the period. Assumed proceeds include the amount to be paid upon exercise, if applicable, and the average unrecognized compensation cost. The difference between the number of shares assumed issued and number of shares assumed purchased represents the dilutive shares.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Warrants held by Amazon are included in the calculation of dilutive weighted average shares outstanding as of the date the warrants vest to the extent the impact is dilutive. The unvested warrants have not been included in dilutive shares as their performance condition has not been satisfied.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2023, all conditions associated with the time-based and performance-based options granted under the SCA Acquisition Holdings, LLC Amended and Restated Equity Incentive Plan were met. As a result, 100% of the performance-based stock options vested and are included in the calculation of dilutive shares to the extent the impact is dilutive. Prior to this, the performance conditions for the Company's unvested performance-based stock options were assessed quarterly and were included in the calculation of dilutive shares to the extent that the performance conditions had been met and the impact would be dilutive.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Approximately 27% and 33% of the Company’s Accounts Receivable balances as of December 31, 2023, and 2022 were due from Amazon, respectively. In addition, approximately 21% and 16% of the Company’s Accounts Receivable balances as of December 31, 2023 and 2022, were due from one financial institution for tickets purchased via credit cards.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Approximately 59% and 69% of the Company's fuel purchases were made from three vendors for the years ended December 31, 2023 and 2022. Approximately 54% of the Company’s fuel purchases were made from two vendors for the year ended December 31, 2021.</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Approximately 65% of the Company’s workforce were under union contracts as of December 31, 2023 with four different unions: ALPA, IBT, TWU and AMFA. As of December 31, 2023, approximately 66% of the Company’s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union workforce are under contracts that are being negotiated, have become amendable or will expire within the next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2023, there were no recently adopted accounting standards that had a material impact to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DoD, collegiate and professional sports teams, and casinos. Ancillary revenues consist of revenue earned from air travel-related services such as baggage fees, seat selection and upgrade fees, priority check-in and boarding fees, other fees and on-board sales. Cargo consists of revenue earned from flying cargo aircraft for Amazon under the ATSA. Other Revenue consists primarily of revenue from services in connection with Sun Country Vacations products and rental revenue related to certain transactions where the Company acts as an aircraft lessor.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10"/>
        </w:trPr>
        <w:tc>
          <w:tcPr>
            <w:tcW w:w="65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5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Scheduled Service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279,377</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Charter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190,128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127,331</w:t>
            </w:r>
          </w:p>
        </w:tc>
      </w:tr>
      <w:tr>
        <w:trPr>
          <w:trHeight w:val="26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Ancillary</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276,133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192,506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117,237</w:t>
            </w:r>
          </w:p>
        </w:tc>
      </w:tr>
      <w:tr>
        <w:trPr>
          <w:trHeight w:val="245"/>
        </w:trPr>
        <w:tc>
          <w:tcPr>
            <w:tcW w:w="656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920,123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523,945</w:t>
            </w:r>
          </w:p>
        </w:tc>
      </w:tr>
      <w:tr>
        <w:trPr>
          <w:trHeight w:val="261"/>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91,428</w:t>
            </w:r>
          </w:p>
        </w:tc>
      </w:tr>
      <w:tr>
        <w:trPr>
          <w:trHeight w:val="252"/>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r>
      <w:tr>
        <w:trPr>
          <w:trHeight w:val="280"/>
        </w:trPr>
        <w:tc>
          <w:tcPr>
            <w:tcW w:w="6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Operating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1,049,620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1"/>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1,008,582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597,005</w:t>
            </w:r>
          </w:p>
        </w:tc>
        <w:tc>
          <w:tcPr>
            <w:tcW w:w="0" w:type="dxa"/>
            <w:vAlign w:val="bottom"/>
          </w:tcPr>
          <w:p>
            <w:pPr>
              <w:spacing w:after="0"/>
              <w:rPr>
                <w:sz w:val="1"/>
                <w:szCs w:val="1"/>
                <w:color w:val="auto"/>
              </w:rPr>
            </w:pPr>
          </w:p>
        </w:tc>
      </w:tr>
      <w:tr>
        <w:trPr>
          <w:trHeight w:val="252"/>
        </w:trPr>
        <w:tc>
          <w:tcPr>
            <w:tcW w:w="380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40,548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24,646</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7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55"/>
        </w:trPr>
        <w:tc>
          <w:tcPr>
            <w:tcW w:w="380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3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1,049,620</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894,444</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623,015</w:t>
            </w: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2760" w:type="dxa"/>
            <w:vAlign w:val="bottom"/>
            <w:vMerge w:val="restart"/>
          </w:tcPr>
          <w:p>
            <w:pPr>
              <w:jc w:val="right"/>
              <w:ind w:right="690"/>
              <w:spacing w:after="0"/>
              <w:rPr>
                <w:sz w:val="20"/>
                <w:szCs w:val="20"/>
                <w:color w:val="auto"/>
              </w:rPr>
            </w:pPr>
            <w:r>
              <w:rPr>
                <w:rFonts w:ascii="Arial" w:cs="Arial" w:eastAsia="Arial" w:hAnsi="Arial"/>
                <w:sz w:val="18"/>
                <w:szCs w:val="18"/>
                <w:color w:val="auto"/>
              </w:rPr>
              <w:t>101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38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0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Company’s contract assets primarily relate to costs incurred to get Amazon cargo aircraft ready for service. The balances are included in Other Current Assets and Other Assets on the Consolidated Balance Sheets.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contract liabilities are comprised of: 1) ticket sales for transportation that has not yet been provided (reported as Air Traffic Liabilities on the Consolidated Balance Sheets), 2) outstanding loyalty points that may be redeemed for future travel and other non -air travel awards (reported as Loyalty Program Liabilities on the Consolidated Balance Sheets) and, 3) the Amazon Deferred Up-front Payment received (reported within Other Current Liabilities and Other Long-term Liabilities on the Consolidated Balance Sheets).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Consolidated Balance Sheets. This deferred up-front payment is being amortized into revenue on a pro-rata basis over the initial six years of the ATSA and is immaterial on an annual basis.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209"/>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r>
      <w:tr>
        <w:trPr>
          <w:trHeight w:val="238"/>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to fulfill contract with Amazon</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w:t>
            </w:r>
          </w:p>
        </w:tc>
      </w:tr>
      <w:tr>
        <w:trPr>
          <w:trHeight w:val="28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7"/>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157,996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157,995</w:t>
            </w:r>
          </w:p>
        </w:tc>
      </w:tr>
      <w:tr>
        <w:trPr>
          <w:trHeight w:val="26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r>
      <w:tr>
        <w:trPr>
          <w:trHeight w:val="25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Deferred Up-front Payment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r>
      <w:tr>
        <w:trPr>
          <w:trHeight w:val="280"/>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Contract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173,958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12 months in advance, therefore any revenue associated with tickets sold for future travel will be recognized within that timeframe. For the year ended December 31, 2023, $154,055 of revenue was recognized in Passenger revenue that was included in the Air Traffic Liabilities as of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 loyalty points issued to the Company’s co-branded credit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0" w:type="dxa"/>
            <w:vAlign w:val="bottom"/>
          </w:tcPr>
          <w:p>
            <w:pPr>
              <w:spacing w:after="0"/>
              <w:rPr>
                <w:sz w:val="1"/>
                <w:szCs w:val="1"/>
                <w:color w:val="auto"/>
              </w:rPr>
            </w:pPr>
          </w:p>
        </w:tc>
      </w:tr>
      <w:tr>
        <w:trPr>
          <w:trHeight w:val="252"/>
        </w:trPr>
        <w:tc>
          <w:tcPr>
            <w:tcW w:w="814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0" w:type="dxa"/>
            <w:vAlign w:val="bottom"/>
          </w:tcPr>
          <w:p>
            <w:pPr>
              <w:spacing w:after="0"/>
              <w:rPr>
                <w:sz w:val="1"/>
                <w:szCs w:val="1"/>
                <w:color w:val="auto"/>
              </w:rPr>
            </w:pP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Balance - December 31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15,437</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8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580" w:right="20" w:hanging="554"/>
        <w:spacing w:after="0" w:line="261" w:lineRule="auto"/>
        <w:tabs>
          <w:tab w:leader="none" w:pos="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Loyalty points are combined in one homogenous pool, that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83" w:lineRule="exact"/>
        <w:rPr>
          <w:rFonts w:ascii="Arial" w:cs="Arial" w:eastAsia="Arial" w:hAnsi="Arial"/>
          <w:sz w:val="18"/>
          <w:szCs w:val="18"/>
          <w:color w:val="auto"/>
        </w:rPr>
      </w:pPr>
    </w:p>
    <w:p>
      <w:pPr>
        <w:ind w:left="200" w:hanging="192"/>
        <w:spacing w:after="0"/>
        <w:tabs>
          <w:tab w:leader="none" w:pos="2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200" w:type="dxa"/>
            <w:vAlign w:val="bottom"/>
            <w:tcBorders>
              <w:bottom w:val="single" w:sz="8" w:color="auto"/>
            </w:tcBorders>
          </w:tcPr>
          <w:p>
            <w:pPr>
              <w:spacing w:after="0"/>
              <w:rPr>
                <w:sz w:val="17"/>
                <w:szCs w:val="17"/>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5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81,248</w:t>
            </w:r>
          </w:p>
        </w:tc>
      </w:tr>
      <w:tr>
        <w:trPr>
          <w:trHeight w:val="270"/>
        </w:trPr>
        <w:tc>
          <w:tcPr>
            <w:tcW w:w="6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2"/>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55,507,144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57,951,955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55,182,811</w:t>
            </w:r>
          </w:p>
        </w:tc>
      </w:tr>
      <w:tr>
        <w:trPr>
          <w:trHeight w:val="261"/>
        </w:trPr>
        <w:tc>
          <w:tcPr>
            <w:tcW w:w="6480" w:type="dxa"/>
            <w:vAlign w:val="bottom"/>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Dilutive effect of Stock Options, RSUs and Warrants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3,017,508</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3,094,640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4,141,229</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58,524,652</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61,046,595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59,324,040</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6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52"/>
        </w:trPr>
        <w:tc>
          <w:tcPr>
            <w:tcW w:w="648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4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61"/>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315"/>
        </w:trPr>
        <w:tc>
          <w:tcPr>
            <w:tcW w:w="648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31" w:lineRule="exact"/>
        <w:rPr>
          <w:sz w:val="20"/>
          <w:szCs w:val="20"/>
          <w:color w:val="auto"/>
        </w:rPr>
      </w:pPr>
    </w:p>
    <w:p>
      <w:pPr>
        <w:jc w:val="both"/>
        <w:ind w:left="580" w:right="20" w:hanging="554"/>
        <w:spacing w:after="0" w:line="221" w:lineRule="auto"/>
        <w:tabs>
          <w:tab w:leader="none" w:pos="58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There were 2,798,154, 3,178,533 and 3,636,771 performance-based stock options outstanding at December 31, 2023, 2022, and 2021, respectively. As of December 31, 2023, 2022, and 2021, 100.0%, 32.5% and none of the performance-based stock options had vested, respectively. As of December 31, 2022, 59% of the performance-based stock options were expected to vest, as compared to 75% in 2021.</w:t>
      </w:r>
    </w:p>
    <w:p>
      <w:pPr>
        <w:spacing w:after="0" w:line="29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Company's anti-dilutive shares for the periods presented were immaterial to the Consolidated Financial Statements for the years ended December 31, 2023, 2022 and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AIRCRAFT</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of December 31, 2023, Sun Country's fleet consisted of 60 Boeing 737-NG aircraft, comprised of 55 Boeing 737-800s and five Boeing 737-900ERs.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aircraft fleet activity for the years ended 2023 and 2022, respectively: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2022</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Additions</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2023</w:t>
            </w:r>
          </w:p>
        </w:tc>
      </w:tr>
      <w:tr>
        <w:trPr>
          <w:trHeight w:val="238"/>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Owned</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1"/>
        </w:trPr>
        <w:tc>
          <w:tcPr>
            <w:tcW w:w="3200" w:type="dxa"/>
            <w:vAlign w:val="bottom"/>
            <w:shd w:val="clear" w:color="auto" w:fill="CCEEFF"/>
          </w:tcPr>
          <w:p>
            <w:pPr>
              <w:ind w:left="180"/>
              <w:spacing w:after="0" w:line="262"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2"/>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3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Sun Country Airlines' Fleet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Cargo:</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Operated for Amazon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11"/>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Owned Aircraft Held for Operating</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48"/>
        </w:trPr>
        <w:tc>
          <w:tcPr>
            <w:tcW w:w="3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3200" w:type="dxa"/>
            <w:vAlign w:val="bottom"/>
            <w:tcBorders>
              <w:bottom w:val="single" w:sz="8" w:color="CCEEFF"/>
            </w:tcBorders>
          </w:tcPr>
          <w:p>
            <w:pPr>
              <w:ind w:left="180"/>
              <w:spacing w:after="0" w:line="256" w:lineRule="exact"/>
              <w:rPr>
                <w:sz w:val="20"/>
                <w:szCs w:val="20"/>
                <w:color w:val="auto"/>
              </w:rPr>
            </w:pPr>
            <w:r>
              <w:rPr>
                <w:rFonts w:ascii="Arial" w:cs="Arial" w:eastAsia="Arial" w:hAnsi="Arial"/>
                <w:sz w:val="18"/>
                <w:szCs w:val="18"/>
                <w:color w:val="auto"/>
              </w:rPr>
              <w:t xml:space="preserve">Subleased Aircraft </w:t>
            </w:r>
            <w:r>
              <w:rPr>
                <w:rFonts w:ascii="Arial" w:cs="Arial" w:eastAsia="Arial" w:hAnsi="Arial"/>
                <w:sz w:val="23"/>
                <w:szCs w:val="23"/>
                <w:color w:val="auto"/>
                <w:vertAlign w:val="superscript"/>
              </w:rPr>
              <w:t>(2)</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3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Aircraft Operated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513"/>
        </w:trPr>
        <w:tc>
          <w:tcPr>
            <w:tcW w:w="3200" w:type="dxa"/>
            <w:vAlign w:val="bottom"/>
          </w:tcPr>
          <w:p>
            <w:pPr>
              <w:spacing w:after="0"/>
              <w:rPr>
                <w:sz w:val="24"/>
                <w:szCs w:val="24"/>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December 31, 2021</w:t>
            </w: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Additions</w:t>
            </w:r>
          </w:p>
        </w:tc>
        <w:tc>
          <w:tcPr>
            <w:tcW w:w="1760" w:type="dxa"/>
            <w:vAlign w:val="bottom"/>
            <w:gridSpan w:val="2"/>
          </w:tcPr>
          <w:p>
            <w:pPr>
              <w:ind w:left="240"/>
              <w:spacing w:after="0"/>
              <w:rPr>
                <w:sz w:val="20"/>
                <w:szCs w:val="20"/>
                <w:color w:val="auto"/>
              </w:rPr>
            </w:pPr>
            <w:r>
              <w:rPr>
                <w:rFonts w:ascii="Arial" w:cs="Arial" w:eastAsia="Arial" w:hAnsi="Arial"/>
                <w:sz w:val="14"/>
                <w:szCs w:val="14"/>
                <w:b w:val="1"/>
                <w:bCs w:val="1"/>
                <w:color w:val="auto"/>
              </w:rPr>
              <w:t>Reclassifications</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Removals</w:t>
            </w:r>
          </w:p>
        </w:tc>
        <w:tc>
          <w:tcPr>
            <w:tcW w:w="17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2022</w:t>
            </w:r>
          </w:p>
        </w:tc>
      </w:tr>
      <w:tr>
        <w:trPr>
          <w:trHeight w:val="237"/>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760" w:type="dxa"/>
            <w:vAlign w:val="bottom"/>
            <w:tcBorders>
              <w:top w:val="single" w:sz="8" w:color="auto"/>
            </w:tcBorders>
            <w:shd w:val="clear" w:color="auto" w:fill="CCEEFF"/>
          </w:tcPr>
          <w:p>
            <w:pPr>
              <w:spacing w:after="0"/>
              <w:rPr>
                <w:sz w:val="20"/>
                <w:szCs w:val="20"/>
                <w:color w:val="auto"/>
              </w:rPr>
            </w:pPr>
          </w:p>
        </w:tc>
      </w:tr>
      <w:tr>
        <w:trPr>
          <w:trHeight w:val="252"/>
        </w:trPr>
        <w:tc>
          <w:tcPr>
            <w:tcW w:w="3200" w:type="dxa"/>
            <w:vAlign w:val="bottom"/>
          </w:tcPr>
          <w:p>
            <w:pPr>
              <w:ind w:left="180"/>
              <w:spacing w:after="0"/>
              <w:rPr>
                <w:sz w:val="20"/>
                <w:szCs w:val="20"/>
                <w:color w:val="auto"/>
              </w:rPr>
            </w:pPr>
            <w:r>
              <w:rPr>
                <w:rFonts w:ascii="Arial" w:cs="Arial" w:eastAsia="Arial" w:hAnsi="Arial"/>
                <w:sz w:val="18"/>
                <w:szCs w:val="18"/>
                <w:color w:val="auto"/>
              </w:rPr>
              <w:t>Owned</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1"/>
        </w:trPr>
        <w:tc>
          <w:tcPr>
            <w:tcW w:w="3200" w:type="dxa"/>
            <w:vAlign w:val="bottom"/>
            <w:shd w:val="clear" w:color="auto" w:fill="CCEEFF"/>
          </w:tcPr>
          <w:p>
            <w:pPr>
              <w:ind w:left="180"/>
              <w:spacing w:after="0" w:line="262"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(3)</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2"/>
        </w:trPr>
        <w:tc>
          <w:tcPr>
            <w:tcW w:w="3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Operating leases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55"/>
        </w:trPr>
        <w:tc>
          <w:tcPr>
            <w:tcW w:w="3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Sun Country Airlines' Fleet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Cargo:</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2"/>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Operated for Amazon</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5"/>
        </w:trPr>
        <w:tc>
          <w:tcPr>
            <w:tcW w:w="3200" w:type="dxa"/>
            <w:vAlign w:val="bottom"/>
          </w:tcPr>
          <w:p>
            <w:pPr>
              <w:ind w:left="260"/>
              <w:spacing w:after="0"/>
              <w:rPr>
                <w:sz w:val="20"/>
                <w:szCs w:val="20"/>
                <w:color w:val="auto"/>
              </w:rPr>
            </w:pPr>
            <w:r>
              <w:rPr>
                <w:rFonts w:ascii="Arial" w:cs="Arial" w:eastAsia="Arial" w:hAnsi="Arial"/>
                <w:sz w:val="18"/>
                <w:szCs w:val="18"/>
                <w:color w:val="auto"/>
              </w:rPr>
              <w:t>Total Aircraft Operated</w:t>
            </w:r>
          </w:p>
        </w:tc>
        <w:tc>
          <w:tcPr>
            <w:tcW w:w="17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
        </w:trPr>
        <w:tc>
          <w:tcPr>
            <w:tcW w:w="32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600" w:hanging="574"/>
        <w:spacing w:after="0"/>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Two aircraft operating leases were reclassified into finance leases, as further described below.</w:t>
      </w:r>
    </w:p>
    <w:p>
      <w:pPr>
        <w:spacing w:after="0" w:line="55" w:lineRule="exact"/>
        <w:rPr>
          <w:rFonts w:ascii="Arial" w:cs="Arial" w:eastAsia="Arial" w:hAnsi="Arial"/>
          <w:sz w:val="14"/>
          <w:szCs w:val="14"/>
          <w:color w:val="auto"/>
        </w:rPr>
      </w:pPr>
    </w:p>
    <w:p>
      <w:pPr>
        <w:ind w:left="600" w:hanging="574"/>
        <w:spacing w:after="0"/>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head lease associated with this sublease is classified as a finance lease.</w:t>
      </w:r>
    </w:p>
    <w:p>
      <w:pPr>
        <w:spacing w:after="0" w:line="55" w:lineRule="exact"/>
        <w:rPr>
          <w:rFonts w:ascii="Arial" w:cs="Arial" w:eastAsia="Arial" w:hAnsi="Arial"/>
          <w:sz w:val="14"/>
          <w:szCs w:val="14"/>
          <w:color w:val="auto"/>
        </w:rPr>
      </w:pPr>
    </w:p>
    <w:p>
      <w:pPr>
        <w:ind w:left="600" w:right="520" w:hanging="574"/>
        <w:spacing w:after="0" w:line="285" w:lineRule="auto"/>
        <w:tabs>
          <w:tab w:leader="none" w:pos="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Two aircraft operating leases were reclassified into finance leases and two separate aircraft finance lease purchase options were exercised, resulting in a net change of zero finance lease reclassifications.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During the year ended December 31, 2023, the Company acquired five 737-900ERs that are currently on lease to an unaffiliated airline. The five Owned Aircraft Held for Operating Lease were financed through a term loan arrangement.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these Consolidated Financial Statements for more information on this transaction. Additionally, during the year ended December 31, 2023, the Company acquired one incremental aircraft and executed two lease amendments to purchase two aircraft at the end of their respective lease terms. The lease amendments modified the classification of these leases from operating leases to finance leases and have expiration dates in fiscal year 2024. During the year ended December 31, 2023, management retired one aircraft, the impact of which was not material. During the year ended December 31, 2023, the Company took control of one aircraft through a finance lease arrangement, which was subsequently subleased. The sublease expires in the fourth quarter of 2024. The aircraft will be delivered to Sun Country on the sublease expiry date and the aircraft will continue to be leased by the Company. The aircraft is expected to be inducted into the Company's fleet upon redelivery. Of the 34 Owned aircraft and Owned Aircraft Held for Operating Lease as of December 31, 2023, 31 were financed and three aircraft were unencumbered.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 ended December 31, 2022, the Company executed lease amendments to purchase two aircraft at the end of the lease term, which modified the lease classification from operating leases to finance leases with</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expiration dates in fiscal year 2026 and retired one aircraft. Further, the Company purchased two aircraft previously classified as finance leases using proceeds from the issuance of Class A and Class B pass-through trust certificates (the "2022-1 EETC") and purchased two aircraft previously classified as operating leases. The Company also acquired seven incremental 737-800 aircraft, five of which were financed using proceeds from the 2022-1 EETC and two through a finance lease arrangement that is set to expire in fiscal year 2030.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Depreciation, amortization, and rent expense on aircraft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215"/>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Aircraft Status</w:t>
            </w:r>
          </w:p>
        </w:tc>
        <w:tc>
          <w:tcPr>
            <w:tcW w:w="80" w:type="dxa"/>
            <w:vAlign w:val="bottom"/>
            <w:tcBorders>
              <w:bottom w:val="single" w:sz="8" w:color="CCEEFF"/>
            </w:tcBorders>
          </w:tcPr>
          <w:p>
            <w:pPr>
              <w:spacing w:after="0"/>
              <w:rPr>
                <w:sz w:val="18"/>
                <w:szCs w:val="18"/>
                <w:color w:val="auto"/>
              </w:rPr>
            </w:pPr>
          </w:p>
        </w:tc>
        <w:tc>
          <w:tcPr>
            <w:tcW w:w="32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Expense Type</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51"/>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55,260</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35,855</w:t>
            </w:r>
          </w:p>
        </w:tc>
      </w:tr>
      <w:tr>
        <w:trPr>
          <w:trHeight w:val="252"/>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Leased</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11,507</w:t>
            </w:r>
          </w:p>
        </w:tc>
      </w:tr>
      <w:tr>
        <w:trPr>
          <w:trHeight w:val="261"/>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3320" w:type="dxa"/>
            <w:vAlign w:val="bottom"/>
            <w:gridSpan w:val="2"/>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17,653</w:t>
            </w:r>
          </w:p>
        </w:tc>
      </w:tr>
      <w:tr>
        <w:trPr>
          <w:trHeight w:val="245"/>
        </w:trPr>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77,663</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65,950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65,015</w:t>
            </w:r>
          </w:p>
        </w:tc>
      </w:tr>
      <w:tr>
        <w:trPr>
          <w:trHeight w:val="25"/>
        </w:trPr>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73" w:lineRule="exact"/>
        <w:rPr>
          <w:sz w:val="20"/>
          <w:szCs w:val="20"/>
          <w:color w:val="auto"/>
        </w:rPr>
      </w:pPr>
    </w:p>
    <w:p>
      <w:pPr>
        <w:ind w:left="580" w:hanging="554"/>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ASSET ACQUISITIONS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During the year ended December 31, 2023, the Company acquired five Owned Aircraft Held for Operating Lease. The table below reflects the cumulative balances of the five aircraft as of the acquisition dates:</w:t>
      </w:r>
    </w:p>
    <w:p>
      <w:pPr>
        <w:sectPr>
          <w:pgSz w:w="11900" w:h="16838" w:orient="portrait"/>
          <w:cols w:equalWidth="0" w:num="1">
            <w:col w:w="11240"/>
          </w:cols>
          <w:pgMar w:left="320" w:top="337" w:right="33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w:t>
            </w:r>
          </w:p>
        </w:tc>
        <w:tc>
          <w:tcPr>
            <w:tcW w:w="5160" w:type="dxa"/>
            <w:vAlign w:val="bottom"/>
          </w:tcPr>
          <w:p>
            <w:pPr>
              <w:ind w:left="1620"/>
              <w:spacing w:after="0"/>
              <w:rPr>
                <w:sz w:val="20"/>
                <w:szCs w:val="20"/>
                <w:color w:val="auto"/>
              </w:rPr>
            </w:pPr>
            <w:r>
              <w:rPr>
                <w:rFonts w:ascii="Arial" w:cs="Arial" w:eastAsia="Arial" w:hAnsi="Arial"/>
                <w:sz w:val="14"/>
                <w:szCs w:val="14"/>
                <w:b w:val="1"/>
                <w:bCs w:val="1"/>
                <w:color w:val="auto"/>
              </w:rPr>
              <w:t>Balance Sheet Classification</w:t>
            </w:r>
          </w:p>
        </w:tc>
      </w:tr>
      <w:tr>
        <w:trPr>
          <w:trHeight w:val="219"/>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Owned Aircraft Held for Operating Lease</w:t>
            </w:r>
          </w:p>
        </w:tc>
        <w:tc>
          <w:tcPr>
            <w:tcW w:w="100" w:type="dxa"/>
            <w:vAlign w:val="bottom"/>
          </w:tcPr>
          <w:p>
            <w:pPr>
              <w:spacing w:after="0"/>
              <w:rPr>
                <w:sz w:val="19"/>
                <w:szCs w:val="19"/>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Aircraft and Flight Equipment Held for Operating Lease</w:t>
            </w: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Maintenance Rights Asset</w:t>
            </w:r>
          </w:p>
        </w:tc>
        <w:tc>
          <w:tcPr>
            <w:tcW w:w="5160" w:type="dxa"/>
            <w:vAlign w:val="bottom"/>
          </w:tcPr>
          <w:p>
            <w:pPr>
              <w:ind w:left="20"/>
              <w:spacing w:after="0"/>
              <w:rPr>
                <w:sz w:val="20"/>
                <w:szCs w:val="20"/>
                <w:color w:val="auto"/>
              </w:rPr>
            </w:pPr>
            <w:r>
              <w:rPr>
                <w:rFonts w:ascii="Arial" w:cs="Arial" w:eastAsia="Arial" w:hAnsi="Arial"/>
                <w:sz w:val="18"/>
                <w:szCs w:val="18"/>
                <w:color w:val="auto"/>
              </w:rPr>
              <w:t>Aircraft and Flight Equipment Held for Operating Lease</w:t>
            </w:r>
          </w:p>
        </w:tc>
      </w:tr>
      <w:tr>
        <w:trPr>
          <w:trHeight w:val="23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Over-Market Asset</w:t>
            </w:r>
          </w:p>
        </w:tc>
        <w:tc>
          <w:tcPr>
            <w:tcW w:w="5160" w:type="dxa"/>
            <w:vAlign w:val="bottom"/>
          </w:tcPr>
          <w:p>
            <w:pPr>
              <w:ind w:left="20"/>
              <w:spacing w:after="0"/>
              <w:rPr>
                <w:sz w:val="20"/>
                <w:szCs w:val="20"/>
                <w:color w:val="auto"/>
              </w:rPr>
            </w:pPr>
            <w:r>
              <w:rPr>
                <w:rFonts w:ascii="Arial" w:cs="Arial" w:eastAsia="Arial" w:hAnsi="Arial"/>
                <w:sz w:val="18"/>
                <w:szCs w:val="18"/>
                <w:color w:val="auto"/>
              </w:rPr>
              <w:t>Other Intangible Assets, net</w:t>
            </w:r>
          </w:p>
        </w:tc>
      </w:tr>
      <w:tr>
        <w:trPr>
          <w:trHeight w:val="270"/>
        </w:trPr>
        <w:tc>
          <w:tcPr>
            <w:tcW w:w="38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5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1395" w:hanging="1395"/>
        <w:spacing w:after="0"/>
        <w:tabs>
          <w:tab w:leader="none" w:pos="13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114,652</w:t>
      </w:r>
    </w:p>
    <w:p>
      <w:pPr>
        <w:spacing w:after="0" w:line="43" w:lineRule="exact"/>
        <w:rPr>
          <w:rFonts w:ascii="Arial" w:cs="Arial" w:eastAsia="Arial" w:hAnsi="Arial"/>
          <w:sz w:val="17"/>
          <w:szCs w:val="17"/>
          <w:color w:val="auto"/>
        </w:rPr>
      </w:pPr>
    </w:p>
    <w:p>
      <w:pPr>
        <w:ind w:left="1495"/>
        <w:spacing w:after="0"/>
        <w:rPr>
          <w:rFonts w:ascii="Arial" w:cs="Arial" w:eastAsia="Arial" w:hAnsi="Arial"/>
          <w:sz w:val="17"/>
          <w:szCs w:val="17"/>
          <w:color w:val="auto"/>
        </w:rPr>
      </w:pPr>
      <w:r>
        <w:rPr>
          <w:rFonts w:ascii="Arial" w:cs="Arial" w:eastAsia="Arial" w:hAnsi="Arial"/>
          <w:sz w:val="17"/>
          <w:szCs w:val="17"/>
          <w:color w:val="auto"/>
        </w:rPr>
        <w:t>39,533</w:t>
      </w:r>
    </w:p>
    <w:p>
      <w:pPr>
        <w:spacing w:after="0" w:line="34" w:lineRule="exact"/>
        <w:rPr>
          <w:rFonts w:ascii="Arial" w:cs="Arial" w:eastAsia="Arial" w:hAnsi="Arial"/>
          <w:sz w:val="17"/>
          <w:szCs w:val="17"/>
          <w:color w:val="auto"/>
        </w:rPr>
      </w:pPr>
    </w:p>
    <w:p>
      <w:pPr>
        <w:ind w:left="1595"/>
        <w:spacing w:after="0"/>
        <w:rPr>
          <w:rFonts w:ascii="Arial" w:cs="Arial" w:eastAsia="Arial" w:hAnsi="Arial"/>
          <w:sz w:val="17"/>
          <w:szCs w:val="17"/>
          <w:color w:val="auto"/>
        </w:rPr>
      </w:pPr>
      <w:r>
        <w:rPr>
          <w:rFonts w:ascii="Arial" w:cs="Arial" w:eastAsia="Arial" w:hAnsi="Arial"/>
          <w:sz w:val="17"/>
          <w:szCs w:val="17"/>
          <w:color w:val="auto"/>
        </w:rPr>
        <w:t>3,741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3544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8" w:lineRule="exact"/>
        <w:rPr>
          <w:sz w:val="20"/>
          <w:szCs w:val="20"/>
          <w:color w:val="auto"/>
        </w:rPr>
      </w:pPr>
    </w:p>
    <w:p>
      <w:pPr>
        <w:ind w:left="1395" w:hanging="1395"/>
        <w:spacing w:after="0"/>
        <w:tabs>
          <w:tab w:leader="none" w:pos="13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157,926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3544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13544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9020" w:space="105"/>
            <w:col w:w="2115"/>
          </w:cols>
          <w:pgMar w:left="320" w:top="337" w:right="339" w:bottom="1440" w:gutter="0" w:footer="0" w:header="0"/>
          <w:type w:val="continuous"/>
        </w:sectPr>
      </w:pP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purchase price was assigned to the assets based upon their relative fair values as of the acquisition date. The Company estimated the fair value of the Owned Aircraft Held for Operating Lease principally based on market appraisals. The appraisals were based on an analysis of the economic conditions impacting both the airline industry and broader economy, the current fuel price environment, aircraft order data, passenger traffic levels, and qualitative and quantitative characteristics impacting the value of the acquired aircraft.</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fair value of the Maintenance Rights Asset was determined using a discounted cash flow method based on aircraft utilization levels at the time of the acquisition and the applicable rates as specified within the lease agreements.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fair value of the Over-Market Asset was determined using a discounted cash flow model that involves the comparison of contractual lease cash flows to the estimated at-market lease payments for an aircraft of the same type and age.</w:t>
      </w:r>
    </w:p>
    <w:p>
      <w:pPr>
        <w:spacing w:after="0" w:line="15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purchase of the Owned Aircraft Held for Operating Lease was financed using the proceeds from a term loan credit facility with a face amount of $119,200 and the Company's cash. For more information on the term loan credit facility,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Aircraft Held for Operating Lease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obtained outright ownership of the Owned Aircraft Held for Operating Lease upon purchase and assumed the position of lessor until the end of the related aircraft lease terms. The Company is entitled to fixed payments over the remaining lease term for each aircraft, which expire at various dates between the fourth quarter of 2024 and the fourth quarter of 2025. On each lease expiry date, the Owned Aircraft Held for Operating Lease will be redelivered to Sun Country and are expected to be inducted into the Company’s fleet. The rental revenue associated with the Owned Aircraft Held for Operating Lease is recognized as it is earned and is included in Other Revenue. The Company has recognized $17,689 of rental revenue during the year ended December 31, 2023.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Maintenance Rights Asset</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Upon purchase of the Owned Aircraft Held for Operating Lease, the Company recognized a Maintenance Rights Asset which represents the Company’s contractual right to receive the aircraft in a specified maintenance condition at the end of the lease. The acquired leases contain</w:t>
      </w:r>
    </w:p>
    <w:p>
      <w:pPr>
        <w:jc w:val="both"/>
        <w:spacing w:after="0" w:line="226" w:lineRule="auto"/>
        <w:rPr>
          <w:sz w:val="20"/>
          <w:szCs w:val="20"/>
          <w:color w:val="auto"/>
        </w:rPr>
      </w:pPr>
      <w:r>
        <w:rPr>
          <w:rFonts w:ascii="Arial" w:cs="Arial" w:eastAsia="Arial" w:hAnsi="Arial"/>
          <w:sz w:val="18"/>
          <w:szCs w:val="18"/>
          <w:color w:val="auto"/>
        </w:rPr>
        <w:t>an end of lease compensation clause whereby the lessee is required to perform the maintenance tasks needed to physically restore the airframe and engines to full-life condition or remit a cash payment to compensate the Company for the maintenance shortfall. The asset</w:t>
      </w:r>
    </w:p>
    <w:p>
      <w:pPr>
        <w:spacing w:after="0" w:line="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represents the difference between the Owned Aircraft Held for Operating Lease’s physical maintenance condition as of the purchase date and the contractual return condition at the end of the lease term. The Maintenance Rights Asset is not depreciated over the lease term, nor will it accrete as additional life is consumed on the aircraft.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Over-Market Asset</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Upon purchase of the Owned Aircraft Held for Operating Lease, the Company recognized an intangible asset representing lease terms which are favorable to the lessor, as compared with market terms of similar leases. The asset will be amortized over the remaining lease terms for the respective aircraft, which range from 0.9-1.9 years as of December 31, 2023. The amortization will be recognized as contra-revenue, offsetting the rental revenue associated with the Owned Aircraft Held for Operating Lease included in Other Revenue.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2023</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CCEEFF"/>
            </w:tcBorders>
          </w:tcPr>
          <w:p>
            <w:pPr>
              <w:spacing w:after="0"/>
              <w:rPr>
                <w:sz w:val="16"/>
                <w:szCs w:val="16"/>
                <w:color w:val="auto"/>
              </w:rPr>
            </w:pPr>
          </w:p>
        </w:tc>
        <w:tc>
          <w:tcPr>
            <w:tcW w:w="20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0" w:type="dxa"/>
            <w:vAlign w:val="bottom"/>
          </w:tcPr>
          <w:p>
            <w:pPr>
              <w:spacing w:after="0"/>
              <w:rPr>
                <w:sz w:val="1"/>
                <w:szCs w:val="1"/>
                <w:color w:val="auto"/>
              </w:rPr>
            </w:pPr>
          </w:p>
        </w:tc>
      </w:tr>
      <w:tr>
        <w:trPr>
          <w:trHeight w:val="252"/>
        </w:trPr>
        <w:tc>
          <w:tcPr>
            <w:tcW w:w="4480" w:type="dxa"/>
            <w:vAlign w:val="bottom"/>
          </w:tcPr>
          <w:p>
            <w:pPr>
              <w:ind w:left="20"/>
              <w:spacing w:after="0"/>
              <w:rPr>
                <w:sz w:val="20"/>
                <w:szCs w:val="20"/>
                <w:color w:val="auto"/>
              </w:rPr>
            </w:pPr>
            <w:r>
              <w:rPr>
                <w:rFonts w:ascii="Arial" w:cs="Arial" w:eastAsia="Arial" w:hAnsi="Arial"/>
                <w:sz w:val="18"/>
                <w:szCs w:val="18"/>
                <w:color w:val="auto"/>
              </w:rPr>
              <w:t>Intangible Assets with Finite Lives:</w:t>
            </w: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2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0" w:type="dxa"/>
            <w:vAlign w:val="bottom"/>
          </w:tcPr>
          <w:p>
            <w:pPr>
              <w:spacing w:after="0"/>
              <w:rPr>
                <w:sz w:val="1"/>
                <w:szCs w:val="1"/>
                <w:color w:val="auto"/>
              </w:rPr>
            </w:pPr>
          </w:p>
        </w:tc>
      </w:tr>
      <w:tr>
        <w:trPr>
          <w:trHeight w:val="252"/>
        </w:trPr>
        <w:tc>
          <w:tcPr>
            <w:tcW w:w="4480" w:type="dxa"/>
            <w:vAlign w:val="bottom"/>
          </w:tcPr>
          <w:p>
            <w:pPr>
              <w:ind w:left="80"/>
              <w:spacing w:after="0"/>
              <w:rPr>
                <w:sz w:val="20"/>
                <w:szCs w:val="20"/>
                <w:color w:val="auto"/>
              </w:rPr>
            </w:pPr>
            <w:r>
              <w:rPr>
                <w:rFonts w:ascii="Arial" w:cs="Arial" w:eastAsia="Arial" w:hAnsi="Arial"/>
                <w:sz w:val="18"/>
                <w:szCs w:val="18"/>
                <w:color w:val="auto"/>
              </w:rPr>
              <w:t>Over-Market Asset</w:t>
            </w: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61"/>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2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480" w:type="dxa"/>
            <w:vAlign w:val="bottom"/>
          </w:tcPr>
          <w:p>
            <w:pPr>
              <w:ind w:left="80"/>
              <w:spacing w:after="0"/>
              <w:rPr>
                <w:sz w:val="20"/>
                <w:szCs w:val="20"/>
                <w:color w:val="auto"/>
              </w:rPr>
            </w:pPr>
            <w:r>
              <w:rPr>
                <w:rFonts w:ascii="Arial" w:cs="Arial" w:eastAsia="Arial" w:hAnsi="Arial"/>
                <w:sz w:val="18"/>
                <w:szCs w:val="18"/>
                <w:color w:val="auto"/>
              </w:rPr>
              <w:t>Tradename</w:t>
            </w: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56,000</w:t>
            </w:r>
          </w:p>
        </w:tc>
        <w:tc>
          <w:tcPr>
            <w:tcW w:w="0" w:type="dxa"/>
            <w:vAlign w:val="bottom"/>
          </w:tcPr>
          <w:p>
            <w:pPr>
              <w:spacing w:after="0"/>
              <w:rPr>
                <w:sz w:val="1"/>
                <w:szCs w:val="1"/>
                <w:color w:val="auto"/>
              </w:rPr>
            </w:pPr>
          </w:p>
        </w:tc>
      </w:tr>
      <w:tr>
        <w:trPr>
          <w:trHeight w:val="250"/>
        </w:trPr>
        <w:tc>
          <w:tcPr>
            <w:tcW w:w="4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Intangible Assets</w:t>
            </w:r>
          </w:p>
        </w:tc>
        <w:tc>
          <w:tcPr>
            <w:tcW w:w="20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107,741</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83,551</w:t>
            </w:r>
          </w:p>
        </w:tc>
        <w:tc>
          <w:tcPr>
            <w:tcW w:w="0" w:type="dxa"/>
            <w:vAlign w:val="bottom"/>
          </w:tcPr>
          <w:p>
            <w:pPr>
              <w:spacing w:after="0"/>
              <w:rPr>
                <w:sz w:val="1"/>
                <w:szCs w:val="1"/>
                <w:color w:val="auto"/>
              </w:rPr>
            </w:pPr>
          </w:p>
        </w:tc>
      </w:tr>
      <w:tr>
        <w:trPr>
          <w:trHeight w:val="255"/>
        </w:trPr>
        <w:tc>
          <w:tcPr>
            <w:tcW w:w="4480" w:type="dxa"/>
            <w:vAlign w:val="bottom"/>
          </w:tcPr>
          <w:p>
            <w:pPr>
              <w:ind w:left="100"/>
              <w:spacing w:after="0"/>
              <w:rPr>
                <w:sz w:val="20"/>
                <w:szCs w:val="20"/>
                <w:color w:val="auto"/>
              </w:rPr>
            </w:pPr>
            <w:r>
              <w:rPr>
                <w:rFonts w:ascii="Arial" w:cs="Arial" w:eastAsia="Arial" w:hAnsi="Arial"/>
                <w:sz w:val="18"/>
                <w:szCs w:val="18"/>
                <w:color w:val="auto"/>
              </w:rPr>
              <w:t>Total Goodwill and Other Intangible Assets</w:t>
            </w:r>
          </w:p>
        </w:tc>
        <w:tc>
          <w:tcPr>
            <w:tcW w:w="2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329,964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(24,190)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305,774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80" w:type="dxa"/>
            <w:vAlign w:val="bottom"/>
            <w:vMerge w:val="restart"/>
          </w:tcPr>
          <w:p>
            <w:pPr>
              <w:jc w:val="right"/>
              <w:ind w:right="690"/>
              <w:spacing w:after="0"/>
              <w:rPr>
                <w:sz w:val="20"/>
                <w:szCs w:val="20"/>
                <w:color w:val="auto"/>
              </w:rPr>
            </w:pPr>
            <w:r>
              <w:rPr>
                <w:rFonts w:ascii="Arial" w:cs="Arial" w:eastAsia="Arial" w:hAnsi="Arial"/>
                <w:sz w:val="18"/>
                <w:szCs w:val="18"/>
                <w:color w:val="auto"/>
              </w:rPr>
              <w:t>106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44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4"/>
        </w:trPr>
        <w:tc>
          <w:tcPr>
            <w:tcW w:w="6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Net Carrying</w:t>
            </w:r>
          </w:p>
        </w:tc>
      </w:tr>
      <w:tr>
        <w:trPr>
          <w:trHeight w:val="197"/>
        </w:trPr>
        <w:tc>
          <w:tcPr>
            <w:tcW w:w="6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Value</w:t>
            </w:r>
          </w:p>
        </w:tc>
      </w:tr>
      <w:tr>
        <w:trPr>
          <w:trHeight w:val="26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Intangible Assets with 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1"/>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29,110</w:t>
            </w:r>
          </w:p>
        </w:tc>
      </w:tr>
      <w:tr>
        <w:trPr>
          <w:trHeight w:val="252"/>
        </w:trPr>
        <w:tc>
          <w:tcPr>
            <w:tcW w:w="6560" w:type="dxa"/>
            <w:vAlign w:val="bottom"/>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1"/>
        </w:trPr>
        <w:tc>
          <w:tcPr>
            <w:tcW w:w="6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Tradename</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45"/>
        </w:trPr>
        <w:tc>
          <w:tcPr>
            <w:tcW w:w="6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Other Intangible Assets</w:t>
            </w: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104,000</w:t>
            </w: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85,110</w:t>
            </w:r>
          </w:p>
        </w:tc>
      </w:tr>
      <w:tr>
        <w:trPr>
          <w:trHeight w:val="280"/>
        </w:trPr>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Goodwill and Other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307,333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recognized $5,300 of amortization expense on intangible assets with finite-lives during the year ended December 31, 2023, $1,300 of which is associated with the over-market asset amortization and is recorded as contra revenue within Other Revenue on the Consolidated Statements of Operations. The Company recognized $4,000 of amortization expense on intangible assets with finite-lives during both the years ended December 31, 2022 and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on the Company's intangible assets with finite-lives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2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Annual Amortization of Intangible Assets with</w:t>
            </w:r>
          </w:p>
        </w:tc>
      </w:tr>
      <w:tr>
        <w:trPr>
          <w:trHeight w:val="205"/>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17"/>
                <w:szCs w:val="17"/>
                <w:color w:val="auto"/>
              </w:rPr>
            </w:pPr>
          </w:p>
        </w:tc>
        <w:tc>
          <w:tcPr>
            <w:tcW w:w="2560" w:type="dxa"/>
            <w:vAlign w:val="bottom"/>
          </w:tcPr>
          <w:p>
            <w:pPr>
              <w:jc w:val="right"/>
              <w:ind w:right="1112"/>
              <w:spacing w:after="0"/>
              <w:rPr>
                <w:sz w:val="20"/>
                <w:szCs w:val="20"/>
                <w:color w:val="auto"/>
              </w:rPr>
            </w:pPr>
            <w:r>
              <w:rPr>
                <w:rFonts w:ascii="Arial" w:cs="Arial" w:eastAsia="Arial" w:hAnsi="Arial"/>
                <w:sz w:val="14"/>
                <w:szCs w:val="14"/>
                <w:b w:val="1"/>
                <w:bCs w:val="1"/>
                <w:color w:val="auto"/>
              </w:rPr>
              <w:t>Finite-Lives</w:t>
            </w:r>
          </w:p>
        </w:tc>
      </w:tr>
      <w:tr>
        <w:trPr>
          <w:trHeight w:val="229"/>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4,728</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Credit Facility</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2023, the Company executed a term loan credit facility with a face amount of $119,200 for the purpose of financing the five Owned Aircraft Held for Operating Lease. The loan is to be repaid monthly through March 2030. During the lease term, payments collected from the lessee will be applied directly to the repayment of principal and interest on the term loan credit facility. The Owned Aircraft Held for Operating Lease, as well as the related lease payments received from the lessee, are pledged as collateral. During the year ended December 31, 2023, the Company recorded $1,820 in debt issuance costs associated with the term loan credit facility.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interest rate on the term loan credit facility is determined by using a base rate, which resets monthly, plus an applicable margin, and a fixed credit spread adjustment of 0.1%. The applicable margin during the lease term is fixed at 3.75%, and is subsequently reduced to 3.25% once the aircraft have been redelivered to the Company and a LTV ratio calculation is completed at the end of the lease term. The interest rate in effect as of December 31, 2023 was 9.2%. To the extent that the LTV ratio exceeds 75% at the end of the lease term, a principal prepayment will be required in order to reduce the ratio to 75%. If at any point within 12 months of the end of the lease term for each respective aircraft the Company deems it probable that a principal prepayment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will be required in order to reduce the LTV ratio to 75%, and such amount can be reasonably estimated, the estimated principal prepayment amount will be reclassified from Long-term Debt, net to Current Maturities of Long-Term Debt, net on the Company's Consolidated Balance Sheets. In the event a principal prepayment is required, amounts received under the end of lease maintenance compensation clause may be applied towards the prepayment.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quarter of 2023, one of the Owned Aircraft Held for Operating Lease was within 12 months of the end of its lease term. The Company obtained an appraisal on the aircraft from an independent, third-party specialist, which confirmed that the LTV level was not in excess of 75% as of the test date. As a result, no amounts related to an estimated principal prepayment have been reclassified from Long-term Debt, net to Current Maturities of Long-Term Debt, net on the Company's Consolidated Balance Sheets as of December 31,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Pass-Through Trust Certificates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March 2022, the Company arranged for the issuance of the 2022-1 EETC in an aggregate face amount of $188,277 for the purpose of financing or refinancing 13 aircraft. The Company is required to make bi-annual principal and interest payments each March and September, through March 2031. These notes bear interest at an annual rate between 4.84% and 5.75%. The weighted average interest rate was 5.05% as of December 31, 2023.</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2019, the Company arranged for the issuance of Class A, Class B and Class C trust certificates Series 2019-1 (the “2019-1 EETC”), in an aggregate face amount of $248,587 for the purpose of financing or refinancing 13 used aircraft, which was completed in 2020. The Company is required to make bi-annual principal and interest payments each June and December, through December 2027. These notes bear interest at an annual rate between 4.13% and 6.95%. The weighted average interest rate was 4.30% as of December 31,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 Loan Program</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Under the CARES Act Loan Program, the Company received a $45,000 loan from the Treasury on October 26, 2020, which was repaid in full on March 24,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includes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3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2019-1 EETC (see terms and conditions above)</w:t>
            </w:r>
          </w:p>
        </w:tc>
        <w:tc>
          <w:tcPr>
            <w:tcW w:w="30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176,697</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2022-1 EETC (see terms and conditions above)</w:t>
            </w: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158,775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179,019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Credit Facility (see terms and conditions above)</w:t>
            </w:r>
          </w:p>
        </w:tc>
        <w:tc>
          <w:tcPr>
            <w:tcW w:w="30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108,442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3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405,640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355,716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3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 of Long-term Debt, net</w:t>
            </w:r>
          </w:p>
        </w:tc>
        <w:tc>
          <w:tcPr>
            <w:tcW w:w="30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(57,548)</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 net</w:t>
            </w:r>
          </w:p>
        </w:tc>
        <w:tc>
          <w:tcPr>
            <w:tcW w:w="3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327,468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294,687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108</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51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10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Debt Principal</w:t>
            </w:r>
          </w:p>
        </w:tc>
        <w:tc>
          <w:tcPr>
            <w:tcW w:w="16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 of Debt</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9"/>
        </w:trPr>
        <w:tc>
          <w:tcPr>
            <w:tcW w:w="65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Issuance Costs</w:t>
            </w:r>
          </w:p>
        </w:tc>
        <w:tc>
          <w:tcPr>
            <w:tcW w:w="280" w:type="dxa"/>
            <w:vAlign w:val="bottom"/>
          </w:tcPr>
          <w:p>
            <w:pPr>
              <w:spacing w:after="0"/>
              <w:rPr>
                <w:sz w:val="19"/>
                <w:szCs w:val="19"/>
                <w:color w:val="auto"/>
              </w:rPr>
            </w:pPr>
          </w:p>
        </w:tc>
        <w:tc>
          <w:tcPr>
            <w:tcW w:w="1220" w:type="dxa"/>
            <w:vAlign w:val="bottom"/>
          </w:tcPr>
          <w:p>
            <w:pPr>
              <w:jc w:val="right"/>
              <w:ind w:right="372"/>
              <w:spacing w:after="0"/>
              <w:rPr>
                <w:sz w:val="20"/>
                <w:szCs w:val="20"/>
                <w:color w:val="auto"/>
              </w:rPr>
            </w:pPr>
            <w:r>
              <w:rPr>
                <w:rFonts w:ascii="Arial" w:cs="Arial" w:eastAsia="Arial" w:hAnsi="Arial"/>
                <w:sz w:val="14"/>
                <w:szCs w:val="14"/>
                <w:b w:val="1"/>
                <w:bCs w:val="1"/>
                <w:color w:val="auto"/>
              </w:rPr>
              <w:t>Net Debt</w:t>
            </w:r>
          </w:p>
        </w:tc>
      </w:tr>
      <w:tr>
        <w:trPr>
          <w:trHeight w:val="230"/>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74,176</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79,998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79,042</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60,449</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64,657</w:t>
            </w: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36,033</w:t>
            </w: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87,568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87,288</w:t>
            </w: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405,640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401,645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Debt was $ 383,061 and $324,059 as of December 31, 2023 and December 31, 2022, respectively. The fair value of the Company’s debt was based on the discounted amount of future cash flows using the Company’s end-of-period estimated incremental borrowing rate for similar obligations. The estimates were primarily based on Level 3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10, 2021, the Company executed the Credit Agreement with a group of lenders that replaced the Company’s prior $25,000 asset-based revolving credit facility. The Credit Agreement included a $25,000 Revolving Credit Facility and a $90,000 DDTL, which are collectively referred to as the “Credit Facilities". The interest rate on borrowings is determined by various alternative base rates plus an applicable margin ranging from 4% to 5%. In addition, there is a commitment fee on the unused Revolving Credit Facility of 0.5%. The proceeds from the Revolving Credit Facility can be used for general corporate purposes, whereas proceeds from the Delayed Draw Term Loan Facility were to be used solely to finance the acquisition of aircraft or engines to be registered in the United States. The Credit Agreement includes financial covenants that require a minimum trailing 12-month EBITDAR ($87,700 as of March 31, 2022 and beyond) and a minimum liquidity, as defined within the Credit Agreement, of $30,000 at the close of any business day. The Company was in compliance with these covenants as of December 31, 2023 and December 31, 2022.</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2021, the Company drew $80,500 on the DDTL to purchase six aircraft, which were previously under operating leases. During the first quarter of 2022, the Company repaid the outstanding balance of the DDTL in full using proceeds it received from the 2022-1 EETC, which terminated the DDTL. As a result, no amounts under the DDTL were available to the Company as of December 31, 2023 or 2022. The Company recorded a $1,557 loss on extinguishment of debt related to the repayment of the DDTL in 2022, which represented the write-off of the unamortized deferred financing costs. As of December 31, 2023, the Company had $24,650 of financing available through the Revolving Credit Facility, as $350 had been pledged to support a letter of credit.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and Sublease Arrangements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classifies its Leases into three categories: Aircraft, Real Estate, and Other. Aircraft leases consist of aircrafts, engines, and aircraft equipment under lease agreements. As of December 31, 2023, the Company had 14 leases for aircraft, all of which were under finance leases. Real estate leases consist of leased hangar and headquarter facilities, a simulator housing facility, and other leases consist of non-aircraft equipment under operating lease agreements. Real estate and other leases generally have initial terms of up to ten years.</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Cargo fleet of 12 aircraft is subleased directly from Amazon and the Company operates them pursuant to the ATSA. Based upon review of the ATSA, the sublease arrangement does not qualify as a lease,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because the Company does not control the use of the aircraft. As such, no right-of-use asset and lease liability is recognized in these financial statements for the Amazon arrangement.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 ended December 31, 2023 the Company entered into one sublease arrangement. The sublease is classified as an operating lease. This sublease arrangement does not relieve the Company of its primary lease obligations with the lessor (the "head lease"). Therefore the Company continues to account for the head lease as a finance lease. The Company is entitled to fixed payments over the remaining lease term, with additional variable lease payments based on aircraft utilization. The sublease expires in the fourth quarter of 2024. The aircraft will be delivered to Sun Country on the sublease expiry date and the aircraft will continue to be leased by the Company. The aircraft is expected to be inducted into the Company's fleet upon redelivery. The rental revenue associated with the sublease is recognized as it is earned and is included in Other Revenue. The rental revenue was immaterial during the year ended December 31, 2023. Future undiscounted cash flows expected to be received in 2024 are nominal.</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aircraft lease agreements include an option to extend the lease term beyond the original expiration date. As of December 31, 2023, the Company remains uncertain as to whether it will exercise any of the available extension options. As such, the Company’s finance lease obligations do not reflect lease payments associated with extension periods that remain unexercised. Also, none of the Company’s aircraft leases contain an early termination provision.</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aircraft lease agreements grant the Company the option to purchase the aircraft at the end of the lease term. To the extent the Company is reasonably certain to exercise the purchase option, the lease arrangement has been accounted for as a finance lease with the purchase option price recognized as part of the lease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Arrangements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year ended December 31, 2023, the Company acquired five Owned Aircraft Held for Operating Lease. The Company obtained outright ownership of the Owned Aircraft Held for Operating Lease upon purchase and assumed the position of lessor until the end of the related aircraft lease terms. The Company is entitled to fixed payments over the remaining lease term for each aircraft, which expire at various dates between the fourth quarter of 2024 and the fourth quarter of 2025. On each lease expiry date, the Owned Aircraft Held for Operating Lease will be redelivered to Sun Country and are expected to be inducted into the Company’s fleet. The rental revenue associated with the Owned Aircraft Held for Operating Lease is recognized as it is earned and is included in Other Revenue. The Company recognized $17,689 of rental revenue during the year ended December 31, 2023. Future undiscounted cash flows of $24,790 and $10,026 are expected to be received in 2024 and 2025, respectively. Upon acquisition of the Owned Aircraft held for Operating Lease, the Company recognized a Maintenance Rights Asset associated with the acquired leases. The Maintenance Rights Asset represents an end of lease compensation clause, whereby the lessee is required to perform the maintenance tasks needed to physically restore the airframe and engines to full-life condition or remit a cash payment to compensate the Company for the maintenance shortfall. See Note 6 for more information on the Owned Aircraft Held for Operating Lease and related assets.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20" w:type="dxa"/>
            <w:vAlign w:val="bottom"/>
          </w:tcPr>
          <w:p>
            <w:pPr>
              <w:spacing w:after="0"/>
              <w:rPr>
                <w:sz w:val="17"/>
                <w:szCs w:val="17"/>
                <w:color w:val="auto"/>
              </w:rPr>
            </w:pPr>
          </w:p>
        </w:tc>
        <w:tc>
          <w:tcPr>
            <w:tcW w:w="4120" w:type="dxa"/>
            <w:vAlign w:val="bottom"/>
            <w:gridSpan w:val="2"/>
          </w:tcPr>
          <w:p>
            <w:pPr>
              <w:ind w:left="154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1"/>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140"/>
              <w:spacing w:after="0"/>
              <w:rPr>
                <w:sz w:val="20"/>
                <w:szCs w:val="20"/>
                <w:color w:val="auto"/>
              </w:rPr>
            </w:pPr>
            <w:r>
              <w:rPr>
                <w:rFonts w:ascii="Arial" w:cs="Arial" w:eastAsia="Arial" w:hAnsi="Arial"/>
                <w:sz w:val="18"/>
                <w:szCs w:val="18"/>
                <w:color w:val="auto"/>
              </w:rPr>
              <w:t>Finance lease assets, net</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243,060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221,727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0" w:type="dxa"/>
            <w:vAlign w:val="bottom"/>
          </w:tcPr>
          <w:p>
            <w:pPr>
              <w:spacing w:after="0"/>
              <w:rPr>
                <w:sz w:val="1"/>
                <w:szCs w:val="1"/>
                <w:color w:val="auto"/>
              </w:rPr>
            </w:pPr>
          </w:p>
        </w:tc>
      </w:tr>
      <w:tr>
        <w:trPr>
          <w:trHeight w:val="176"/>
        </w:trPr>
        <w:tc>
          <w:tcPr>
            <w:tcW w:w="4020" w:type="dxa"/>
            <w:vAlign w:val="bottom"/>
          </w:tcPr>
          <w:p>
            <w:pPr>
              <w:ind w:left="100"/>
              <w:spacing w:after="0" w:line="176" w:lineRule="exact"/>
              <w:rPr>
                <w:sz w:val="20"/>
                <w:szCs w:val="20"/>
                <w:color w:val="auto"/>
              </w:rPr>
            </w:pPr>
            <w:r>
              <w:rPr>
                <w:rFonts w:ascii="Arial" w:cs="Arial" w:eastAsia="Arial" w:hAnsi="Arial"/>
                <w:sz w:val="18"/>
                <w:szCs w:val="18"/>
                <w:color w:val="auto"/>
              </w:rPr>
              <w:t>Owned Aircraft and Flight Equipment Held for</w:t>
            </w:r>
          </w:p>
        </w:tc>
        <w:tc>
          <w:tcPr>
            <w:tcW w:w="4120" w:type="dxa"/>
            <w:vAlign w:val="bottom"/>
            <w:gridSpan w:val="2"/>
            <w:vMerge w:val="restart"/>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020" w:type="dxa"/>
            <w:vAlign w:val="bottom"/>
            <w:vMerge w:val="restart"/>
          </w:tcPr>
          <w:p>
            <w:pPr>
              <w:ind w:left="180"/>
              <w:spacing w:after="0"/>
              <w:rPr>
                <w:sz w:val="20"/>
                <w:szCs w:val="20"/>
                <w:color w:val="auto"/>
              </w:rPr>
            </w:pPr>
            <w:r>
              <w:rPr>
                <w:rFonts w:ascii="Arial" w:cs="Arial" w:eastAsia="Arial" w:hAnsi="Arial"/>
                <w:sz w:val="18"/>
                <w:szCs w:val="18"/>
                <w:color w:val="auto"/>
              </w:rPr>
              <w:t>Operating Lease</w:t>
            </w:r>
          </w:p>
        </w:tc>
        <w:tc>
          <w:tcPr>
            <w:tcW w:w="41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147,584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1"/>
        </w:trPr>
        <w:tc>
          <w:tcPr>
            <w:tcW w:w="4020" w:type="dxa"/>
            <w:vAlign w:val="bottom"/>
            <w:tcBorders>
              <w:bottom w:val="single" w:sz="8" w:color="CCEEFF"/>
            </w:tcBorders>
            <w:vMerge w:val="continue"/>
          </w:tcPr>
          <w:p>
            <w:pPr>
              <w:spacing w:after="0"/>
              <w:rPr>
                <w:sz w:val="7"/>
                <w:szCs w:val="7"/>
                <w:color w:val="auto"/>
              </w:rPr>
            </w:pPr>
          </w:p>
        </w:tc>
        <w:tc>
          <w:tcPr>
            <w:tcW w:w="4040" w:type="dxa"/>
            <w:vAlign w:val="bottom"/>
            <w:tcBorders>
              <w:bottom w:val="single" w:sz="8" w:color="CCEEFF"/>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assets</w:t>
            </w:r>
          </w:p>
        </w:tc>
        <w:tc>
          <w:tcPr>
            <w:tcW w:w="4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243,909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20" w:type="dxa"/>
            <w:vAlign w:val="bottom"/>
            <w:vMerge w:val="continue"/>
          </w:tcPr>
          <w:p>
            <w:pPr>
              <w:spacing w:after="0"/>
              <w:rPr>
                <w:sz w:val="15"/>
                <w:szCs w:val="15"/>
                <w:color w:val="auto"/>
              </w:rPr>
            </w:pPr>
          </w:p>
        </w:tc>
        <w:tc>
          <w:tcPr>
            <w:tcW w:w="4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4120" w:type="dxa"/>
            <w:vAlign w:val="bottom"/>
            <w:gridSpan w:val="2"/>
          </w:tcPr>
          <w:p>
            <w:pPr>
              <w:ind w:left="20"/>
              <w:spacing w:after="0"/>
              <w:rPr>
                <w:sz w:val="20"/>
                <w:szCs w:val="20"/>
                <w:color w:val="auto"/>
              </w:rPr>
            </w:pPr>
            <w:r>
              <w:rPr>
                <w:rFonts w:ascii="Arial" w:cs="Arial" w:eastAsia="Arial" w:hAnsi="Arial"/>
                <w:sz w:val="18"/>
                <w:szCs w:val="18"/>
                <w:color w:val="auto"/>
              </w:rPr>
              <w:t>Short-term Finance Lease Obligations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44,756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17,990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Operating Lease Obligations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Long-term:</w:t>
            </w:r>
          </w:p>
        </w:tc>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liabilities</w:t>
            </w: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Finance Lease Obligations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233,306</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Operating Lease Obligations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4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296,132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277,428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 December 31,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Finance Leases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Operating Leases</w:t>
            </w:r>
          </w:p>
        </w:tc>
      </w:tr>
      <w:tr>
        <w:trPr>
          <w:trHeight w:val="197"/>
        </w:trPr>
        <w:tc>
          <w:tcPr>
            <w:tcW w:w="42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7"/>
                <w:szCs w:val="17"/>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Aircraft</w:t>
            </w:r>
          </w:p>
        </w:tc>
        <w:tc>
          <w:tcPr>
            <w:tcW w:w="22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Real Estate</w:t>
            </w:r>
          </w:p>
        </w:tc>
        <w:tc>
          <w:tcPr>
            <w:tcW w:w="380" w:type="dxa"/>
            <w:vAlign w:val="bottom"/>
          </w:tcPr>
          <w:p>
            <w:pPr>
              <w:spacing w:after="0"/>
              <w:rPr>
                <w:sz w:val="17"/>
                <w:szCs w:val="17"/>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6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Real Estate and Other</w:t>
            </w:r>
          </w:p>
        </w:tc>
      </w:tr>
      <w:tr>
        <w:trPr>
          <w:trHeight w:val="224"/>
        </w:trPr>
        <w:tc>
          <w:tcPr>
            <w:tcW w:w="4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3,662</w:t>
            </w: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2027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3,672</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w:t>
            </w:r>
          </w:p>
        </w:tc>
      </w:tr>
      <w:tr>
        <w:trPr>
          <w:trHeight w:val="230"/>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5,435</w:t>
            </w:r>
          </w:p>
        </w:tc>
      </w:tr>
      <w:tr>
        <w:trPr>
          <w:trHeight w:val="22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23,549</w:t>
            </w:r>
          </w:p>
        </w:tc>
      </w:tr>
      <w:tr>
        <w:trPr>
          <w:trHeight w:val="230"/>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r>
      <w:tr>
        <w:trPr>
          <w:trHeight w:val="223"/>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r>
      <w:tr>
        <w:trPr>
          <w:trHeight w:val="230"/>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Short-term Obligations</w:t>
            </w: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w:t>
            </w:r>
          </w:p>
        </w:tc>
      </w:tr>
      <w:tr>
        <w:trPr>
          <w:trHeight w:val="248"/>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882"/>
        </w:trPr>
        <w:tc>
          <w:tcPr>
            <w:tcW w:w="4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11"/>
        </w:trPr>
        <w:tc>
          <w:tcPr>
            <w:tcW w:w="4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40" w:type="dxa"/>
            <w:vAlign w:val="bottom"/>
          </w:tcPr>
          <w:p>
            <w:pPr>
              <w:spacing w:after="0"/>
              <w:rPr>
                <w:sz w:val="17"/>
                <w:szCs w:val="17"/>
                <w:color w:val="auto"/>
              </w:rPr>
            </w:pPr>
          </w:p>
        </w:tc>
        <w:tc>
          <w:tcPr>
            <w:tcW w:w="3320" w:type="dxa"/>
            <w:vAlign w:val="bottom"/>
            <w:gridSpan w:val="2"/>
          </w:tcPr>
          <w:p>
            <w:pPr>
              <w:ind w:left="1140"/>
              <w:spacing w:after="0"/>
              <w:rPr>
                <w:sz w:val="20"/>
                <w:szCs w:val="20"/>
                <w:color w:val="auto"/>
              </w:rPr>
            </w:pPr>
            <w:r>
              <w:rPr>
                <w:rFonts w:ascii="Arial" w:cs="Arial" w:eastAsia="Arial" w:hAnsi="Arial"/>
                <w:sz w:val="14"/>
                <w:szCs w:val="14"/>
                <w:b w:val="1"/>
                <w:bCs w:val="1"/>
                <w:color w:val="auto"/>
              </w:rPr>
              <w:t>Classification</w:t>
            </w:r>
          </w:p>
        </w:tc>
        <w:tc>
          <w:tcPr>
            <w:tcW w:w="36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 cost</w:t>
            </w:r>
          </w:p>
        </w:tc>
        <w:tc>
          <w:tcPr>
            <w:tcW w:w="3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Amortization of leased assets</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21,150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17,900</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w:t>
            </w:r>
          </w:p>
        </w:tc>
        <w:tc>
          <w:tcPr>
            <w:tcW w:w="3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Included in ROU asset - Aircraft</w:t>
            </w:r>
          </w:p>
        </w:tc>
        <w:tc>
          <w:tcPr>
            <w:tcW w:w="3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18,608</w:t>
            </w:r>
          </w:p>
        </w:tc>
        <w:tc>
          <w:tcPr>
            <w:tcW w:w="0" w:type="dxa"/>
            <w:vAlign w:val="bottom"/>
          </w:tcPr>
          <w:p>
            <w:pPr>
              <w:spacing w:after="0"/>
              <w:rPr>
                <w:sz w:val="1"/>
                <w:szCs w:val="1"/>
                <w:color w:val="auto"/>
              </w:rPr>
            </w:pPr>
          </w:p>
        </w:tc>
      </w:tr>
      <w:tr>
        <w:trPr>
          <w:trHeight w:val="176"/>
        </w:trPr>
        <w:tc>
          <w:tcPr>
            <w:tcW w:w="656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Included in ROU asset - Real Estate &amp; Ground Handling, Landing Fees and</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Airport Rent &amp; Other Operating</w:t>
            </w:r>
          </w:p>
        </w:tc>
        <w:tc>
          <w:tcPr>
            <w:tcW w:w="3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Short-term</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Aircraft Rent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 Aircraft</w:t>
            </w:r>
          </w:p>
        </w:tc>
        <w:tc>
          <w:tcPr>
            <w:tcW w:w="3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Arial" w:cs="Arial" w:eastAsia="Arial" w:hAnsi="Arial"/>
                <w:sz w:val="18"/>
                <w:szCs w:val="18"/>
                <w:color w:val="auto"/>
              </w:rPr>
              <w:t>Variable - Other</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Landing Fees &amp; Airport Rentals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Sublease Income</w:t>
            </w:r>
          </w:p>
        </w:tc>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tcPr>
          <w:p>
            <w:pPr>
              <w:ind w:left="240"/>
              <w:spacing w:after="0"/>
              <w:rPr>
                <w:sz w:val="20"/>
                <w:szCs w:val="20"/>
                <w:color w:val="auto"/>
              </w:rPr>
            </w:pPr>
            <w:r>
              <w:rPr>
                <w:rFonts w:ascii="Arial" w:cs="Arial" w:eastAsia="Arial" w:hAnsi="Arial"/>
                <w:sz w:val="18"/>
                <w:szCs w:val="18"/>
                <w:color w:val="auto"/>
              </w:rPr>
              <w:t>Total Lease cost</w:t>
            </w: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45,638</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45,980</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43,396</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04" w:lineRule="exact"/>
        <w:rPr>
          <w:sz w:val="20"/>
          <w:szCs w:val="20"/>
          <w:color w:val="auto"/>
        </w:rPr>
      </w:pPr>
    </w:p>
    <w:p>
      <w:pPr>
        <w:ind w:left="360" w:right="20" w:hanging="334"/>
        <w:spacing w:after="0" w:line="217" w:lineRule="auto"/>
        <w:tabs>
          <w:tab w:leader="none" w:pos="360"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The years ended December 31, 2023, 2022 and 2021, include credits of $723, $3,228 and $7,609, respectively, for the amortization of Over-market Liabilities established at the Acquisition Date related to lease rates and maintenance reserves.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leases, included in the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5,971</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29,360</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for Finance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8,021</w:t>
            </w:r>
          </w:p>
        </w:tc>
      </w:tr>
      <w:tr>
        <w:trPr>
          <w:trHeight w:val="239"/>
        </w:trPr>
        <w:tc>
          <w:tcPr>
            <w:tcW w:w="6560" w:type="dxa"/>
            <w:vAlign w:val="bottom"/>
          </w:tcPr>
          <w:p>
            <w:pPr>
              <w:ind w:left="140"/>
              <w:spacing w:after="0"/>
              <w:rPr>
                <w:sz w:val="20"/>
                <w:szCs w:val="20"/>
                <w:color w:val="auto"/>
              </w:rPr>
            </w:pPr>
            <w:r>
              <w:rPr>
                <w:rFonts w:ascii="Arial" w:cs="Arial" w:eastAsia="Arial" w:hAnsi="Arial"/>
                <w:sz w:val="18"/>
                <w:szCs w:val="18"/>
                <w:color w:val="auto"/>
              </w:rPr>
              <w:t>Financing Cash Flows for Finance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21,883</w:t>
            </w:r>
          </w:p>
        </w:tc>
        <w:tc>
          <w:tcPr>
            <w:tcW w:w="5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42,062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11,931</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lease-related terms and discount rates related to the Company’s Finance and Operating Leases: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280" w:type="dxa"/>
            <w:vAlign w:val="bottom"/>
            <w:tcBorders>
              <w:bottom w:val="single" w:sz="8" w:color="auto"/>
            </w:tcBorders>
          </w:tcPr>
          <w:p>
            <w:pPr>
              <w:spacing w:after="0"/>
              <w:rPr>
                <w:sz w:val="17"/>
                <w:szCs w:val="17"/>
                <w:color w:val="auto"/>
              </w:rPr>
            </w:pPr>
          </w:p>
        </w:tc>
      </w:tr>
      <w:tr>
        <w:trPr>
          <w:trHeight w:val="196"/>
        </w:trPr>
        <w:tc>
          <w:tcPr>
            <w:tcW w:w="4360" w:type="dxa"/>
            <w:vAlign w:val="bottom"/>
          </w:tcPr>
          <w:p>
            <w:pPr>
              <w:spacing w:after="0"/>
              <w:rPr>
                <w:sz w:val="17"/>
                <w:szCs w:val="17"/>
                <w:color w:val="auto"/>
              </w:rPr>
            </w:pPr>
          </w:p>
        </w:tc>
        <w:tc>
          <w:tcPr>
            <w:tcW w:w="3520" w:type="dxa"/>
            <w:vAlign w:val="bottom"/>
            <w:gridSpan w:val="2"/>
          </w:tcPr>
          <w:p>
            <w:pPr>
              <w:jc w:val="center"/>
              <w:ind w:left="2355"/>
              <w:spacing w:after="0"/>
              <w:rPr>
                <w:sz w:val="20"/>
                <w:szCs w:val="20"/>
                <w:color w:val="auto"/>
              </w:rPr>
            </w:pPr>
            <w:r>
              <w:rPr>
                <w:rFonts w:ascii="Arial" w:cs="Arial" w:eastAsia="Arial" w:hAnsi="Arial"/>
                <w:sz w:val="14"/>
                <w:szCs w:val="14"/>
                <w:b w:val="1"/>
                <w:bCs w:val="1"/>
                <w:color w:val="auto"/>
              </w:rPr>
              <w:t>2023</w:t>
            </w:r>
          </w:p>
        </w:tc>
        <w:tc>
          <w:tcPr>
            <w:tcW w:w="1780" w:type="dxa"/>
            <w:vAlign w:val="bottom"/>
            <w:gridSpan w:val="3"/>
          </w:tcPr>
          <w:p>
            <w:pPr>
              <w:jc w:val="center"/>
              <w:ind w:left="2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4"/>
              <w:spacing w:after="0"/>
              <w:rPr>
                <w:sz w:val="20"/>
                <w:szCs w:val="20"/>
                <w:color w:val="auto"/>
              </w:rPr>
            </w:pPr>
            <w:r>
              <w:rPr>
                <w:rFonts w:ascii="Arial" w:cs="Arial" w:eastAsia="Arial" w:hAnsi="Arial"/>
                <w:sz w:val="14"/>
                <w:szCs w:val="14"/>
                <w:b w:val="1"/>
                <w:bCs w:val="1"/>
                <w:color w:val="auto"/>
              </w:rPr>
              <w:t>2021</w:t>
            </w: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2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40" w:type="dxa"/>
            <w:vAlign w:val="bottom"/>
          </w:tcPr>
          <w:p>
            <w:pPr>
              <w:spacing w:after="0"/>
              <w:rPr>
                <w:sz w:val="19"/>
                <w:szCs w:val="19"/>
                <w:color w:val="auto"/>
              </w:rPr>
            </w:pPr>
          </w:p>
        </w:tc>
        <w:tc>
          <w:tcPr>
            <w:tcW w:w="1280" w:type="dxa"/>
            <w:vAlign w:val="bottom"/>
          </w:tcPr>
          <w:p>
            <w:pPr>
              <w:ind w:left="360"/>
              <w:spacing w:after="0"/>
              <w:rPr>
                <w:sz w:val="20"/>
                <w:szCs w:val="20"/>
                <w:color w:val="auto"/>
              </w:rPr>
            </w:pPr>
            <w:r>
              <w:rPr>
                <w:rFonts w:ascii="Arial" w:cs="Arial" w:eastAsia="Arial" w:hAnsi="Arial"/>
                <w:sz w:val="18"/>
                <w:szCs w:val="18"/>
                <w:color w:val="auto"/>
              </w:rPr>
              <w:t>6.8 years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5.9 years</w:t>
            </w:r>
          </w:p>
        </w:tc>
        <w:tc>
          <w:tcPr>
            <w:tcW w:w="1280" w:type="dxa"/>
            <w:vAlign w:val="bottom"/>
          </w:tcPr>
          <w:p>
            <w:pPr>
              <w:ind w:left="160"/>
              <w:spacing w:after="0"/>
              <w:rPr>
                <w:sz w:val="20"/>
                <w:szCs w:val="20"/>
                <w:color w:val="auto"/>
              </w:rPr>
            </w:pPr>
            <w:r>
              <w:rPr>
                <w:rFonts w:ascii="Arial" w:cs="Arial" w:eastAsia="Arial" w:hAnsi="Arial"/>
                <w:sz w:val="18"/>
                <w:szCs w:val="18"/>
                <w:color w:val="auto"/>
              </w:rPr>
              <w:t>4.6 years</w:t>
            </w: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240" w:type="dxa"/>
            <w:vAlign w:val="bottom"/>
            <w:shd w:val="clear" w:color="auto" w:fill="CCEEFF"/>
          </w:tcPr>
          <w:p>
            <w:pPr>
              <w:spacing w:after="0"/>
              <w:rPr>
                <w:sz w:val="19"/>
                <w:szCs w:val="19"/>
                <w:color w:val="auto"/>
              </w:rPr>
            </w:pPr>
          </w:p>
        </w:tc>
        <w:tc>
          <w:tcPr>
            <w:tcW w:w="1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4.9 years</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9"/>
              </w:rPr>
              <w:t>6.1 years</w:t>
            </w:r>
          </w:p>
        </w:tc>
        <w:tc>
          <w:tcPr>
            <w:tcW w:w="1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7.2 years</w:t>
            </w:r>
          </w:p>
        </w:tc>
      </w:tr>
      <w:tr>
        <w:trPr>
          <w:trHeight w:val="270"/>
        </w:trPr>
        <w:tc>
          <w:tcPr>
            <w:tcW w:w="436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rates</w:t>
            </w:r>
          </w:p>
        </w:tc>
        <w:tc>
          <w:tcPr>
            <w:tcW w:w="2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436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520" w:type="dxa"/>
            <w:vAlign w:val="bottom"/>
            <w:gridSpan w:val="2"/>
          </w:tcPr>
          <w:p>
            <w:pPr>
              <w:jc w:val="center"/>
              <w:ind w:left="2355"/>
              <w:spacing w:after="0"/>
              <w:rPr>
                <w:sz w:val="20"/>
                <w:szCs w:val="20"/>
                <w:color w:val="auto"/>
              </w:rPr>
            </w:pPr>
            <w:r>
              <w:rPr>
                <w:rFonts w:ascii="Arial" w:cs="Arial" w:eastAsia="Arial" w:hAnsi="Arial"/>
                <w:sz w:val="18"/>
                <w:szCs w:val="18"/>
                <w:color w:val="auto"/>
                <w:w w:val="97"/>
              </w:rPr>
              <w:t>6.5%</w:t>
            </w:r>
          </w:p>
        </w:tc>
        <w:tc>
          <w:tcPr>
            <w:tcW w:w="1780" w:type="dxa"/>
            <w:vAlign w:val="bottom"/>
            <w:gridSpan w:val="3"/>
          </w:tcPr>
          <w:p>
            <w:pPr>
              <w:jc w:val="center"/>
              <w:ind w:left="219"/>
              <w:spacing w:after="0"/>
              <w:rPr>
                <w:sz w:val="20"/>
                <w:szCs w:val="20"/>
                <w:color w:val="auto"/>
              </w:rPr>
            </w:pPr>
            <w:r>
              <w:rPr>
                <w:rFonts w:ascii="Arial" w:cs="Arial" w:eastAsia="Arial" w:hAnsi="Arial"/>
                <w:sz w:val="18"/>
                <w:szCs w:val="18"/>
                <w:color w:val="auto"/>
                <w:w w:val="97"/>
              </w:rPr>
              <w:t>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7"/>
              </w:rPr>
              <w:t>6.0%</w:t>
            </w:r>
          </w:p>
        </w:tc>
      </w:tr>
      <w:tr>
        <w:trPr>
          <w:trHeight w:val="229"/>
        </w:trPr>
        <w:tc>
          <w:tcPr>
            <w:tcW w:w="4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520" w:type="dxa"/>
            <w:vAlign w:val="bottom"/>
            <w:gridSpan w:val="2"/>
            <w:shd w:val="clear" w:color="auto" w:fill="CCEEFF"/>
          </w:tcPr>
          <w:p>
            <w:pPr>
              <w:jc w:val="center"/>
              <w:ind w:left="2355"/>
              <w:spacing w:after="0"/>
              <w:rPr>
                <w:sz w:val="20"/>
                <w:szCs w:val="20"/>
                <w:color w:val="auto"/>
              </w:rPr>
            </w:pPr>
            <w:r>
              <w:rPr>
                <w:rFonts w:ascii="Arial" w:cs="Arial" w:eastAsia="Arial" w:hAnsi="Arial"/>
                <w:sz w:val="18"/>
                <w:szCs w:val="18"/>
                <w:color w:val="auto"/>
                <w:w w:val="97"/>
              </w:rPr>
              <w:t>6.6%</w:t>
            </w:r>
          </w:p>
        </w:tc>
        <w:tc>
          <w:tcPr>
            <w:tcW w:w="1780" w:type="dxa"/>
            <w:vAlign w:val="bottom"/>
            <w:gridSpan w:val="3"/>
            <w:shd w:val="clear" w:color="auto" w:fill="CCEEFF"/>
          </w:tcPr>
          <w:p>
            <w:pPr>
              <w:jc w:val="center"/>
              <w:ind w:left="219"/>
              <w:spacing w:after="0"/>
              <w:rPr>
                <w:sz w:val="20"/>
                <w:szCs w:val="20"/>
                <w:color w:val="auto"/>
              </w:rPr>
            </w:pPr>
            <w:r>
              <w:rPr>
                <w:rFonts w:ascii="Arial" w:cs="Arial" w:eastAsia="Arial" w:hAnsi="Arial"/>
                <w:sz w:val="18"/>
                <w:szCs w:val="18"/>
                <w:color w:val="auto"/>
                <w:w w:val="97"/>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97"/>
              </w:rPr>
              <w:t>6.1%</w:t>
            </w:r>
          </w:p>
        </w:tc>
      </w:tr>
      <w:tr>
        <w:trPr>
          <w:trHeight w:val="895"/>
        </w:trPr>
        <w:tc>
          <w:tcPr>
            <w:tcW w:w="4360" w:type="dxa"/>
            <w:vAlign w:val="bottom"/>
          </w:tcPr>
          <w:p>
            <w:pPr>
              <w:spacing w:after="0"/>
              <w:rPr>
                <w:sz w:val="24"/>
                <w:szCs w:val="24"/>
                <w:color w:val="auto"/>
              </w:rPr>
            </w:pPr>
          </w:p>
        </w:tc>
        <w:tc>
          <w:tcPr>
            <w:tcW w:w="2240" w:type="dxa"/>
            <w:vAlign w:val="bottom"/>
          </w:tcPr>
          <w:p>
            <w:pPr>
              <w:jc w:val="right"/>
              <w:ind w:right="755"/>
              <w:spacing w:after="0"/>
              <w:rPr>
                <w:sz w:val="20"/>
                <w:szCs w:val="20"/>
                <w:color w:val="auto"/>
              </w:rPr>
            </w:pPr>
            <w:r>
              <w:rPr>
                <w:rFonts w:ascii="Arial" w:cs="Arial" w:eastAsia="Arial" w:hAnsi="Arial"/>
                <w:sz w:val="18"/>
                <w:szCs w:val="18"/>
                <w:color w:val="auto"/>
              </w:rPr>
              <w:t>112</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1"/>
        </w:trPr>
        <w:tc>
          <w:tcPr>
            <w:tcW w:w="43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years ended December 31, 2023, 2022, and 2021 the Company expensed $620, $2,191 and $4,004 of maintenance reserve payments, respectively. These expenses are reflected in Aircraft Rent on the accompanying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RSU, Other Stock-Based Award, or Other Cash-Based Award granted under the Plan. As of December 31, 2023, there were 2,881,120 shares available for future grants under the Plan. Upon implementation of the Plan, grants under the October 2018 equity incentive plan ceased. Awards already issued under the 2018 plan are not impacted by the new Plan.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compensation expense was $9,274, $2,774, and $5,562 during the years ended December 31, 2023, 2022 and 2021, respectively. During the years ended December 31, 2023, 2022 and 2021 there was a $1,048, $1,032 and $3,619 tax benefit recognized in income related to stock compensation expense. During the year ended December 31, 2023, all conditions associated with the time-based and performance-based options granted under the SCA Acquisition Holdings, LLC Amended and Restated Equity Incentive Plan were met. As a result, 100% of the remaining unvested time-based and performance-based stock options vested. Therefore, during the year ended December 31, 2023, the Company recognized an acceleration of stock-based compensation expense for the time-based and performance-based stock options totaling $2,960. As of December 31, 2023, there was $6,530 of total unrecognized compensation expense related to RSUs. This unrecognized compensation is expected to be fully recognized over a weighted average period of approximately 1.9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time-based stock option activity: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center"/>
              <w:ind w:left="676"/>
              <w:spacing w:after="0"/>
              <w:rPr>
                <w:sz w:val="20"/>
                <w:szCs w:val="20"/>
                <w:color w:val="auto"/>
              </w:rPr>
            </w:pPr>
            <w:r>
              <w:rPr>
                <w:rFonts w:ascii="Arial" w:cs="Arial" w:eastAsia="Arial" w:hAnsi="Arial"/>
                <w:sz w:val="14"/>
                <w:szCs w:val="14"/>
                <w:b w:val="1"/>
                <w:bCs w:val="1"/>
                <w:color w:val="auto"/>
              </w:rPr>
              <w:t>Time-Based Stock Options</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color w:val="auto"/>
              </w:rPr>
              <w:t>Weighted</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Weighted</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color w:val="auto"/>
              </w:rPr>
              <w:t>average</w:t>
            </w:r>
          </w:p>
        </w:tc>
        <w:tc>
          <w:tcPr>
            <w:tcW w:w="240" w:type="dxa"/>
            <w:vAlign w:val="bottom"/>
          </w:tcPr>
          <w:p>
            <w:pPr>
              <w:spacing w:after="0"/>
              <w:rPr>
                <w:sz w:val="15"/>
                <w:szCs w:val="15"/>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Weighted</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average</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color w:val="auto"/>
              </w:rPr>
              <w:t>exercise</w:t>
            </w:r>
          </w:p>
        </w:tc>
        <w:tc>
          <w:tcPr>
            <w:tcW w:w="240" w:type="dxa"/>
            <w:vAlign w:val="bottom"/>
          </w:tcPr>
          <w:p>
            <w:pPr>
              <w:spacing w:after="0"/>
              <w:rPr>
                <w:sz w:val="15"/>
                <w:szCs w:val="15"/>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average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remaining</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Number of</w:t>
            </w:r>
          </w:p>
        </w:tc>
        <w:tc>
          <w:tcPr>
            <w:tcW w:w="36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color w:val="auto"/>
              </w:rPr>
              <w:t>price per</w:t>
            </w:r>
          </w:p>
        </w:tc>
        <w:tc>
          <w:tcPr>
            <w:tcW w:w="240" w:type="dxa"/>
            <w:vAlign w:val="bottom"/>
          </w:tcPr>
          <w:p>
            <w:pPr>
              <w:spacing w:after="0"/>
              <w:rPr>
                <w:sz w:val="14"/>
                <w:szCs w:val="14"/>
                <w:color w:val="auto"/>
              </w:rPr>
            </w:pPr>
          </w:p>
        </w:tc>
        <w:tc>
          <w:tcPr>
            <w:tcW w:w="1420" w:type="dxa"/>
            <w:vAlign w:val="bottom"/>
            <w:gridSpan w:val="3"/>
          </w:tcPr>
          <w:p>
            <w:pPr>
              <w:jc w:val="center"/>
              <w:ind w:right="540"/>
              <w:spacing w:after="0"/>
              <w:rPr>
                <w:sz w:val="20"/>
                <w:szCs w:val="20"/>
                <w:color w:val="auto"/>
              </w:rPr>
            </w:pPr>
            <w:r>
              <w:rPr>
                <w:rFonts w:ascii="Arial" w:cs="Arial" w:eastAsia="Arial" w:hAnsi="Arial"/>
                <w:sz w:val="14"/>
                <w:szCs w:val="14"/>
                <w:color w:val="auto"/>
              </w:rPr>
              <w:t>grant date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contractual</w:t>
            </w:r>
          </w:p>
        </w:tc>
        <w:tc>
          <w:tcPr>
            <w:tcW w:w="1460" w:type="dxa"/>
            <w:vAlign w:val="bottom"/>
            <w:gridSpan w:val="3"/>
          </w:tcPr>
          <w:p>
            <w:pPr>
              <w:jc w:val="right"/>
              <w:ind w:right="180"/>
              <w:spacing w:after="0"/>
              <w:rPr>
                <w:sz w:val="20"/>
                <w:szCs w:val="20"/>
                <w:color w:val="auto"/>
              </w:rPr>
            </w:pPr>
            <w:r>
              <w:rPr>
                <w:rFonts w:ascii="Arial" w:cs="Arial" w:eastAsia="Arial" w:hAnsi="Arial"/>
                <w:sz w:val="14"/>
                <w:szCs w:val="14"/>
                <w:color w:val="auto"/>
              </w:rPr>
              <w:t>Aggregate Intrinsic</w:t>
            </w:r>
          </w:p>
        </w:tc>
        <w:tc>
          <w:tcPr>
            <w:tcW w:w="0" w:type="dxa"/>
            <w:vAlign w:val="bottom"/>
          </w:tcPr>
          <w:p>
            <w:pPr>
              <w:spacing w:after="0"/>
              <w:rPr>
                <w:sz w:val="1"/>
                <w:szCs w:val="1"/>
                <w:color w:val="auto"/>
              </w:rPr>
            </w:pPr>
          </w:p>
        </w:tc>
      </w:tr>
      <w:tr>
        <w:trPr>
          <w:trHeight w:val="204"/>
        </w:trPr>
        <w:tc>
          <w:tcPr>
            <w:tcW w:w="4000" w:type="dxa"/>
            <w:vAlign w:val="bottom"/>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7"/>
                <w:szCs w:val="17"/>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color w:val="auto"/>
              </w:rPr>
              <w:t>share</w:t>
            </w: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color w:val="auto"/>
              </w:rPr>
              <w:t>fair value per share</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color w:val="auto"/>
              </w:rPr>
              <w:t>term (years)</w:t>
            </w:r>
          </w:p>
        </w:tc>
        <w:tc>
          <w:tcPr>
            <w:tcW w:w="1460" w:type="dxa"/>
            <w:vAlign w:val="bottom"/>
            <w:gridSpan w:val="3"/>
          </w:tcPr>
          <w:p>
            <w:pPr>
              <w:ind w:left="20"/>
              <w:spacing w:after="0"/>
              <w:rPr>
                <w:sz w:val="20"/>
                <w:szCs w:val="20"/>
                <w:color w:val="auto"/>
              </w:rPr>
            </w:pPr>
            <w:r>
              <w:rPr>
                <w:rFonts w:ascii="Arial" w:cs="Arial" w:eastAsia="Arial" w:hAnsi="Arial"/>
                <w:sz w:val="14"/>
                <w:szCs w:val="14"/>
                <w:color w:val="auto"/>
              </w:rPr>
              <w:t>Value (in thousands)</w:t>
            </w:r>
          </w:p>
        </w:tc>
        <w:tc>
          <w:tcPr>
            <w:tcW w:w="0" w:type="dxa"/>
            <w:vAlign w:val="bottom"/>
          </w:tcPr>
          <w:p>
            <w:pPr>
              <w:spacing w:after="0"/>
              <w:rPr>
                <w:sz w:val="1"/>
                <w:szCs w:val="1"/>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2,329,461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rPr>
              <w:t>Granted</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62,080</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33.10</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13.47</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1,653,943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rPr>
              <w:t>Granted</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1,356,522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0" w:type="dxa"/>
            <w:vAlign w:val="bottom"/>
            <w:tcBorders>
              <w:top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rPr>
              <w:t>Granted</w:t>
            </w: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Forfeited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Outstanding, Exercisable and Vested as of</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1,263,098</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shd w:val="clear" w:color="auto" w:fill="CCEEFF"/>
          </w:tcPr>
          <w:p>
            <w:pPr>
              <w:jc w:val="right"/>
              <w:ind w:right="2230"/>
              <w:spacing w:after="0"/>
              <w:rPr>
                <w:sz w:val="20"/>
                <w:szCs w:val="20"/>
                <w:color w:val="auto"/>
              </w:rPr>
            </w:pPr>
            <w:r>
              <w:rPr>
                <w:rFonts w:ascii="Arial" w:cs="Arial" w:eastAsia="Arial" w:hAnsi="Arial"/>
                <w:sz w:val="18"/>
                <w:szCs w:val="18"/>
                <w:color w:val="auto"/>
              </w:rPr>
              <w:t>December 31, 2023</w:t>
            </w:r>
          </w:p>
        </w:tc>
        <w:tc>
          <w:tcPr>
            <w:tcW w:w="134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vMerge w:val="continue"/>
            <w:shd w:val="clear" w:color="auto" w:fill="CCEEFF"/>
          </w:tcPr>
          <w:p>
            <w:pPr>
              <w:spacing w:after="0"/>
              <w:rPr>
                <w:sz w:val="24"/>
                <w:szCs w:val="24"/>
                <w:color w:val="auto"/>
              </w:rPr>
            </w:pPr>
          </w:p>
        </w:tc>
        <w:tc>
          <w:tcPr>
            <w:tcW w:w="100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vMerge w:val="continue"/>
            <w:shd w:val="clear" w:color="auto" w:fill="CCEEFF"/>
          </w:tcPr>
          <w:p>
            <w:pPr>
              <w:spacing w:after="0"/>
              <w:rPr>
                <w:sz w:val="24"/>
                <w:szCs w:val="24"/>
                <w:color w:val="auto"/>
              </w:rPr>
            </w:pPr>
          </w:p>
        </w:tc>
        <w:tc>
          <w:tcPr>
            <w:tcW w:w="1120" w:type="dxa"/>
            <w:vAlign w:val="bottom"/>
            <w:tcBorders>
              <w:bottom w:val="single" w:sz="8" w:color="auto"/>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vMerge w:val="continue"/>
            <w:shd w:val="clear" w:color="auto" w:fill="CCEEFF"/>
          </w:tcPr>
          <w:p>
            <w:pPr>
              <w:spacing w:after="0"/>
              <w:rPr>
                <w:sz w:val="24"/>
                <w:szCs w:val="24"/>
                <w:color w:val="auto"/>
              </w:rPr>
            </w:pPr>
          </w:p>
        </w:tc>
        <w:tc>
          <w:tcPr>
            <w:tcW w:w="940" w:type="dxa"/>
            <w:vAlign w:val="bottom"/>
            <w:tcBorders>
              <w:bottom w:val="single" w:sz="8" w:color="CCEEFF"/>
            </w:tcBorders>
            <w:vMerge w:val="continue"/>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9"/>
        </w:trPr>
        <w:tc>
          <w:tcPr>
            <w:tcW w:w="4000" w:type="dxa"/>
            <w:vAlign w:val="bottom"/>
            <w:tcBorders>
              <w:top w:val="single" w:sz="8" w:color="CCEEFF"/>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113</w:t>
            </w: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All time-based stock options had vested as of December 31, 2023. All time-based stock options expire ten years after the grant date. The intrinsic value of stock options exercised in 2023, 2022 and 2021 was $1,421, $3,468 and $18,621,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Company's performance-based stock option activity: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rPr>
              <w:t>Performance-Based Stock Options</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Weighted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Weighted</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average</w:t>
            </w:r>
          </w:p>
        </w:tc>
        <w:tc>
          <w:tcPr>
            <w:tcW w:w="24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Weighted</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average</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color w:val="auto"/>
              </w:rPr>
              <w:t>exercise</w:t>
            </w:r>
          </w:p>
        </w:tc>
        <w:tc>
          <w:tcPr>
            <w:tcW w:w="24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average</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remaining</w:t>
            </w: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price per</w:t>
            </w:r>
          </w:p>
        </w:tc>
        <w:tc>
          <w:tcPr>
            <w:tcW w:w="2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color w:val="auto"/>
              </w:rPr>
              <w:t>grant date</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contractual</w:t>
            </w:r>
          </w:p>
        </w:tc>
        <w:tc>
          <w:tcPr>
            <w:tcW w:w="1400" w:type="dxa"/>
            <w:vAlign w:val="bottom"/>
            <w:gridSpan w:val="2"/>
          </w:tcPr>
          <w:p>
            <w:pPr>
              <w:ind w:left="100"/>
              <w:spacing w:after="0"/>
              <w:rPr>
                <w:sz w:val="20"/>
                <w:szCs w:val="20"/>
                <w:color w:val="auto"/>
              </w:rPr>
            </w:pPr>
            <w:r>
              <w:rPr>
                <w:rFonts w:ascii="Arial" w:cs="Arial" w:eastAsia="Arial" w:hAnsi="Arial"/>
                <w:sz w:val="14"/>
                <w:szCs w:val="14"/>
                <w:color w:val="auto"/>
              </w:rPr>
              <w:t>Aggregate Intrinsic</w:t>
            </w: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shares</w:t>
            </w:r>
          </w:p>
        </w:tc>
        <w:tc>
          <w:tcPr>
            <w:tcW w:w="2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color w:val="auto"/>
              </w:rPr>
              <w:t>share</w:t>
            </w:r>
          </w:p>
        </w:tc>
        <w:tc>
          <w:tcPr>
            <w:tcW w:w="1480" w:type="dxa"/>
            <w:vAlign w:val="bottom"/>
            <w:gridSpan w:val="3"/>
          </w:tcPr>
          <w:p>
            <w:pPr>
              <w:jc w:val="center"/>
              <w:ind w:right="80"/>
              <w:spacing w:after="0"/>
              <w:rPr>
                <w:sz w:val="20"/>
                <w:szCs w:val="20"/>
                <w:color w:val="auto"/>
              </w:rPr>
            </w:pPr>
            <w:r>
              <w:rPr>
                <w:rFonts w:ascii="Arial" w:cs="Arial" w:eastAsia="Arial" w:hAnsi="Arial"/>
                <w:sz w:val="14"/>
                <w:szCs w:val="14"/>
                <w:color w:val="auto"/>
              </w:rPr>
              <w:t>fair value per share</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color w:val="auto"/>
              </w:rPr>
              <w:t>term (years)</w:t>
            </w:r>
          </w:p>
        </w:tc>
        <w:tc>
          <w:tcPr>
            <w:tcW w:w="1400" w:type="dxa"/>
            <w:vAlign w:val="bottom"/>
            <w:gridSpan w:val="2"/>
          </w:tcPr>
          <w:p>
            <w:pPr>
              <w:ind w:left="60"/>
              <w:spacing w:after="0"/>
              <w:rPr>
                <w:sz w:val="20"/>
                <w:szCs w:val="20"/>
                <w:color w:val="auto"/>
              </w:rPr>
            </w:pPr>
            <w:r>
              <w:rPr>
                <w:rFonts w:ascii="Arial" w:cs="Arial" w:eastAsia="Arial" w:hAnsi="Arial"/>
                <w:sz w:val="14"/>
                <w:szCs w:val="14"/>
                <w:color w:val="auto"/>
              </w:rPr>
              <w:t>Value (in thousands)</w:t>
            </w:r>
          </w:p>
        </w:tc>
        <w:tc>
          <w:tcPr>
            <w:tcW w:w="0" w:type="dxa"/>
            <w:vAlign w:val="bottom"/>
          </w:tcPr>
          <w:p>
            <w:pPr>
              <w:spacing w:after="0"/>
              <w:rPr>
                <w:sz w:val="1"/>
                <w:szCs w:val="1"/>
                <w:color w:val="auto"/>
              </w:rPr>
            </w:pP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3,577,252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rPr>
              <w:t>Granted</w:t>
            </w: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99,167</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33.10</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10.08</w:t>
            </w:r>
          </w:p>
        </w:tc>
        <w:tc>
          <w:tcPr>
            <w:tcW w:w="100" w:type="dxa"/>
            <w:vAlign w:val="bottom"/>
            <w:tcBorders>
              <w:top w:val="single" w:sz="8" w:color="CCEEFF"/>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Outstanding as of December 31, 2021</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3,636,771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jc w:val="right"/>
              <w:ind w:right="10"/>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color w:val="auto"/>
              </w:rPr>
              <w:t>(307,894)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color w:val="auto"/>
              </w:rPr>
              <w:t>Outstanding as of December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3,178,533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jc w:val="right"/>
              <w:ind w:right="10"/>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color w:val="auto"/>
              </w:rPr>
              <w:t>(7,812)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900" w:type="dxa"/>
            <w:vAlign w:val="bottom"/>
          </w:tcPr>
          <w:p>
            <w:pPr>
              <w:ind w:left="20"/>
              <w:spacing w:after="0" w:line="156" w:lineRule="exact"/>
              <w:rPr>
                <w:sz w:val="20"/>
                <w:szCs w:val="20"/>
                <w:color w:val="auto"/>
              </w:rPr>
            </w:pPr>
            <w:r>
              <w:rPr>
                <w:rFonts w:ascii="Arial" w:cs="Arial" w:eastAsia="Arial" w:hAnsi="Arial"/>
                <w:sz w:val="18"/>
                <w:szCs w:val="18"/>
                <w:color w:val="auto"/>
              </w:rPr>
              <w:t>Outstanding, Exercisable and Vested as of</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2,798,154</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3"/>
                <w:szCs w:val="13"/>
                <w:color w:val="auto"/>
              </w:rPr>
            </w:pPr>
          </w:p>
        </w:tc>
        <w:tc>
          <w:tcPr>
            <w:tcW w:w="240" w:type="dxa"/>
            <w:vAlign w:val="bottom"/>
            <w:vMerge w:val="restart"/>
          </w:tcPr>
          <w:p>
            <w:pPr>
              <w:jc w:val="right"/>
              <w:ind w:right="34"/>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3"/>
                <w:szCs w:val="13"/>
                <w:color w:val="auto"/>
              </w:rPr>
            </w:pP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26,670</w:t>
            </w:r>
          </w:p>
        </w:tc>
        <w:tc>
          <w:tcPr>
            <w:tcW w:w="0" w:type="dxa"/>
            <w:vAlign w:val="bottom"/>
          </w:tcPr>
          <w:p>
            <w:pPr>
              <w:spacing w:after="0"/>
              <w:rPr>
                <w:sz w:val="1"/>
                <w:szCs w:val="1"/>
                <w:color w:val="auto"/>
              </w:rPr>
            </w:pPr>
          </w:p>
        </w:tc>
      </w:tr>
      <w:tr>
        <w:trPr>
          <w:trHeight w:val="221"/>
        </w:trPr>
        <w:tc>
          <w:tcPr>
            <w:tcW w:w="3900" w:type="dxa"/>
            <w:vAlign w:val="bottom"/>
          </w:tcPr>
          <w:p>
            <w:pPr>
              <w:jc w:val="right"/>
              <w:ind w:right="2130"/>
              <w:spacing w:after="0"/>
              <w:rPr>
                <w:sz w:val="20"/>
                <w:szCs w:val="20"/>
                <w:color w:val="auto"/>
              </w:rPr>
            </w:pPr>
            <w:r>
              <w:rPr>
                <w:rFonts w:ascii="Arial" w:cs="Arial" w:eastAsia="Arial" w:hAnsi="Arial"/>
                <w:sz w:val="18"/>
                <w:szCs w:val="18"/>
                <w:color w:val="auto"/>
              </w:rPr>
              <w:t>December 31, 2023</w:t>
            </w: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vesting for the Company's performance-based stock options was based on the Company's IPO and other ongoing factors. The Company recognized a cumulative catch-up of stock-based compensation expense upon the Company's IPO during the year ended December 31, 2021. During the year ended December 31, 2023, all performance conditions had been met resulting in the accelerated vesting of all outstanding performance-based stock options, see above for more detail. The intrinsic value of performance-based stock options exercised in 2023 and 2022 was $ 5,253 and $2,511, respectively. There were no exercises of performance-based stock options during 2021. All performance-based stock options expire ten years after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Time-Based RSUs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60" w:type="dxa"/>
            <w:vAlign w:val="bottom"/>
          </w:tcPr>
          <w:p>
            <w:pPr>
              <w:spacing w:after="0"/>
              <w:rPr>
                <w:sz w:val="17"/>
                <w:szCs w:val="17"/>
                <w:color w:val="auto"/>
              </w:rPr>
            </w:pPr>
          </w:p>
        </w:tc>
        <w:tc>
          <w:tcPr>
            <w:tcW w:w="4420" w:type="dxa"/>
            <w:vAlign w:val="bottom"/>
            <w:tcBorders>
              <w:bottom w:val="single" w:sz="8" w:color="auto"/>
            </w:tcBorders>
            <w:gridSpan w:val="4"/>
          </w:tcPr>
          <w:p>
            <w:pPr>
              <w:jc w:val="right"/>
              <w:ind w:right="1355"/>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5"/>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76"/>
        </w:trPr>
        <w:tc>
          <w:tcPr>
            <w:tcW w:w="67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tcPr>
          <w:p>
            <w:pPr>
              <w:jc w:val="center"/>
              <w:ind w:right="195"/>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62"/>
        </w:trPr>
        <w:tc>
          <w:tcPr>
            <w:tcW w:w="6760" w:type="dxa"/>
            <w:vAlign w:val="bottom"/>
          </w:tcPr>
          <w:p>
            <w:pPr>
              <w:spacing w:after="0"/>
              <w:rPr>
                <w:sz w:val="14"/>
                <w:szCs w:val="14"/>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Number of</w:t>
            </w:r>
          </w:p>
        </w:tc>
        <w:tc>
          <w:tcPr>
            <w:tcW w:w="280" w:type="dxa"/>
            <w:vAlign w:val="bottom"/>
          </w:tcPr>
          <w:p>
            <w:pPr>
              <w:spacing w:after="0"/>
              <w:rPr>
                <w:sz w:val="14"/>
                <w:szCs w:val="14"/>
                <w:color w:val="auto"/>
              </w:rPr>
            </w:pPr>
          </w:p>
        </w:tc>
        <w:tc>
          <w:tcPr>
            <w:tcW w:w="1880" w:type="dxa"/>
            <w:vAlign w:val="bottom"/>
          </w:tcPr>
          <w:p>
            <w:pPr>
              <w:jc w:val="center"/>
              <w:ind w:right="195"/>
              <w:spacing w:after="0"/>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204"/>
        </w:trPr>
        <w:tc>
          <w:tcPr>
            <w:tcW w:w="676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color w:val="auto"/>
              </w:rPr>
              <w:t>shares</w:t>
            </w:r>
          </w:p>
        </w:tc>
        <w:tc>
          <w:tcPr>
            <w:tcW w:w="280" w:type="dxa"/>
            <w:vAlign w:val="bottom"/>
          </w:tcPr>
          <w:p>
            <w:pPr>
              <w:spacing w:after="0"/>
              <w:rPr>
                <w:sz w:val="17"/>
                <w:szCs w:val="17"/>
                <w:color w:val="auto"/>
              </w:rPr>
            </w:pPr>
          </w:p>
        </w:tc>
        <w:tc>
          <w:tcPr>
            <w:tcW w:w="1880" w:type="dxa"/>
            <w:vAlign w:val="bottom"/>
          </w:tcPr>
          <w:p>
            <w:pPr>
              <w:jc w:val="center"/>
              <w:ind w:right="195"/>
              <w:spacing w:after="0"/>
              <w:rPr>
                <w:sz w:val="20"/>
                <w:szCs w:val="20"/>
                <w:color w:val="auto"/>
              </w:rPr>
            </w:pPr>
            <w:r>
              <w:rPr>
                <w:rFonts w:ascii="Arial" w:cs="Arial" w:eastAsia="Arial" w:hAnsi="Arial"/>
                <w:sz w:val="14"/>
                <w:szCs w:val="14"/>
                <w:color w:val="auto"/>
              </w:rPr>
              <w:t>fair value per share</w:t>
            </w:r>
          </w:p>
        </w:tc>
        <w:tc>
          <w:tcPr>
            <w:tcW w:w="0" w:type="dxa"/>
            <w:vAlign w:val="bottom"/>
          </w:tcPr>
          <w:p>
            <w:pPr>
              <w:spacing w:after="0"/>
              <w:rPr>
                <w:sz w:val="1"/>
                <w:szCs w:val="1"/>
                <w:color w:val="auto"/>
              </w:rPr>
            </w:pPr>
          </w:p>
        </w:tc>
      </w:tr>
      <w:tr>
        <w:trPr>
          <w:trHeight w:val="22"/>
        </w:trPr>
        <w:tc>
          <w:tcPr>
            <w:tcW w:w="67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jc w:val="right"/>
              <w:ind w:right="3610"/>
              <w:spacing w:after="0"/>
              <w:rPr>
                <w:sz w:val="20"/>
                <w:szCs w:val="20"/>
                <w:color w:val="auto"/>
              </w:rPr>
            </w:pPr>
            <w:r>
              <w:rPr>
                <w:rFonts w:ascii="Arial" w:cs="Arial" w:eastAsia="Arial" w:hAnsi="Arial"/>
                <w:sz w:val="18"/>
                <w:szCs w:val="18"/>
                <w:color w:val="auto"/>
                <w:w w:val="99"/>
              </w:rPr>
              <w:t>Outstanding as of December 31, 2020</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60" w:type="dxa"/>
            <w:vAlign w:val="bottom"/>
            <w:vMerge w:val="continue"/>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Arial" w:cs="Arial" w:eastAsia="Arial" w:hAnsi="Arial"/>
                <w:sz w:val="18"/>
                <w:szCs w:val="18"/>
                <w:color w:val="auto"/>
              </w:rPr>
              <w:t>7,634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3"/>
        </w:trPr>
        <w:tc>
          <w:tcPr>
            <w:tcW w:w="6760" w:type="dxa"/>
            <w:vAlign w:val="bottom"/>
          </w:tcPr>
          <w:p>
            <w:pPr>
              <w:jc w:val="right"/>
              <w:ind w:right="3610"/>
              <w:spacing w:after="0"/>
              <w:rPr>
                <w:sz w:val="20"/>
                <w:szCs w:val="20"/>
                <w:color w:val="auto"/>
              </w:rPr>
            </w:pPr>
            <w:r>
              <w:rPr>
                <w:rFonts w:ascii="Arial" w:cs="Arial" w:eastAsia="Arial" w:hAnsi="Arial"/>
                <w:sz w:val="18"/>
                <w:szCs w:val="18"/>
                <w:color w:val="auto"/>
                <w:w w:val="99"/>
              </w:rPr>
              <w:t>Outstanding as of December 31, 2021</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9"/>
        </w:trPr>
        <w:tc>
          <w:tcPr>
            <w:tcW w:w="6760" w:type="dxa"/>
            <w:vAlign w:val="bottom"/>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Vested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23"/>
        </w:trPr>
        <w:tc>
          <w:tcPr>
            <w:tcW w:w="6760" w:type="dxa"/>
            <w:vAlign w:val="bottom"/>
          </w:tcPr>
          <w:p>
            <w:pPr>
              <w:jc w:val="right"/>
              <w:ind w:right="3610"/>
              <w:spacing w:after="0"/>
              <w:rPr>
                <w:sz w:val="20"/>
                <w:szCs w:val="20"/>
                <w:color w:val="auto"/>
              </w:rPr>
            </w:pPr>
            <w:r>
              <w:rPr>
                <w:rFonts w:ascii="Arial" w:cs="Arial" w:eastAsia="Arial" w:hAnsi="Arial"/>
                <w:sz w:val="18"/>
                <w:szCs w:val="18"/>
                <w:color w:val="auto"/>
                <w:w w:val="99"/>
              </w:rPr>
              <w:t>Outstanding as of December 31, 2022</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230,191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Granted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30"/>
        </w:trPr>
        <w:tc>
          <w:tcPr>
            <w:tcW w:w="6760" w:type="dxa"/>
            <w:vAlign w:val="bottom"/>
          </w:tcPr>
          <w:p>
            <w:pPr>
              <w:jc w:val="right"/>
              <w:spacing w:after="0"/>
              <w:rPr>
                <w:sz w:val="20"/>
                <w:szCs w:val="20"/>
                <w:color w:val="auto"/>
              </w:rPr>
            </w:pPr>
            <w:r>
              <w:rPr>
                <w:rFonts w:ascii="Arial" w:cs="Arial" w:eastAsia="Arial" w:hAnsi="Arial"/>
                <w:sz w:val="18"/>
                <w:szCs w:val="18"/>
                <w:color w:val="auto"/>
              </w:rPr>
              <w:t>Forfeited</w:t>
            </w:r>
          </w:p>
        </w:tc>
        <w:tc>
          <w:tcPr>
            <w:tcW w:w="2160" w:type="dxa"/>
            <w:vAlign w:val="bottom"/>
          </w:tcPr>
          <w:p>
            <w:pPr>
              <w:jc w:val="right"/>
              <w:spacing w:after="0"/>
              <w:rPr>
                <w:sz w:val="20"/>
                <w:szCs w:val="20"/>
                <w:color w:val="auto"/>
              </w:rPr>
            </w:pPr>
            <w:r>
              <w:rPr>
                <w:rFonts w:ascii="Arial" w:cs="Arial" w:eastAsia="Arial" w:hAnsi="Arial"/>
                <w:sz w:val="18"/>
                <w:szCs w:val="18"/>
                <w:color w:val="auto"/>
              </w:rPr>
              <w:t>(54,751)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Vested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23"/>
        </w:trPr>
        <w:tc>
          <w:tcPr>
            <w:tcW w:w="6760" w:type="dxa"/>
            <w:vAlign w:val="bottom"/>
          </w:tcPr>
          <w:p>
            <w:pPr>
              <w:jc w:val="right"/>
              <w:ind w:right="3610"/>
              <w:spacing w:after="0"/>
              <w:rPr>
                <w:sz w:val="20"/>
                <w:szCs w:val="20"/>
                <w:color w:val="auto"/>
              </w:rPr>
            </w:pPr>
            <w:r>
              <w:rPr>
                <w:rFonts w:ascii="Arial" w:cs="Arial" w:eastAsia="Arial" w:hAnsi="Arial"/>
                <w:sz w:val="18"/>
                <w:szCs w:val="18"/>
                <w:color w:val="auto"/>
                <w:w w:val="99"/>
              </w:rPr>
              <w:t>Outstanding as of December 31, 2023</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measures compensation expense for grants of time-based RSUs using the Company's share price on the date of grant. The Company recognizes expense associated with the RSUs in an amount equal to the fair value on the date of the grant and on a straight-line basis over the requisite service period of the award. RSUs vest ratably over the term of the award, which is typically three years. The total fair value of restricted stock units vested was $3,701 and $441 during the year ended December 31, 2023 and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401(k)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The Company currently matches 100% of participants contribution up to a maximum of 4% for non-pilot participants’ and 6% for pilot participants’ eligible compensation. Pursuant to the current pilot collective bargaining agreement, the Company was also required to make a non-discretionary 14% Company contribution for pilots based on gross earnings. This non-discretionary Company contribution for pilots will increase to 15% in 2024 and thereafter. Contributions are classified in Salaries, Wages, and Benefits on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401(k) contributions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Non-Discretionary</w:t>
            </w:r>
          </w:p>
        </w:tc>
        <w:tc>
          <w:tcPr>
            <w:tcW w:w="27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Discretionary</w:t>
            </w:r>
          </w:p>
        </w:tc>
        <w:tc>
          <w:tcPr>
            <w:tcW w:w="27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401(k) Contributions</w:t>
            </w:r>
          </w:p>
        </w:tc>
        <w:tc>
          <w:tcPr>
            <w:tcW w:w="2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jc w:val="right"/>
              <w:ind w:right="710"/>
              <w:spacing w:after="0"/>
              <w:rPr>
                <w:sz w:val="20"/>
                <w:szCs w:val="20"/>
                <w:color w:val="auto"/>
              </w:rPr>
            </w:pPr>
            <w:r>
              <w:rPr>
                <w:rFonts w:ascii="Arial" w:cs="Arial" w:eastAsia="Arial" w:hAnsi="Arial"/>
                <w:sz w:val="18"/>
                <w:szCs w:val="18"/>
                <w:color w:val="auto"/>
              </w:rPr>
              <w:t>115</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386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60" w:type="dxa"/>
            <w:vAlign w:val="bottom"/>
            <w:tcBorders>
              <w:bottom w:val="single" w:sz="8" w:color="9A9A9A"/>
            </w:tcBorders>
          </w:tcPr>
          <w:p>
            <w:pPr>
              <w:spacing w:after="0"/>
              <w:rPr>
                <w:sz w:val="9"/>
                <w:szCs w:val="9"/>
                <w:color w:val="auto"/>
              </w:rPr>
            </w:pPr>
          </w:p>
        </w:tc>
        <w:tc>
          <w:tcPr>
            <w:tcW w:w="2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securities by major security type: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2023</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12"/>
                <w:szCs w:val="12"/>
                <w:color w:val="auto"/>
              </w:rPr>
            </w:pP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6,981</w:t>
            </w:r>
          </w:p>
        </w:tc>
        <w:tc>
          <w:tcPr>
            <w:tcW w:w="8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68,118</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68,016</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134,321</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2022</w:t>
            </w: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2"/>
                <w:szCs w:val="12"/>
                <w:color w:val="auto"/>
              </w:rPr>
            </w:pPr>
          </w:p>
        </w:tc>
        <w:tc>
          <w:tcPr>
            <w:tcW w:w="16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12"/>
                <w:szCs w:val="12"/>
                <w:color w:val="auto"/>
              </w:rPr>
            </w:pPr>
          </w:p>
        </w:tc>
        <w:tc>
          <w:tcPr>
            <w:tcW w:w="14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47,897</w:t>
            </w:r>
          </w:p>
        </w:tc>
        <w:tc>
          <w:tcPr>
            <w:tcW w:w="80" w:type="dxa"/>
            <w:vAlign w:val="bottom"/>
          </w:tcPr>
          <w:p>
            <w:pPr>
              <w:spacing w:after="0"/>
              <w:rPr>
                <w:sz w:val="19"/>
                <w:szCs w:val="19"/>
                <w:color w:val="auto"/>
              </w:rPr>
            </w:pPr>
          </w:p>
        </w:tc>
        <w:tc>
          <w:tcPr>
            <w:tcW w:w="640" w:type="dxa"/>
            <w:vAlign w:val="bottom"/>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32,326</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32,202</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173,683</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172,635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40" w:right="520" w:hanging="414"/>
        <w:spacing w:after="0" w:line="285" w:lineRule="auto"/>
        <w:tabs>
          <w:tab w:leader="none" w:pos="4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Consolidated Balance Sheets totaling $6,887 and $6,301 as of December 31, 2023 and December 31, 2022,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unrealized losses were the result of increases in market interest rates and were not the result of a</w:t>
      </w:r>
    </w:p>
    <w:p>
      <w:pPr>
        <w:spacing w:after="0" w:line="1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deterioration in the credit quality of the securities. As of December 31, 2023, the Company believes that any unrealized losses will recover prior to the investment's conversion to cash.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225" w:lineRule="exact"/>
        <w:rPr>
          <w:sz w:val="20"/>
          <w:szCs w:val="20"/>
          <w:color w:val="auto"/>
        </w:rPr>
      </w:pPr>
    </w:p>
    <w:p>
      <w:pPr>
        <w:jc w:val="both"/>
        <w:ind w:left="1300" w:hanging="809"/>
        <w:spacing w:after="0" w:line="268"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jc w:val="both"/>
        <w:ind w:left="1300" w:hanging="809"/>
        <w:spacing w:after="0" w:line="28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 Financial instruments including Restricted Cash, Certificates of Deposit, Accounts Receivable, Accounts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other Current Liabilities have carrying values that approximate fair value.</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Cash &amp; Cash Equivalents </w:t>
      </w:r>
      <w:r>
        <w:rPr>
          <w:rFonts w:ascii="Arial" w:cs="Arial" w:eastAsia="Arial" w:hAnsi="Arial"/>
          <w:sz w:val="18"/>
          <w:szCs w:val="18"/>
          <w:color w:val="auto"/>
        </w:rPr>
        <w:t>– The carrying value of cash and cash equivalents approximates fair value. Fair values of cash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that do not trade on a regular basis in active markets are classified as Level 2.</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 Available-for-Sale investment securities include debt securities, such as municipal, corporate, and U.S.</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agency notes. All of these investments are classified as Level 2 because they do not trade in active markets on a regular basis. The Company obtains its pricing per security from a third-party, which uses quoted market prices, when available, or other observable inputs for determination of fair value.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Non-Financial Assets </w:t>
      </w:r>
      <w:r>
        <w:rPr>
          <w:rFonts w:ascii="Arial" w:cs="Arial" w:eastAsia="Arial" w:hAnsi="Arial"/>
          <w:sz w:val="18"/>
          <w:szCs w:val="18"/>
          <w:color w:val="auto"/>
        </w:rPr>
        <w:t>– Certain assets are measured at fair value on a nonrecurring basis. The Company’s non-financial assets,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 of Property &amp;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See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Note 8</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information on the Company's debt financings and related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December 31, 2023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59,248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68,016</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134,240</w:t>
            </w:r>
          </w:p>
        </w:tc>
        <w:tc>
          <w:tcPr>
            <w:tcW w:w="0" w:type="dxa"/>
            <w:vAlign w:val="bottom"/>
          </w:tcPr>
          <w:p>
            <w:pPr>
              <w:spacing w:after="0"/>
              <w:rPr>
                <w:sz w:val="1"/>
                <w:szCs w:val="1"/>
                <w:color w:val="auto"/>
              </w:rPr>
            </w:pPr>
          </w:p>
        </w:tc>
      </w:tr>
      <w:tr>
        <w:trPr>
          <w:trHeight w:val="155"/>
        </w:trPr>
        <w:tc>
          <w:tcPr>
            <w:tcW w:w="4420" w:type="dxa"/>
            <w:vAlign w:val="bottom"/>
            <w:shd w:val="clear" w:color="auto" w:fill="CCEEFF"/>
          </w:tcPr>
          <w:p>
            <w:pPr>
              <w:ind w:left="360"/>
              <w:spacing w:after="0" w:line="156"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134,240</w:t>
            </w:r>
          </w:p>
        </w:tc>
        <w:tc>
          <w:tcPr>
            <w:tcW w:w="10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180,519</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Recurring Basis</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92,086</w:t>
            </w:r>
          </w:p>
        </w:tc>
        <w:tc>
          <w:tcPr>
            <w:tcW w:w="0" w:type="dxa"/>
            <w:vAlign w:val="bottom"/>
          </w:tcPr>
          <w:p>
            <w:pPr>
              <w:spacing w:after="0"/>
              <w:rPr>
                <w:sz w:val="1"/>
                <w:szCs w:val="1"/>
                <w:color w:val="auto"/>
              </w:rPr>
            </w:pPr>
          </w:p>
        </w:tc>
      </w:tr>
      <w:tr>
        <w:trPr>
          <w:trHeight w:val="210"/>
        </w:trPr>
        <w:tc>
          <w:tcPr>
            <w:tcW w:w="442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92,778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92,778</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Securities</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32,202</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Available-for-Sale Securities</w:t>
            </w:r>
          </w:p>
        </w:tc>
        <w:tc>
          <w:tcPr>
            <w:tcW w:w="3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172,635</w:t>
            </w:r>
          </w:p>
        </w:tc>
        <w:tc>
          <w:tcPr>
            <w:tcW w:w="10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172,635</w:t>
            </w:r>
          </w:p>
        </w:tc>
        <w:tc>
          <w:tcPr>
            <w:tcW w:w="0" w:type="dxa"/>
            <w:vAlign w:val="bottom"/>
          </w:tcPr>
          <w:p>
            <w:pPr>
              <w:spacing w:after="0"/>
              <w:rPr>
                <w:sz w:val="1"/>
                <w:szCs w:val="1"/>
                <w:color w:val="auto"/>
              </w:rPr>
            </w:pPr>
          </w:p>
        </w:tc>
      </w:tr>
      <w:tr>
        <w:trPr>
          <w:trHeight w:val="164"/>
        </w:trPr>
        <w:tc>
          <w:tcPr>
            <w:tcW w:w="4420" w:type="dxa"/>
            <w:vAlign w:val="bottom"/>
            <w:shd w:val="clear" w:color="auto" w:fill="CCEEFF"/>
          </w:tcPr>
          <w:p>
            <w:pPr>
              <w:ind w:left="360"/>
              <w:spacing w:after="0" w:line="163" w:lineRule="exact"/>
              <w:rPr>
                <w:sz w:val="20"/>
                <w:szCs w:val="20"/>
                <w:color w:val="auto"/>
              </w:rPr>
            </w:pPr>
            <w:r>
              <w:rPr>
                <w:rFonts w:ascii="Arial" w:cs="Arial" w:eastAsia="Arial" w:hAnsi="Arial"/>
                <w:sz w:val="18"/>
                <w:szCs w:val="18"/>
                <w:color w:val="auto"/>
              </w:rPr>
              <w:t>Total Assets Measured at Fair Value on a</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73,727</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190,994</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264,721</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Recurring Basis</w:t>
            </w:r>
          </w:p>
        </w:tc>
        <w:tc>
          <w:tcPr>
            <w:tcW w:w="34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4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21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Federal</w:t>
            </w:r>
          </w:p>
        </w:tc>
        <w:tc>
          <w:tcPr>
            <w:tcW w:w="20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 and Local</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Tax Expense</w:t>
            </w:r>
          </w:p>
        </w:tc>
        <w:tc>
          <w:tcPr>
            <w:tcW w:w="15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50"/>
        </w:trPr>
        <w:tc>
          <w:tcPr>
            <w:tcW w:w="47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Deferred:</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19,609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 and Local</w:t>
            </w:r>
          </w:p>
        </w:tc>
        <w:tc>
          <w:tcPr>
            <w:tcW w:w="15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2,277</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Expense</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21,886</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18,947</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21,978</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1"/>
        </w:trPr>
        <w:tc>
          <w:tcPr>
            <w:tcW w:w="8460" w:type="dxa"/>
            <w:vAlign w:val="bottom"/>
            <w:gridSpan w:val="10"/>
          </w:tcPr>
          <w:p>
            <w:pPr>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Provision at Federal Statutory Tax Rate</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State Tax, net of Federal Impact</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Compensation Benefit</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Tax Receivable Agreement</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Compensation Limitation</w:t>
            </w: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Permanent Adjustments</w:t>
            </w:r>
          </w:p>
        </w:tc>
        <w:tc>
          <w:tcPr>
            <w:tcW w:w="1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3"/>
        </w:trPr>
        <w:tc>
          <w:tcPr>
            <w:tcW w:w="47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73,559</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73,252</w:t>
            </w: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34,458</w:t>
            </w: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5,179</w:t>
            </w: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and Other Intangible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r>
      <w:tr>
        <w:trPr>
          <w:trHeight w:val="229"/>
        </w:trPr>
        <w:tc>
          <w:tcPr>
            <w:tcW w:w="8140" w:type="dxa"/>
            <w:vAlign w:val="bottom"/>
          </w:tcPr>
          <w:p>
            <w:pPr>
              <w:ind w:left="180"/>
              <w:spacing w:after="0"/>
              <w:rPr>
                <w:sz w:val="20"/>
                <w:szCs w:val="20"/>
                <w:color w:val="auto"/>
              </w:rPr>
            </w:pPr>
            <w:r>
              <w:rPr>
                <w:rFonts w:ascii="Arial" w:cs="Arial" w:eastAsia="Arial" w:hAnsi="Arial"/>
                <w:sz w:val="18"/>
                <w:szCs w:val="18"/>
                <w:color w:val="auto"/>
              </w:rPr>
              <w:t>Loyalty Program Liabilities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3,459</w:t>
            </w: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Limitation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r>
      <w:tr>
        <w:trPr>
          <w:trHeight w:val="229"/>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134,169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130,188</w:t>
            </w:r>
          </w:p>
        </w:tc>
      </w:tr>
      <w:tr>
        <w:trPr>
          <w:trHeight w:val="237"/>
        </w:trPr>
        <w:tc>
          <w:tcPr>
            <w:tcW w:w="8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Accelerated Depreciation</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(78,749)</w:t>
            </w: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(30,492)</w:t>
            </w:r>
          </w:p>
        </w:tc>
      </w:tr>
      <w:tr>
        <w:trPr>
          <w:trHeight w:val="270"/>
        </w:trPr>
        <w:tc>
          <w:tcPr>
            <w:tcW w:w="81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(5,102)</w:t>
            </w: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Maintenance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r>
      <w:tr>
        <w:trPr>
          <w:trHeight w:val="270"/>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(117,232)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Net Deferred Tax (Liabilities)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2023, the Company has $ 71,039 of federal NOLs and $2,520 of state NOLs, net of tax effect, available that may be applied against future tax liabilities. As a result of ownership changes that occurred in 2021, the existing federal and state NOLs may be subject to certain limitations under Section 382 of the Internal Revenue Code. However, the Company does not believe these limitations will adversely impact its ability to use these losses to offset taxable income in future periods. There is no expiration of federal net operating losses. The state net operating losses begin to expire in 2025.</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2023, management believes that it is more likely than not that the future results of the operations will generate sufficient taxable income to realize the tax benefits related to its Deferred Tax Assets.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 As of December 31, 2023 and 2022, the Company had no liability for unrecognized tax benefits recorded in its Consolidated Balance Sheets.</w:t>
      </w:r>
    </w:p>
    <w:p>
      <w:pPr>
        <w:spacing w:after="0" w:line="17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income tax purposes,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Company's 2022, 2021, and 2020 tax returns remain open to examination. For U.S. state income tax purposes, the Company's 2022, 2021, 2020, and 2019 tax returns remain open to examination.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Company’s IPO, the legal entity Sun Country Airlines Holdings, Inc. entered into a TRA with the TRA holders. The TRA provides for the payment by the Company to the TRA holders of 85% of the amount of cash savings, if any, in U.S. federal, state, local, and foreign income tax that the Company actually realizes (or is deemed to realize in certain circumstances) as a result of the Pre-IPO Tax Attributes. The Company will retain the benefit of the remaining 15% of these cash savings. Upon the closing of the IPO, the Company recognized a non-current liability of $115,200, which represented undiscounted aggregate payments that were expected to be paid to the TRA holders, with an offset to Stockholders’ Equity.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TRA balance as of December 31, 2023 and 2022 was $101,044 and $103,800, of which $3,250 and $ 2,260 was current, respectively. The TRA liability is an estimate and actual amounts payable under the TRA could differ from this estimate. Adjustments to the TRA liability are recorded in Other, net Non-Operating Income (Expense), net on the Company's Consolidated Statements of Operations. If the Company does not generate sufficient taxable income in the aggregate over the term of the TRA to utilize the tax benefits, then it would not be required to make the related TRA payments. During the year ended December 31, 2023, the Company recorded an immaterial adjustment to the estimated TRA liability. During the year ended December 31, 2022, the TRA Liability increased by $5,000, which was recorded as an expense within the Consolidated Statement of Operations. During the year ended December 31, 2023, the Company made a payment of $2,425 to the TRA holders, which includes certain members of the Company's management and certain members of the Company's Board of Directors. The payment is included within Financing Activities on the Consolidated Statements of Cash Flows. Payments will be made in future periods as the Pre-IPO Tax Attributes are utilized.</w:t>
      </w:r>
    </w:p>
    <w:p>
      <w:pPr>
        <w:spacing w:after="0" w:line="185" w:lineRule="exact"/>
        <w:rPr>
          <w:sz w:val="20"/>
          <w:szCs w:val="20"/>
          <w:color w:val="auto"/>
        </w:rPr>
      </w:pPr>
    </w:p>
    <w:p>
      <w:pPr>
        <w:ind w:right="8660" w:firstLine="8"/>
        <w:spacing w:after="0" w:line="486" w:lineRule="auto"/>
        <w:tabs>
          <w:tab w:leader="none" w:pos="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Equity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of Common Stock and Other Stock Sales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$225,329 after deducting underwriting discounts and commissions, and other offering expenses.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Concurrently with the closing of the initial public offering, the Apollo Stockholder, also completed a private placement in which the Apollo Stockholder sold 2,216,312 and 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Secondary Offerings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May and October 2021, the Apollo Stockholder and other selling stockholders, sold 7,250,000 and 8,500,000 shares of the Company’s common stock, respectively. Under both transactions, the underwriters were given options to purchase additional shares of the Company's common stock at the public offering price. During the May and October 2021 offerings, the underwriters elected to purchase an additional 1,087,500 and 435,291 of the option shares, respectively. The Company incurred offering expenses of $1,763 in conjunction with the two secondary offerings and did not receive any of the proceeds from these offerings.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15, 2023, the Company announced the commencement of a secondary public offering of 5,250,000 shares of its Common Stock by the Apollo Stockholder. The underwriters were given an option to purchase an additional 787,500 shares of Common Stock. In connection with the offering, the underwriters agreed to sell to the Company, and the Company agreed to purchase from the underwriters, an aggregate of 750,000 shares of Common Stock at a price of $19.75 per share, the same price at which the underwriters purchased the Common Stock from the selling stockholder, for a total of $14,812. The Company incurred offering expenses of $640 in connection with this offering and did not receive any of the proceeds.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11, 2023, the Company announced the commencement of a secondary public offering of 4,000,000 shares of its Common Stock by the Apollo Stockholder. The underwriters were given an option to purchase an additional 600,000 shares of Common Stock. In connection with the offering, the underwriters agreed to sell to the Company, and the Company agreed to purchase from the underwriters, an aggregate of 312,500 shares of Common Stock at a price of $16.00 per share, the same price at which the underwriters purchased the Common Stock from the selling stockholder, for a total of $5,000. Subsequent to December 31, 2023, the underwriters elected to purchase 231,392 of these shares. The Company incurred offering expenses of $488 in connection with this offering and did not receive any of the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October 31, 2022, the Company’s Board of Directors authorized a $50,000 stock repurchase program. On August 1, 2023 and November 6, 2023, the Company's Board of Directors authorized an additional $30,000 and $25,000, respectively, to the Company's existing stock repurchase program. The stock repurchase program has no expiration date and may be modified, suspended, or terminated at any time.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fourth quarter of 2022, the Company entered into a $ 25,000 Accelerated Share Repurchase Program. The Company received an initial delivery of 890,586 shares at an average price of $19.65 per share during the fourth quarter of 2022. The settlement of the program occurred during January 2023, upon which the Company received an additional 480,932 shares. In total, the Company repurchased 1,371,518 shares at an average price of $18.23 per share.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2023, the Company repurchased 4,213,975 shares of its Common Stock at a total cost of $68,585, or an average price of $16.28 per share. The repurchases were part of secondary public offerings of the Company's shares by the Apollo Stockholder, as well as open market 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Company had $11,478 of Board authorization remaining to repurchase additional shares of its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Agreement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13, 2019, the Company signed a six year contract (with two, two-year extension options, for a maximum term of 10 years) with Amazon to provide Cargo services under the ATSA. In connection with the ATSA, the Company issued warrants to Amazon to purchase an aggregate of up to 9,482,606 shares of common stock at an exercise price of approximately $15.17 per share. There were 632,183 warrants that vested upon execution of the ATSA and 63,217 warrants will vest for each milestone of $8,000 in qualifying payments made by Amazon to the Company. During the years ended December 31, 2023, 2022 and 2021, total warrants vested were 821,825, 758,608 and 758,608, respectively. This resulted in Amazon holding 3,224,093 vested warrants as of December 31, 2023. The exercise period of these warrants is through the eighth anniversary of the issue date.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SPECIAL ITEMS, NET</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periods presented and may vary from period to period in nature, frequency, and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Special Items, net on the Consolidated Statements of Operations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5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658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CARES Act grant recognition </w:t>
            </w:r>
            <w:r>
              <w:rPr>
                <w:rFonts w:ascii="Arial" w:cs="Arial" w:eastAsia="Arial" w:hAnsi="Arial"/>
                <w:sz w:val="23"/>
                <w:szCs w:val="23"/>
                <w:color w:val="auto"/>
                <w:vertAlign w:val="superscript"/>
              </w:rPr>
              <w:t>(1)</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(71,587)</w:t>
            </w:r>
          </w:p>
        </w:tc>
      </w:tr>
      <w:tr>
        <w:trPr>
          <w:trHeight w:val="230"/>
        </w:trPr>
        <w:tc>
          <w:tcPr>
            <w:tcW w:w="65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CARES Act employee retention credit </w:t>
            </w:r>
            <w:r>
              <w:rPr>
                <w:rFonts w:ascii="Arial" w:cs="Arial" w:eastAsia="Arial" w:hAnsi="Arial"/>
                <w:sz w:val="23"/>
                <w:szCs w:val="23"/>
                <w:color w:val="auto"/>
                <w:vertAlign w:val="superscript"/>
              </w:rPr>
              <w:t>(2)</w:t>
            </w:r>
          </w:p>
        </w:tc>
        <w:tc>
          <w:tcPr>
            <w:tcW w:w="1060" w:type="dxa"/>
            <w:vAlign w:val="bottom"/>
          </w:tcPr>
          <w:p>
            <w:pPr>
              <w:spacing w:after="0"/>
              <w:rPr>
                <w:sz w:val="19"/>
                <w:szCs w:val="19"/>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6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6580" w:type="dxa"/>
            <w:vAlign w:val="bottom"/>
          </w:tcPr>
          <w:p>
            <w:pPr>
              <w:ind w:left="180"/>
              <w:spacing w:after="0"/>
              <w:rPr>
                <w:sz w:val="20"/>
                <w:szCs w:val="20"/>
                <w:color w:val="auto"/>
              </w:rPr>
            </w:pPr>
            <w:r>
              <w:rPr>
                <w:rFonts w:ascii="Arial" w:cs="Arial" w:eastAsia="Arial" w:hAnsi="Arial"/>
                <w:sz w:val="18"/>
                <w:szCs w:val="18"/>
                <w:color w:val="auto"/>
              </w:rPr>
              <w:t>Total Special Items, net</w:t>
            </w:r>
          </w:p>
        </w:tc>
        <w:tc>
          <w:tcPr>
            <w:tcW w:w="106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(72,419)</w:t>
            </w:r>
          </w:p>
        </w:tc>
      </w:tr>
      <w:tr>
        <w:trPr>
          <w:trHeight w:val="20"/>
        </w:trPr>
        <w:tc>
          <w:tcPr>
            <w:tcW w:w="6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w:t>
      </w:r>
    </w:p>
    <w:p>
      <w:pPr>
        <w:spacing w:after="0" w:line="55" w:lineRule="exact"/>
        <w:rPr>
          <w:sz w:val="20"/>
          <w:szCs w:val="20"/>
          <w:color w:val="auto"/>
        </w:rPr>
      </w:pPr>
    </w:p>
    <w:p>
      <w:pPr>
        <w:jc w:val="both"/>
        <w:ind w:left="580" w:right="20"/>
        <w:spacing w:after="0" w:line="273" w:lineRule="auto"/>
        <w:rPr>
          <w:sz w:val="20"/>
          <w:szCs w:val="20"/>
          <w:color w:val="auto"/>
        </w:rPr>
      </w:pPr>
      <w:r>
        <w:rPr>
          <w:rFonts w:ascii="Arial" w:cs="Arial" w:eastAsia="Arial" w:hAnsi="Arial"/>
          <w:sz w:val="14"/>
          <w:szCs w:val="14"/>
          <w:color w:val="auto"/>
        </w:rPr>
        <w:t>On March 27, 2020, the CARES Act was passed by the U.S. Government. The provisions in the CARES Act provided for economic relief to eligible individuals and businesses affected by COVID-19. As a provider of scheduled passenger service, air cargo service, charter air transportation and related services, the Company was eligible for and received a grant under the CARES Act Payroll Support Program in 2021.</w:t>
      </w:r>
    </w:p>
    <w:p>
      <w:pPr>
        <w:spacing w:after="0" w:line="4" w:lineRule="exact"/>
        <w:rPr>
          <w:sz w:val="20"/>
          <w:szCs w:val="20"/>
          <w:color w:val="auto"/>
        </w:rPr>
      </w:pPr>
    </w:p>
    <w:p>
      <w:pPr>
        <w:ind w:left="580" w:hanging="554"/>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2021, the Company received a CARES Employee Retention Tax Credit as part of the CARES Act, as described above.</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These costs were related to relocation of flight attendant bases due to the closure of the Portland base.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repayment of debt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payments under the TRA (see </w:t>
      </w:r>
      <w:r>
        <w:rPr>
          <w:rFonts w:ascii="Arial" w:cs="Arial" w:eastAsia="Arial" w:hAnsi="Arial"/>
          <w:sz w:val="18"/>
          <w:szCs w:val="18"/>
          <w:u w:val="single" w:color="auto"/>
          <w:color w:val="0000FF"/>
        </w:rPr>
        <w:t>Note 14</w:t>
      </w:r>
      <w:r>
        <w:rPr>
          <w:rFonts w:ascii="Arial" w:cs="Arial" w:eastAsia="Arial" w:hAnsi="Arial"/>
          <w:sz w:val="18"/>
          <w:szCs w:val="18"/>
          <w:color w:val="auto"/>
        </w:rPr>
        <w:t>), and probable future purchases of aircraft.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had a commitment to lease three aircraft with deliveries spanning the fourth quarter of 2023 and the first quarter of 2024. As of December 31, 2023, the Company had taken control of one of the aircraft, which was subsequently subleased.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more information on the Company's sublease. The leases have annual lease payments of approximately $2,000 for six years.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2023, the Company had a commitment to purchase an aircraft with an expected delivery in the first quarter of 2024. The purchase agreement calls for a base price of $27,500 that is subject to adjustment based on the aircraft's maintenance condition on the date of delivery.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twelve months ended June 30, 2022, the compensation payable to an executive officer temporarily exceeded the restrictions on the payment of certain executive compensation under the CARES Act. Once the issue was identified, the executive officer voluntarily rescinded the unvested portion of the equity grant that caused the executive’s compensation to exceed the CARES Act limit. At no point did the executive's cash compensation and equity awards that could be monetized exceed the CARES Act limit. The Company did not accrue any amounts related to this matter as of December 31, 2023. To the extent we are deemed to have failed to remain in full compliance with the CARES Act and the applicable rules and regulations thereunder, we may become subject to fines or other enforcement actions.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the Company had surety bonds of approximately $3,600, primarily to bond contractual performance.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 Management does not believe these proceedings will have a materially adverse effect on the Company.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OPERATING SEGMENTS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both available and evaluated regularly by the CODM and is used in resource allocation and performance assessments. The Company’s CODM is considered to be the Company’s Chief Executive Officer. The CODM makes resource allocation decisions to maximize the Company's consolidated financial results, primarily through the scheduling of aircraft on the most profitable routes. The Company has two operating and reportable segments: Passenger and Cargo.</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Passenger segment is comprised of two businesses: Scheduled Service and Charter. These businesses both utilize the Company's Passenger fleet. The CODM maximizes the return on these aircraft through the combination of both the Scheduled Service and Charter flights. The Company routinely schedules its Passenger fleet using what is referred to as “</w:t>
      </w:r>
      <w:r>
        <w:rPr>
          <w:rFonts w:ascii="Arial" w:cs="Arial" w:eastAsia="Arial" w:hAnsi="Arial"/>
          <w:sz w:val="18"/>
          <w:szCs w:val="18"/>
          <w:i w:val="1"/>
          <w:iCs w:val="1"/>
          <w:color w:val="auto"/>
        </w:rPr>
        <w:t>Power Patterns</w:t>
      </w:r>
      <w:r>
        <w:rPr>
          <w:rFonts w:ascii="Arial" w:cs="Arial" w:eastAsia="Arial" w:hAnsi="Arial"/>
          <w:sz w:val="18"/>
          <w:szCs w:val="18"/>
          <w:color w:val="auto"/>
        </w:rPr>
        <w:t>,” which involves scheduling aircraft and crew on trips that combine Scheduled Service and Charter legs, dynamically replacing what would be lower margin Scheduled Service flights with Charter opportunities. The Company determined that it was appropriate that these businesses be viewed as a singular Passenger operating segment as the CODM evaluates the combined results of these businesses, due to their complimentary nature, to ensure the highest levels of returns for the Passenger fleet. Operating revenues for the Passenger segment also includes amounts recorded within Other Revenue. This is inline with how the CODM regularly reviews results and allocates resources.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Cargo segment began providing air cargo services under the ATSA in May 2020. Fuel consumed in Cargo operations is directly reimbursed by Amazon and therefore aircraft fuel revenue is presented net of such reimbursements on the Consolidated Statements of Operations. Fuel consumed in Cargo maintenance activities is included within Aircraft Fuel expense in the Cargo segment. Certain operating expenses are directly attributable to the Cargo operating segment.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tables present financial information for the Company’s two segments. Primarily all of the Company’s long-lived assets are owned by, or associated with, the Passenger operating segment. Substantially all the Company’s tangible assets are located in the U.S. The Company's Aircraft and Flight equipment is mobile across geographic markets. Therefore, predominately all depreciation and amortization expense is associated with the Passenger operating segment. As a result, assets by segment are not reviewed by the CODM and have not been presented herein. The Company does not consider Interest Income, Interest Expense, and Other Income, net, in assessing the financial performance of its operating segments. Collectively, these items are included in reconciliations of reporting segment financial amounts to consolidated financial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 2023</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Passenger</w:t>
            </w:r>
          </w:p>
        </w:tc>
        <w:tc>
          <w:tcPr>
            <w:tcW w:w="38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Cargo</w:t>
            </w:r>
          </w:p>
        </w:tc>
        <w:tc>
          <w:tcPr>
            <w:tcW w:w="26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4"/>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949,885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99,735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1,049,620</w:t>
            </w:r>
          </w:p>
        </w:tc>
        <w:tc>
          <w:tcPr>
            <w:tcW w:w="0" w:type="dxa"/>
            <w:vAlign w:val="bottom"/>
          </w:tcPr>
          <w:p>
            <w:pPr>
              <w:spacing w:after="0"/>
              <w:rPr>
                <w:sz w:val="1"/>
                <w:szCs w:val="1"/>
                <w:color w:val="auto"/>
              </w:rPr>
            </w:pPr>
          </w:p>
        </w:tc>
      </w:tr>
      <w:tr>
        <w:trPr>
          <w:trHeight w:val="250"/>
        </w:trPr>
        <w:tc>
          <w:tcPr>
            <w:tcW w:w="4040" w:type="dxa"/>
            <w:vAlign w:val="bottom"/>
          </w:tcPr>
          <w:p>
            <w:pPr>
              <w:ind w:left="180"/>
              <w:spacing w:after="0"/>
              <w:rPr>
                <w:sz w:val="20"/>
                <w:szCs w:val="20"/>
                <w:color w:val="auto"/>
              </w:rPr>
            </w:pPr>
            <w:r>
              <w:rPr>
                <w:rFonts w:ascii="Arial" w:cs="Arial" w:eastAsia="Arial" w:hAnsi="Arial"/>
                <w:sz w:val="18"/>
                <w:szCs w:val="18"/>
                <w:color w:val="auto"/>
              </w:rPr>
              <w:t>Non-Fuel Operating Expenses</w:t>
            </w:r>
          </w:p>
        </w:tc>
        <w:tc>
          <w:tcPr>
            <w:tcW w:w="1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570,413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105,038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675,451</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18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246,600</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246,669</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817,013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105,107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922,120</w:t>
            </w: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0" w:type="dxa"/>
            <w:vAlign w:val="bottom"/>
          </w:tcPr>
          <w:p>
            <w:pPr>
              <w:spacing w:after="0"/>
              <w:rPr>
                <w:sz w:val="1"/>
                <w:szCs w:val="1"/>
                <w:color w:val="auto"/>
              </w:rPr>
            </w:pPr>
          </w:p>
        </w:tc>
      </w:tr>
      <w:tr>
        <w:trPr>
          <w:trHeight w:val="217"/>
        </w:trPr>
        <w:tc>
          <w:tcPr>
            <w:tcW w:w="4040" w:type="dxa"/>
            <w:vAlign w:val="bottom"/>
            <w:tcBorders>
              <w:top w:val="single" w:sz="8" w:color="CCEEFF"/>
            </w:tcBorders>
          </w:tcPr>
          <w:p>
            <w:pPr>
              <w:ind w:left="180"/>
              <w:spacing w:after="0" w:line="199" w:lineRule="exact"/>
              <w:rPr>
                <w:sz w:val="20"/>
                <w:szCs w:val="20"/>
                <w:color w:val="auto"/>
              </w:rPr>
            </w:pPr>
            <w:r>
              <w:rPr>
                <w:rFonts w:ascii="Arial" w:cs="Arial" w:eastAsia="Arial" w:hAnsi="Arial"/>
                <w:sz w:val="18"/>
                <w:szCs w:val="18"/>
                <w:color w:val="auto"/>
              </w:rPr>
              <w:t>Interest Income</w:t>
            </w:r>
          </w:p>
        </w:tc>
        <w:tc>
          <w:tcPr>
            <w:tcW w:w="18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10,180</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(42,634)</w:t>
            </w:r>
          </w:p>
        </w:tc>
        <w:tc>
          <w:tcPr>
            <w:tcW w:w="0" w:type="dxa"/>
            <w:vAlign w:val="bottom"/>
          </w:tcPr>
          <w:p>
            <w:pPr>
              <w:spacing w:after="0"/>
              <w:rPr>
                <w:sz w:val="1"/>
                <w:szCs w:val="1"/>
                <w:color w:val="auto"/>
              </w:rPr>
            </w:pPr>
          </w:p>
        </w:tc>
      </w:tr>
      <w:tr>
        <w:trPr>
          <w:trHeight w:val="270"/>
        </w:trPr>
        <w:tc>
          <w:tcPr>
            <w:tcW w:w="4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88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1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123</w:t>
            </w: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9"/>
        </w:trPr>
        <w:tc>
          <w:tcPr>
            <w:tcW w:w="40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4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 2022</w:t>
            </w:r>
          </w:p>
        </w:tc>
        <w:tc>
          <w:tcPr>
            <w:tcW w:w="1460" w:type="dxa"/>
            <w:vAlign w:val="bottom"/>
            <w:tcBorders>
              <w:bottom w:val="single" w:sz="8" w:color="auto"/>
            </w:tcBorders>
          </w:tcPr>
          <w:p>
            <w:pPr>
              <w:spacing w:after="0"/>
              <w:rPr>
                <w:sz w:val="17"/>
                <w:szCs w:val="17"/>
                <w:color w:val="auto"/>
              </w:rPr>
            </w:pPr>
          </w:p>
        </w:tc>
      </w:tr>
      <w:tr>
        <w:trPr>
          <w:trHeight w:val="196"/>
        </w:trPr>
        <w:tc>
          <w:tcPr>
            <w:tcW w:w="5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Passenger</w:t>
            </w:r>
          </w:p>
        </w:tc>
        <w:tc>
          <w:tcPr>
            <w:tcW w:w="38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Cargo</w:t>
            </w:r>
          </w:p>
        </w:tc>
        <w:tc>
          <w:tcPr>
            <w:tcW w:w="26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804,094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90,350</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894,444</w:t>
            </w:r>
          </w:p>
        </w:tc>
      </w:tr>
      <w:tr>
        <w:trPr>
          <w:trHeight w:val="250"/>
        </w:trPr>
        <w:tc>
          <w:tcPr>
            <w:tcW w:w="5920" w:type="dxa"/>
            <w:vAlign w:val="bottom"/>
          </w:tcPr>
          <w:p>
            <w:pPr>
              <w:ind w:left="180"/>
              <w:spacing w:after="0"/>
              <w:rPr>
                <w:sz w:val="20"/>
                <w:szCs w:val="20"/>
                <w:color w:val="auto"/>
              </w:rPr>
            </w:pPr>
            <w:r>
              <w:rPr>
                <w:rFonts w:ascii="Arial" w:cs="Arial" w:eastAsia="Arial" w:hAnsi="Arial"/>
                <w:sz w:val="18"/>
                <w:szCs w:val="18"/>
                <w:color w:val="auto"/>
              </w:rPr>
              <w:t>Non-Fuel Operating Expenses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479,968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90,405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570,373</w:t>
            </w:r>
          </w:p>
        </w:tc>
      </w:tr>
      <w:tr>
        <w:trPr>
          <w:trHeight w:val="27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268,279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268,363</w:t>
            </w:r>
          </w:p>
        </w:tc>
      </w:tr>
      <w:tr>
        <w:trPr>
          <w:trHeight w:val="223"/>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838,736</w:t>
            </w:r>
          </w:p>
        </w:tc>
      </w:tr>
      <w:tr>
        <w:trPr>
          <w:trHeight w:val="28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55,708</w:t>
            </w:r>
          </w:p>
        </w:tc>
      </w:tr>
      <w:tr>
        <w:trPr>
          <w:trHeight w:val="217"/>
        </w:trPr>
        <w:tc>
          <w:tcPr>
            <w:tcW w:w="5920" w:type="dxa"/>
            <w:vAlign w:val="bottom"/>
            <w:tcBorders>
              <w:top w:val="single" w:sz="8" w:color="CCEEFF"/>
            </w:tcBorders>
          </w:tcPr>
          <w:p>
            <w:pPr>
              <w:ind w:left="180"/>
              <w:spacing w:after="0" w:line="199" w:lineRule="exact"/>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4,527</w:t>
            </w:r>
          </w:p>
        </w:tc>
      </w:tr>
      <w:tr>
        <w:trPr>
          <w:trHeight w:val="27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(31,018)</w:t>
            </w:r>
          </w:p>
        </w:tc>
      </w:tr>
      <w:tr>
        <w:trPr>
          <w:trHeight w:val="270"/>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337"/>
        </w:trPr>
        <w:tc>
          <w:tcPr>
            <w:tcW w:w="59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 2021</w:t>
            </w:r>
          </w:p>
        </w:tc>
        <w:tc>
          <w:tcPr>
            <w:tcW w:w="1460" w:type="dxa"/>
            <w:vAlign w:val="bottom"/>
            <w:tcBorders>
              <w:bottom w:val="single" w:sz="8" w:color="auto"/>
            </w:tcBorders>
          </w:tcPr>
          <w:p>
            <w:pPr>
              <w:spacing w:after="0"/>
              <w:rPr>
                <w:sz w:val="24"/>
                <w:szCs w:val="24"/>
                <w:color w:val="auto"/>
              </w:rPr>
            </w:pPr>
          </w:p>
        </w:tc>
      </w:tr>
      <w:tr>
        <w:trPr>
          <w:trHeight w:val="196"/>
        </w:trPr>
        <w:tc>
          <w:tcPr>
            <w:tcW w:w="5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Passenger</w:t>
            </w:r>
          </w:p>
        </w:tc>
        <w:tc>
          <w:tcPr>
            <w:tcW w:w="380" w:type="dxa"/>
            <w:vAlign w:val="bottom"/>
          </w:tcPr>
          <w:p>
            <w:pPr>
              <w:spacing w:after="0"/>
              <w:rPr>
                <w:sz w:val="17"/>
                <w:szCs w:val="17"/>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Cargo</w:t>
            </w:r>
          </w:p>
        </w:tc>
        <w:tc>
          <w:tcPr>
            <w:tcW w:w="260" w:type="dxa"/>
            <w:vAlign w:val="bottom"/>
          </w:tcPr>
          <w:p>
            <w:pPr>
              <w:spacing w:after="0"/>
              <w:rPr>
                <w:sz w:val="17"/>
                <w:szCs w:val="17"/>
                <w:color w:val="auto"/>
              </w:rPr>
            </w:pPr>
          </w:p>
        </w:tc>
        <w:tc>
          <w:tcPr>
            <w:tcW w:w="1460" w:type="dxa"/>
            <w:vAlign w:val="bottom"/>
          </w:tcPr>
          <w:p>
            <w:pPr>
              <w:jc w:val="right"/>
              <w:ind w:right="312"/>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531,587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623,015</w:t>
            </w:r>
          </w:p>
        </w:tc>
      </w:tr>
      <w:tr>
        <w:trPr>
          <w:trHeight w:val="250"/>
        </w:trPr>
        <w:tc>
          <w:tcPr>
            <w:tcW w:w="5920" w:type="dxa"/>
            <w:vAlign w:val="bottom"/>
          </w:tcPr>
          <w:p>
            <w:pPr>
              <w:ind w:left="180"/>
              <w:spacing w:after="0"/>
              <w:rPr>
                <w:sz w:val="20"/>
                <w:szCs w:val="20"/>
                <w:color w:val="auto"/>
              </w:rPr>
            </w:pPr>
            <w:r>
              <w:rPr>
                <w:rFonts w:ascii="Arial" w:cs="Arial" w:eastAsia="Arial" w:hAnsi="Arial"/>
                <w:sz w:val="18"/>
                <w:szCs w:val="18"/>
                <w:color w:val="auto"/>
              </w:rPr>
              <w:t>Non-Fuel Operating Expenses</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385,580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68,797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454,377</w:t>
            </w:r>
          </w:p>
        </w:tc>
      </w:tr>
      <w:tr>
        <w:trPr>
          <w:trHeight w:val="27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128,863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129,110</w:t>
            </w:r>
          </w:p>
        </w:tc>
      </w:tr>
      <w:tr>
        <w:trPr>
          <w:trHeight w:val="270"/>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Special Items, net</w:t>
            </w: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(18,400)</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(72,419)</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511,068</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111,947</w:t>
            </w:r>
          </w:p>
        </w:tc>
      </w:tr>
      <w:tr>
        <w:trPr>
          <w:trHeight w:val="45"/>
        </w:trPr>
        <w:tc>
          <w:tcPr>
            <w:tcW w:w="59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17"/>
        </w:trPr>
        <w:tc>
          <w:tcPr>
            <w:tcW w:w="5920" w:type="dxa"/>
            <w:vAlign w:val="bottom"/>
            <w:tcBorders>
              <w:top w:val="single" w:sz="8" w:color="CCEEFF"/>
            </w:tcBorders>
            <w:shd w:val="clear" w:color="auto" w:fill="CCEEFF"/>
          </w:tcPr>
          <w:p>
            <w:pPr>
              <w:ind w:left="180"/>
              <w:spacing w:after="0" w:line="199" w:lineRule="exact"/>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59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(26,326)</w:t>
            </w:r>
          </w:p>
        </w:tc>
      </w:tr>
      <w:tr>
        <w:trPr>
          <w:trHeight w:val="27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14,624</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100,330</w:t>
            </w:r>
          </w:p>
        </w:tc>
      </w:tr>
      <w:tr>
        <w:trPr>
          <w:trHeight w:val="20"/>
        </w:trPr>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980" w:firstLine="8"/>
        <w:spacing w:after="0" w:line="500" w:lineRule="auto"/>
        <w:tabs>
          <w:tab w:leader="none" w:pos="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PARENT COMPANY FINANCIAL STATEMENTS Basis of Presentation</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Parent Company Financial Statements have been prepared in accordance with Rule 12 -04, Schedule I of Regulation S-X, as the restricted net assets of the subsidiary of Sun Country Airlines Holdings, Inc. (herein also referred to as the "Parent"), as defined in Rule 4-08(e)(3) of Regulation S-X, exceed 25% of the consolidated net assets of the Company. These Condensed Parent Company Financial Statements are not general-purpose financial statements and should be read in conjunction with the Consolidated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Sun Country Airlines Holdings, Inc. is the parent company of Sun Country, Inc. ("Subsidiary"), which is a certificated air carrier. As such, Sun Country Airlines Holdings, Inc. is a holding company that does not conduct any business operations of its own. As a result, the Parent is dependent upon cash dividends and distributions and other transfers from its Subsidiary to meet obligations. The ability of Sun Country Holdings, Inc.’s operating Subsidiary to pay dividends is restricted due to terms of the Credit Agreement, as defined in Note 8, which was negotiated with the Subsidiary. The covenants of the Credit Agreement place an annual limit on the amount of dividends the Subsidiary can pay Sun Country Holdings, Inc., as calculated using six percent of the Company's market capitalization plus the greater of $10,000 or 10% of EBITDAR. There are no significant limitations on Sun Country Airlines Holdings, Inc.'s ability to direct the Subsidiary to make periodic payments under the TRA.</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Parent’s significant accounting policies are consistent with those described in the Consolidated Financial Statements, except that the Subsidiary is accounted for as an equity method investment.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The following Condensed Parent Company Financial Statements are presented to show only the parent company, Sun Country Airlines Holdings,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r>
              <w:rPr>
                <w:rFonts w:ascii="Arial" w:cs="Arial" w:eastAsia="Arial" w:hAnsi="Arial"/>
                <w:sz w:val="9"/>
                <w:szCs w:val="9"/>
                <w:b w:val="1"/>
                <w:bCs w:val="1"/>
                <w:color w:val="auto"/>
              </w:rPr>
              <w:t>(1)</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8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70"/>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Investment in Subsidiary</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615,447</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597,996</w:t>
            </w:r>
          </w:p>
        </w:tc>
      </w:tr>
      <w:tr>
        <w:trPr>
          <w:trHeight w:val="25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615,447</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597,996</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615,447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597,996</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25"/>
        </w:trPr>
        <w:tc>
          <w:tcPr>
            <w:tcW w:w="8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Borders>
              <w:bottom w:val="single" w:sz="8" w:color="auto"/>
            </w:tcBorders>
          </w:tcPr>
          <w:p>
            <w:pPr>
              <w:spacing w:after="0"/>
              <w:rPr>
                <w:sz w:val="24"/>
                <w:szCs w:val="24"/>
                <w:color w:val="auto"/>
              </w:rPr>
            </w:pPr>
          </w:p>
        </w:tc>
      </w:tr>
      <w:tr>
        <w:trPr>
          <w:trHeight w:val="197"/>
        </w:trPr>
        <w:tc>
          <w:tcPr>
            <w:tcW w:w="8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2"/>
              <w:spacing w:after="0" w:line="197" w:lineRule="exact"/>
              <w:rPr>
                <w:sz w:val="20"/>
                <w:szCs w:val="20"/>
                <w:color w:val="auto"/>
              </w:rPr>
            </w:pPr>
            <w:r>
              <w:rPr>
                <w:rFonts w:ascii="Arial" w:cs="Arial" w:eastAsia="Arial" w:hAnsi="Arial"/>
                <w:sz w:val="14"/>
                <w:szCs w:val="14"/>
                <w:b w:val="1"/>
                <w:bCs w:val="1"/>
                <w:color w:val="auto"/>
              </w:rPr>
              <w:t>2022</w:t>
            </w:r>
            <w:r>
              <w:rPr>
                <w:rFonts w:ascii="Arial" w:cs="Arial" w:eastAsia="Arial" w:hAnsi="Arial"/>
                <w:sz w:val="18"/>
                <w:szCs w:val="18"/>
                <w:b w:val="1"/>
                <w:bCs w:val="1"/>
                <w:color w:val="auto"/>
                <w:vertAlign w:val="superscript"/>
              </w:rPr>
              <w:t>(1)</w:t>
            </w: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56"/>
        </w:trPr>
        <w:tc>
          <w:tcPr>
            <w:tcW w:w="8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6"/>
        </w:trPr>
        <w:tc>
          <w:tcPr>
            <w:tcW w:w="8140" w:type="dxa"/>
            <w:vAlign w:val="bottom"/>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2,260</w:t>
            </w:r>
          </w:p>
        </w:tc>
      </w:tr>
      <w:tr>
        <w:trPr>
          <w:trHeight w:val="27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81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2,276</w:t>
            </w:r>
          </w:p>
        </w:tc>
      </w:tr>
      <w:tr>
        <w:trPr>
          <w:trHeight w:val="257"/>
        </w:trPr>
        <w:tc>
          <w:tcPr>
            <w:tcW w:w="8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Income Tax Receivable Agreement Liability</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97,794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101,540</w:t>
            </w: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101,044</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105,284</w:t>
            </w:r>
          </w:p>
        </w:tc>
      </w:tr>
      <w:tr>
        <w:trPr>
          <w:trHeight w:val="256"/>
        </w:trPr>
        <w:tc>
          <w:tcPr>
            <w:tcW w:w="8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9"/>
        </w:trPr>
        <w:tc>
          <w:tcPr>
            <w:tcW w:w="8140" w:type="dxa"/>
            <w:vAlign w:val="bottom"/>
          </w:tcPr>
          <w:p>
            <w:pPr>
              <w:ind w:left="180"/>
              <w:spacing w:after="0"/>
              <w:rPr>
                <w:sz w:val="20"/>
                <w:szCs w:val="20"/>
                <w:color w:val="auto"/>
              </w:rPr>
            </w:pPr>
            <w:r>
              <w:rPr>
                <w:rFonts w:ascii="Arial" w:cs="Arial" w:eastAsia="Arial" w:hAnsi="Arial"/>
                <w:sz w:val="18"/>
                <w:szCs w:val="18"/>
                <w:color w:val="auto"/>
              </w:rPr>
              <w:t>Treasury Stock</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(17,605)</w:t>
            </w: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488,494</w:t>
            </w: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22,048</w:t>
            </w:r>
          </w:p>
        </w:tc>
      </w:tr>
      <w:tr>
        <w:trPr>
          <w:trHeight w:val="223"/>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514,403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492,712</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597,996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w:t>
      </w:r>
    </w:p>
    <w:p>
      <w:pPr>
        <w:spacing w:after="0" w:line="107" w:lineRule="exact"/>
        <w:rPr>
          <w:sz w:val="20"/>
          <w:szCs w:val="20"/>
          <w:color w:val="auto"/>
        </w:rPr>
      </w:pPr>
    </w:p>
    <w:p>
      <w:pPr>
        <w:jc w:val="both"/>
        <w:ind w:left="560" w:right="20" w:hanging="359"/>
        <w:spacing w:after="0" w:line="251" w:lineRule="auto"/>
        <w:tabs>
          <w:tab w:leader="none" w:pos="5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During the fourth quarter of 2023, the Company identified and corrected an immaterial error in our previously disclosed Condensed Parent Company Balance Sheet for the year ended December 31, 2022. The error resulted in an understatement of the Parent Company's Total Liabilities with an offsetting overstatement in Stockholders' Equity. The corrected figures are reflected in the amounts presented for the TRA Liability and Retained Earnings as of December 31, 2022. The error had no impact on the Company's Consolidated Financial Statements.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and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7"/>
                <w:szCs w:val="17"/>
                <w:color w:val="auto"/>
              </w:rPr>
            </w:pPr>
          </w:p>
        </w:tc>
      </w:tr>
      <w:tr>
        <w:trPr>
          <w:trHeight w:val="197"/>
        </w:trPr>
        <w:tc>
          <w:tcPr>
            <w:tcW w:w="6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2"/>
              <w:spacing w:after="0" w:line="197" w:lineRule="exact"/>
              <w:rPr>
                <w:sz w:val="20"/>
                <w:szCs w:val="20"/>
                <w:color w:val="auto"/>
              </w:rPr>
            </w:pPr>
            <w:r>
              <w:rPr>
                <w:rFonts w:ascii="Arial" w:cs="Arial" w:eastAsia="Arial" w:hAnsi="Arial"/>
                <w:sz w:val="14"/>
                <w:szCs w:val="14"/>
                <w:b w:val="1"/>
                <w:bCs w:val="1"/>
                <w:color w:val="auto"/>
              </w:rPr>
              <w:t>2022</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2"/>
              <w:spacing w:after="0" w:line="197" w:lineRule="exact"/>
              <w:rPr>
                <w:sz w:val="20"/>
                <w:szCs w:val="20"/>
                <w:color w:val="auto"/>
              </w:rPr>
            </w:pPr>
            <w:r>
              <w:rPr>
                <w:rFonts w:ascii="Arial" w:cs="Arial" w:eastAsia="Arial" w:hAnsi="Arial"/>
                <w:sz w:val="14"/>
                <w:szCs w:val="14"/>
                <w:b w:val="1"/>
                <w:bCs w:val="1"/>
                <w:color w:val="auto"/>
              </w:rPr>
              <w:t>2021</w:t>
            </w:r>
            <w:r>
              <w:rPr>
                <w:rFonts w:ascii="Arial" w:cs="Arial" w:eastAsia="Arial" w:hAnsi="Arial"/>
                <w:sz w:val="18"/>
                <w:szCs w:val="18"/>
                <w:b w:val="1"/>
                <w:bCs w:val="1"/>
                <w:color w:val="auto"/>
                <w:vertAlign w:val="superscript"/>
              </w:rPr>
              <w:t>(1)</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70"/>
        </w:trPr>
        <w:tc>
          <w:tcPr>
            <w:tcW w:w="6560" w:type="dxa"/>
            <w:vAlign w:val="bottom"/>
          </w:tcPr>
          <w:p>
            <w:pPr>
              <w:ind w:left="180"/>
              <w:spacing w:after="0"/>
              <w:rPr>
                <w:sz w:val="20"/>
                <w:szCs w:val="20"/>
                <w:color w:val="auto"/>
              </w:rPr>
            </w:pPr>
            <w:r>
              <w:rPr>
                <w:rFonts w:ascii="Arial" w:cs="Arial" w:eastAsia="Arial" w:hAnsi="Arial"/>
                <w:sz w:val="18"/>
                <w:szCs w:val="18"/>
                <w:color w:val="auto"/>
              </w:rPr>
              <w:t>Other Operating,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659</w:t>
            </w:r>
          </w:p>
        </w:tc>
        <w:tc>
          <w:tcPr>
            <w:tcW w:w="48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50"/>
        </w:trPr>
        <w:tc>
          <w:tcPr>
            <w:tcW w:w="65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65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 net:</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70"/>
        </w:trPr>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Income of Subsidiary</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72,509</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64,912</w:t>
            </w:r>
          </w:p>
        </w:tc>
      </w:tr>
      <w:tr>
        <w:trPr>
          <w:trHeight w:val="270"/>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Receivable Agreement Adjustment</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16,400</w:t>
            </w:r>
          </w:p>
        </w:tc>
      </w:tr>
      <w:tr>
        <w:trPr>
          <w:trHeight w:val="25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Non-operating Income, net</w:t>
            </w: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72,840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81,312</w:t>
            </w:r>
          </w:p>
        </w:tc>
      </w:tr>
      <w:tr>
        <w:trPr>
          <w:trHeight w:val="237"/>
        </w:trPr>
        <w:tc>
          <w:tcPr>
            <w:tcW w:w="6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r>
      <w:tr>
        <w:trPr>
          <w:trHeight w:val="250"/>
        </w:trPr>
        <w:tc>
          <w:tcPr>
            <w:tcW w:w="65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72,181</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r>
      <w:tr>
        <w:trPr>
          <w:trHeight w:val="223"/>
        </w:trPr>
        <w:tc>
          <w:tcPr>
            <w:tcW w:w="6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w:t>
      </w:r>
    </w:p>
    <w:p>
      <w:pPr>
        <w:spacing w:after="0" w:line="121" w:lineRule="exact"/>
        <w:rPr>
          <w:sz w:val="20"/>
          <w:szCs w:val="20"/>
          <w:color w:val="auto"/>
        </w:rPr>
      </w:pPr>
    </w:p>
    <w:p>
      <w:pPr>
        <w:jc w:val="both"/>
        <w:ind w:left="560" w:right="20" w:hanging="359"/>
        <w:spacing w:after="0" w:line="247" w:lineRule="auto"/>
        <w:tabs>
          <w:tab w:leader="none" w:pos="560" w:val="left"/>
        </w:tabs>
        <w:numPr>
          <w:ilvl w:val="0"/>
          <w:numId w:val="39"/>
        </w:numPr>
        <w:rPr>
          <w:rFonts w:ascii="Arial" w:cs="Arial" w:eastAsia="Arial" w:hAnsi="Arial"/>
          <w:sz w:val="13"/>
          <w:szCs w:val="13"/>
          <w:color w:val="auto"/>
        </w:rPr>
      </w:pPr>
      <w:r>
        <w:rPr>
          <w:rFonts w:ascii="Arial" w:cs="Arial" w:eastAsia="Arial" w:hAnsi="Arial"/>
          <w:sz w:val="13"/>
          <w:szCs w:val="13"/>
          <w:color w:val="auto"/>
        </w:rPr>
        <w:t>During the fourth quarter of 2023, the Company identified and corrected an immaterial error in our previously disclosed Condensed Parent Company Statements of Operations for the years ended December 31, 2022 and 2021. As a result, certain amounts that were previously recorded within Equity in Income of Subsidiary on the Parent Company Statements of Operations for the years ended December 31, 2022 and 2021 have been reclassified to Income Tax Receivable Agreement Adjustment. The reclassification had no impact on Parent Company Net Income and had no impact on the Company's Consolidated Financial Statements.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Statement of Cash Flows has not been presented as Sun Country Airlines Holdings, Inc. did not have material cash transactions for the years ended December 31, 2023, 2022, and 2021. Further, Sun Country Airlines Holdings, Inc. did not have material cash balances as of December 31, 2023 and 2022. All cash transactions involving Sun Country Airlines Holdings, Inc. are performed at the Subsidiary level.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years ended December 31, 2023 and 2022, Sun Country Airlines Holdings, Inc. directed the Subsidiary to repurchase the Parent's Common Stock and make a payment to the TRA holders. For more information on these transactions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within these Consolidated Financial Statements. These transactions have been recorded as non-cash dividends from the Subsidiary to the Parent. There were no similar transactions during the year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evaluated subsequent events for the period from the Balance Sheet date through February 14, 2024, the date that the Consolidated Financial Statements were available to be issued.</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December 11, 2023, the Company announced the commencement of a secondary public offering of 4,000,000 shares of its Common Stock by the Apollo Stockholder. The underwriters were given an option to purchase an additional 600,000 shares of Common Stock. Subsequent to December 31, 2023, the underwriters elected to purchase 231,392 of these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the Company's subsequent event, see </w:t>
      </w:r>
      <w:r>
        <w:rPr>
          <w:rFonts w:ascii="Arial" w:cs="Arial" w:eastAsia="Arial" w:hAnsi="Arial"/>
          <w:sz w:val="18"/>
          <w:szCs w:val="18"/>
          <w:u w:val="single" w:color="auto"/>
          <w:color w:val="0000FF"/>
        </w:rPr>
        <w:t>Note 15</w:t>
      </w:r>
      <w:r>
        <w:rPr>
          <w:rFonts w:ascii="Arial" w:cs="Arial" w:eastAsia="Arial" w:hAnsi="Arial"/>
          <w:sz w:val="18"/>
          <w:szCs w:val="18"/>
          <w:color w:val="auto"/>
        </w:rPr>
        <w:t xml:space="preserve"> within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THE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Annual Report.</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Based on the evaluation of our disclosure controls and procedures as of December 31, 2023, our Chief Executive Officer and Chief Financial Officer have concluded that our disclosure controls and procedures were effective as of the end of the period covered by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Controls Over Financial Reporting</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U.S. generally accepted accounting principles (GAAP).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GAAP,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has assessed the effectiveness of our internal control over financial reporting as of December 31, 2023. Management based its assessment on criteria established by the COSO in Internal Control - Integrated Framework (2013). Management’s assessment included evaluation of criteria in the areas of control environment, risk assessment, control activities, information and communication, and monitoring. Management’s assessment included extensive documentation, evaluating and testing the design and operating effectiveness of its internal controls over financial reporting. Management has assessed the effectiveness of our internal control over financial reporting as of December 31, 2023 and has concluded that such internal controls over financial reporting were effective.</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Company’s independent registered public accounting firm has audited the Company’s internal control over financial reporting as of December 31, 2023, as stated in the </w:t>
      </w:r>
      <w:r>
        <w:rPr>
          <w:rFonts w:ascii="Arial" w:cs="Arial" w:eastAsia="Arial" w:hAnsi="Arial"/>
          <w:sz w:val="18"/>
          <w:szCs w:val="18"/>
          <w:u w:val="single" w:color="auto"/>
          <w:color w:val="0000FF"/>
        </w:rPr>
        <w:t>Report of Independent Registered Public Accounting Firm</w:t>
      </w:r>
      <w:r>
        <w:rPr>
          <w:rFonts w:ascii="Arial" w:cs="Arial" w:eastAsia="Arial" w:hAnsi="Arial"/>
          <w:sz w:val="18"/>
          <w:szCs w:val="18"/>
          <w:color w:val="auto"/>
        </w:rPr>
        <w:t>, appearing under Item 9A.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Material Weaknesses in Internal Control over Financial Reporting</w:t>
      </w:r>
    </w:p>
    <w:p>
      <w:pPr>
        <w:spacing w:after="0" w:line="2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previously disclosed in our Annual Report on Form 10-K as of December 31, 2022 that management identified a material weakness in the Company's internal control over financial reporting. Specifically, controls over the accounting for complex, non-routine transactions were not designed or implemented to operate with a sufficient level of precision. This included controls addressing the application of ASC Topic 842, Leases, to the purchase of aircraft subject to an existing operating lease.</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quarter ended June 30, 2023, management identified an additional material weakness in the Company’s internal control over financial reporting. Specifically, the Company did not have an effective risk assessment process to identify and assess the risks of misstatement associated with the utilization of a third-party service organization's hosted IT solution for automating the processing of vendor invoices (i.e., scanning, routing, approving, and preparing the recording of invoices) and hosting of related information. As a result, management’s ITGCs over the IT application used by the service organization and process-level controls over the procurement activities carried out by the third-party service organization were not designed or implemented to operate at a sufficient level of precision. The Company also did not obtain a SOC Report from the third-party that would provide evidence of design, implementation, and operating effectiveness of such controls within the service organization’s framework of internal controls.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control deficiencies did not result in a material misstatement of the Consolidated Financial Statements included in our prior period consolidated annual or interim financial statements. However, each of these control deficiencies created a reasonable possibility that a material misstatement to the annual or interim consolidated financial statements would not be prevented or detected on a timely basis. Accordingly, management concluded that each control deficiency constituted a material weakness in the Company's internal control over financial reporting. The material weaknesses have been fully remediated as of December 31, 2023, as further described below.</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supplemented and enhanced the Company's system of internal control over financial reporting through a series of actions and measures responsive to each identified material weakness. The remediation completed for the material weakness associated with accounting for complex, non-routine transactions, included the following:</w:t>
      </w:r>
    </w:p>
    <w:p>
      <w:pPr>
        <w:spacing w:after="0" w:line="20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Hired a technical accounting specialist and manager after the material weakness occurred;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Provided additional training on how to utilize external technical accounting research resources;</w:t>
      </w:r>
    </w:p>
    <w:p>
      <w:pPr>
        <w:spacing w:after="0" w:line="252"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Reviewed all existing internal accounting policies and accounting guidance memos for completeness and the appropriate accounting guidance, including those surrounding leases;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Established a policy to provide additional guidance surrounding the use of third-party specialists;</w:t>
      </w:r>
    </w:p>
    <w:p>
      <w:pPr>
        <w:spacing w:after="0" w:line="252"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Enhanced the design of financial reporting controls, specifically sub-certifications and review of non-routine transactions including updating the lease accounting checklist;</w:t>
      </w:r>
    </w:p>
    <w:p>
      <w:pPr>
        <w:spacing w:after="0" w:line="179"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Engaged third-party specialists, as necessary, to review management’s analysis and conclusions on the accounting for non-routine transactions involving the application of complex accounting standards;</w:t>
      </w:r>
    </w:p>
    <w:p>
      <w:pPr>
        <w:spacing w:after="0" w:line="179"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Reviewed and implemented necessary changes to the design of our risk assessment and review controls over accounting for complex, non-routine transactions, including lease-related transactions;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Re-designed the overall design of our risk assessment process with utilization of a new third-party tool;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Established a policy and internal controls surrounding transactions related to a new lessor relationship;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line="28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Operated management's controls surrounding the accounting for complex, non-routine transactions, including those associated with the acquisition and related financing of additional aircraft, and those involved with becoming a first-time aircraft lessor.</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remediation completed for the material weakness associated with the controls over the utilization of a third-party service organization's hosted IT solution for automating the processing of vendor invoices and hosting of related information, included the following:</w:t>
      </w:r>
    </w:p>
    <w:p>
      <w:pPr>
        <w:spacing w:after="0" w:line="18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Established and tested the IT infrastructure necessary to operate the vendor’s application on premise;</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Completed the move of the historical data and designed and implemented internal processes and controls surrounding the IT application in order to operate it entirely within the Company’s control;</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Enhanced the risk assessment process and design of our process-level controls over procurement activities so they operate at a sufficient level of precision; and</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Operated ITGCs and related process-level internal controls surrounding the IT application and related procurement activities that operate within the Company.</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result, management implemented controls within designed to prevent or detect a material misstatement. Those new controls were fully implemented and sufficient testing was performed to conclude that the applicable controls were operating effectively as of December 31, 2023. As such, Management believes that, as of December 31, 2023, the deficiencies contributing to the previously identified material weaknesses have been fully remediated.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than the changes made to remediate the material weaknesses related to the accounting for complex, non-routine transactions including addressing the application of ASC Topic 842, Leases, to the purchase of aircraft subject to an existing operating lease and related to an effective risk assessment process of a third-party service organization's hosted IT solution for automating the processing of vendor invoices described above, there have been no further changes in the Company’s internal control over financial reporting (as defined in Rules 13a-15(f) and 15d-15(f) under the Exchange Act) that occurred during the quarter ended December 31, 2023 that have materially affected, or are reasonably likely to materially affect, our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directors and executive officers may purchase or sell shares of our common stock in the market from time to time, including pursuant to equity trading plans adopted in accordance with Rule 10b5-1 under the Exchange Act ("Rule 10b5 -1") and in compliance with guidelines specified by the Company. In accordance with Rule 10b5-1 and the Company’s insider trading policy, directors, officers and certain employees who, at such time, are not in possession of material non-public information about the Company are permitted to enter into written plans that pre-establish amounts, prices and dates (or formula for determining the amounts, prices and dates) of future purchases or sales of the Company’s stock, including shares acquired pursuant to the Company’s equity plans ("Rule 10b5-1 Trading Plans"). Under a Rule 10b5-1 Trading Plan, a broker executes trades pursuant to parameters established by the director or executive officer when entering into the plan, without further direction from them.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describes contracts, instructions or written plans for the sale or purchase of our securities adopted, terminated or modified by our directors and executive officers during the quarter ended December 31, 2023, each of which is intended to satisfy the affirmative defense conditions of Rule 10b5-1(c).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Adoption, Termination or</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Date of Adoption, Termination</w:t>
            </w: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Duration of Plan (Scheduled</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 to be</w:t>
            </w:r>
          </w:p>
        </w:tc>
        <w:tc>
          <w:tcPr>
            <w:tcW w:w="0" w:type="dxa"/>
            <w:vAlign w:val="bottom"/>
          </w:tcPr>
          <w:p>
            <w:pPr>
              <w:spacing w:after="0"/>
              <w:rPr>
                <w:sz w:val="1"/>
                <w:szCs w:val="1"/>
                <w:color w:val="auto"/>
              </w:rPr>
            </w:pPr>
          </w:p>
        </w:tc>
      </w:tr>
      <w:tr>
        <w:trPr>
          <w:trHeight w:val="144"/>
        </w:trPr>
        <w:tc>
          <w:tcPr>
            <w:tcW w:w="22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Name and Title</w:t>
            </w:r>
          </w:p>
        </w:tc>
        <w:tc>
          <w:tcPr>
            <w:tcW w:w="100" w:type="dxa"/>
            <w:vAlign w:val="bottom"/>
            <w:vMerge w:val="restart"/>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Purchased (Sold) under the</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Modification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Modification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 of Plan)</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46"/>
        </w:trPr>
        <w:tc>
          <w:tcPr>
            <w:tcW w:w="2320" w:type="dxa"/>
            <w:vAlign w:val="bottom"/>
            <w:gridSpan w:val="2"/>
            <w:shd w:val="clear" w:color="auto" w:fill="CCEEFF"/>
          </w:tcPr>
          <w:p>
            <w:pPr>
              <w:ind w:left="20"/>
              <w:spacing w:after="0" w:line="147" w:lineRule="exact"/>
              <w:rPr>
                <w:sz w:val="20"/>
                <w:szCs w:val="20"/>
                <w:color w:val="auto"/>
              </w:rPr>
            </w:pPr>
            <w:r>
              <w:rPr>
                <w:rFonts w:ascii="Arial" w:cs="Arial" w:eastAsia="Arial" w:hAnsi="Arial"/>
                <w:sz w:val="14"/>
                <w:szCs w:val="14"/>
                <w:color w:val="auto"/>
              </w:rPr>
              <w:t>John Gyurci, Vice President,</w:t>
            </w:r>
          </w:p>
        </w:tc>
        <w:tc>
          <w:tcPr>
            <w:tcW w:w="222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rPr>
              <w:t>Termination</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November 9, 2023</w:t>
            </w:r>
          </w:p>
        </w:tc>
        <w:tc>
          <w:tcPr>
            <w:tcW w:w="22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rPr>
              <w:t>February 9, 2024</w:t>
            </w: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44"/>
        </w:trPr>
        <w:tc>
          <w:tcPr>
            <w:tcW w:w="232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rPr>
              <w:t>Finance, and Chief Accounting</w:t>
            </w:r>
          </w:p>
        </w:tc>
        <w:tc>
          <w:tcPr>
            <w:tcW w:w="222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240" w:type="dxa"/>
            <w:vAlign w:val="bottom"/>
            <w:gridSpan w:val="2"/>
            <w:vMerge w:val="continue"/>
            <w:shd w:val="clear" w:color="auto" w:fill="CCEEFF"/>
          </w:tcPr>
          <w:p>
            <w:pPr>
              <w:spacing w:after="0"/>
              <w:rPr>
                <w:sz w:val="12"/>
                <w:szCs w:val="12"/>
                <w:color w:val="auto"/>
              </w:rPr>
            </w:pPr>
          </w:p>
        </w:tc>
        <w:tc>
          <w:tcPr>
            <w:tcW w:w="21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Officer</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John Gyurci, Vice President,</w:t>
            </w:r>
          </w:p>
        </w:tc>
        <w:tc>
          <w:tcPr>
            <w:tcW w:w="22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Adoption</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November 9, 2023</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February 14, 2025</w:t>
            </w:r>
          </w:p>
        </w:tc>
        <w:tc>
          <w:tcPr>
            <w:tcW w:w="2140" w:type="dxa"/>
            <w:vAlign w:val="bottom"/>
            <w:vMerge w:val="restart"/>
          </w:tcPr>
          <w:p>
            <w:pPr>
              <w:jc w:val="center"/>
              <w:spacing w:after="0"/>
              <w:rPr>
                <w:sz w:val="20"/>
                <w:szCs w:val="20"/>
                <w:color w:val="auto"/>
              </w:rPr>
            </w:pPr>
            <w:r>
              <w:rPr>
                <w:rFonts w:ascii="Arial" w:cs="Arial" w:eastAsia="Arial" w:hAnsi="Arial"/>
                <w:sz w:val="14"/>
                <w:szCs w:val="14"/>
                <w:color w:val="auto"/>
              </w:rPr>
              <w:t>(90,000)</w:t>
            </w:r>
          </w:p>
        </w:tc>
        <w:tc>
          <w:tcPr>
            <w:tcW w:w="0" w:type="dxa"/>
            <w:vAlign w:val="bottom"/>
          </w:tcPr>
          <w:p>
            <w:pPr>
              <w:spacing w:after="0"/>
              <w:rPr>
                <w:sz w:val="1"/>
                <w:szCs w:val="1"/>
                <w:color w:val="auto"/>
              </w:rPr>
            </w:pPr>
          </w:p>
        </w:tc>
      </w:tr>
      <w:tr>
        <w:trPr>
          <w:trHeight w:val="144"/>
        </w:trPr>
        <w:tc>
          <w:tcPr>
            <w:tcW w:w="232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Finance, and Chief Accounting</w:t>
            </w:r>
          </w:p>
        </w:tc>
        <w:tc>
          <w:tcPr>
            <w:tcW w:w="222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Officer</w:t>
            </w: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“Proposal 1 – Election of Directors,” “Executive Officers,” “Corporate Governance” and “Delinquent Section 16(a) Reports” in the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headings “Executive Compensation” and “Corporate Governance” in the Proxy Statement.</w:t>
      </w:r>
    </w:p>
    <w:p>
      <w:pPr>
        <w:spacing w:after="0" w:line="15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“Security Ownership of Certain Beneficial Owners and Management” in the Proxy Statement. The information required by this item with respect to securities authorized for issuance under our equity compensation plans is included in Part II, Item 5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“Certain Relationships and Related Person Transactions” in the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data under the heading “Audit Fees, Audit-Related Fees, Tax Fees and All Other Fees” in the Proxy Statement.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gridSpan w:val="2"/>
          </w:tcPr>
          <w:p>
            <w:pPr>
              <w:ind w:left="340"/>
              <w:spacing w:after="0"/>
              <w:rPr>
                <w:sz w:val="20"/>
                <w:szCs w:val="20"/>
                <w:color w:val="auto"/>
              </w:rPr>
            </w:pPr>
            <w:r>
              <w:rPr>
                <w:rFonts w:ascii="Arial" w:cs="Arial" w:eastAsia="Arial" w:hAnsi="Arial"/>
                <w:sz w:val="18"/>
                <w:szCs w:val="18"/>
                <w:color w:val="auto"/>
              </w:rPr>
              <w:t>(a) Exhibits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8"/>
        </w:trPr>
        <w:tc>
          <w:tcPr>
            <w:tcW w:w="23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200" w:type="dxa"/>
            <w:vAlign w:val="bottom"/>
            <w:gridSpan w:val="28"/>
          </w:tcPr>
          <w:p>
            <w:pPr>
              <w:spacing w:after="0"/>
              <w:rPr>
                <w:sz w:val="20"/>
                <w:szCs w:val="20"/>
                <w:color w:val="auto"/>
              </w:rPr>
            </w:pPr>
            <w:r>
              <w:rPr>
                <w:rFonts w:ascii="Arial" w:cs="Arial" w:eastAsia="Arial" w:hAnsi="Arial"/>
                <w:sz w:val="18"/>
                <w:szCs w:val="18"/>
                <w:b w:val="1"/>
                <w:bCs w:val="1"/>
                <w:color w:val="auto"/>
              </w:rPr>
              <w:t>Exhibit Description</w:t>
            </w:r>
          </w:p>
        </w:tc>
      </w:tr>
      <w:tr>
        <w:trPr>
          <w:trHeight w:val="223"/>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0" w:type="dxa"/>
            <w:vAlign w:val="bottom"/>
            <w:tcBorders>
              <w:top w:val="single" w:sz="8" w:color="auto"/>
            </w:tcBorders>
            <w:gridSpan w:val="28"/>
          </w:tcPr>
          <w:p>
            <w:pPr>
              <w:spacing w:after="0"/>
              <w:rPr>
                <w:rFonts w:ascii="Arial" w:cs="Arial" w:eastAsia="Arial" w:hAnsi="Arial"/>
                <w:sz w:val="18"/>
                <w:szCs w:val="18"/>
                <w:color w:val="0000FF"/>
              </w:rPr>
            </w:pPr>
            <w:hyperlink r:id="rId210">
              <w:r>
                <w:rPr>
                  <w:rFonts w:ascii="Arial" w:cs="Arial" w:eastAsia="Arial" w:hAnsi="Arial"/>
                  <w:sz w:val="18"/>
                  <w:szCs w:val="18"/>
                  <w:color w:val="0000FF"/>
                </w:rPr>
                <w:t>Second  Amended  and  Restated  Certificate  of  Incorporation  of  Sun  Country  Airlines  Holdings,  Inc.</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(incorporated by reference to Exhibit 3.1 to Sun Country Airlines Holdings, Inc.’s Registration Statement 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40" w:type="dxa"/>
            <w:vAlign w:val="bottom"/>
            <w:gridSpan w:val="15"/>
          </w:tcPr>
          <w:p>
            <w:pPr>
              <w:spacing w:after="0" w:line="169" w:lineRule="exact"/>
              <w:rPr>
                <w:rFonts w:ascii="Arial" w:cs="Arial" w:eastAsia="Arial" w:hAnsi="Arial"/>
                <w:sz w:val="18"/>
                <w:szCs w:val="18"/>
                <w:color w:val="0000FF"/>
              </w:rPr>
            </w:pPr>
            <w:hyperlink r:id="rId210">
              <w:r>
                <w:rPr>
                  <w:rFonts w:ascii="Arial" w:cs="Arial" w:eastAsia="Arial" w:hAnsi="Arial"/>
                  <w:sz w:val="18"/>
                  <w:szCs w:val="18"/>
                  <w:color w:val="0000FF"/>
                </w:rPr>
                <w:t>Form S-8 (File No. 333-254371))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1">
              <w:r>
                <w:rPr>
                  <w:rFonts w:ascii="Arial" w:cs="Arial" w:eastAsia="Arial" w:hAnsi="Arial"/>
                  <w:sz w:val="18"/>
                  <w:szCs w:val="18"/>
                  <w:color w:val="0000FF"/>
                </w:rPr>
                <w:t>Second Amended and Restated Bylaws of Sun Country Airlines Holdings, Inc. (incorporated by reference to</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11">
              <w:r>
                <w:rPr>
                  <w:rFonts w:ascii="Arial" w:cs="Arial" w:eastAsia="Arial" w:hAnsi="Arial"/>
                  <w:sz w:val="18"/>
                  <w:szCs w:val="18"/>
                  <w:color w:val="0000FF"/>
                </w:rPr>
                <w:t>Exhibit 3.2 to Sun Country Airlines Holdings, Inc.’s Registration Statement on Form S-8 (File No. 333-254371))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212">
              <w:r>
                <w:rPr>
                  <w:rFonts w:ascii="Arial" w:cs="Arial" w:eastAsia="Arial" w:hAnsi="Arial"/>
                  <w:sz w:val="18"/>
                  <w:szCs w:val="18"/>
                  <w:color w:val="0000FF"/>
                </w:rPr>
                <w:t>Pass Through Trust Agreement, dated as of December 9, 2019, between Sun Country Inc. and Wilmington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Trust, National Association, as trustee (incorporated by reference to Exhibit 4.1 to Sun Country Airlines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960" w:type="dxa"/>
            <w:vAlign w:val="bottom"/>
            <w:gridSpan w:val="16"/>
          </w:tcPr>
          <w:p>
            <w:pPr>
              <w:spacing w:after="0" w:line="169" w:lineRule="exact"/>
              <w:rPr>
                <w:rFonts w:ascii="Arial" w:cs="Arial" w:eastAsia="Arial" w:hAnsi="Arial"/>
                <w:sz w:val="18"/>
                <w:szCs w:val="18"/>
                <w:color w:val="0000FF"/>
              </w:rPr>
            </w:pPr>
            <w:hyperlink r:id="rId212">
              <w:r>
                <w:rPr>
                  <w:rFonts w:ascii="Arial" w:cs="Arial" w:eastAsia="Arial" w:hAnsi="Arial"/>
                  <w:sz w:val="18"/>
                  <w:szCs w:val="18"/>
                  <w:color w:val="0000FF"/>
                </w:rPr>
                <w:t>Holdings, Inc.’s Registration Statement on Form S-1 (File No. 333-252858))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3">
              <w:r>
                <w:rPr>
                  <w:rFonts w:ascii="Arial" w:cs="Arial" w:eastAsia="Arial" w:hAnsi="Arial"/>
                  <w:sz w:val="18"/>
                  <w:szCs w:val="18"/>
                  <w:color w:val="0000FF"/>
                </w:rPr>
                <w:t>Form of Pass Through Trust Certificate, Series 2019-1A (incorporated by reference to Exhibit 4.2 to Sun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13">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214">
              <w:r>
                <w:rPr>
                  <w:rFonts w:ascii="Arial" w:cs="Arial" w:eastAsia="Arial" w:hAnsi="Arial"/>
                  <w:sz w:val="18"/>
                  <w:szCs w:val="18"/>
                  <w:color w:val="0000FF"/>
                </w:rPr>
                <w:t>Form of Pass Through Trust Certificate, Series 2019-1B (incorporated by reference to Exhibit 4.3 to Sun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14">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215">
              <w:r>
                <w:rPr>
                  <w:rFonts w:ascii="Arial" w:cs="Arial" w:eastAsia="Arial" w:hAnsi="Arial"/>
                  <w:sz w:val="18"/>
                  <w:szCs w:val="18"/>
                  <w:color w:val="0000FF"/>
                </w:rPr>
                <w:t>Form of Pass Through Trust Certificate, Series 2019-1C (incorporated by reference to Exhibit 4.4 to Sun</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15">
              <w:r>
                <w:rPr>
                  <w:rFonts w:ascii="Arial" w:cs="Arial" w:eastAsia="Arial" w:hAnsi="Arial"/>
                  <w:sz w:val="18"/>
                  <w:szCs w:val="18"/>
                  <w:color w:val="0000FF"/>
                </w:rPr>
                <w:t>Country Airlines Holdings, Inc.’s Registration Statement on Form S-1 (File No. 333-252858))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226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28"/>
          </w:tcPr>
          <w:p>
            <w:pPr>
              <w:spacing w:after="0"/>
              <w:rPr>
                <w:rFonts w:ascii="Arial" w:cs="Arial" w:eastAsia="Arial" w:hAnsi="Arial"/>
                <w:sz w:val="18"/>
                <w:szCs w:val="18"/>
                <w:color w:val="0000FF"/>
              </w:rPr>
            </w:pPr>
            <w:hyperlink r:id="rId216">
              <w:r>
                <w:rPr>
                  <w:rFonts w:ascii="Arial" w:cs="Arial" w:eastAsia="Arial" w:hAnsi="Arial"/>
                  <w:sz w:val="18"/>
                  <w:szCs w:val="18"/>
                  <w:color w:val="0000FF"/>
                </w:rPr>
                <w:t>Intercreditor Agreement, dated as of December 9, 2019, among Wilmington Trust, National Association, as</w:t>
              </w:r>
            </w:hyperlink>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trustee of the Sun Country Pass Through Trusts, Series 2019-1, and as subordination agent (incorporated by</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gridSpan w:val="23"/>
          </w:tcPr>
          <w:p>
            <w:pPr>
              <w:spacing w:after="0" w:line="169" w:lineRule="exact"/>
              <w:rPr>
                <w:rFonts w:ascii="Arial" w:cs="Arial" w:eastAsia="Arial" w:hAnsi="Arial"/>
                <w:sz w:val="18"/>
                <w:szCs w:val="18"/>
                <w:color w:val="0000FF"/>
              </w:rPr>
            </w:pPr>
            <w:hyperlink r:id="rId216">
              <w:r>
                <w:rPr>
                  <w:rFonts w:ascii="Arial" w:cs="Arial" w:eastAsia="Arial" w:hAnsi="Arial"/>
                  <w:sz w:val="18"/>
                  <w:szCs w:val="18"/>
                  <w:color w:val="0000FF"/>
                </w:rPr>
                <w:t>reference to Exhibit 4.5 to Sun Country Airlines Holdings, Inc.’s Registration Statement on Form S-1 (File No.</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216">
              <w:r>
                <w:rPr>
                  <w:rFonts w:ascii="Arial" w:cs="Arial" w:eastAsia="Arial" w:hAnsi="Arial"/>
                  <w:sz w:val="18"/>
                  <w:szCs w:val="18"/>
                  <w:color w:val="0000FF"/>
                  <w:w w:val="98"/>
                </w:rPr>
                <w:t>333-252858))</w:t>
              </w:r>
            </w:hyperlink>
          </w:p>
        </w:tc>
        <w:tc>
          <w:tcPr>
            <w:tcW w:w="1520" w:type="dxa"/>
            <w:vAlign w:val="bottom"/>
            <w:tcBorders>
              <w:top w:val="single" w:sz="8" w:color="0000FF"/>
            </w:tcBorders>
          </w:tcPr>
          <w:p>
            <w:pPr>
              <w:spacing w:after="0"/>
              <w:rPr>
                <w:sz w:val="13"/>
                <w:szCs w:val="13"/>
                <w:color w:val="auto"/>
              </w:rPr>
            </w:pPr>
          </w:p>
        </w:tc>
        <w:tc>
          <w:tcPr>
            <w:tcW w:w="28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7">
              <w:r>
                <w:rPr>
                  <w:rFonts w:ascii="Arial" w:cs="Arial" w:eastAsia="Arial" w:hAnsi="Arial"/>
                  <w:sz w:val="18"/>
                  <w:szCs w:val="18"/>
                  <w:color w:val="0000FF"/>
                </w:rPr>
                <w:t>Trust Supplement No. 2022-1A, dated as of March 29, 2022, between Wilmington Trust, National Association,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as trustee, and Sun Country, Inc., to Pass Through Trust Agreement, dated as of December 9, 2019</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gridSpan w:val="27"/>
          </w:tcPr>
          <w:p>
            <w:pPr>
              <w:spacing w:after="0" w:line="169" w:lineRule="exact"/>
              <w:rPr>
                <w:rFonts w:ascii="Arial" w:cs="Arial" w:eastAsia="Arial" w:hAnsi="Arial"/>
                <w:sz w:val="18"/>
                <w:szCs w:val="18"/>
                <w:color w:val="0000FF"/>
              </w:rPr>
            </w:pPr>
            <w:hyperlink r:id="rId217">
              <w:r>
                <w:rPr>
                  <w:rFonts w:ascii="Arial" w:cs="Arial" w:eastAsia="Arial" w:hAnsi="Arial"/>
                  <w:sz w:val="18"/>
                  <w:szCs w:val="18"/>
                  <w:color w:val="0000FF"/>
                </w:rPr>
                <w:t>(incorporated by reference to Exhibit 4.1 to Sun Country Airlines Holdings, Inc.’s Current Report on Form 8-K</w:t>
              </w:r>
            </w:hyperlink>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filed with the Securities and Exchange Commission on April 5, 2022)</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8">
              <w:r>
                <w:rPr>
                  <w:rFonts w:ascii="Arial" w:cs="Arial" w:eastAsia="Arial" w:hAnsi="Arial"/>
                  <w:sz w:val="18"/>
                  <w:szCs w:val="18"/>
                  <w:color w:val="0000FF"/>
                </w:rPr>
                <w:t>Trust Supplement No. 2022-1B, dated as of March 29, 2022, between Wilmington Trust, National Association,</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as trustee, and Sun Country, Inc., to Pass Through Trust Agreement, dated as of December 9,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218">
              <w:r>
                <w:rPr>
                  <w:rFonts w:ascii="Arial" w:cs="Arial" w:eastAsia="Arial" w:hAnsi="Arial"/>
                  <w:sz w:val="18"/>
                  <w:szCs w:val="18"/>
                  <w:color w:val="0000FF"/>
                </w:rPr>
                <w:t>(incorporated by reference to Exhibit 4.2 to Sun Country Airlines Holdings, Inc.’s Current Report on Form 8-K</w:t>
              </w:r>
            </w:hyperlink>
          </w:p>
        </w:tc>
        <w:tc>
          <w:tcPr>
            <w:tcW w:w="20" w:type="dxa"/>
            <w:vAlign w:val="bottom"/>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filed with the Securities and Exchange Commission on April 5, 2022)</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19">
              <w:r>
                <w:rPr>
                  <w:rFonts w:ascii="Arial" w:cs="Arial" w:eastAsia="Arial" w:hAnsi="Arial"/>
                  <w:sz w:val="18"/>
                  <w:szCs w:val="18"/>
                  <w:color w:val="0000FF"/>
                </w:rPr>
                <w:t>Intercreditor Agreement, dated as of March 29, 2022, among Wilmington Trust, National Association, as pass</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rPr>
            </w:pPr>
            <w:hyperlink r:id="rId219">
              <w:r>
                <w:rPr>
                  <w:rFonts w:ascii="Arial" w:cs="Arial" w:eastAsia="Arial" w:hAnsi="Arial"/>
                  <w:sz w:val="18"/>
                  <w:szCs w:val="18"/>
                  <w:color w:val="0000FF"/>
                </w:rPr>
                <w:t>through trustee under the pass through trusts, and Wilmington Trust, National Association, as subordination</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bottom w:val="single" w:sz="8" w:color="0000FF"/>
            </w:tcBorders>
            <w:gridSpan w:val="21"/>
          </w:tcPr>
          <w:p>
            <w:pPr>
              <w:spacing w:after="0" w:line="169" w:lineRule="exact"/>
              <w:rPr>
                <w:rFonts w:ascii="Arial" w:cs="Arial" w:eastAsia="Arial" w:hAnsi="Arial"/>
                <w:sz w:val="18"/>
                <w:szCs w:val="18"/>
                <w:color w:val="0000FF"/>
              </w:rPr>
            </w:pPr>
            <w:hyperlink r:id="rId219">
              <w:r>
                <w:rPr>
                  <w:rFonts w:ascii="Arial" w:cs="Arial" w:eastAsia="Arial" w:hAnsi="Arial"/>
                  <w:sz w:val="18"/>
                  <w:szCs w:val="18"/>
                  <w:color w:val="0000FF"/>
                </w:rPr>
                <w:t>agent (incorporated by reference to Exhibit 4.3 to Sun Country Airlines Holdings, Inc.’s Current Report on Form</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6"/>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bottom w:val="single" w:sz="8" w:color="0000FF"/>
            </w:tcBorders>
            <w:gridSpan w:val="4"/>
          </w:tcPr>
          <w:p>
            <w:pPr>
              <w:spacing w:after="0" w:line="156" w:lineRule="exact"/>
              <w:rPr>
                <w:rFonts w:ascii="Arial" w:cs="Arial" w:eastAsia="Arial" w:hAnsi="Arial"/>
                <w:sz w:val="18"/>
                <w:szCs w:val="18"/>
                <w:color w:val="0000FF"/>
                <w:w w:val="99"/>
              </w:rPr>
            </w:pPr>
            <w:hyperlink r:id="rId219">
              <w:r>
                <w:rPr>
                  <w:rFonts w:ascii="Arial" w:cs="Arial" w:eastAsia="Arial" w:hAnsi="Arial"/>
                  <w:sz w:val="18"/>
                  <w:szCs w:val="18"/>
                  <w:color w:val="0000FF"/>
                  <w:w w:val="99"/>
                </w:rPr>
                <w:t>8-K filed with the Securities and Exchange Commission on April 5, 2022)</w:t>
              </w:r>
            </w:hyperlink>
          </w:p>
        </w:tc>
        <w:tc>
          <w:tcPr>
            <w:tcW w:w="3360" w:type="dxa"/>
            <w:vAlign w:val="bottom"/>
            <w:gridSpan w:val="21"/>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64"/>
        </w:trPr>
        <w:tc>
          <w:tcPr>
            <w:tcW w:w="2260" w:type="dxa"/>
            <w:vAlign w:val="bottom"/>
          </w:tcPr>
          <w:p>
            <w:pPr>
              <w:ind w:lef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20">
              <w:r>
                <w:rPr>
                  <w:rFonts w:ascii="Arial" w:cs="Arial" w:eastAsia="Arial" w:hAnsi="Arial"/>
                  <w:sz w:val="18"/>
                  <w:szCs w:val="18"/>
                  <w:color w:val="0000FF"/>
                </w:rPr>
                <w:t>Note Purchase Agreement, dated as of March 29, 2022, among Sun Country, Inc., Wilmington Trust, National</w:t>
              </w:r>
            </w:hyperlink>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Association,  as  pass  through  trustee  under  the  pass  through  trusts,  and  Wilmington  Trust,  National</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69"/>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80" w:type="dxa"/>
            <w:vAlign w:val="bottom"/>
            <w:gridSpan w:val="22"/>
          </w:tcPr>
          <w:p>
            <w:pPr>
              <w:spacing w:after="0" w:line="169" w:lineRule="exact"/>
              <w:rPr>
                <w:rFonts w:ascii="Arial" w:cs="Arial" w:eastAsia="Arial" w:hAnsi="Arial"/>
                <w:sz w:val="18"/>
                <w:szCs w:val="18"/>
                <w:color w:val="0000FF"/>
              </w:rPr>
            </w:pPr>
            <w:hyperlink r:id="rId220">
              <w:r>
                <w:rPr>
                  <w:rFonts w:ascii="Arial" w:cs="Arial" w:eastAsia="Arial" w:hAnsi="Arial"/>
                  <w:sz w:val="18"/>
                  <w:szCs w:val="18"/>
                  <w:color w:val="0000FF"/>
                </w:rPr>
                <w:t>Association, as subordination agent (incorporated by reference to Exhibit 4.4 to Sun Country Airlines Holdings,</w:t>
              </w:r>
            </w:hyperlink>
          </w:p>
        </w:tc>
        <w:tc>
          <w:tcPr>
            <w:tcW w:w="120" w:type="dxa"/>
            <w:vAlign w:val="bottom"/>
            <w:gridSpan w:val="6"/>
          </w:tcPr>
          <w:p>
            <w:pPr>
              <w:spacing w:after="0"/>
              <w:rPr>
                <w:sz w:val="14"/>
                <w:szCs w:val="14"/>
                <w:color w:val="auto"/>
              </w:rPr>
            </w:pPr>
          </w:p>
        </w:tc>
      </w:tr>
      <w:tr>
        <w:trPr>
          <w:trHeight w:val="155"/>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Inc.’s Current Report on Form 8-K filed with the Securities and Exchange Commission on April 5, 2022)</w:t>
              </w:r>
            </w:hyperlink>
          </w:p>
        </w:tc>
        <w:tc>
          <w:tcPr>
            <w:tcW w:w="180" w:type="dxa"/>
            <w:vAlign w:val="bottom"/>
            <w:gridSpan w:val="9"/>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20"/>
        </w:trPr>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0" w:type="dxa"/>
            <w:vAlign w:val="bottom"/>
            <w:gridSpan w:val="7"/>
            <w:shd w:val="clear" w:color="auto" w:fill="0000FF"/>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263"/>
        </w:trPr>
        <w:tc>
          <w:tcPr>
            <w:tcW w:w="2260" w:type="dxa"/>
            <w:vAlign w:val="bottom"/>
          </w:tcPr>
          <w:p>
            <w:pPr>
              <w:ind w:left="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0" w:type="dxa"/>
            <w:vAlign w:val="bottom"/>
            <w:gridSpan w:val="28"/>
          </w:tcPr>
          <w:p>
            <w:pPr>
              <w:spacing w:after="0"/>
              <w:rPr>
                <w:rFonts w:ascii="Arial" w:cs="Arial" w:eastAsia="Arial" w:hAnsi="Arial"/>
                <w:sz w:val="18"/>
                <w:szCs w:val="18"/>
                <w:color w:val="0000FF"/>
              </w:rPr>
            </w:pPr>
            <w:hyperlink r:id="rId220">
              <w:r>
                <w:rPr>
                  <w:rFonts w:ascii="Arial" w:cs="Arial" w:eastAsia="Arial" w:hAnsi="Arial"/>
                  <w:sz w:val="18"/>
                  <w:szCs w:val="18"/>
                  <w:color w:val="0000FF"/>
                </w:rPr>
                <w:t>Form of Participation Agreement (Participation Agreement between Sun Country, Inc. and Wilmington Trust,</w:t>
              </w:r>
            </w:hyperlink>
          </w:p>
        </w:tc>
      </w:tr>
      <w:tr>
        <w:trPr>
          <w:trHeight w:val="168"/>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20" w:type="dxa"/>
            <w:vAlign w:val="bottom"/>
            <w:tcBorders>
              <w:top w:val="single" w:sz="8" w:color="0000FF"/>
            </w:tcBorders>
            <w:gridSpan w:val="19"/>
          </w:tcPr>
          <w:p>
            <w:pPr>
              <w:spacing w:after="0" w:line="168" w:lineRule="exact"/>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National Association, not in its individual capacity but solely as mortgagee, subordination agent under the</w:t>
              </w:r>
            </w:hyperlink>
          </w:p>
        </w:tc>
        <w:tc>
          <w:tcPr>
            <w:tcW w:w="180" w:type="dxa"/>
            <w:vAlign w:val="bottom"/>
            <w:gridSpan w:val="9"/>
          </w:tcPr>
          <w:p>
            <w:pPr>
              <w:spacing w:after="0"/>
              <w:rPr>
                <w:sz w:val="14"/>
                <w:szCs w:val="14"/>
                <w:color w:val="auto"/>
              </w:rPr>
            </w:pPr>
          </w:p>
        </w:tc>
      </w:tr>
    </w:tbl>
    <w:p>
      <w:pPr>
        <w:jc w:val="both"/>
        <w:ind w:left="2380" w:right="20"/>
        <w:spacing w:after="0" w:line="221" w:lineRule="auto"/>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Intercreditor Agreement and pass through trustee under the pass through trusts) (Exhibit B to Note Purchase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Agreement) (incorporated by reference to Exhibit 4.5 to Sun Country Airlines Holdings, Inc.’s Current Report on</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Form 8-K filed with the Securities and Exchange Commission on April 5, 2022)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9"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4.11</w:t>
            </w:r>
          </w:p>
        </w:tc>
        <w:tc>
          <w:tcPr>
            <w:tcW w:w="9120" w:type="dxa"/>
            <w:vAlign w:val="bottom"/>
            <w:gridSpan w:val="26"/>
          </w:tcPr>
          <w:p>
            <w:pPr>
              <w:spacing w:after="0"/>
              <w:rPr>
                <w:rFonts w:ascii="Arial" w:cs="Arial" w:eastAsia="Arial" w:hAnsi="Arial"/>
                <w:sz w:val="18"/>
                <w:szCs w:val="18"/>
                <w:color w:val="0000FF"/>
              </w:rPr>
            </w:pPr>
            <w:hyperlink r:id="rId220">
              <w:r>
                <w:rPr>
                  <w:rFonts w:ascii="Arial" w:cs="Arial" w:eastAsia="Arial" w:hAnsi="Arial"/>
                  <w:sz w:val="18"/>
                  <w:szCs w:val="18"/>
                  <w:color w:val="0000FF"/>
                </w:rPr>
                <w:t>Form of Indenture (Trust Indenture and Mortgage between Sun Country, Inc. and Wilmington Trust, National</w:t>
              </w:r>
            </w:hyperlink>
          </w:p>
        </w:tc>
      </w:tr>
      <w:tr>
        <w:trPr>
          <w:trHeight w:val="155"/>
        </w:trPr>
        <w:tc>
          <w:tcPr>
            <w:tcW w:w="2360" w:type="dxa"/>
            <w:vAlign w:val="bottom"/>
          </w:tcPr>
          <w:p>
            <w:pPr>
              <w:spacing w:after="0"/>
              <w:rPr>
                <w:sz w:val="13"/>
                <w:szCs w:val="13"/>
                <w:color w:val="auto"/>
              </w:rPr>
            </w:pPr>
          </w:p>
        </w:tc>
        <w:tc>
          <w:tcPr>
            <w:tcW w:w="90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Association, not in its individual capacity, except as expressly stated therein, but solely as mortgagee)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886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rPr>
            </w:pPr>
            <w:hyperlink r:id="rId220">
              <w:r>
                <w:rPr>
                  <w:rFonts w:ascii="Arial" w:cs="Arial" w:eastAsia="Arial" w:hAnsi="Arial"/>
                  <w:sz w:val="18"/>
                  <w:szCs w:val="18"/>
                  <w:color w:val="0000FF"/>
                </w:rPr>
                <w:t>C to Note Purchase Agreement) (incorporated by reference to Exhibit 4.6 to Sun Country Airlines Holdings,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2360" w:type="dxa"/>
            <w:vAlign w:val="bottom"/>
          </w:tcPr>
          <w:p>
            <w:pPr>
              <w:spacing w:after="0"/>
              <w:rPr>
                <w:sz w:val="13"/>
                <w:szCs w:val="13"/>
                <w:color w:val="auto"/>
              </w:rPr>
            </w:pPr>
          </w:p>
        </w:tc>
        <w:tc>
          <w:tcPr>
            <w:tcW w:w="8960" w:type="dxa"/>
            <w:vAlign w:val="bottom"/>
            <w:gridSpan w:val="18"/>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Inc.’s Current Report on Form 8-K filed with the Securities and Exchange Commission on April 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36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360" w:type="dxa"/>
            <w:vAlign w:val="bottom"/>
          </w:tcPr>
          <w:p>
            <w:pPr>
              <w:spacing w:after="0"/>
              <w:rPr>
                <w:sz w:val="20"/>
                <w:szCs w:val="20"/>
                <w:color w:val="auto"/>
              </w:rPr>
            </w:pPr>
            <w:r>
              <w:rPr>
                <w:rFonts w:ascii="Arial" w:cs="Arial" w:eastAsia="Arial" w:hAnsi="Arial"/>
                <w:sz w:val="18"/>
                <w:szCs w:val="18"/>
                <w:color w:val="auto"/>
              </w:rPr>
              <w:t>4.12</w:t>
            </w:r>
          </w:p>
        </w:tc>
        <w:tc>
          <w:tcPr>
            <w:tcW w:w="9120" w:type="dxa"/>
            <w:vAlign w:val="bottom"/>
            <w:gridSpan w:val="26"/>
          </w:tcPr>
          <w:p>
            <w:pPr>
              <w:spacing w:after="0"/>
              <w:rPr>
                <w:rFonts w:ascii="Arial" w:cs="Arial" w:eastAsia="Arial" w:hAnsi="Arial"/>
                <w:sz w:val="18"/>
                <w:szCs w:val="18"/>
                <w:color w:val="0000FF"/>
              </w:rPr>
            </w:pPr>
            <w:hyperlink r:id="rId217">
              <w:r>
                <w:rPr>
                  <w:rFonts w:ascii="Arial" w:cs="Arial" w:eastAsia="Arial" w:hAnsi="Arial"/>
                  <w:sz w:val="18"/>
                  <w:szCs w:val="18"/>
                  <w:color w:val="0000FF"/>
                </w:rPr>
                <w:t>Form of Sun Country, Inc. Pass Through Certificate, Series 2022-1A (incorporated by reference to Exhibit 4.7</w:t>
              </w:r>
            </w:hyperlink>
          </w:p>
        </w:tc>
      </w:tr>
      <w:tr>
        <w:trPr>
          <w:trHeight w:val="156"/>
        </w:trPr>
        <w:tc>
          <w:tcPr>
            <w:tcW w:w="2360" w:type="dxa"/>
            <w:vAlign w:val="bottom"/>
          </w:tcPr>
          <w:p>
            <w:pPr>
              <w:spacing w:after="0"/>
              <w:rPr>
                <w:sz w:val="13"/>
                <w:szCs w:val="13"/>
                <w:color w:val="auto"/>
              </w:rPr>
            </w:pPr>
          </w:p>
        </w:tc>
        <w:tc>
          <w:tcPr>
            <w:tcW w:w="90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to Sun Country Airlines Holdings, Inc.’s Current Report on Form 8-K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23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217">
              <w:r>
                <w:rPr>
                  <w:rFonts w:ascii="Arial" w:cs="Arial" w:eastAsia="Arial" w:hAnsi="Arial"/>
                  <w:sz w:val="18"/>
                  <w:szCs w:val="18"/>
                  <w:color w:val="0000FF"/>
                  <w:w w:val="99"/>
                </w:rPr>
                <w:t>Commission on April 5, 2022)</w:t>
              </w:r>
            </w:hyperlink>
          </w:p>
        </w:tc>
        <w:tc>
          <w:tcPr>
            <w:tcW w:w="66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2360" w:type="dxa"/>
            <w:vAlign w:val="bottom"/>
          </w:tcPr>
          <w:p>
            <w:pPr>
              <w:spacing w:after="0"/>
              <w:rPr>
                <w:sz w:val="20"/>
                <w:szCs w:val="20"/>
                <w:color w:val="auto"/>
              </w:rPr>
            </w:pPr>
            <w:r>
              <w:rPr>
                <w:rFonts w:ascii="Arial" w:cs="Arial" w:eastAsia="Arial" w:hAnsi="Arial"/>
                <w:sz w:val="18"/>
                <w:szCs w:val="18"/>
                <w:color w:val="auto"/>
              </w:rPr>
              <w:t>4.13</w:t>
            </w:r>
          </w:p>
        </w:tc>
        <w:tc>
          <w:tcPr>
            <w:tcW w:w="9120" w:type="dxa"/>
            <w:vAlign w:val="bottom"/>
            <w:gridSpan w:val="26"/>
          </w:tcPr>
          <w:p>
            <w:pPr>
              <w:spacing w:after="0"/>
              <w:rPr>
                <w:rFonts w:ascii="Arial" w:cs="Arial" w:eastAsia="Arial" w:hAnsi="Arial"/>
                <w:sz w:val="18"/>
                <w:szCs w:val="18"/>
                <w:color w:val="0000FF"/>
              </w:rPr>
            </w:pPr>
            <w:hyperlink r:id="rId218">
              <w:r>
                <w:rPr>
                  <w:rFonts w:ascii="Arial" w:cs="Arial" w:eastAsia="Arial" w:hAnsi="Arial"/>
                  <w:sz w:val="18"/>
                  <w:szCs w:val="18"/>
                  <w:color w:val="0000FF"/>
                </w:rPr>
                <w:t>Form of Sun Country, Inc. Pass Through Certificate, Series 2022-1B (incorporated by reference to Exhibit 4.8</w:t>
              </w:r>
            </w:hyperlink>
          </w:p>
        </w:tc>
      </w:tr>
      <w:tr>
        <w:trPr>
          <w:trHeight w:val="156"/>
        </w:trPr>
        <w:tc>
          <w:tcPr>
            <w:tcW w:w="2360" w:type="dxa"/>
            <w:vAlign w:val="bottom"/>
          </w:tcPr>
          <w:p>
            <w:pPr>
              <w:spacing w:after="0"/>
              <w:rPr>
                <w:sz w:val="13"/>
                <w:szCs w:val="13"/>
                <w:color w:val="auto"/>
              </w:rPr>
            </w:pPr>
          </w:p>
        </w:tc>
        <w:tc>
          <w:tcPr>
            <w:tcW w:w="90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18">
              <w:r>
                <w:rPr>
                  <w:rFonts w:ascii="Arial" w:cs="Arial" w:eastAsia="Arial" w:hAnsi="Arial"/>
                  <w:sz w:val="18"/>
                  <w:szCs w:val="18"/>
                  <w:color w:val="0000FF"/>
                </w:rPr>
                <w:t>to Sun Country Airlines Holdings, Inc.’s Current Report on Form 8-K filed with the Securities and Exchange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360" w:type="dxa"/>
            <w:vAlign w:val="bottom"/>
          </w:tcPr>
          <w:p>
            <w:pPr>
              <w:spacing w:after="0"/>
              <w:rPr>
                <w:sz w:val="14"/>
                <w:szCs w:val="14"/>
                <w:color w:val="auto"/>
              </w:rPr>
            </w:pPr>
          </w:p>
        </w:tc>
        <w:tc>
          <w:tcPr>
            <w:tcW w:w="23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9"/>
              </w:rPr>
            </w:pPr>
            <w:hyperlink r:id="rId218">
              <w:r>
                <w:rPr>
                  <w:rFonts w:ascii="Arial" w:cs="Arial" w:eastAsia="Arial" w:hAnsi="Arial"/>
                  <w:sz w:val="18"/>
                  <w:szCs w:val="18"/>
                  <w:color w:val="0000FF"/>
                  <w:w w:val="99"/>
                </w:rPr>
                <w:t>Commission on April 5, 2022)</w:t>
              </w:r>
            </w:hyperlink>
          </w:p>
        </w:tc>
        <w:tc>
          <w:tcPr>
            <w:tcW w:w="660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4"/>
        </w:trPr>
        <w:tc>
          <w:tcPr>
            <w:tcW w:w="2360" w:type="dxa"/>
            <w:vAlign w:val="bottom"/>
          </w:tcPr>
          <w:p>
            <w:pPr>
              <w:spacing w:after="0"/>
              <w:rPr>
                <w:sz w:val="20"/>
                <w:szCs w:val="20"/>
                <w:color w:val="auto"/>
              </w:rPr>
            </w:pPr>
            <w:r>
              <w:rPr>
                <w:rFonts w:ascii="Arial" w:cs="Arial" w:eastAsia="Arial" w:hAnsi="Arial"/>
                <w:sz w:val="18"/>
                <w:szCs w:val="18"/>
                <w:color w:val="auto"/>
              </w:rPr>
              <w:t>4.14*</w:t>
            </w:r>
          </w:p>
        </w:tc>
        <w:tc>
          <w:tcPr>
            <w:tcW w:w="29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Description of Registrant’s Securities</w:t>
            </w:r>
          </w:p>
        </w:tc>
        <w:tc>
          <w:tcPr>
            <w:tcW w:w="6180" w:type="dxa"/>
            <w:vAlign w:val="bottom"/>
            <w:gridSpan w:val="24"/>
          </w:tcPr>
          <w:p>
            <w:pPr>
              <w:spacing w:after="0"/>
              <w:rPr>
                <w:sz w:val="22"/>
                <w:szCs w:val="22"/>
                <w:color w:val="auto"/>
              </w:rPr>
            </w:pPr>
          </w:p>
        </w:tc>
      </w:tr>
      <w:tr>
        <w:trPr>
          <w:trHeight w:val="277"/>
        </w:trPr>
        <w:tc>
          <w:tcPr>
            <w:tcW w:w="2360" w:type="dxa"/>
            <w:vAlign w:val="bottom"/>
          </w:tcPr>
          <w:p>
            <w:pPr>
              <w:spacing w:after="0"/>
              <w:rPr>
                <w:sz w:val="20"/>
                <w:szCs w:val="20"/>
                <w:color w:val="auto"/>
              </w:rPr>
            </w:pPr>
            <w:r>
              <w:rPr>
                <w:rFonts w:ascii="Arial" w:cs="Arial" w:eastAsia="Arial" w:hAnsi="Arial"/>
                <w:sz w:val="18"/>
                <w:szCs w:val="18"/>
                <w:color w:val="auto"/>
              </w:rPr>
              <w:t>10.1</w:t>
            </w:r>
          </w:p>
        </w:tc>
        <w:tc>
          <w:tcPr>
            <w:tcW w:w="9120" w:type="dxa"/>
            <w:vAlign w:val="bottom"/>
            <w:gridSpan w:val="26"/>
          </w:tcPr>
          <w:p>
            <w:pPr>
              <w:spacing w:after="0"/>
              <w:rPr>
                <w:rFonts w:ascii="Arial" w:cs="Arial" w:eastAsia="Arial" w:hAnsi="Arial"/>
                <w:sz w:val="18"/>
                <w:szCs w:val="18"/>
                <w:color w:val="0000FF"/>
              </w:rPr>
            </w:pPr>
            <w:hyperlink r:id="rId222">
              <w:r>
                <w:rPr>
                  <w:rFonts w:ascii="Arial" w:cs="Arial" w:eastAsia="Arial" w:hAnsi="Arial"/>
                  <w:sz w:val="18"/>
                  <w:szCs w:val="18"/>
                  <w:color w:val="0000FF"/>
                </w:rPr>
                <w:t>Loan and Guarantee Agreement, dated as of October 26, 2020, among Sun Country, Inc., as Borrower, the</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Guarantors party thereto from time to time, the United States Department of the Treasury, and The Bank of</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20" w:type="dxa"/>
            <w:vAlign w:val="bottom"/>
            <w:gridSpan w:val="26"/>
          </w:tcPr>
          <w:p>
            <w:pPr>
              <w:spacing w:after="0" w:line="196" w:lineRule="exact"/>
              <w:rPr>
                <w:rFonts w:ascii="Arial" w:cs="Arial" w:eastAsia="Arial" w:hAnsi="Arial"/>
                <w:sz w:val="18"/>
                <w:szCs w:val="18"/>
                <w:color w:val="0000FF"/>
              </w:rPr>
            </w:pPr>
            <w:hyperlink r:id="rId222">
              <w:r>
                <w:rPr>
                  <w:rFonts w:ascii="Arial" w:cs="Arial" w:eastAsia="Arial" w:hAnsi="Arial"/>
                  <w:sz w:val="18"/>
                  <w:szCs w:val="18"/>
                  <w:color w:val="0000FF"/>
                </w:rPr>
                <w:t>New York Mellon, as Administrative Agent and Collateral Agent (incorporated by reference to Exhibit 10.5 to</w:t>
              </w:r>
            </w:hyperlink>
          </w:p>
        </w:tc>
      </w:tr>
      <w:tr>
        <w:trPr>
          <w:trHeight w:val="182"/>
        </w:trPr>
        <w:tc>
          <w:tcPr>
            <w:tcW w:w="236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22">
              <w:r>
                <w:rPr>
                  <w:rFonts w:ascii="Arial" w:cs="Arial" w:eastAsia="Arial" w:hAnsi="Arial"/>
                  <w:sz w:val="18"/>
                  <w:szCs w:val="18"/>
                  <w:color w:val="0000FF"/>
                  <w:w w:val="99"/>
                </w:rPr>
                <w:t>Sun Country Airlines Holdings, Inc.’s Registration Statement on Form S-1 (File No. 333-252858))</w:t>
              </w:r>
            </w:hyperlink>
          </w:p>
        </w:tc>
        <w:tc>
          <w:tcPr>
            <w:tcW w:w="112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w:t>
            </w:r>
          </w:p>
        </w:tc>
        <w:tc>
          <w:tcPr>
            <w:tcW w:w="9120" w:type="dxa"/>
            <w:vAlign w:val="bottom"/>
            <w:gridSpan w:val="26"/>
          </w:tcPr>
          <w:p>
            <w:pPr>
              <w:spacing w:after="0"/>
              <w:rPr>
                <w:rFonts w:ascii="Arial" w:cs="Arial" w:eastAsia="Arial" w:hAnsi="Arial"/>
                <w:sz w:val="18"/>
                <w:szCs w:val="18"/>
                <w:color w:val="0000FF"/>
              </w:rPr>
            </w:pPr>
            <w:hyperlink r:id="rId223">
              <w:r>
                <w:rPr>
                  <w:rFonts w:ascii="Arial" w:cs="Arial" w:eastAsia="Arial" w:hAnsi="Arial"/>
                  <w:sz w:val="18"/>
                  <w:szCs w:val="18"/>
                  <w:color w:val="0000FF"/>
                </w:rPr>
                <w:t>Pledge and Security Agreement, dated as of October 26, 2020, between each of the Grantors party thereto</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and The Bank of New York Mellon, as Collateral Agent (incorporated by reference to Exhibit 10.6 to Sun</w:t>
              </w:r>
            </w:hyperlink>
          </w:p>
        </w:tc>
        <w:tc>
          <w:tcPr>
            <w:tcW w:w="16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20" w:type="dxa"/>
            <w:vAlign w:val="bottom"/>
            <w:gridSpan w:val="26"/>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Country 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w:t>
            </w:r>
          </w:p>
        </w:tc>
        <w:tc>
          <w:tcPr>
            <w:tcW w:w="9120" w:type="dxa"/>
            <w:vAlign w:val="bottom"/>
            <w:gridSpan w:val="26"/>
          </w:tcPr>
          <w:p>
            <w:pPr>
              <w:spacing w:after="0"/>
              <w:rPr>
                <w:rFonts w:ascii="Arial" w:cs="Arial" w:eastAsia="Arial" w:hAnsi="Arial"/>
                <w:sz w:val="18"/>
                <w:szCs w:val="18"/>
                <w:color w:val="0000FF"/>
              </w:rPr>
            </w:pPr>
            <w:hyperlink r:id="rId224">
              <w:r>
                <w:rPr>
                  <w:rFonts w:ascii="Arial" w:cs="Arial" w:eastAsia="Arial" w:hAnsi="Arial"/>
                  <w:sz w:val="18"/>
                  <w:szCs w:val="18"/>
                  <w:color w:val="0000FF"/>
                </w:rPr>
                <w:t>Payroll Support Program Agreement, dated as of April 16, 2020, by and between Sun Country, Inc. and the</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24">
              <w:r>
                <w:rPr>
                  <w:rFonts w:ascii="Arial" w:cs="Arial" w:eastAsia="Arial" w:hAnsi="Arial"/>
                  <w:sz w:val="18"/>
                  <w:szCs w:val="18"/>
                  <w:color w:val="0000FF"/>
                </w:rPr>
                <w:t>Department of the Treasury (incorporated by reference to Exhibit 10.7 to Sun Country Airlines Holdings, Inc.’s</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Registration Statement on Form S-1 (File No. 333-252858))</w:t>
              </w:r>
            </w:hyperlink>
          </w:p>
        </w:tc>
        <w:tc>
          <w:tcPr>
            <w:tcW w:w="4380" w:type="dxa"/>
            <w:vAlign w:val="bottom"/>
            <w:gridSpan w:val="23"/>
          </w:tcPr>
          <w:p>
            <w:pPr>
              <w:spacing w:after="0"/>
              <w:rPr>
                <w:sz w:val="17"/>
                <w:szCs w:val="17"/>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10.4</w:t>
            </w:r>
          </w:p>
        </w:tc>
        <w:tc>
          <w:tcPr>
            <w:tcW w:w="9120" w:type="dxa"/>
            <w:vAlign w:val="bottom"/>
            <w:gridSpan w:val="26"/>
          </w:tcPr>
          <w:p>
            <w:pPr>
              <w:spacing w:after="0"/>
              <w:rPr>
                <w:rFonts w:ascii="Arial" w:cs="Arial" w:eastAsia="Arial" w:hAnsi="Arial"/>
                <w:sz w:val="18"/>
                <w:szCs w:val="18"/>
                <w:color w:val="0000FF"/>
              </w:rPr>
            </w:pPr>
            <w:hyperlink r:id="rId225">
              <w:r>
                <w:rPr>
                  <w:rFonts w:ascii="Arial" w:cs="Arial" w:eastAsia="Arial" w:hAnsi="Arial"/>
                  <w:sz w:val="18"/>
                  <w:szCs w:val="18"/>
                  <w:color w:val="0000FF"/>
                </w:rPr>
                <w:t>Payroll Support Program Extension Agreement, dated as of January 29, 2021, by and between Sun Country,</w:t>
              </w:r>
            </w:hyperlink>
          </w:p>
        </w:tc>
      </w:tr>
      <w:tr>
        <w:trPr>
          <w:trHeight w:val="183"/>
        </w:trPr>
        <w:tc>
          <w:tcPr>
            <w:tcW w:w="236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Inc. and the Department of the Treasury (incorporated by reference to Exhibit 10.8 to Sun Country Airlines</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20" w:type="dxa"/>
            <w:vAlign w:val="bottom"/>
            <w:gridSpan w:val="26"/>
          </w:tcPr>
          <w:p>
            <w:pPr>
              <w:spacing w:after="0" w:line="196" w:lineRule="exact"/>
              <w:rPr>
                <w:rFonts w:ascii="Arial" w:cs="Arial" w:eastAsia="Arial" w:hAnsi="Arial"/>
                <w:sz w:val="18"/>
                <w:szCs w:val="18"/>
                <w:color w:val="0000FF"/>
              </w:rPr>
            </w:pPr>
            <w:hyperlink r:id="rId225">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10.5</w:t>
            </w:r>
          </w:p>
        </w:tc>
        <w:tc>
          <w:tcPr>
            <w:tcW w:w="9120" w:type="dxa"/>
            <w:vAlign w:val="bottom"/>
            <w:gridSpan w:val="26"/>
          </w:tcPr>
          <w:p>
            <w:pPr>
              <w:spacing w:after="0"/>
              <w:rPr>
                <w:rFonts w:ascii="Arial" w:cs="Arial" w:eastAsia="Arial" w:hAnsi="Arial"/>
                <w:sz w:val="18"/>
                <w:szCs w:val="18"/>
                <w:color w:val="0000FF"/>
              </w:rPr>
            </w:pPr>
            <w:hyperlink r:id="rId226">
              <w:r>
                <w:rPr>
                  <w:rFonts w:ascii="Arial" w:cs="Arial" w:eastAsia="Arial" w:hAnsi="Arial"/>
                  <w:sz w:val="18"/>
                  <w:szCs w:val="18"/>
                  <w:color w:val="0000FF"/>
                </w:rPr>
                <w:t>Amended and Restated Airline Operating Agreement and Terminal Building Lease, Minneapolis-St. Paul</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International Airport, between Metropolitan Airports Commission and MN Airlines, LLC d/b/a Sun Country</w:t>
              </w:r>
            </w:hyperlink>
          </w:p>
        </w:tc>
        <w:tc>
          <w:tcPr>
            <w:tcW w:w="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20" w:type="dxa"/>
            <w:vAlign w:val="bottom"/>
            <w:gridSpan w:val="26"/>
          </w:tcPr>
          <w:p>
            <w:pPr>
              <w:spacing w:after="0" w:line="196" w:lineRule="exact"/>
              <w:rPr>
                <w:rFonts w:ascii="Arial" w:cs="Arial" w:eastAsia="Arial" w:hAnsi="Arial"/>
                <w:sz w:val="18"/>
                <w:szCs w:val="18"/>
                <w:color w:val="0000FF"/>
              </w:rPr>
            </w:pPr>
            <w:hyperlink r:id="rId226">
              <w:r>
                <w:rPr>
                  <w:rFonts w:ascii="Arial" w:cs="Arial" w:eastAsia="Arial" w:hAnsi="Arial"/>
                  <w:sz w:val="18"/>
                  <w:szCs w:val="18"/>
                  <w:color w:val="0000FF"/>
                </w:rPr>
                <w:t>Airlines, effective January 1, 2019 (incorporated by reference to Exhibit 10.9 to Sun Country Airlines Holdings,</w:t>
              </w:r>
            </w:hyperlink>
          </w:p>
        </w:tc>
      </w:tr>
      <w:tr>
        <w:trPr>
          <w:trHeight w:val="183"/>
        </w:trPr>
        <w:tc>
          <w:tcPr>
            <w:tcW w:w="2360" w:type="dxa"/>
            <w:vAlign w:val="bottom"/>
          </w:tcPr>
          <w:p>
            <w:pPr>
              <w:spacing w:after="0"/>
              <w:rPr>
                <w:sz w:val="15"/>
                <w:szCs w:val="15"/>
                <w:color w:val="auto"/>
              </w:rPr>
            </w:pPr>
          </w:p>
        </w:tc>
        <w:tc>
          <w:tcPr>
            <w:tcW w:w="9100" w:type="dxa"/>
            <w:vAlign w:val="bottom"/>
            <w:tcBorders>
              <w:top w:val="single" w:sz="8" w:color="0000FF"/>
            </w:tcBorders>
            <w:gridSpan w:val="25"/>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Inc.’s Registration Statement on Form S-1 (File No. 333-252858))</w:t>
              </w:r>
            </w:hyperlink>
          </w:p>
        </w:tc>
        <w:tc>
          <w:tcPr>
            <w:tcW w:w="20" w:type="dxa"/>
            <w:vAlign w:val="bottom"/>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10.6#</w:t>
            </w:r>
          </w:p>
        </w:tc>
        <w:tc>
          <w:tcPr>
            <w:tcW w:w="9120" w:type="dxa"/>
            <w:vAlign w:val="bottom"/>
            <w:gridSpan w:val="26"/>
          </w:tcPr>
          <w:p>
            <w:pPr>
              <w:spacing w:after="0"/>
              <w:rPr>
                <w:rFonts w:ascii="Arial" w:cs="Arial" w:eastAsia="Arial" w:hAnsi="Arial"/>
                <w:sz w:val="18"/>
                <w:szCs w:val="18"/>
                <w:color w:val="0000FF"/>
              </w:rPr>
            </w:pPr>
            <w:hyperlink r:id="rId227">
              <w:r>
                <w:rPr>
                  <w:rFonts w:ascii="Arial" w:cs="Arial" w:eastAsia="Arial" w:hAnsi="Arial"/>
                  <w:sz w:val="18"/>
                  <w:szCs w:val="18"/>
                  <w:color w:val="0000FF"/>
                </w:rPr>
                <w:t>Air Transportation Services Agreement, dated as of December 13, 2019, by and between Sun Country, Inc.</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and Amazon.com Services, Inc. (incorporated by reference to Exhibit 10.10 to Sun Country Airlines Holdings,</w:t>
              </w:r>
            </w:hyperlink>
          </w:p>
        </w:tc>
        <w:tc>
          <w:tcPr>
            <w:tcW w:w="100" w:type="dxa"/>
            <w:vAlign w:val="bottom"/>
            <w:tcBorders>
              <w:bottom w:val="single" w:sz="8" w:color="0000FF"/>
            </w:tcBorders>
            <w:gridSpan w:val="5"/>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20" w:type="dxa"/>
            <w:vAlign w:val="bottom"/>
            <w:gridSpan w:val="26"/>
          </w:tcPr>
          <w:p>
            <w:pPr>
              <w:spacing w:after="0" w:line="196" w:lineRule="exact"/>
              <w:rPr>
                <w:rFonts w:ascii="Arial" w:cs="Arial" w:eastAsia="Arial" w:hAnsi="Arial"/>
                <w:sz w:val="18"/>
                <w:szCs w:val="18"/>
                <w:color w:val="0000FF"/>
              </w:rPr>
            </w:pPr>
            <w:hyperlink r:id="rId227">
              <w:r>
                <w:rPr>
                  <w:rFonts w:ascii="Arial" w:cs="Arial" w:eastAsia="Arial" w:hAnsi="Arial"/>
                  <w:sz w:val="18"/>
                  <w:szCs w:val="18"/>
                  <w:color w:val="0000FF"/>
                </w:rPr>
                <w:t>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10.7#</w:t>
            </w:r>
          </w:p>
        </w:tc>
        <w:tc>
          <w:tcPr>
            <w:tcW w:w="9120" w:type="dxa"/>
            <w:vAlign w:val="bottom"/>
            <w:gridSpan w:val="26"/>
          </w:tcPr>
          <w:p>
            <w:pPr>
              <w:spacing w:after="0"/>
              <w:rPr>
                <w:rFonts w:ascii="Arial" w:cs="Arial" w:eastAsia="Arial" w:hAnsi="Arial"/>
                <w:sz w:val="18"/>
                <w:szCs w:val="18"/>
                <w:color w:val="0000FF"/>
              </w:rPr>
            </w:pPr>
            <w:hyperlink r:id="rId228">
              <w:r>
                <w:rPr>
                  <w:rFonts w:ascii="Arial" w:cs="Arial" w:eastAsia="Arial" w:hAnsi="Arial"/>
                  <w:sz w:val="18"/>
                  <w:szCs w:val="18"/>
                  <w:color w:val="0000FF"/>
                </w:rPr>
                <w:t>Amendment No. 1 to Air Transportation Services Agreement, dated as of June 30, 2020, by and between Sun</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228">
              <w:r>
                <w:rPr>
                  <w:rFonts w:ascii="Arial" w:cs="Arial" w:eastAsia="Arial" w:hAnsi="Arial"/>
                  <w:sz w:val="18"/>
                  <w:szCs w:val="18"/>
                  <w:color w:val="0000FF"/>
                </w:rPr>
                <w:t>Country, Inc. and Amazon.com Services, Inc. (incorporated by reference to Exhibit 10.11 to Sun Country</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120" w:type="dxa"/>
            <w:vAlign w:val="bottom"/>
            <w:gridSpan w:val="26"/>
          </w:tcPr>
          <w:p>
            <w:pPr>
              <w:spacing w:after="0" w:line="196" w:lineRule="exact"/>
              <w:rPr>
                <w:rFonts w:ascii="Arial" w:cs="Arial" w:eastAsia="Arial" w:hAnsi="Arial"/>
                <w:sz w:val="18"/>
                <w:szCs w:val="18"/>
                <w:color w:val="0000FF"/>
              </w:rPr>
            </w:pPr>
            <w:hyperlink r:id="rId228">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6640" w:type="dxa"/>
            <w:vAlign w:val="bottom"/>
            <w:gridSpan w:val="6"/>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10.8#</w:t>
            </w:r>
          </w:p>
        </w:tc>
        <w:tc>
          <w:tcPr>
            <w:tcW w:w="9120" w:type="dxa"/>
            <w:vAlign w:val="bottom"/>
            <w:gridSpan w:val="26"/>
          </w:tcPr>
          <w:p>
            <w:pPr>
              <w:spacing w:after="0"/>
              <w:rPr>
                <w:rFonts w:ascii="Arial" w:cs="Arial" w:eastAsia="Arial" w:hAnsi="Arial"/>
                <w:sz w:val="18"/>
                <w:szCs w:val="18"/>
                <w:color w:val="0000FF"/>
              </w:rPr>
            </w:pPr>
            <w:hyperlink r:id="rId229">
              <w:r>
                <w:rPr>
                  <w:rFonts w:ascii="Arial" w:cs="Arial" w:eastAsia="Arial" w:hAnsi="Arial"/>
                  <w:sz w:val="18"/>
                  <w:szCs w:val="18"/>
                  <w:color w:val="0000FF"/>
                </w:rPr>
                <w:t>Warrant, dated as of December 13, 2019, issued by SCA Acquisition Holdings, LLC to Amazon.com NV</w:t>
              </w:r>
            </w:hyperlink>
          </w:p>
        </w:tc>
      </w:tr>
      <w:tr>
        <w:trPr>
          <w:trHeight w:val="183"/>
        </w:trPr>
        <w:tc>
          <w:tcPr>
            <w:tcW w:w="236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rPr>
            </w:pPr>
            <w:hyperlink r:id="rId229">
              <w:r>
                <w:rPr>
                  <w:rFonts w:ascii="Arial" w:cs="Arial" w:eastAsia="Arial" w:hAnsi="Arial"/>
                  <w:sz w:val="18"/>
                  <w:szCs w:val="18"/>
                  <w:color w:val="0000FF"/>
                </w:rPr>
                <w:t>Investment Holdings LLC (incorporated by reference to Exhibit 10.12 to Sun Country Airlines Holdings, Inc.’s</w:t>
              </w:r>
            </w:hyperlink>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229">
              <w:r>
                <w:rPr>
                  <w:rFonts w:ascii="Arial" w:cs="Arial" w:eastAsia="Arial" w:hAnsi="Arial"/>
                  <w:sz w:val="18"/>
                  <w:szCs w:val="18"/>
                  <w:color w:val="0000FF"/>
                  <w:w w:val="99"/>
                </w:rPr>
                <w:t>Registration Statement on Form S-1 (File No. 333-252858))</w:t>
              </w:r>
            </w:hyperlink>
          </w:p>
        </w:tc>
        <w:tc>
          <w:tcPr>
            <w:tcW w:w="4380" w:type="dxa"/>
            <w:vAlign w:val="bottom"/>
            <w:gridSpan w:val="23"/>
          </w:tcPr>
          <w:p>
            <w:pPr>
              <w:spacing w:after="0"/>
              <w:rPr>
                <w:sz w:val="17"/>
                <w:szCs w:val="17"/>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10.9</w:t>
            </w:r>
          </w:p>
        </w:tc>
        <w:tc>
          <w:tcPr>
            <w:tcW w:w="9120" w:type="dxa"/>
            <w:vAlign w:val="bottom"/>
            <w:gridSpan w:val="26"/>
          </w:tcPr>
          <w:p>
            <w:pPr>
              <w:spacing w:after="0"/>
              <w:rPr>
                <w:rFonts w:ascii="Arial" w:cs="Arial" w:eastAsia="Arial" w:hAnsi="Arial"/>
                <w:sz w:val="18"/>
                <w:szCs w:val="18"/>
                <w:color w:val="0000FF"/>
              </w:rPr>
            </w:pPr>
            <w:hyperlink r:id="rId230">
              <w:r>
                <w:rPr>
                  <w:rFonts w:ascii="Arial" w:cs="Arial" w:eastAsia="Arial" w:hAnsi="Arial"/>
                  <w:sz w:val="18"/>
                  <w:szCs w:val="18"/>
                  <w:color w:val="0000FF"/>
                </w:rPr>
                <w:t>Headquarters Facility Lease Agreement, dated as of February 19, 2019, by and between the Metropolitan</w:t>
              </w:r>
            </w:hyperlink>
          </w:p>
        </w:tc>
      </w:tr>
      <w:tr>
        <w:trPr>
          <w:trHeight w:val="183"/>
        </w:trPr>
        <w:tc>
          <w:tcPr>
            <w:tcW w:w="236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230">
              <w:r>
                <w:rPr>
                  <w:rFonts w:ascii="Arial" w:cs="Arial" w:eastAsia="Arial" w:hAnsi="Arial"/>
                  <w:sz w:val="18"/>
                  <w:szCs w:val="18"/>
                  <w:color w:val="0000FF"/>
                </w:rPr>
                <w:t>Airports Commission and MN Airlines, LLC dba Sun Country Airlines (incorporated by reference to Exhibit</w:t>
              </w:r>
            </w:hyperlink>
          </w:p>
        </w:tc>
        <w:tc>
          <w:tcPr>
            <w:tcW w:w="160" w:type="dxa"/>
            <w:vAlign w:val="bottom"/>
            <w:tcBorders>
              <w:bottom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8400" w:type="dxa"/>
            <w:vAlign w:val="bottom"/>
            <w:tcBorders>
              <w:bottom w:val="single" w:sz="8" w:color="0000FF"/>
            </w:tcBorders>
            <w:gridSpan w:val="10"/>
          </w:tcPr>
          <w:p>
            <w:pPr>
              <w:spacing w:after="0" w:line="196" w:lineRule="exact"/>
              <w:rPr>
                <w:rFonts w:ascii="Arial" w:cs="Arial" w:eastAsia="Arial" w:hAnsi="Arial"/>
                <w:sz w:val="18"/>
                <w:szCs w:val="18"/>
                <w:color w:val="0000FF"/>
                <w:w w:val="99"/>
              </w:rPr>
            </w:pPr>
            <w:hyperlink r:id="rId23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13</w:t>
              </w:r>
              <w:r>
                <w:rPr>
                  <w:rFonts w:ascii="Arial" w:cs="Arial" w:eastAsia="Arial" w:hAnsi="Arial"/>
                  <w:sz w:val="18"/>
                  <w:szCs w:val="18"/>
                  <w:color w:val="0000FF"/>
                  <w:w w:val="99"/>
                </w:rPr>
                <w:t xml:space="preserve"> to Sun Country Airlines Holdings, Inc.’s Registration Statement on Form S-1 (File No. 333-252858))</w:t>
              </w:r>
            </w:hyperlink>
          </w:p>
        </w:tc>
        <w:tc>
          <w:tcPr>
            <w:tcW w:w="720" w:type="dxa"/>
            <w:vAlign w:val="bottom"/>
            <w:gridSpan w:val="16"/>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60"/>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10.10</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32">
              <w:r>
                <w:rPr>
                  <w:rFonts w:ascii="Arial" w:cs="Arial" w:eastAsia="Arial" w:hAnsi="Arial"/>
                  <w:sz w:val="18"/>
                  <w:szCs w:val="18"/>
                  <w:color w:val="0000FF"/>
                </w:rPr>
                <w:t>Amended and Restated Co-Brand Marketing Agreement, dated as of October 17, 2018, between First National</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32">
              <w:r>
                <w:rPr>
                  <w:rFonts w:ascii="Arial" w:cs="Arial" w:eastAsia="Arial" w:hAnsi="Arial"/>
                  <w:sz w:val="18"/>
                  <w:szCs w:val="18"/>
                  <w:color w:val="0000FF"/>
                </w:rPr>
                <w:t>Bank of Omaha and MN Airlines, LLC dba Sun Country Airlines (incorporated by reference to Exhibit 10.14 to</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70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Sun Country Airlines Holdings, Inc.’s Registration Statement on Form S-1 (File No. 333-252858))</w:t>
              </w:r>
            </w:hyperlink>
          </w:p>
        </w:tc>
        <w:tc>
          <w:tcPr>
            <w:tcW w:w="1380" w:type="dxa"/>
            <w:vAlign w:val="bottom"/>
            <w:gridSpan w:val="14"/>
          </w:tcPr>
          <w:p>
            <w:pPr>
              <w:spacing w:after="0"/>
              <w:rPr>
                <w:sz w:val="17"/>
                <w:szCs w:val="17"/>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10.11</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33">
              <w:r>
                <w:rPr>
                  <w:rFonts w:ascii="Arial" w:cs="Arial" w:eastAsia="Arial" w:hAnsi="Arial"/>
                  <w:sz w:val="18"/>
                  <w:szCs w:val="18"/>
                  <w:color w:val="0000FF"/>
                </w:rPr>
                <w:t>Amendment No. 1 to Amended and Restated Co-Brand Marketing Agreement, dated as of November 1, 2018,</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33">
              <w:r>
                <w:rPr>
                  <w:rFonts w:ascii="Arial" w:cs="Arial" w:eastAsia="Arial" w:hAnsi="Arial"/>
                  <w:sz w:val="18"/>
                  <w:szCs w:val="18"/>
                  <w:color w:val="0000FF"/>
                  <w:w w:val="99"/>
                </w:rPr>
                <w:t>by and between First National Bank of Omaha and MN Airlines, LLC dba Sun Country Airlines (incorporated by</w:t>
              </w:r>
            </w:hyperlink>
          </w:p>
        </w:tc>
        <w:tc>
          <w:tcPr>
            <w:tcW w:w="2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33">
              <w:r>
                <w:rPr>
                  <w:rFonts w:ascii="Arial" w:cs="Arial" w:eastAsia="Arial" w:hAnsi="Arial"/>
                  <w:sz w:val="18"/>
                  <w:szCs w:val="18"/>
                  <w:color w:val="0000FF"/>
                </w:rPr>
                <w:t>reference to Exhibit 10.15 to Sun Country Airlines Holdings, Inc.’s Registration Statement on Form S-1 (File</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233">
              <w:r>
                <w:rPr>
                  <w:rFonts w:ascii="Arial" w:cs="Arial" w:eastAsia="Arial" w:hAnsi="Arial"/>
                  <w:sz w:val="18"/>
                  <w:szCs w:val="18"/>
                  <w:color w:val="0000FF"/>
                </w:rPr>
                <w:t>No. 333-252858))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10.12</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34">
              <w:r>
                <w:rPr>
                  <w:rFonts w:ascii="Arial" w:cs="Arial" w:eastAsia="Arial" w:hAnsi="Arial"/>
                  <w:sz w:val="18"/>
                  <w:szCs w:val="18"/>
                  <w:color w:val="0000FF"/>
                </w:rPr>
                <w:t>Inventory Support and Services Agreement, dated as of October 27, 2003, by and between Delta Airlines, Inc.</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6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34">
              <w:r>
                <w:rPr>
                  <w:rFonts w:ascii="Arial" w:cs="Arial" w:eastAsia="Arial" w:hAnsi="Arial"/>
                  <w:sz w:val="18"/>
                  <w:szCs w:val="18"/>
                  <w:color w:val="0000FF"/>
                </w:rPr>
                <w:t>and MN Airlines, LLC (incorporated by reference to Exhibit 10.16 to Sun Country Airlines Holdings, Inc.’s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9"/>
              </w:rPr>
            </w:pPr>
            <w:hyperlink r:id="rId234">
              <w:r>
                <w:rPr>
                  <w:rFonts w:ascii="Arial" w:cs="Arial" w:eastAsia="Arial" w:hAnsi="Arial"/>
                  <w:sz w:val="18"/>
                  <w:szCs w:val="18"/>
                  <w:color w:val="0000FF"/>
                  <w:w w:val="99"/>
                </w:rPr>
                <w:t>Registration Statement on Form S-1 (File No. 333-252858))</w:t>
              </w:r>
            </w:hyperlink>
          </w:p>
        </w:tc>
        <w:tc>
          <w:tcPr>
            <w:tcW w:w="4080" w:type="dxa"/>
            <w:vAlign w:val="bottom"/>
            <w:tcBorders>
              <w:top w:val="single" w:sz="8" w:color="0000FF"/>
            </w:tcBorders>
            <w:gridSpan w:val="4"/>
          </w:tcPr>
          <w:p>
            <w:pPr>
              <w:spacing w:after="0"/>
              <w:rPr>
                <w:sz w:val="17"/>
                <w:szCs w:val="17"/>
                <w:color w:val="auto"/>
              </w:rPr>
            </w:pPr>
          </w:p>
        </w:tc>
        <w:tc>
          <w:tcPr>
            <w:tcW w:w="260" w:type="dxa"/>
            <w:vAlign w:val="bottom"/>
            <w:gridSpan w:val="13"/>
          </w:tcPr>
          <w:p>
            <w:pPr>
              <w:spacing w:after="0"/>
              <w:rPr>
                <w:sz w:val="17"/>
                <w:szCs w:val="17"/>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10.13</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35">
              <w:r>
                <w:rPr>
                  <w:rFonts w:ascii="Arial" w:cs="Arial" w:eastAsia="Arial" w:hAnsi="Arial"/>
                  <w:sz w:val="18"/>
                  <w:szCs w:val="18"/>
                  <w:color w:val="0000FF"/>
                </w:rPr>
                <w:t>Amendment No. 1 to Inventory Support and Services Agreement, dated as of November 8, 2004, by and</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35">
              <w:r>
                <w:rPr>
                  <w:rFonts w:ascii="Arial" w:cs="Arial" w:eastAsia="Arial" w:hAnsi="Arial"/>
                  <w:sz w:val="18"/>
                  <w:szCs w:val="18"/>
                  <w:color w:val="0000FF"/>
                </w:rPr>
                <w:t>between Delta Airlines, Inc. and MN Airlines, LLC (incorporated by reference to Exhibit 10.17 to Sun Country</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Airlines 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10.14</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36">
              <w:r>
                <w:rPr>
                  <w:rFonts w:ascii="Arial" w:cs="Arial" w:eastAsia="Arial" w:hAnsi="Arial"/>
                  <w:sz w:val="18"/>
                  <w:szCs w:val="18"/>
                  <w:color w:val="0000FF"/>
                </w:rPr>
                <w:t>Amendment No. 2 to Inventory Support and Services Agreement, dated as of March 18, 2005,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36">
              <w:r>
                <w:rPr>
                  <w:rFonts w:ascii="Arial" w:cs="Arial" w:eastAsia="Arial" w:hAnsi="Arial"/>
                  <w:sz w:val="18"/>
                  <w:szCs w:val="18"/>
                  <w:color w:val="0000FF"/>
                </w:rPr>
                <w:t>Delta Airlines, Inc. and MN Airlines, LLC (incorporated by reference to Exhibit 10.18 to Sun Country Airlines</w:t>
              </w:r>
            </w:hyperlink>
          </w:p>
        </w:tc>
        <w:tc>
          <w:tcPr>
            <w:tcW w:w="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36">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10.15</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37">
              <w:r>
                <w:rPr>
                  <w:rFonts w:ascii="Arial" w:cs="Arial" w:eastAsia="Arial" w:hAnsi="Arial"/>
                  <w:sz w:val="18"/>
                  <w:szCs w:val="18"/>
                  <w:color w:val="0000FF"/>
                </w:rPr>
                <w:t>Amendment No. 3 to Inventory Support and Services Agreement, dated as of July 15, 2007,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37">
              <w:r>
                <w:rPr>
                  <w:rFonts w:ascii="Arial" w:cs="Arial" w:eastAsia="Arial" w:hAnsi="Arial"/>
                  <w:sz w:val="18"/>
                  <w:szCs w:val="18"/>
                  <w:color w:val="0000FF"/>
                </w:rPr>
                <w:t>Delta Airlines, Inc. and MN Airlines, LLC (incorporated by reference to Exhibit 10.19 to Sun Country Airlines</w:t>
              </w:r>
            </w:hyperlink>
          </w:p>
        </w:tc>
        <w:tc>
          <w:tcPr>
            <w:tcW w:w="20" w:type="dxa"/>
            <w:vAlign w:val="bottom"/>
            <w:tcBorders>
              <w:bottom w:val="single" w:sz="8" w:color="0000FF"/>
            </w:tcBorders>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37">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10.16</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38">
              <w:r>
                <w:rPr>
                  <w:rFonts w:ascii="Arial" w:cs="Arial" w:eastAsia="Arial" w:hAnsi="Arial"/>
                  <w:sz w:val="18"/>
                  <w:szCs w:val="18"/>
                  <w:color w:val="0000FF"/>
                </w:rPr>
                <w:t>Amendment No. 4 to Inventory Support and Services Agreement, dated as of May 23, 2008,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38">
              <w:r>
                <w:rPr>
                  <w:rFonts w:ascii="Arial" w:cs="Arial" w:eastAsia="Arial" w:hAnsi="Arial"/>
                  <w:sz w:val="18"/>
                  <w:szCs w:val="18"/>
                  <w:color w:val="0000FF"/>
                </w:rPr>
                <w:t>Delta Airlines, Inc. and MN Airlines, LLC (incorporated by reference to Exhibit 10.20 to Sun Country Airlines</w:t>
              </w:r>
            </w:hyperlink>
          </w:p>
        </w:tc>
        <w:tc>
          <w:tcPr>
            <w:tcW w:w="10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38">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10.17</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39">
              <w:r>
                <w:rPr>
                  <w:rFonts w:ascii="Arial" w:cs="Arial" w:eastAsia="Arial" w:hAnsi="Arial"/>
                  <w:sz w:val="18"/>
                  <w:szCs w:val="18"/>
                  <w:color w:val="0000FF"/>
                </w:rPr>
                <w:t>Amendment No. 5 to Inventory Support and Services Agreement, dated as of June 4, 2008,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rPr>
            </w:pPr>
            <w:hyperlink r:id="rId239">
              <w:r>
                <w:rPr>
                  <w:rFonts w:ascii="Arial" w:cs="Arial" w:eastAsia="Arial" w:hAnsi="Arial"/>
                  <w:sz w:val="18"/>
                  <w:szCs w:val="18"/>
                  <w:color w:val="0000FF"/>
                </w:rPr>
                <w:t>Delta Airlines, Inc. and MN Airlines, LLC (incorporated by reference to Exhibit 10.21 to Sun Country Airlines</w:t>
              </w:r>
            </w:hyperlink>
          </w:p>
        </w:tc>
        <w:tc>
          <w:tcPr>
            <w:tcW w:w="60" w:type="dxa"/>
            <w:vAlign w:val="bottom"/>
            <w:tcBorders>
              <w:bottom w:val="single" w:sz="8" w:color="0000FF"/>
            </w:tcBorders>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39">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10.18</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40">
              <w:r>
                <w:rPr>
                  <w:rFonts w:ascii="Arial" w:cs="Arial" w:eastAsia="Arial" w:hAnsi="Arial"/>
                  <w:sz w:val="18"/>
                  <w:szCs w:val="18"/>
                  <w:color w:val="0000FF"/>
                </w:rPr>
                <w:t>Amendment No. 6 to Inventory Support and Services Agreement, dated as of April 1, 2009,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40">
              <w:r>
                <w:rPr>
                  <w:rFonts w:ascii="Arial" w:cs="Arial" w:eastAsia="Arial" w:hAnsi="Arial"/>
                  <w:sz w:val="18"/>
                  <w:szCs w:val="18"/>
                  <w:color w:val="0000FF"/>
                </w:rPr>
                <w:t>Delta Airlines, Inc. and MN Airlines, LLC (incorporated by reference to Exhibit 10.22 to Sun Country Airlines</w:t>
              </w:r>
            </w:hyperlink>
          </w:p>
        </w:tc>
        <w:tc>
          <w:tcPr>
            <w:tcW w:w="12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40">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10.19</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41">
              <w:r>
                <w:rPr>
                  <w:rFonts w:ascii="Arial" w:cs="Arial" w:eastAsia="Arial" w:hAnsi="Arial"/>
                  <w:sz w:val="18"/>
                  <w:szCs w:val="18"/>
                  <w:color w:val="0000FF"/>
                </w:rPr>
                <w:t>Amendment No. 7 to Inventory Support and Services Agreement, dated as of April 7, 2009,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41">
              <w:r>
                <w:rPr>
                  <w:rFonts w:ascii="Arial" w:cs="Arial" w:eastAsia="Arial" w:hAnsi="Arial"/>
                  <w:sz w:val="18"/>
                  <w:szCs w:val="18"/>
                  <w:color w:val="0000FF"/>
                </w:rPr>
                <w:t>Delta Airlines, Inc. and MN Airlines, LLC (incorporated by reference to Exhibit 10.23 to Sun Country Airlines</w:t>
              </w:r>
            </w:hyperlink>
          </w:p>
        </w:tc>
        <w:tc>
          <w:tcPr>
            <w:tcW w:w="120" w:type="dxa"/>
            <w:vAlign w:val="bottom"/>
            <w:tcBorders>
              <w:top w:val="single" w:sz="8" w:color="0000FF"/>
            </w:tcBorders>
            <w:gridSpan w:val="6"/>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41">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10.20</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42">
              <w:r>
                <w:rPr>
                  <w:rFonts w:ascii="Arial" w:cs="Arial" w:eastAsia="Arial" w:hAnsi="Arial"/>
                  <w:sz w:val="18"/>
                  <w:szCs w:val="18"/>
                  <w:color w:val="0000FF"/>
                </w:rPr>
                <w:t>Amendment No. 8 to Inventory Support and Services Agreement, dated as of May 1, 2009,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42">
              <w:r>
                <w:rPr>
                  <w:rFonts w:ascii="Arial" w:cs="Arial" w:eastAsia="Arial" w:hAnsi="Arial"/>
                  <w:sz w:val="18"/>
                  <w:szCs w:val="18"/>
                  <w:color w:val="0000FF"/>
                </w:rPr>
                <w:t>Delta Airlines, Inc. and MN Airlines, LLC (incorporated by reference to Exhibit 10.24 to Sun Country Airlines</w:t>
              </w:r>
            </w:hyperlink>
          </w:p>
        </w:tc>
        <w:tc>
          <w:tcPr>
            <w:tcW w:w="80" w:type="dxa"/>
            <w:vAlign w:val="bottom"/>
            <w:tcBorders>
              <w:bottom w:val="single" w:sz="8" w:color="0000FF"/>
            </w:tcBorders>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42">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280" w:type="dxa"/>
            <w:vAlign w:val="bottom"/>
          </w:tcPr>
          <w:p>
            <w:pPr>
              <w:ind w:left="20"/>
              <w:spacing w:after="0"/>
              <w:rPr>
                <w:sz w:val="20"/>
                <w:szCs w:val="20"/>
                <w:color w:val="auto"/>
              </w:rPr>
            </w:pPr>
            <w:r>
              <w:rPr>
                <w:rFonts w:ascii="Arial" w:cs="Arial" w:eastAsia="Arial" w:hAnsi="Arial"/>
                <w:sz w:val="18"/>
                <w:szCs w:val="18"/>
                <w:color w:val="auto"/>
              </w:rPr>
              <w:t>10.21</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43">
              <w:r>
                <w:rPr>
                  <w:rFonts w:ascii="Arial" w:cs="Arial" w:eastAsia="Arial" w:hAnsi="Arial"/>
                  <w:sz w:val="18"/>
                  <w:szCs w:val="18"/>
                  <w:color w:val="0000FF"/>
                </w:rPr>
                <w:t>Amendment No. 9 to Inventory Support and Services Agreement, dated as of August 1, 2009, by and between</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43">
              <w:r>
                <w:rPr>
                  <w:rFonts w:ascii="Arial" w:cs="Arial" w:eastAsia="Arial" w:hAnsi="Arial"/>
                  <w:sz w:val="18"/>
                  <w:szCs w:val="18"/>
                  <w:color w:val="0000FF"/>
                </w:rPr>
                <w:t>Delta Airlines, Inc. and MN Airlines, LLC (incorporated by reference to Exhibit 10.25 to Sun Country Airlines</w:t>
              </w:r>
            </w:hyperlink>
          </w:p>
        </w:tc>
        <w:tc>
          <w:tcPr>
            <w:tcW w:w="80" w:type="dxa"/>
            <w:vAlign w:val="bottom"/>
            <w:tcBorders>
              <w:bottom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43">
              <w:r>
                <w:rPr>
                  <w:rFonts w:ascii="Arial" w:cs="Arial" w:eastAsia="Arial" w:hAnsi="Arial"/>
                  <w:sz w:val="18"/>
                  <w:szCs w:val="18"/>
                  <w:color w:val="0000FF"/>
                </w:rPr>
                <w:t>Holdings, Inc.’s Registration Statement on Form S-1 (File No. 333-252858))</w:t>
              </w:r>
            </w:hyperlink>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280" w:type="dxa"/>
            <w:vAlign w:val="bottom"/>
          </w:tcPr>
          <w:p>
            <w:pPr>
              <w:ind w:left="20"/>
              <w:spacing w:after="0"/>
              <w:rPr>
                <w:sz w:val="20"/>
                <w:szCs w:val="20"/>
                <w:color w:val="auto"/>
              </w:rPr>
            </w:pPr>
            <w:r>
              <w:rPr>
                <w:rFonts w:ascii="Arial" w:cs="Arial" w:eastAsia="Arial" w:hAnsi="Arial"/>
                <w:sz w:val="18"/>
                <w:szCs w:val="18"/>
                <w:color w:val="auto"/>
              </w:rPr>
              <w:t>10.22</w:t>
            </w:r>
          </w:p>
        </w:tc>
        <w:tc>
          <w:tcPr>
            <w:tcW w:w="1100" w:type="dxa"/>
            <w:vAlign w:val="bottom"/>
          </w:tcPr>
          <w:p>
            <w:pPr>
              <w:spacing w:after="0"/>
              <w:rPr>
                <w:sz w:val="24"/>
                <w:szCs w:val="24"/>
                <w:color w:val="auto"/>
              </w:rPr>
            </w:pPr>
          </w:p>
        </w:tc>
        <w:tc>
          <w:tcPr>
            <w:tcW w:w="9080" w:type="dxa"/>
            <w:vAlign w:val="bottom"/>
            <w:gridSpan w:val="19"/>
          </w:tcPr>
          <w:p>
            <w:pPr>
              <w:spacing w:after="0"/>
              <w:rPr>
                <w:rFonts w:ascii="Arial" w:cs="Arial" w:eastAsia="Arial" w:hAnsi="Arial"/>
                <w:sz w:val="18"/>
                <w:szCs w:val="18"/>
                <w:color w:val="0000FF"/>
              </w:rPr>
            </w:pPr>
            <w:hyperlink r:id="rId244">
              <w:r>
                <w:rPr>
                  <w:rFonts w:ascii="Arial" w:cs="Arial" w:eastAsia="Arial" w:hAnsi="Arial"/>
                  <w:sz w:val="18"/>
                  <w:szCs w:val="18"/>
                  <w:color w:val="0000FF"/>
                </w:rPr>
                <w:t>Amendment No. 10 to Inventory Support and Services Agreement, dated as of January 1, 2010, by and</w:t>
              </w:r>
            </w:hyperlink>
          </w:p>
        </w:tc>
      </w:tr>
      <w:tr>
        <w:trPr>
          <w:trHeight w:val="183"/>
        </w:trPr>
        <w:tc>
          <w:tcPr>
            <w:tcW w:w="1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6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244">
              <w:r>
                <w:rPr>
                  <w:rFonts w:ascii="Arial" w:cs="Arial" w:eastAsia="Arial" w:hAnsi="Arial"/>
                  <w:sz w:val="18"/>
                  <w:szCs w:val="18"/>
                  <w:color w:val="0000FF"/>
                </w:rPr>
                <w:t>between Delta Airlines, Inc. and MN Airlines, LLC (incorporated by reference to Exhibit 10.26 to Sun Country</w:t>
              </w:r>
            </w:hyperlink>
          </w:p>
        </w:tc>
        <w:tc>
          <w:tcPr>
            <w:tcW w:w="20" w:type="dxa"/>
            <w:vAlign w:val="bottom"/>
            <w:tcBorders>
              <w:bottom w:val="single" w:sz="8" w:color="0000FF"/>
            </w:tcBorders>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80" w:type="dxa"/>
            <w:vAlign w:val="bottom"/>
            <w:gridSpan w:val="19"/>
          </w:tcPr>
          <w:p>
            <w:pPr>
              <w:spacing w:after="0" w:line="196" w:lineRule="exact"/>
              <w:rPr>
                <w:rFonts w:ascii="Arial" w:cs="Arial" w:eastAsia="Arial" w:hAnsi="Arial"/>
                <w:sz w:val="18"/>
                <w:szCs w:val="18"/>
                <w:color w:val="0000FF"/>
              </w:rPr>
            </w:pPr>
            <w:hyperlink r:id="rId244">
              <w:r>
                <w:rPr>
                  <w:rFonts w:ascii="Arial" w:cs="Arial" w:eastAsia="Arial" w:hAnsi="Arial"/>
                  <w:sz w:val="18"/>
                  <w:szCs w:val="18"/>
                  <w:color w:val="0000FF"/>
                </w:rPr>
                <w:t>Airlines Holdings, Inc.’s Registration Statement on Form S-1 (File No. 333-252858))</w:t>
              </w:r>
            </w:hyperlink>
          </w:p>
        </w:tc>
      </w:tr>
      <w:tr>
        <w:trPr>
          <w:trHeight w:val="942"/>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tcBorders>
              <w:top w:val="single" w:sz="8" w:color="0000FF"/>
            </w:tcBorders>
            <w:gridSpan w:val="2"/>
          </w:tcPr>
          <w:p>
            <w:pPr>
              <w:ind w:left="3100"/>
              <w:spacing w:after="0"/>
              <w:rPr>
                <w:sz w:val="20"/>
                <w:szCs w:val="20"/>
                <w:color w:val="auto"/>
              </w:rPr>
            </w:pPr>
            <w:r>
              <w:rPr>
                <w:rFonts w:ascii="Arial" w:cs="Arial" w:eastAsia="Arial" w:hAnsi="Arial"/>
                <w:sz w:val="18"/>
                <w:szCs w:val="18"/>
                <w:color w:val="auto"/>
              </w:rPr>
              <w:t>133</w:t>
            </w:r>
          </w:p>
        </w:tc>
        <w:tc>
          <w:tcPr>
            <w:tcW w:w="126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12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10.23</w:t>
            </w:r>
          </w:p>
        </w:tc>
        <w:tc>
          <w:tcPr>
            <w:tcW w:w="9060" w:type="dxa"/>
            <w:vAlign w:val="bottom"/>
            <w:gridSpan w:val="20"/>
          </w:tcPr>
          <w:p>
            <w:pPr>
              <w:spacing w:after="0"/>
              <w:rPr>
                <w:rFonts w:ascii="Arial" w:cs="Arial" w:eastAsia="Arial" w:hAnsi="Arial"/>
                <w:sz w:val="18"/>
                <w:szCs w:val="18"/>
                <w:color w:val="0000FF"/>
              </w:rPr>
            </w:pPr>
            <w:hyperlink r:id="rId247">
              <w:r>
                <w:rPr>
                  <w:rFonts w:ascii="Arial" w:cs="Arial" w:eastAsia="Arial" w:hAnsi="Arial"/>
                  <w:sz w:val="18"/>
                  <w:szCs w:val="18"/>
                  <w:color w:val="0000FF"/>
                </w:rPr>
                <w:t>Amendment No. 11 to Inventory Support and Services Agreement, dated as of May 1, 2010, by and between</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47">
              <w:r>
                <w:rPr>
                  <w:rFonts w:ascii="Arial" w:cs="Arial" w:eastAsia="Arial" w:hAnsi="Arial"/>
                  <w:sz w:val="18"/>
                  <w:szCs w:val="18"/>
                  <w:color w:val="0000FF"/>
                </w:rPr>
                <w:t>Delta Airlines, Inc. and MN Airlines, LLC (incorporated by reference to Exhibit 10.27 to Sun Country Airlines</w:t>
              </w:r>
            </w:hyperlink>
          </w:p>
        </w:tc>
        <w:tc>
          <w:tcPr>
            <w:tcW w:w="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47">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10.24</w:t>
            </w:r>
          </w:p>
        </w:tc>
        <w:tc>
          <w:tcPr>
            <w:tcW w:w="9060" w:type="dxa"/>
            <w:vAlign w:val="bottom"/>
            <w:gridSpan w:val="20"/>
          </w:tcPr>
          <w:p>
            <w:pPr>
              <w:spacing w:after="0"/>
              <w:rPr>
                <w:rFonts w:ascii="Arial" w:cs="Arial" w:eastAsia="Arial" w:hAnsi="Arial"/>
                <w:sz w:val="18"/>
                <w:szCs w:val="18"/>
                <w:color w:val="0000FF"/>
              </w:rPr>
            </w:pPr>
            <w:hyperlink r:id="rId248">
              <w:r>
                <w:rPr>
                  <w:rFonts w:ascii="Arial" w:cs="Arial" w:eastAsia="Arial" w:hAnsi="Arial"/>
                  <w:sz w:val="18"/>
                  <w:szCs w:val="18"/>
                  <w:color w:val="0000FF"/>
                </w:rPr>
                <w:t>Amendment No. 13 to Inventory Support and Services Agreement, dated as of November 1, 2011, by and</w:t>
              </w:r>
            </w:hyperlink>
          </w:p>
        </w:tc>
      </w:tr>
      <w:tr>
        <w:trPr>
          <w:trHeight w:val="183"/>
        </w:trPr>
        <w:tc>
          <w:tcPr>
            <w:tcW w:w="236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rPr>
            </w:pPr>
            <w:hyperlink r:id="rId248">
              <w:r>
                <w:rPr>
                  <w:rFonts w:ascii="Arial" w:cs="Arial" w:eastAsia="Arial" w:hAnsi="Arial"/>
                  <w:sz w:val="18"/>
                  <w:szCs w:val="18"/>
                  <w:color w:val="0000FF"/>
                </w:rPr>
                <w:t>between Delta Airlines, Inc. and MN Airlines, LLC (incorporated by reference to Exhibit 10.28 to Sun Country</w:t>
              </w:r>
            </w:hyperlink>
          </w:p>
        </w:tc>
        <w:tc>
          <w:tcPr>
            <w:tcW w:w="20" w:type="dxa"/>
            <w:vAlign w:val="bottom"/>
            <w:tcBorders>
              <w:bottom w:val="single" w:sz="8" w:color="0000FF"/>
            </w:tcBorders>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48">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10.25</w:t>
            </w:r>
          </w:p>
        </w:tc>
        <w:tc>
          <w:tcPr>
            <w:tcW w:w="9060" w:type="dxa"/>
            <w:vAlign w:val="bottom"/>
            <w:gridSpan w:val="20"/>
          </w:tcPr>
          <w:p>
            <w:pPr>
              <w:spacing w:after="0"/>
              <w:rPr>
                <w:rFonts w:ascii="Arial" w:cs="Arial" w:eastAsia="Arial" w:hAnsi="Arial"/>
                <w:sz w:val="18"/>
                <w:szCs w:val="18"/>
                <w:color w:val="0000FF"/>
              </w:rPr>
            </w:pPr>
            <w:hyperlink r:id="rId249">
              <w:r>
                <w:rPr>
                  <w:rFonts w:ascii="Arial" w:cs="Arial" w:eastAsia="Arial" w:hAnsi="Arial"/>
                  <w:sz w:val="18"/>
                  <w:szCs w:val="18"/>
                  <w:color w:val="0000FF"/>
                </w:rPr>
                <w:t>Amendment No. 14 to Inventory Support and Services Agreement, dated as of May 28, 2013, by and between</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Delta Airlines, Inc. and MN Airlines, LLC (incorporated by reference to Exhibit 10.29 to Sun Country Airlines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49">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10.26</w:t>
            </w:r>
          </w:p>
        </w:tc>
        <w:tc>
          <w:tcPr>
            <w:tcW w:w="9060" w:type="dxa"/>
            <w:vAlign w:val="bottom"/>
            <w:gridSpan w:val="20"/>
          </w:tcPr>
          <w:p>
            <w:pPr>
              <w:spacing w:after="0"/>
              <w:rPr>
                <w:rFonts w:ascii="Arial" w:cs="Arial" w:eastAsia="Arial" w:hAnsi="Arial"/>
                <w:sz w:val="18"/>
                <w:szCs w:val="18"/>
                <w:color w:val="0000FF"/>
              </w:rPr>
            </w:pPr>
            <w:hyperlink r:id="rId250">
              <w:r>
                <w:rPr>
                  <w:rFonts w:ascii="Arial" w:cs="Arial" w:eastAsia="Arial" w:hAnsi="Arial"/>
                  <w:sz w:val="18"/>
                  <w:szCs w:val="18"/>
                  <w:color w:val="0000FF"/>
                </w:rPr>
                <w:t>Amendment No. 15 to Inventory Support and Services Agreement, dated as of July 23, 2014, by and between</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50">
              <w:r>
                <w:rPr>
                  <w:rFonts w:ascii="Arial" w:cs="Arial" w:eastAsia="Arial" w:hAnsi="Arial"/>
                  <w:sz w:val="18"/>
                  <w:szCs w:val="18"/>
                  <w:color w:val="0000FF"/>
                </w:rPr>
                <w:t>Delta Airlines, Inc. and MN Airlines, LLC (incorporated by reference to Exhibit 10.30 to Sun Country Airlines</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0">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10.27</w:t>
            </w:r>
          </w:p>
        </w:tc>
        <w:tc>
          <w:tcPr>
            <w:tcW w:w="9060" w:type="dxa"/>
            <w:vAlign w:val="bottom"/>
            <w:gridSpan w:val="20"/>
          </w:tcPr>
          <w:p>
            <w:pPr>
              <w:spacing w:after="0"/>
              <w:rPr>
                <w:rFonts w:ascii="Arial" w:cs="Arial" w:eastAsia="Arial" w:hAnsi="Arial"/>
                <w:sz w:val="18"/>
                <w:szCs w:val="18"/>
                <w:color w:val="0000FF"/>
              </w:rPr>
            </w:pPr>
            <w:hyperlink r:id="rId251">
              <w:r>
                <w:rPr>
                  <w:rFonts w:ascii="Arial" w:cs="Arial" w:eastAsia="Arial" w:hAnsi="Arial"/>
                  <w:sz w:val="18"/>
                  <w:szCs w:val="18"/>
                  <w:color w:val="0000FF"/>
                </w:rPr>
                <w:t>Amendment No. 16 to Inventory Support and Services Agreement, dated as of March 20, 2015, by and</w:t>
              </w:r>
            </w:hyperlink>
          </w:p>
        </w:tc>
      </w:tr>
      <w:tr>
        <w:trPr>
          <w:trHeight w:val="183"/>
        </w:trPr>
        <w:tc>
          <w:tcPr>
            <w:tcW w:w="2360" w:type="dxa"/>
            <w:vAlign w:val="bottom"/>
          </w:tcPr>
          <w:p>
            <w:pPr>
              <w:spacing w:after="0"/>
              <w:rPr>
                <w:sz w:val="15"/>
                <w:szCs w:val="15"/>
                <w:color w:val="auto"/>
              </w:rPr>
            </w:pPr>
          </w:p>
        </w:tc>
        <w:tc>
          <w:tcPr>
            <w:tcW w:w="902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between Delta Airlines, Inc. and MN Airlines, LLC (incorporated by reference to Exhibit 10.31 to Sun Country</w:t>
              </w:r>
            </w:hyperlink>
          </w:p>
        </w:tc>
        <w:tc>
          <w:tcPr>
            <w:tcW w:w="40" w:type="dxa"/>
            <w:vAlign w:val="bottom"/>
            <w:tcBorders>
              <w:bottom w:val="single" w:sz="8" w:color="0000FF"/>
            </w:tcBorders>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1">
              <w:r>
                <w:rPr>
                  <w:rFonts w:ascii="Arial" w:cs="Arial" w:eastAsia="Arial" w:hAnsi="Arial"/>
                  <w:sz w:val="18"/>
                  <w:szCs w:val="18"/>
                  <w:color w:val="0000FF"/>
                </w:rPr>
                <w:t>Airlines 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10.28</w:t>
            </w:r>
          </w:p>
        </w:tc>
        <w:tc>
          <w:tcPr>
            <w:tcW w:w="9060" w:type="dxa"/>
            <w:vAlign w:val="bottom"/>
            <w:gridSpan w:val="20"/>
          </w:tcPr>
          <w:p>
            <w:pPr>
              <w:spacing w:after="0"/>
              <w:rPr>
                <w:rFonts w:ascii="Arial" w:cs="Arial" w:eastAsia="Arial" w:hAnsi="Arial"/>
                <w:sz w:val="18"/>
                <w:szCs w:val="18"/>
                <w:color w:val="0000FF"/>
              </w:rPr>
            </w:pPr>
            <w:hyperlink r:id="rId252">
              <w:r>
                <w:rPr>
                  <w:rFonts w:ascii="Arial" w:cs="Arial" w:eastAsia="Arial" w:hAnsi="Arial"/>
                  <w:sz w:val="18"/>
                  <w:szCs w:val="18"/>
                  <w:color w:val="0000FF"/>
                </w:rPr>
                <w:t>Amendment No. 17 to Inventory Support and Services Agreement, dated as of April 1, 2018, by and between</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Delta Airlines, Inc. and MN Airlines, LLC (incorporated by reference to Exhibit 10.32 to Sun Country Airlines</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2">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10.29</w:t>
            </w:r>
          </w:p>
        </w:tc>
        <w:tc>
          <w:tcPr>
            <w:tcW w:w="9060" w:type="dxa"/>
            <w:vAlign w:val="bottom"/>
            <w:gridSpan w:val="20"/>
          </w:tcPr>
          <w:p>
            <w:pPr>
              <w:spacing w:after="0"/>
              <w:rPr>
                <w:rFonts w:ascii="Arial" w:cs="Arial" w:eastAsia="Arial" w:hAnsi="Arial"/>
                <w:sz w:val="18"/>
                <w:szCs w:val="18"/>
                <w:color w:val="0000FF"/>
              </w:rPr>
            </w:pPr>
            <w:hyperlink r:id="rId253">
              <w:r>
                <w:rPr>
                  <w:rFonts w:ascii="Arial" w:cs="Arial" w:eastAsia="Arial" w:hAnsi="Arial"/>
                  <w:sz w:val="18"/>
                  <w:szCs w:val="18"/>
                  <w:color w:val="0000FF"/>
                </w:rPr>
                <w:t>Amendment No. 18 to Inventory Support and Services Agreement, dated as of May 15, 2019, by and between</w:t>
              </w:r>
            </w:hyperlink>
          </w:p>
        </w:tc>
      </w:tr>
      <w:tr>
        <w:trPr>
          <w:trHeight w:val="183"/>
        </w:trPr>
        <w:tc>
          <w:tcPr>
            <w:tcW w:w="2360" w:type="dxa"/>
            <w:vAlign w:val="bottom"/>
          </w:tcPr>
          <w:p>
            <w:pPr>
              <w:spacing w:after="0"/>
              <w:rPr>
                <w:sz w:val="15"/>
                <w:szCs w:val="15"/>
                <w:color w:val="auto"/>
              </w:rPr>
            </w:pPr>
          </w:p>
        </w:tc>
        <w:tc>
          <w:tcPr>
            <w:tcW w:w="888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Delta Airlines, Inc. and MN Airlines, LLC (incorporated by reference to Exhibit 10.33 to Sun Country Airlines</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3">
              <w:r>
                <w:rPr>
                  <w:rFonts w:ascii="Arial" w:cs="Arial" w:eastAsia="Arial" w:hAnsi="Arial"/>
                  <w:sz w:val="18"/>
                  <w:szCs w:val="18"/>
                  <w:color w:val="0000FF"/>
                </w:rPr>
                <w:t>Holdings, Inc.’s Registration 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10.30</w:t>
            </w:r>
          </w:p>
        </w:tc>
        <w:tc>
          <w:tcPr>
            <w:tcW w:w="9060" w:type="dxa"/>
            <w:vAlign w:val="bottom"/>
            <w:gridSpan w:val="20"/>
          </w:tcPr>
          <w:p>
            <w:pPr>
              <w:spacing w:after="0"/>
              <w:rPr>
                <w:rFonts w:ascii="Arial" w:cs="Arial" w:eastAsia="Arial" w:hAnsi="Arial"/>
                <w:sz w:val="18"/>
                <w:szCs w:val="18"/>
                <w:color w:val="0000FF"/>
              </w:rPr>
            </w:pPr>
            <w:hyperlink r:id="rId254">
              <w:r>
                <w:rPr>
                  <w:rFonts w:ascii="Arial" w:cs="Arial" w:eastAsia="Arial" w:hAnsi="Arial"/>
                  <w:sz w:val="18"/>
                  <w:szCs w:val="18"/>
                  <w:color w:val="0000FF"/>
                </w:rPr>
                <w:t>2002 Master Agreement, dated as of May 1, 2019 between J. Aron &amp; Company LLC and MN Airlines, LLC</w:t>
              </w:r>
            </w:hyperlink>
          </w:p>
        </w:tc>
      </w:tr>
      <w:tr>
        <w:trPr>
          <w:trHeight w:val="183"/>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(incorporated by reference to Exhibit 10.34 to Sun Country Airlines Holdings, Inc.’s Registration Statement on</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4">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10.31</w:t>
            </w:r>
          </w:p>
        </w:tc>
        <w:tc>
          <w:tcPr>
            <w:tcW w:w="9060" w:type="dxa"/>
            <w:vAlign w:val="bottom"/>
            <w:gridSpan w:val="20"/>
          </w:tcPr>
          <w:p>
            <w:pPr>
              <w:spacing w:after="0"/>
              <w:rPr>
                <w:rFonts w:ascii="Arial" w:cs="Arial" w:eastAsia="Arial" w:hAnsi="Arial"/>
                <w:sz w:val="18"/>
                <w:szCs w:val="18"/>
                <w:color w:val="0000FF"/>
              </w:rPr>
            </w:pPr>
            <w:hyperlink r:id="rId255">
              <w:r>
                <w:rPr>
                  <w:rFonts w:ascii="Arial" w:cs="Arial" w:eastAsia="Arial" w:hAnsi="Arial"/>
                  <w:sz w:val="18"/>
                  <w:szCs w:val="18"/>
                  <w:color w:val="0000FF"/>
                </w:rPr>
                <w:t>2002 Master Agreement, dated as of April 12, 2018 between Morgan Stanley Capital Services LLC and MN</w:t>
              </w:r>
            </w:hyperlink>
          </w:p>
        </w:tc>
      </w:tr>
      <w:tr>
        <w:trPr>
          <w:trHeight w:val="183"/>
        </w:trPr>
        <w:tc>
          <w:tcPr>
            <w:tcW w:w="236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55">
              <w:r>
                <w:rPr>
                  <w:rFonts w:ascii="Arial" w:cs="Arial" w:eastAsia="Arial" w:hAnsi="Arial"/>
                  <w:sz w:val="18"/>
                  <w:szCs w:val="18"/>
                  <w:color w:val="0000FF"/>
                </w:rPr>
                <w:t>Airlines, LLC (incorporated by reference to Exhibit 10.35 to Sun Country Airlines Holdings, Inc.’s Registration</w:t>
              </w:r>
            </w:hyperlink>
          </w:p>
        </w:tc>
        <w:tc>
          <w:tcPr>
            <w:tcW w:w="40" w:type="dxa"/>
            <w:vAlign w:val="bottom"/>
            <w:tcBorders>
              <w:bottom w:val="single" w:sz="8" w:color="0000FF"/>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5">
              <w:r>
                <w:rPr>
                  <w:rFonts w:ascii="Arial" w:cs="Arial" w:eastAsia="Arial" w:hAnsi="Arial"/>
                  <w:sz w:val="18"/>
                  <w:szCs w:val="18"/>
                  <w:color w:val="0000FF"/>
                </w:rPr>
                <w:t>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10.32</w:t>
            </w:r>
          </w:p>
        </w:tc>
        <w:tc>
          <w:tcPr>
            <w:tcW w:w="9060" w:type="dxa"/>
            <w:vAlign w:val="bottom"/>
            <w:gridSpan w:val="20"/>
          </w:tcPr>
          <w:p>
            <w:pPr>
              <w:spacing w:after="0"/>
              <w:rPr>
                <w:rFonts w:ascii="Arial" w:cs="Arial" w:eastAsia="Arial" w:hAnsi="Arial"/>
                <w:sz w:val="18"/>
                <w:szCs w:val="18"/>
                <w:color w:val="0000FF"/>
              </w:rPr>
            </w:pPr>
            <w:hyperlink r:id="rId256">
              <w:r>
                <w:rPr>
                  <w:rFonts w:ascii="Arial" w:cs="Arial" w:eastAsia="Arial" w:hAnsi="Arial"/>
                  <w:sz w:val="18"/>
                  <w:szCs w:val="18"/>
                  <w:color w:val="0000FF"/>
                </w:rPr>
                <w:t>Trust Agreement of SCA-1 Intermediate Aircraft Holding Trust, dated as of September 25, 2018, by and among</w:t>
              </w:r>
            </w:hyperlink>
          </w:p>
        </w:tc>
      </w:tr>
      <w:tr>
        <w:trPr>
          <w:trHeight w:val="183"/>
        </w:trPr>
        <w:tc>
          <w:tcPr>
            <w:tcW w:w="2360" w:type="dxa"/>
            <w:vAlign w:val="bottom"/>
          </w:tcPr>
          <w:p>
            <w:pPr>
              <w:spacing w:after="0"/>
              <w:rPr>
                <w:sz w:val="15"/>
                <w:szCs w:val="15"/>
                <w:color w:val="auto"/>
              </w:rPr>
            </w:pPr>
          </w:p>
        </w:tc>
        <w:tc>
          <w:tcPr>
            <w:tcW w:w="882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rPr>
            </w:pPr>
            <w:hyperlink r:id="rId256">
              <w:r>
                <w:rPr>
                  <w:rFonts w:ascii="Arial" w:cs="Arial" w:eastAsia="Arial" w:hAnsi="Arial"/>
                  <w:sz w:val="18"/>
                  <w:szCs w:val="18"/>
                  <w:color w:val="0000FF"/>
                </w:rPr>
                <w:t>SCA-1 Intermediate Charitable Trust and Wilmington Trust Company (incorporated by reference to Exhibit</w:t>
              </w:r>
            </w:hyperlink>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840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256">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36</w:t>
              </w:r>
              <w:r>
                <w:rPr>
                  <w:rFonts w:ascii="Arial" w:cs="Arial" w:eastAsia="Arial" w:hAnsi="Arial"/>
                  <w:sz w:val="18"/>
                  <w:szCs w:val="18"/>
                  <w:color w:val="0000FF"/>
                  <w:w w:val="99"/>
                </w:rPr>
                <w:t xml:space="preserve"> to Sun Country Airlines Holdings, Inc.’s Registration Statement on Form S-1 (File No. 333-252858))</w:t>
              </w:r>
            </w:hyperlink>
          </w:p>
        </w:tc>
        <w:tc>
          <w:tcPr>
            <w:tcW w:w="660" w:type="dxa"/>
            <w:vAlign w:val="bottom"/>
            <w:gridSpan w:val="14"/>
          </w:tcPr>
          <w:p>
            <w:pPr>
              <w:spacing w:after="0"/>
              <w:rPr>
                <w:sz w:val="17"/>
                <w:szCs w:val="17"/>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10.33</w:t>
            </w:r>
          </w:p>
        </w:tc>
        <w:tc>
          <w:tcPr>
            <w:tcW w:w="9060" w:type="dxa"/>
            <w:vAlign w:val="bottom"/>
            <w:gridSpan w:val="20"/>
          </w:tcPr>
          <w:p>
            <w:pPr>
              <w:spacing w:after="0"/>
              <w:rPr>
                <w:rFonts w:ascii="Arial" w:cs="Arial" w:eastAsia="Arial" w:hAnsi="Arial"/>
                <w:sz w:val="18"/>
                <w:szCs w:val="18"/>
                <w:color w:val="0000FF"/>
              </w:rPr>
            </w:pPr>
            <w:hyperlink r:id="rId257">
              <w:r>
                <w:rPr>
                  <w:rFonts w:ascii="Arial" w:cs="Arial" w:eastAsia="Arial" w:hAnsi="Arial"/>
                  <w:sz w:val="18"/>
                  <w:szCs w:val="18"/>
                  <w:color w:val="0000FF"/>
                </w:rPr>
                <w:t>Third Amended and Restated Stockholders’ Agreement by and among Sun Country Airlines Holdings, Inc. and</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the stockholders party thereto (incorporated by reference to Exhibit 10.2 to Sun Country Airlines Holdings,</w:t>
              </w:r>
            </w:hyperlink>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80" w:type="dxa"/>
            <w:vAlign w:val="bottom"/>
            <w:gridSpan w:val="4"/>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7">
              <w:r>
                <w:rPr>
                  <w:rFonts w:ascii="Arial" w:cs="Arial" w:eastAsia="Arial" w:hAnsi="Arial"/>
                  <w:sz w:val="18"/>
                  <w:szCs w:val="18"/>
                  <w:color w:val="0000FF"/>
                </w:rPr>
                <w:t>Inc.’s Current Report on 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10.34</w:t>
            </w:r>
          </w:p>
        </w:tc>
        <w:tc>
          <w:tcPr>
            <w:tcW w:w="9060" w:type="dxa"/>
            <w:vAlign w:val="bottom"/>
            <w:gridSpan w:val="20"/>
          </w:tcPr>
          <w:p>
            <w:pPr>
              <w:spacing w:after="0"/>
              <w:rPr>
                <w:rFonts w:ascii="Arial" w:cs="Arial" w:eastAsia="Arial" w:hAnsi="Arial"/>
                <w:sz w:val="18"/>
                <w:szCs w:val="18"/>
                <w:color w:val="0000FF"/>
              </w:rPr>
            </w:pPr>
            <w:hyperlink r:id="rId258">
              <w:r>
                <w:rPr>
                  <w:rFonts w:ascii="Arial" w:cs="Arial" w:eastAsia="Arial" w:hAnsi="Arial"/>
                  <w:sz w:val="18"/>
                  <w:szCs w:val="18"/>
                  <w:color w:val="0000FF"/>
                </w:rPr>
                <w:t>Registration Rights Agreement by and between Sun Country Airlines Holdings, Inc. and the Holders party</w:t>
              </w:r>
            </w:hyperlink>
          </w:p>
        </w:tc>
      </w:tr>
      <w:tr>
        <w:trPr>
          <w:trHeight w:val="183"/>
        </w:trPr>
        <w:tc>
          <w:tcPr>
            <w:tcW w:w="2360" w:type="dxa"/>
            <w:vAlign w:val="bottom"/>
          </w:tcPr>
          <w:p>
            <w:pPr>
              <w:spacing w:after="0"/>
              <w:rPr>
                <w:sz w:val="15"/>
                <w:szCs w:val="15"/>
                <w:color w:val="auto"/>
              </w:rPr>
            </w:pPr>
          </w:p>
        </w:tc>
        <w:tc>
          <w:tcPr>
            <w:tcW w:w="898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thereto (incorporated by reference to Exhibit 10.1 to Sun Country Airlines Holdings, Inc.’s Current Report on</w:t>
              </w:r>
            </w:hyperlink>
          </w:p>
        </w:tc>
        <w:tc>
          <w:tcPr>
            <w:tcW w:w="80" w:type="dxa"/>
            <w:vAlign w:val="bottom"/>
            <w:tcBorders>
              <w:bottom w:val="single" w:sz="8" w:color="0000FF"/>
            </w:tcBorders>
            <w:gridSpan w:val="4"/>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8">
              <w:r>
                <w:rPr>
                  <w:rFonts w:ascii="Arial" w:cs="Arial" w:eastAsia="Arial" w:hAnsi="Arial"/>
                  <w:sz w:val="18"/>
                  <w:szCs w:val="18"/>
                  <w:color w:val="0000FF"/>
                </w:rPr>
                <w:t>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2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10.35†</w:t>
            </w:r>
          </w:p>
        </w:tc>
        <w:tc>
          <w:tcPr>
            <w:tcW w:w="9060" w:type="dxa"/>
            <w:vAlign w:val="bottom"/>
            <w:gridSpan w:val="20"/>
          </w:tcPr>
          <w:p>
            <w:pPr>
              <w:spacing w:after="0"/>
              <w:rPr>
                <w:rFonts w:ascii="Arial" w:cs="Arial" w:eastAsia="Arial" w:hAnsi="Arial"/>
                <w:sz w:val="18"/>
                <w:szCs w:val="18"/>
                <w:color w:val="0000FF"/>
              </w:rPr>
            </w:pPr>
            <w:hyperlink r:id="rId259">
              <w:r>
                <w:rPr>
                  <w:rFonts w:ascii="Arial" w:cs="Arial" w:eastAsia="Arial" w:hAnsi="Arial"/>
                  <w:sz w:val="18"/>
                  <w:szCs w:val="18"/>
                  <w:color w:val="0000FF"/>
                </w:rPr>
                <w:t>Form of Indemnification Agreement by and between the Registrant and each of its directors and executive</w:t>
              </w:r>
            </w:hyperlink>
          </w:p>
        </w:tc>
      </w:tr>
      <w:tr>
        <w:trPr>
          <w:trHeight w:val="183"/>
        </w:trPr>
        <w:tc>
          <w:tcPr>
            <w:tcW w:w="2360" w:type="dxa"/>
            <w:vAlign w:val="bottom"/>
          </w:tcPr>
          <w:p>
            <w:pPr>
              <w:spacing w:after="0"/>
              <w:rPr>
                <w:sz w:val="15"/>
                <w:szCs w:val="15"/>
                <w:color w:val="auto"/>
              </w:rPr>
            </w:pPr>
          </w:p>
        </w:tc>
        <w:tc>
          <w:tcPr>
            <w:tcW w:w="89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officers (incorporated by reference to Exhibit 10.39 to Sun Country Airlines Holdings, Inc.’s Registration</w:t>
              </w:r>
            </w:hyperlink>
          </w:p>
        </w:tc>
        <w:tc>
          <w:tcPr>
            <w:tcW w:w="20" w:type="dxa"/>
            <w:vAlign w:val="bottom"/>
            <w:tcBorders>
              <w:bottom w:val="single" w:sz="8" w:color="0000FF"/>
            </w:tcBorders>
          </w:tcPr>
          <w:p>
            <w:pPr>
              <w:spacing w:after="0"/>
              <w:rPr>
                <w:sz w:val="15"/>
                <w:szCs w:val="15"/>
                <w:color w:val="auto"/>
              </w:rPr>
            </w:pPr>
          </w:p>
        </w:tc>
        <w:tc>
          <w:tcPr>
            <w:tcW w:w="120" w:type="dxa"/>
            <w:vAlign w:val="bottom"/>
            <w:tcBorders>
              <w:bottom w:val="single" w:sz="8" w:color="0000FF"/>
            </w:tcBorders>
            <w:gridSpan w:val="6"/>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60" w:type="dxa"/>
            <w:vAlign w:val="bottom"/>
            <w:gridSpan w:val="20"/>
          </w:tcPr>
          <w:p>
            <w:pPr>
              <w:spacing w:after="0" w:line="196" w:lineRule="exact"/>
              <w:rPr>
                <w:rFonts w:ascii="Arial" w:cs="Arial" w:eastAsia="Arial" w:hAnsi="Arial"/>
                <w:sz w:val="18"/>
                <w:szCs w:val="18"/>
                <w:color w:val="0000FF"/>
              </w:rPr>
            </w:pPr>
            <w:hyperlink r:id="rId259">
              <w:r>
                <w:rPr>
                  <w:rFonts w:ascii="Arial" w:cs="Arial" w:eastAsia="Arial" w:hAnsi="Arial"/>
                  <w:sz w:val="18"/>
                  <w:szCs w:val="18"/>
                  <w:color w:val="0000FF"/>
                </w:rPr>
                <w:t>Statement on Form S-1 (File No. 333-252858))</w:t>
              </w:r>
            </w:hyperlink>
          </w:p>
        </w:tc>
      </w:tr>
      <w:tr>
        <w:trPr>
          <w:trHeight w:val="20"/>
        </w:trPr>
        <w:tc>
          <w:tcPr>
            <w:tcW w:w="236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color w:val="auto"/>
              </w:rPr>
              <w:t>10.36†</w:t>
            </w:r>
          </w:p>
        </w:tc>
        <w:tc>
          <w:tcPr>
            <w:tcW w:w="9000" w:type="dxa"/>
            <w:vAlign w:val="bottom"/>
            <w:gridSpan w:val="17"/>
          </w:tcPr>
          <w:p>
            <w:pPr>
              <w:spacing w:after="0"/>
              <w:rPr>
                <w:rFonts w:ascii="Arial" w:cs="Arial" w:eastAsia="Arial" w:hAnsi="Arial"/>
                <w:sz w:val="18"/>
                <w:szCs w:val="18"/>
                <w:color w:val="0000FF"/>
              </w:rPr>
            </w:pPr>
            <w:hyperlink r:id="rId261">
              <w:r>
                <w:rPr>
                  <w:rFonts w:ascii="Arial" w:cs="Arial" w:eastAsia="Arial" w:hAnsi="Arial"/>
                  <w:sz w:val="18"/>
                  <w:szCs w:val="18"/>
                  <w:color w:val="0000FF"/>
                </w:rPr>
                <w:t>SCA Acquisition Holdings, LLC Amended and Restated Equity Incentive Plan, dated as of July 1, 2019</w:t>
              </w:r>
            </w:hyperlink>
          </w:p>
        </w:tc>
      </w:tr>
      <w:tr>
        <w:trPr>
          <w:trHeight w:val="183"/>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(incorporated by reference to Exhibit 10.40 to Sun Country Airlines Holdings, Inc.’s Registration Statement on</w:t>
              </w:r>
            </w:hyperlink>
          </w:p>
        </w:tc>
        <w:tc>
          <w:tcPr>
            <w:tcW w:w="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00" w:type="dxa"/>
            <w:vAlign w:val="bottom"/>
            <w:gridSpan w:val="17"/>
          </w:tcPr>
          <w:p>
            <w:pPr>
              <w:spacing w:after="0" w:line="196" w:lineRule="exact"/>
              <w:rPr>
                <w:rFonts w:ascii="Arial" w:cs="Arial" w:eastAsia="Arial" w:hAnsi="Arial"/>
                <w:sz w:val="18"/>
                <w:szCs w:val="18"/>
                <w:color w:val="0000FF"/>
              </w:rPr>
            </w:pPr>
            <w:hyperlink r:id="rId261">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10.37†</w:t>
            </w:r>
          </w:p>
        </w:tc>
        <w:tc>
          <w:tcPr>
            <w:tcW w:w="9000" w:type="dxa"/>
            <w:vAlign w:val="bottom"/>
            <w:gridSpan w:val="17"/>
          </w:tcPr>
          <w:p>
            <w:pPr>
              <w:spacing w:after="0"/>
              <w:rPr>
                <w:rFonts w:ascii="Arial" w:cs="Arial" w:eastAsia="Arial" w:hAnsi="Arial"/>
                <w:sz w:val="18"/>
                <w:szCs w:val="18"/>
                <w:color w:val="0000FF"/>
              </w:rPr>
            </w:pPr>
            <w:hyperlink r:id="rId262">
              <w:r>
                <w:rPr>
                  <w:rFonts w:ascii="Arial" w:cs="Arial" w:eastAsia="Arial" w:hAnsi="Arial"/>
                  <w:sz w:val="18"/>
                  <w:szCs w:val="18"/>
                  <w:color w:val="0000FF"/>
                </w:rPr>
                <w:t>Sun Country Airlines Holdings, Inc. 2021 Omnibus Incentive Plan (incorporated by reference to Exhibit 4.2 to</w:t>
              </w:r>
            </w:hyperlink>
          </w:p>
        </w:tc>
      </w:tr>
      <w:tr>
        <w:trPr>
          <w:trHeight w:val="183"/>
        </w:trPr>
        <w:tc>
          <w:tcPr>
            <w:tcW w:w="236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262">
              <w:r>
                <w:rPr>
                  <w:rFonts w:ascii="Arial" w:cs="Arial" w:eastAsia="Arial" w:hAnsi="Arial"/>
                  <w:sz w:val="18"/>
                  <w:szCs w:val="18"/>
                  <w:color w:val="0000FF"/>
                  <w:w w:val="99"/>
                </w:rPr>
                <w:t>Sun Country Airlines Holdings, Inc.’s Registration Statement on Form S-8 (File No. 333-254371))</w:t>
              </w:r>
            </w:hyperlink>
          </w:p>
        </w:tc>
        <w:tc>
          <w:tcPr>
            <w:tcW w:w="128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10.38†</w:t>
            </w:r>
          </w:p>
        </w:tc>
        <w:tc>
          <w:tcPr>
            <w:tcW w:w="9000" w:type="dxa"/>
            <w:vAlign w:val="bottom"/>
            <w:gridSpan w:val="17"/>
          </w:tcPr>
          <w:p>
            <w:pPr>
              <w:spacing w:after="0"/>
              <w:rPr>
                <w:rFonts w:ascii="Arial" w:cs="Arial" w:eastAsia="Arial" w:hAnsi="Arial"/>
                <w:sz w:val="18"/>
                <w:szCs w:val="18"/>
                <w:color w:val="0000FF"/>
              </w:rPr>
            </w:pPr>
            <w:hyperlink r:id="rId263">
              <w:r>
                <w:rPr>
                  <w:rFonts w:ascii="Arial" w:cs="Arial" w:eastAsia="Arial" w:hAnsi="Arial"/>
                  <w:sz w:val="18"/>
                  <w:szCs w:val="18"/>
                  <w:color w:val="0000FF"/>
                </w:rPr>
                <w:t>Form of Option Award Agreement (incorporated by reference to Exhibit 10.42 to Sun Country Airlines Holdings,</w:t>
              </w:r>
            </w:hyperlink>
          </w:p>
        </w:tc>
      </w:tr>
      <w:tr>
        <w:trPr>
          <w:trHeight w:val="183"/>
        </w:trPr>
        <w:tc>
          <w:tcPr>
            <w:tcW w:w="2360" w:type="dxa"/>
            <w:vAlign w:val="bottom"/>
          </w:tcPr>
          <w:p>
            <w:pPr>
              <w:spacing w:after="0"/>
              <w:rPr>
                <w:sz w:val="15"/>
                <w:szCs w:val="15"/>
                <w:color w:val="auto"/>
              </w:rPr>
            </w:pPr>
          </w:p>
        </w:tc>
        <w:tc>
          <w:tcPr>
            <w:tcW w:w="89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Inc.’s Registration Statement on Form S-1 (File No. 333-252858))</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10.39†</w:t>
            </w:r>
          </w:p>
        </w:tc>
        <w:tc>
          <w:tcPr>
            <w:tcW w:w="9000" w:type="dxa"/>
            <w:vAlign w:val="bottom"/>
            <w:gridSpan w:val="17"/>
          </w:tcPr>
          <w:p>
            <w:pPr>
              <w:spacing w:after="0"/>
              <w:rPr>
                <w:rFonts w:ascii="Arial" w:cs="Arial" w:eastAsia="Arial" w:hAnsi="Arial"/>
                <w:sz w:val="18"/>
                <w:szCs w:val="18"/>
                <w:color w:val="0000FF"/>
              </w:rPr>
            </w:pPr>
            <w:hyperlink r:id="rId264">
              <w:r>
                <w:rPr>
                  <w:rFonts w:ascii="Arial" w:cs="Arial" w:eastAsia="Arial" w:hAnsi="Arial"/>
                  <w:sz w:val="18"/>
                  <w:szCs w:val="18"/>
                  <w:color w:val="0000FF"/>
                </w:rPr>
                <w:t>Employment Agreement, dated as of July 1, 2019, by and between Gregory A. Mays and Sun Country, Inc.</w:t>
              </w:r>
            </w:hyperlink>
          </w:p>
        </w:tc>
      </w:tr>
      <w:tr>
        <w:trPr>
          <w:trHeight w:val="182"/>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(incorporated by reference to Exhibit 10.45 to Sun Country Airlines Holdings, Inc.’s Registration Statement on</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00" w:type="dxa"/>
            <w:vAlign w:val="bottom"/>
            <w:gridSpan w:val="17"/>
          </w:tcPr>
          <w:p>
            <w:pPr>
              <w:spacing w:after="0" w:line="196" w:lineRule="exact"/>
              <w:rPr>
                <w:rFonts w:ascii="Arial" w:cs="Arial" w:eastAsia="Arial" w:hAnsi="Arial"/>
                <w:sz w:val="18"/>
                <w:szCs w:val="18"/>
                <w:color w:val="0000FF"/>
              </w:rPr>
            </w:pPr>
            <w:hyperlink r:id="rId264">
              <w:r>
                <w:rPr>
                  <w:rFonts w:ascii="Arial" w:cs="Arial" w:eastAsia="Arial" w:hAnsi="Arial"/>
                  <w:sz w:val="18"/>
                  <w:szCs w:val="18"/>
                  <w:color w:val="0000FF"/>
                </w:rPr>
                <w:t>Form S-1 (File No. 333-252858))</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10.40</w:t>
            </w:r>
          </w:p>
        </w:tc>
        <w:tc>
          <w:tcPr>
            <w:tcW w:w="9000" w:type="dxa"/>
            <w:vAlign w:val="bottom"/>
            <w:gridSpan w:val="17"/>
          </w:tcPr>
          <w:p>
            <w:pPr>
              <w:spacing w:after="0"/>
              <w:rPr>
                <w:rFonts w:ascii="Arial" w:cs="Arial" w:eastAsia="Arial" w:hAnsi="Arial"/>
                <w:sz w:val="18"/>
                <w:szCs w:val="18"/>
                <w:color w:val="0000FF"/>
              </w:rPr>
            </w:pPr>
            <w:hyperlink r:id="rId265">
              <w:r>
                <w:rPr>
                  <w:rFonts w:ascii="Arial" w:cs="Arial" w:eastAsia="Arial" w:hAnsi="Arial"/>
                  <w:sz w:val="18"/>
                  <w:szCs w:val="18"/>
                  <w:color w:val="0000FF"/>
                </w:rPr>
                <w:t>Income Tax Receivable Agreement, by and among Sun Country Airlines, Inc., Sun Country Airlines Holdings,</w:t>
              </w:r>
            </w:hyperlink>
          </w:p>
        </w:tc>
      </w:tr>
      <w:tr>
        <w:trPr>
          <w:trHeight w:val="183"/>
        </w:trPr>
        <w:tc>
          <w:tcPr>
            <w:tcW w:w="236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Inc. and the other parties thereto (incorporated by reference to Exhibit 10.3 to Sun Country Airlines Holdings,</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00" w:type="dxa"/>
            <w:vAlign w:val="bottom"/>
            <w:gridSpan w:val="17"/>
          </w:tcPr>
          <w:p>
            <w:pPr>
              <w:spacing w:after="0" w:line="196" w:lineRule="exact"/>
              <w:rPr>
                <w:rFonts w:ascii="Arial" w:cs="Arial" w:eastAsia="Arial" w:hAnsi="Arial"/>
                <w:sz w:val="18"/>
                <w:szCs w:val="18"/>
                <w:color w:val="0000FF"/>
              </w:rPr>
            </w:pPr>
            <w:hyperlink r:id="rId265">
              <w:r>
                <w:rPr>
                  <w:rFonts w:ascii="Arial" w:cs="Arial" w:eastAsia="Arial" w:hAnsi="Arial"/>
                  <w:sz w:val="18"/>
                  <w:szCs w:val="18"/>
                  <w:color w:val="0000FF"/>
                </w:rPr>
                <w:t>Inc.’s Current Report on Form 8-K filed with the Securities and Exchange Commission on March 22, 2021)</w:t>
              </w:r>
            </w:hyperlink>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9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10.41</w:t>
            </w:r>
          </w:p>
        </w:tc>
        <w:tc>
          <w:tcPr>
            <w:tcW w:w="9000" w:type="dxa"/>
            <w:vAlign w:val="bottom"/>
            <w:gridSpan w:val="17"/>
          </w:tcPr>
          <w:p>
            <w:pPr>
              <w:spacing w:after="0"/>
              <w:rPr>
                <w:rFonts w:ascii="Arial" w:cs="Arial" w:eastAsia="Arial" w:hAnsi="Arial"/>
                <w:sz w:val="18"/>
                <w:szCs w:val="18"/>
                <w:color w:val="0000FF"/>
              </w:rPr>
            </w:pPr>
            <w:hyperlink r:id="rId266">
              <w:r>
                <w:rPr>
                  <w:rFonts w:ascii="Arial" w:cs="Arial" w:eastAsia="Arial" w:hAnsi="Arial"/>
                  <w:sz w:val="18"/>
                  <w:szCs w:val="18"/>
                  <w:color w:val="0000FF"/>
                </w:rPr>
                <w:t>Credit Agreement, dated as of February 10, 2021, among SCA Acquisition, LLC, Sun Country, Inc., the lenders</w:t>
              </w:r>
            </w:hyperlink>
          </w:p>
        </w:tc>
      </w:tr>
      <w:tr>
        <w:trPr>
          <w:trHeight w:val="183"/>
        </w:trPr>
        <w:tc>
          <w:tcPr>
            <w:tcW w:w="2360" w:type="dxa"/>
            <w:vAlign w:val="bottom"/>
          </w:tcPr>
          <w:p>
            <w:pPr>
              <w:spacing w:after="0"/>
              <w:rPr>
                <w:sz w:val="15"/>
                <w:szCs w:val="15"/>
                <w:color w:val="auto"/>
              </w:rPr>
            </w:pPr>
          </w:p>
        </w:tc>
        <w:tc>
          <w:tcPr>
            <w:tcW w:w="88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and issuing banks party thereto and Barclays Bank PLC, as administrative agent (incorporated by reference to</w:t>
              </w:r>
            </w:hyperlink>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9000" w:type="dxa"/>
            <w:vAlign w:val="bottom"/>
            <w:gridSpan w:val="17"/>
          </w:tcPr>
          <w:p>
            <w:pPr>
              <w:spacing w:after="0" w:line="196" w:lineRule="exact"/>
              <w:rPr>
                <w:rFonts w:ascii="Arial" w:cs="Arial" w:eastAsia="Arial" w:hAnsi="Arial"/>
                <w:sz w:val="18"/>
                <w:szCs w:val="18"/>
                <w:color w:val="0000FF"/>
              </w:rPr>
            </w:pPr>
            <w:hyperlink r:id="rId266">
              <w:r>
                <w:rPr>
                  <w:rFonts w:ascii="Arial" w:cs="Arial" w:eastAsia="Arial" w:hAnsi="Arial"/>
                  <w:sz w:val="18"/>
                  <w:szCs w:val="18"/>
                  <w:color w:val="0000FF"/>
                </w:rPr>
                <w:t>Exhibit 10.47 to Sun Country Airlines Holdings, Inc.’s Registration Statement on Form S-1 (File No. 333-</w:t>
              </w:r>
            </w:hyperlink>
          </w:p>
        </w:tc>
      </w:tr>
      <w:tr>
        <w:trPr>
          <w:trHeight w:val="183"/>
        </w:trPr>
        <w:tc>
          <w:tcPr>
            <w:tcW w:w="2360" w:type="dxa"/>
            <w:vAlign w:val="bottom"/>
          </w:tcPr>
          <w:p>
            <w:pPr>
              <w:spacing w:after="0"/>
              <w:rPr>
                <w:sz w:val="15"/>
                <w:szCs w:val="15"/>
                <w:color w:val="auto"/>
              </w:rPr>
            </w:pPr>
          </w:p>
        </w:tc>
        <w:tc>
          <w:tcPr>
            <w:tcW w:w="72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266">
              <w:r>
                <w:rPr>
                  <w:rFonts w:ascii="Arial" w:cs="Arial" w:eastAsia="Arial" w:hAnsi="Arial"/>
                  <w:sz w:val="18"/>
                  <w:szCs w:val="18"/>
                  <w:color w:val="0000FF"/>
                  <w:w w:val="97"/>
                </w:rPr>
                <w:t>252858)</w:t>
              </w:r>
              <w:r>
                <w:rPr>
                  <w:rFonts w:ascii="Arial" w:cs="Arial" w:eastAsia="Arial" w:hAnsi="Arial"/>
                  <w:sz w:val="18"/>
                  <w:szCs w:val="18"/>
                  <w:u w:val="single" w:color="auto"/>
                  <w:color w:val="0000FF"/>
                  <w:w w:val="97"/>
                </w:rPr>
                <w:t>)</w:t>
              </w:r>
            </w:hyperlink>
          </w:p>
        </w:tc>
        <w:tc>
          <w:tcPr>
            <w:tcW w:w="40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2600" w:type="dxa"/>
            <w:vAlign w:val="bottom"/>
            <w:tcBorders>
              <w:top w:val="single" w:sz="8" w:color="0000FF"/>
            </w:tcBorders>
          </w:tcPr>
          <w:p>
            <w:pPr>
              <w:spacing w:after="0"/>
              <w:rPr>
                <w:sz w:val="15"/>
                <w:szCs w:val="15"/>
                <w:color w:val="auto"/>
              </w:rPr>
            </w:pPr>
          </w:p>
        </w:tc>
        <w:tc>
          <w:tcPr>
            <w:tcW w:w="250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2360" w:type="dxa"/>
            <w:vAlign w:val="bottom"/>
          </w:tcPr>
          <w:p>
            <w:pPr>
              <w:spacing w:after="0"/>
              <w:rPr>
                <w:sz w:val="20"/>
                <w:szCs w:val="20"/>
                <w:color w:val="auto"/>
              </w:rPr>
            </w:pPr>
            <w:r>
              <w:rPr>
                <w:rFonts w:ascii="Arial" w:cs="Arial" w:eastAsia="Arial" w:hAnsi="Arial"/>
                <w:sz w:val="18"/>
                <w:szCs w:val="18"/>
                <w:color w:val="auto"/>
              </w:rPr>
              <w:t>10.42</w:t>
            </w:r>
          </w:p>
        </w:tc>
        <w:tc>
          <w:tcPr>
            <w:tcW w:w="9000" w:type="dxa"/>
            <w:vAlign w:val="bottom"/>
            <w:gridSpan w:val="17"/>
          </w:tcPr>
          <w:p>
            <w:pPr>
              <w:spacing w:after="0"/>
              <w:rPr>
                <w:rFonts w:ascii="Arial" w:cs="Arial" w:eastAsia="Arial" w:hAnsi="Arial"/>
                <w:sz w:val="18"/>
                <w:szCs w:val="18"/>
                <w:color w:val="0000FF"/>
              </w:rPr>
            </w:pPr>
            <w:hyperlink r:id="rId267">
              <w:r>
                <w:rPr>
                  <w:rFonts w:ascii="Arial" w:cs="Arial" w:eastAsia="Arial" w:hAnsi="Arial"/>
                  <w:sz w:val="18"/>
                  <w:szCs w:val="18"/>
                  <w:color w:val="0000FF"/>
                </w:rPr>
                <w:t>Payroll Support Program 3 Agreement, dated as of April 27, 2021, by and between Sun Country, Inc. and the</w:t>
              </w:r>
            </w:hyperlink>
          </w:p>
        </w:tc>
      </w:tr>
      <w:tr>
        <w:trPr>
          <w:trHeight w:val="183"/>
        </w:trPr>
        <w:tc>
          <w:tcPr>
            <w:tcW w:w="2360" w:type="dxa"/>
            <w:vAlign w:val="bottom"/>
          </w:tcPr>
          <w:p>
            <w:pPr>
              <w:spacing w:after="0"/>
              <w:rPr>
                <w:sz w:val="15"/>
                <w:szCs w:val="15"/>
                <w:color w:val="auto"/>
              </w:rPr>
            </w:pPr>
          </w:p>
        </w:tc>
        <w:tc>
          <w:tcPr>
            <w:tcW w:w="88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rPr>
            </w:pPr>
            <w:hyperlink r:id="rId267">
              <w:r>
                <w:rPr>
                  <w:rFonts w:ascii="Arial" w:cs="Arial" w:eastAsia="Arial" w:hAnsi="Arial"/>
                  <w:sz w:val="18"/>
                  <w:szCs w:val="18"/>
                  <w:color w:val="0000FF"/>
                </w:rPr>
                <w:t>Department of the Treasury (incorporated by reference to Exhibit 10.1 to Sun Country Airlines Holdings, Inc.’s</w:t>
              </w:r>
            </w:hyperlink>
          </w:p>
        </w:tc>
        <w:tc>
          <w:tcPr>
            <w:tcW w:w="100" w:type="dxa"/>
            <w:vAlign w:val="bottom"/>
            <w:tcBorders>
              <w:bottom w:val="single" w:sz="8" w:color="0000F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2360" w:type="dxa"/>
            <w:vAlign w:val="bottom"/>
          </w:tcPr>
          <w:p>
            <w:pPr>
              <w:spacing w:after="0"/>
              <w:rPr>
                <w:sz w:val="17"/>
                <w:szCs w:val="17"/>
                <w:color w:val="auto"/>
              </w:rPr>
            </w:pPr>
          </w:p>
        </w:tc>
        <w:tc>
          <w:tcPr>
            <w:tcW w:w="806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267">
              <w:r>
                <w:rPr>
                  <w:rFonts w:ascii="Arial" w:cs="Arial" w:eastAsia="Arial" w:hAnsi="Arial"/>
                  <w:sz w:val="18"/>
                  <w:szCs w:val="18"/>
                  <w:color w:val="0000FF"/>
                  <w:w w:val="99"/>
                </w:rPr>
                <w:t>Quarterly Report on Form 10-Q filed with the Securities and Exchange Commission on July 28, 2021)</w:t>
              </w:r>
            </w:hyperlink>
          </w:p>
        </w:tc>
        <w:tc>
          <w:tcPr>
            <w:tcW w:w="940" w:type="dxa"/>
            <w:vAlign w:val="bottom"/>
            <w:gridSpan w:val="11"/>
          </w:tcPr>
          <w:p>
            <w:pPr>
              <w:spacing w:after="0"/>
              <w:rPr>
                <w:sz w:val="17"/>
                <w:szCs w:val="17"/>
                <w:color w:val="auto"/>
              </w:rPr>
            </w:pPr>
          </w:p>
        </w:tc>
      </w:tr>
      <w:tr>
        <w:trPr>
          <w:trHeight w:val="291"/>
        </w:trPr>
        <w:tc>
          <w:tcPr>
            <w:tcW w:w="2360" w:type="dxa"/>
            <w:vAlign w:val="bottom"/>
          </w:tcPr>
          <w:p>
            <w:pPr>
              <w:spacing w:after="0"/>
              <w:rPr>
                <w:sz w:val="20"/>
                <w:szCs w:val="20"/>
                <w:color w:val="auto"/>
              </w:rPr>
            </w:pPr>
            <w:r>
              <w:rPr>
                <w:rFonts w:ascii="Arial" w:cs="Arial" w:eastAsia="Arial" w:hAnsi="Arial"/>
                <w:sz w:val="18"/>
                <w:szCs w:val="18"/>
                <w:color w:val="auto"/>
              </w:rPr>
              <w:t>10.43*†</w:t>
            </w:r>
          </w:p>
        </w:tc>
        <w:tc>
          <w:tcPr>
            <w:tcW w:w="9000" w:type="dxa"/>
            <w:vAlign w:val="bottom"/>
            <w:gridSpan w:val="17"/>
          </w:tcPr>
          <w:p>
            <w:pPr>
              <w:spacing w:after="0"/>
              <w:rPr>
                <w:sz w:val="20"/>
                <w:szCs w:val="20"/>
                <w:color w:val="auto"/>
              </w:rPr>
            </w:pPr>
            <w:r>
              <w:rPr>
                <w:rFonts w:ascii="Arial" w:cs="Arial" w:eastAsia="Arial" w:hAnsi="Arial"/>
                <w:sz w:val="18"/>
                <w:szCs w:val="18"/>
                <w:color w:val="0000FF"/>
              </w:rPr>
              <w:t>Form of Restricted Stock Unit Award Agreement under the Sun Country Airlines Holdings, Inc. 2021 Omnibus</w:t>
            </w:r>
          </w:p>
        </w:tc>
      </w:tr>
      <w:tr>
        <w:trPr>
          <w:trHeight w:val="183"/>
        </w:trPr>
        <w:tc>
          <w:tcPr>
            <w:tcW w:w="2360" w:type="dxa"/>
            <w:vAlign w:val="bottom"/>
          </w:tcPr>
          <w:p>
            <w:pPr>
              <w:spacing w:after="0"/>
              <w:rPr>
                <w:sz w:val="15"/>
                <w:szCs w:val="15"/>
                <w:color w:val="auto"/>
              </w:rPr>
            </w:pPr>
          </w:p>
        </w:tc>
        <w:tc>
          <w:tcPr>
            <w:tcW w:w="896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Incentive Plan</w:t>
            </w:r>
          </w:p>
        </w:tc>
        <w:tc>
          <w:tcPr>
            <w:tcW w:w="40" w:type="dxa"/>
            <w:vAlign w:val="bottom"/>
            <w:gridSpan w:val="2"/>
          </w:tcPr>
          <w:p>
            <w:pPr>
              <w:spacing w:after="0"/>
              <w:rPr>
                <w:sz w:val="15"/>
                <w:szCs w:val="15"/>
                <w:color w:val="auto"/>
              </w:rPr>
            </w:pPr>
          </w:p>
        </w:tc>
      </w:tr>
      <w:tr>
        <w:trPr>
          <w:trHeight w:val="20"/>
        </w:trPr>
        <w:tc>
          <w:tcPr>
            <w:tcW w:w="23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6" w:lineRule="exact"/>
        <w:rPr>
          <w:sz w:val="20"/>
          <w:szCs w:val="20"/>
          <w:color w:val="auto"/>
        </w:rPr>
      </w:pPr>
    </w:p>
    <w:p>
      <w:pPr>
        <w:sectPr>
          <w:pgSz w:w="11900" w:h="16838" w:orient="portrait"/>
          <w:cols w:equalWidth="0" w:num="1">
            <w:col w:w="11220"/>
          </w:cols>
          <w:pgMar w:left="320" w:top="337" w:right="359" w:bottom="1440" w:gutter="0" w:footer="0" w:header="0"/>
        </w:sectPr>
      </w:pPr>
    </w:p>
    <w:p>
      <w:pPr>
        <w:ind w:left="20"/>
        <w:spacing w:after="0"/>
        <w:rPr>
          <w:sz w:val="20"/>
          <w:szCs w:val="20"/>
          <w:color w:val="auto"/>
        </w:rPr>
      </w:pPr>
      <w:r>
        <w:rPr>
          <w:rFonts w:ascii="Arial" w:cs="Arial" w:eastAsia="Arial" w:hAnsi="Arial"/>
          <w:sz w:val="17"/>
          <w:szCs w:val="17"/>
          <w:color w:val="auto"/>
        </w:rPr>
        <w:t>10.44*†</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10.46†</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10.47†</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10.49*†</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10.50*†</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u w:val="single" w:color="auto"/>
          <w:color w:val="0000FF"/>
        </w:rPr>
        <w:t>Employment Letter, dated as of July 1, 2023, by and between Sun Country, Inc. and Rose Neale</w:t>
      </w:r>
    </w:p>
    <w:p>
      <w:pPr>
        <w:spacing w:after="0" w:line="77" w:lineRule="exact"/>
        <w:rPr>
          <w:sz w:val="20"/>
          <w:szCs w:val="20"/>
          <w:color w:val="auto"/>
        </w:rPr>
      </w:pPr>
    </w:p>
    <w:p>
      <w:pPr>
        <w:jc w:val="both"/>
        <w:ind w:right="40"/>
        <w:spacing w:after="0" w:line="234" w:lineRule="auto"/>
        <w:rPr>
          <w:rFonts w:ascii="Arial" w:cs="Arial" w:eastAsia="Arial" w:hAnsi="Arial"/>
          <w:sz w:val="17"/>
          <w:szCs w:val="17"/>
          <w:u w:val="single" w:color="auto"/>
          <w:color w:val="0000FF"/>
        </w:rPr>
      </w:pPr>
      <w:hyperlink r:id="rId268">
        <w:r>
          <w:rPr>
            <w:rFonts w:ascii="Arial" w:cs="Arial" w:eastAsia="Arial" w:hAnsi="Arial"/>
            <w:sz w:val="17"/>
            <w:szCs w:val="17"/>
            <w:u w:val="single" w:color="auto"/>
            <w:color w:val="0000FF"/>
          </w:rPr>
          <w:t>Term Loan Facility Agreement, dated as of March 21, 2023, by and among Sun Country Airlines Holdings, Inc.,</w:t>
        </w:r>
      </w:hyperlink>
      <w:r>
        <w:rPr>
          <w:rFonts w:ascii="Arial" w:cs="Arial" w:eastAsia="Arial" w:hAnsi="Arial"/>
          <w:sz w:val="17"/>
          <w:szCs w:val="17"/>
          <w:u w:val="single" w:color="auto"/>
          <w:color w:val="0000FF"/>
        </w:rPr>
        <w:t xml:space="preserve"> </w:t>
      </w:r>
      <w:hyperlink r:id="rId268">
        <w:r>
          <w:rPr>
            <w:rFonts w:ascii="Arial" w:cs="Arial" w:eastAsia="Arial" w:hAnsi="Arial"/>
            <w:sz w:val="17"/>
            <w:szCs w:val="17"/>
            <w:u w:val="single" w:color="auto"/>
            <w:color w:val="0000FF"/>
          </w:rPr>
          <w:t>Sun Country, Inc. (D/B/A Sun Country Airlines), the lenders party thereto and UMB Bank, National Association,</w:t>
        </w:r>
      </w:hyperlink>
    </w:p>
    <w:p>
      <w:pPr>
        <w:spacing w:after="0" w:line="1" w:lineRule="exact"/>
        <w:rPr>
          <w:sz w:val="20"/>
          <w:szCs w:val="20"/>
          <w:color w:val="auto"/>
        </w:rPr>
      </w:pPr>
    </w:p>
    <w:p>
      <w:pPr>
        <w:ind w:right="60"/>
        <w:spacing w:after="0" w:line="221" w:lineRule="auto"/>
        <w:rPr>
          <w:rFonts w:ascii="Arial" w:cs="Arial" w:eastAsia="Arial" w:hAnsi="Arial"/>
          <w:sz w:val="18"/>
          <w:szCs w:val="18"/>
          <w:u w:val="single" w:color="auto"/>
          <w:color w:val="0000FF"/>
        </w:rPr>
      </w:pPr>
      <w:hyperlink r:id="rId268">
        <w:r>
          <w:rPr>
            <w:rFonts w:ascii="Arial" w:cs="Arial" w:eastAsia="Arial" w:hAnsi="Arial"/>
            <w:sz w:val="18"/>
            <w:szCs w:val="18"/>
            <w:u w:val="single" w:color="auto"/>
            <w:color w:val="0000FF"/>
          </w:rPr>
          <w:t>as facility agent, security trustee and account bank (incorporated by reference to Exhibit 10.2 to Sun Country</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Airlines Holdings, Inc.’s Quarterly Report on Form 10-Q filed with the Securities and Exchange Commission on</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April 28, 2023)</w:t>
        </w:r>
      </w:hyperlink>
    </w:p>
    <w:p>
      <w:pPr>
        <w:spacing w:after="0" w:line="58" w:lineRule="exact"/>
        <w:rPr>
          <w:rFonts w:ascii="Arial" w:cs="Arial" w:eastAsia="Arial" w:hAnsi="Arial"/>
          <w:sz w:val="18"/>
          <w:szCs w:val="18"/>
          <w:u w:val="single" w:color="auto"/>
          <w:color w:val="0000FF"/>
        </w:rPr>
      </w:pPr>
    </w:p>
    <w:p>
      <w:pPr>
        <w:ind w:right="100"/>
        <w:spacing w:after="0" w:line="234" w:lineRule="auto"/>
        <w:rPr>
          <w:rFonts w:ascii="Arial" w:cs="Arial" w:eastAsia="Arial" w:hAnsi="Arial"/>
          <w:sz w:val="17"/>
          <w:szCs w:val="17"/>
          <w:u w:val="single" w:color="auto"/>
          <w:color w:val="0000FF"/>
        </w:rPr>
      </w:pPr>
      <w:hyperlink r:id="rId269">
        <w:r>
          <w:rPr>
            <w:rFonts w:ascii="Arial" w:cs="Arial" w:eastAsia="Arial" w:hAnsi="Arial"/>
            <w:sz w:val="17"/>
            <w:szCs w:val="17"/>
            <w:u w:val="single" w:color="auto"/>
            <w:color w:val="0000FF"/>
          </w:rPr>
          <w:t>Employment Agreement, dated as of April 11, 2023, by and between Jude Bricker and Sun Country, Inc.</w:t>
        </w:r>
      </w:hyperlink>
      <w:r>
        <w:rPr>
          <w:rFonts w:ascii="Arial" w:cs="Arial" w:eastAsia="Arial" w:hAnsi="Arial"/>
          <w:sz w:val="17"/>
          <w:szCs w:val="17"/>
          <w:u w:val="single" w:color="auto"/>
          <w:color w:val="0000FF"/>
        </w:rPr>
        <w:t xml:space="preserve"> </w:t>
      </w:r>
      <w:hyperlink r:id="rId269">
        <w:r>
          <w:rPr>
            <w:rFonts w:ascii="Arial" w:cs="Arial" w:eastAsia="Arial" w:hAnsi="Arial"/>
            <w:sz w:val="17"/>
            <w:szCs w:val="17"/>
            <w:u w:val="single" w:color="auto"/>
            <w:color w:val="0000FF"/>
          </w:rPr>
          <w:t>(incorporated by reference to Exhibit 10.1 to Sun Country Airlines Holdings, Inc.'s Current Report on Form 8-K</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filed with the Securities and Exchange Commission on May 12, 2023)</w:t>
        </w:r>
      </w:hyperlink>
    </w:p>
    <w:p>
      <w:pPr>
        <w:spacing w:after="0" w:line="59" w:lineRule="exact"/>
        <w:rPr>
          <w:sz w:val="20"/>
          <w:szCs w:val="20"/>
          <w:color w:val="auto"/>
        </w:rPr>
      </w:pPr>
    </w:p>
    <w:p>
      <w:pPr>
        <w:ind w:right="100"/>
        <w:spacing w:after="0" w:line="234" w:lineRule="auto"/>
        <w:rPr>
          <w:rFonts w:ascii="Arial" w:cs="Arial" w:eastAsia="Arial" w:hAnsi="Arial"/>
          <w:sz w:val="17"/>
          <w:szCs w:val="17"/>
          <w:u w:val="single" w:color="auto"/>
          <w:color w:val="0000FF"/>
        </w:rPr>
      </w:pPr>
      <w:hyperlink r:id="rId270">
        <w:r>
          <w:rPr>
            <w:rFonts w:ascii="Arial" w:cs="Arial" w:eastAsia="Arial" w:hAnsi="Arial"/>
            <w:sz w:val="17"/>
            <w:szCs w:val="17"/>
            <w:u w:val="single" w:color="auto"/>
            <w:color w:val="0000FF"/>
          </w:rPr>
          <w:t>Employment Agreement, dated as of April 11, 2023, by and between David Davis and Sun Country, Inc.</w:t>
        </w:r>
      </w:hyperlink>
      <w:r>
        <w:rPr>
          <w:rFonts w:ascii="Arial" w:cs="Arial" w:eastAsia="Arial" w:hAnsi="Arial"/>
          <w:sz w:val="17"/>
          <w:szCs w:val="17"/>
          <w:u w:val="single" w:color="auto"/>
          <w:color w:val="0000FF"/>
        </w:rPr>
        <w:t xml:space="preserve"> </w:t>
      </w:r>
      <w:hyperlink r:id="rId270">
        <w:r>
          <w:rPr>
            <w:rFonts w:ascii="Arial" w:cs="Arial" w:eastAsia="Arial" w:hAnsi="Arial"/>
            <w:sz w:val="17"/>
            <w:szCs w:val="17"/>
            <w:u w:val="single" w:color="auto"/>
            <w:color w:val="0000FF"/>
          </w:rPr>
          <w:t>(incorporated by reference to Exhibit 10.2 to Sun Country Airlines Holdings, Inc.'s Current Report on Form 8-K</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270">
        <w:r>
          <w:rPr>
            <w:rFonts w:ascii="Arial" w:cs="Arial" w:eastAsia="Arial" w:hAnsi="Arial"/>
            <w:sz w:val="18"/>
            <w:szCs w:val="18"/>
            <w:u w:val="single" w:color="auto"/>
            <w:color w:val="0000FF"/>
          </w:rPr>
          <w:t>filed with the Securities and Exchange Commission on May 12, 2023)</w:t>
        </w:r>
      </w:hyperlink>
    </w:p>
    <w:p>
      <w:pPr>
        <w:spacing w:after="0" w:line="59" w:lineRule="exact"/>
        <w:rPr>
          <w:sz w:val="20"/>
          <w:szCs w:val="20"/>
          <w:color w:val="auto"/>
        </w:rPr>
      </w:pPr>
    </w:p>
    <w:p>
      <w:pPr>
        <w:ind w:right="240"/>
        <w:spacing w:after="0" w:line="234" w:lineRule="auto"/>
        <w:rPr>
          <w:rFonts w:ascii="Arial" w:cs="Arial" w:eastAsia="Arial" w:hAnsi="Arial"/>
          <w:sz w:val="17"/>
          <w:szCs w:val="17"/>
          <w:u w:val="single" w:color="auto"/>
          <w:color w:val="0000FF"/>
        </w:rPr>
      </w:pPr>
      <w:hyperlink r:id="rId271">
        <w:r>
          <w:rPr>
            <w:rFonts w:ascii="Arial" w:cs="Arial" w:eastAsia="Arial" w:hAnsi="Arial"/>
            <w:sz w:val="17"/>
            <w:szCs w:val="17"/>
            <w:u w:val="single" w:color="auto"/>
            <w:color w:val="0000FF"/>
          </w:rPr>
          <w:t>Amendment 19 to the Inventory Support Services Agreement, dated as July 20, 2023, by and between Sun</w:t>
        </w:r>
      </w:hyperlink>
      <w:r>
        <w:rPr>
          <w:rFonts w:ascii="Arial" w:cs="Arial" w:eastAsia="Arial" w:hAnsi="Arial"/>
          <w:sz w:val="17"/>
          <w:szCs w:val="17"/>
          <w:u w:val="single" w:color="auto"/>
          <w:color w:val="0000FF"/>
        </w:rPr>
        <w:t xml:space="preserve"> </w:t>
      </w:r>
      <w:hyperlink r:id="rId271">
        <w:r>
          <w:rPr>
            <w:rFonts w:ascii="Arial" w:cs="Arial" w:eastAsia="Arial" w:hAnsi="Arial"/>
            <w:sz w:val="17"/>
            <w:szCs w:val="17"/>
            <w:u w:val="single" w:color="auto"/>
            <w:color w:val="0000FF"/>
          </w:rPr>
          <w:t>Country, Inc., dba Sun Country Airlines and Delta Air Lines, Inc. (incorporated by reference to Exhibit 10.1 to</w:t>
        </w:r>
      </w:hyperlink>
    </w:p>
    <w:p>
      <w:pPr>
        <w:spacing w:after="0" w:line="1" w:lineRule="exact"/>
        <w:rPr>
          <w:sz w:val="20"/>
          <w:szCs w:val="20"/>
          <w:color w:val="auto"/>
        </w:rPr>
      </w:pPr>
    </w:p>
    <w:p>
      <w:pPr>
        <w:ind w:right="300"/>
        <w:spacing w:after="0" w:line="229" w:lineRule="auto"/>
        <w:rPr>
          <w:rFonts w:ascii="Arial" w:cs="Arial" w:eastAsia="Arial" w:hAnsi="Arial"/>
          <w:sz w:val="18"/>
          <w:szCs w:val="18"/>
          <w:u w:val="single" w:color="auto"/>
          <w:color w:val="0000FF"/>
        </w:rPr>
      </w:pPr>
      <w:hyperlink r:id="rId271">
        <w:r>
          <w:rPr>
            <w:rFonts w:ascii="Arial" w:cs="Arial" w:eastAsia="Arial" w:hAnsi="Arial"/>
            <w:sz w:val="18"/>
            <w:szCs w:val="18"/>
            <w:u w:val="single" w:color="auto"/>
            <w:color w:val="0000FF"/>
          </w:rPr>
          <w:t>Sun Country Airlines Holdings, Inc.’s Quarterly Report on Form 10-Q filed with the Securities and Exchange</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Commission on November 7, 2023)</w:t>
        </w:r>
      </w:hyperlink>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Employment Letter, dated as of July 1, 2023, by and between Sun Country, Inc. and Eric Levenhagen.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Employment Letter, dated as of July 1, 2023, by and between Sun Country, Inc. and Grant Whitney.</w:t>
      </w:r>
    </w:p>
    <w:p>
      <w:pPr>
        <w:spacing w:after="0" w:line="117" w:lineRule="exact"/>
        <w:rPr>
          <w:sz w:val="20"/>
          <w:szCs w:val="20"/>
          <w:color w:val="auto"/>
        </w:rPr>
      </w:pPr>
    </w:p>
    <w:p>
      <w:pPr>
        <w:spacing w:after="0" w:line="271" w:lineRule="auto"/>
        <w:rPr>
          <w:rFonts w:ascii="Arial" w:cs="Arial" w:eastAsia="Arial" w:hAnsi="Arial"/>
          <w:sz w:val="18"/>
          <w:szCs w:val="18"/>
          <w:u w:val="single" w:color="auto"/>
          <w:color w:val="0000FF"/>
        </w:rPr>
      </w:pPr>
      <w:hyperlink r:id="rId272">
        <w:r>
          <w:rPr>
            <w:rFonts w:ascii="Arial" w:cs="Arial" w:eastAsia="Arial" w:hAnsi="Arial"/>
            <w:sz w:val="18"/>
            <w:szCs w:val="18"/>
            <w:u w:val="single" w:color="auto"/>
            <w:color w:val="0000FF"/>
          </w:rPr>
          <w:t>Subsidiaries of the registrant (incorporated by reference to Exhibit 21.1 to Sun Country Airlines Holdings, Inc.’s</w:t>
        </w:r>
      </w:hyperlink>
      <w:r>
        <w:rPr>
          <w:rFonts w:ascii="Arial" w:cs="Arial" w:eastAsia="Arial" w:hAnsi="Arial"/>
          <w:sz w:val="18"/>
          <w:szCs w:val="18"/>
          <w:u w:val="single" w:color="auto"/>
          <w:color w:val="0000FF"/>
        </w:rPr>
        <w:t xml:space="preserve"> </w:t>
      </w:r>
      <w:hyperlink r:id="rId272">
        <w:r>
          <w:rPr>
            <w:rFonts w:ascii="Arial" w:cs="Arial" w:eastAsia="Arial" w:hAnsi="Arial"/>
            <w:sz w:val="18"/>
            <w:szCs w:val="18"/>
            <w:u w:val="single" w:color="auto"/>
            <w:color w:val="0000FF"/>
          </w:rPr>
          <w:t>Registration Statement on Form S-1 (File No. 333-252858))</w:t>
        </w:r>
      </w:hyperlink>
    </w:p>
    <w:p>
      <w:pPr>
        <w:spacing w:after="0" w:line="200" w:lineRule="exact"/>
        <w:rPr>
          <w:sz w:val="20"/>
          <w:szCs w:val="20"/>
          <w:color w:val="auto"/>
        </w:rPr>
      </w:pPr>
    </w:p>
    <w:p>
      <w:pPr>
        <w:sectPr>
          <w:pgSz w:w="11900" w:h="16838" w:orient="portrait"/>
          <w:cols w:equalWidth="0" w:num="2">
            <w:col w:w="1660" w:space="720"/>
            <w:col w:w="8840"/>
          </w:cols>
          <w:pgMar w:left="320" w:top="337" w:right="35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23.1*</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97*</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Consent of KPMG LLP, independent registered public accounting firm</w:t>
      </w:r>
    </w:p>
    <w:p>
      <w:pPr>
        <w:spacing w:after="0" w:line="90" w:lineRule="exact"/>
        <w:rPr>
          <w:sz w:val="20"/>
          <w:szCs w:val="20"/>
          <w:color w:val="auto"/>
        </w:rPr>
      </w:pPr>
    </w:p>
    <w:p>
      <w:pPr>
        <w:ind w:right="20"/>
        <w:spacing w:after="0"/>
        <w:rPr>
          <w:sz w:val="20"/>
          <w:szCs w:val="20"/>
          <w:color w:val="auto"/>
        </w:rPr>
      </w:pPr>
      <w:r>
        <w:rPr>
          <w:rFonts w:ascii="Arial" w:cs="Arial" w:eastAsia="Arial" w:hAnsi="Arial"/>
          <w:sz w:val="18"/>
          <w:szCs w:val="18"/>
          <w:u w:val="single" w:color="auto"/>
          <w:color w:val="0000FF"/>
        </w:rPr>
        <w:t>Certification by Sun Country’s Chief Executive Officer with respect to Sun Country’s Annual Report on Form 10-K for the fiscal year ended December 31, 2023</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by Sun Country’s President and Chief Financial Officer with respect to Sun Country’s Annual Report on Form 10-K for the fiscal year ended December 31, 2023</w:t>
      </w:r>
    </w:p>
    <w:p>
      <w:pPr>
        <w:spacing w:after="0" w:line="59" w:lineRule="exact"/>
        <w:rPr>
          <w:sz w:val="20"/>
          <w:szCs w:val="20"/>
          <w:color w:val="auto"/>
        </w:rPr>
      </w:pPr>
    </w:p>
    <w:p>
      <w:pPr>
        <w:spacing w:after="0" w:line="221" w:lineRule="auto"/>
        <w:rPr>
          <w:sz w:val="20"/>
          <w:szCs w:val="20"/>
          <w:color w:val="auto"/>
        </w:rPr>
      </w:pPr>
      <w:r>
        <w:rPr>
          <w:rFonts w:ascii="Arial" w:cs="Arial" w:eastAsia="Arial" w:hAnsi="Arial"/>
          <w:sz w:val="18"/>
          <w:szCs w:val="18"/>
          <w:u w:val="single" w:color="auto"/>
          <w:color w:val="0000FF"/>
        </w:rPr>
        <w:t>Certification pursuant to Section 1350 of Chapter 63 of Title 18 of the United States Code by Sun Country Airlines Holdings, Inc.’s Chief Executive Officer and President and Chief Financial Officer with respect to Sun</w:t>
      </w:r>
    </w:p>
    <w:p>
      <w:pPr>
        <w:spacing w:after="0" w:line="1" w:lineRule="exact"/>
        <w:rPr>
          <w:sz w:val="20"/>
          <w:szCs w:val="20"/>
          <w:color w:val="auto"/>
        </w:rPr>
      </w:pPr>
    </w:p>
    <w:p>
      <w:pPr>
        <w:ind w:right="2140"/>
        <w:spacing w:after="0" w:line="341" w:lineRule="auto"/>
        <w:rPr>
          <w:sz w:val="20"/>
          <w:szCs w:val="20"/>
          <w:color w:val="auto"/>
        </w:rPr>
      </w:pPr>
      <w:r>
        <w:rPr>
          <w:rFonts w:ascii="Arial" w:cs="Arial" w:eastAsia="Arial" w:hAnsi="Arial"/>
          <w:sz w:val="18"/>
          <w:szCs w:val="18"/>
          <w:u w:val="single" w:color="auto"/>
          <w:color w:val="0000FF"/>
        </w:rPr>
        <w:t>Country’s Annual Report on Form 10-K for the fiscal year ended December 31, 2023 Sun Country Airlines Clawback Policy</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46" w:lineRule="exact"/>
        <w:rPr>
          <w:sz w:val="20"/>
          <w:szCs w:val="20"/>
          <w:color w:val="auto"/>
        </w:rPr>
      </w:pPr>
    </w:p>
    <w:p>
      <w:pPr>
        <w:sectPr>
          <w:pgSz w:w="11900" w:h="16838" w:orient="portrait"/>
          <w:cols w:equalWidth="0" w:num="2">
            <w:col w:w="1660" w:space="720"/>
            <w:col w:w="8840"/>
          </w:cols>
          <w:pgMar w:left="320" w:top="337" w:right="359" w:bottom="1440" w:gutter="0" w:footer="0" w:header="0"/>
        </w:sectPr>
      </w:pPr>
    </w:p>
    <w:p>
      <w:pPr>
        <w:ind w:left="20"/>
        <w:spacing w:after="0"/>
        <w:tabs>
          <w:tab w:leader="none" w:pos="236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7"/>
          <w:szCs w:val="17"/>
          <w:color w:val="auto"/>
        </w:rPr>
        <w:t>Inline XBRL Taxonomy Extension Schema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7"/>
          <w:szCs w:val="17"/>
          <w:color w:val="auto"/>
        </w:rPr>
        <w:t>Inline XBRL Taxonomy Extension Calculation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7"/>
          <w:szCs w:val="17"/>
          <w:color w:val="auto"/>
        </w:rPr>
        <w:t>Inline XBRL Taxonomy Extension Definition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7"/>
          <w:szCs w:val="17"/>
          <w:color w:val="auto"/>
        </w:rPr>
        <w:t>Inline XBRL Taxonomy Extension Labels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7"/>
          <w:szCs w:val="17"/>
          <w:color w:val="auto"/>
        </w:rPr>
        <w:t>Inline XBRL Taxonomy Extension Presentation Linkbase Document</w:t>
      </w:r>
    </w:p>
    <w:p>
      <w:pPr>
        <w:spacing w:after="0" w:line="104" w:lineRule="exact"/>
        <w:rPr>
          <w:sz w:val="20"/>
          <w:szCs w:val="20"/>
          <w:color w:val="auto"/>
        </w:rPr>
      </w:pPr>
    </w:p>
    <w:p>
      <w:pPr>
        <w:ind w:left="20"/>
        <w:spacing w:after="0"/>
        <w:tabs>
          <w:tab w:leader="none" w:pos="236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Files (formatted as inline XBRL and contained in Exhibit 101)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63"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00" w:hanging="29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Davis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Financial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5740" w:type="dxa"/>
            <w:vAlign w:val="bottom"/>
          </w:tcPr>
          <w:p>
            <w:pPr>
              <w:jc w:val="center"/>
              <w:ind w:left="17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ind w:left="610"/>
              <w:spacing w:after="0"/>
              <w:rPr>
                <w:sz w:val="20"/>
                <w:szCs w:val="20"/>
                <w:color w:val="auto"/>
              </w:rPr>
            </w:pPr>
            <w:r>
              <w:rPr>
                <w:rFonts w:ascii="Arial" w:cs="Arial" w:eastAsia="Arial" w:hAnsi="Arial"/>
                <w:sz w:val="18"/>
                <w:szCs w:val="18"/>
                <w:b w:val="1"/>
                <w:bCs w:val="1"/>
                <w:color w:val="auto"/>
                <w:w w:val="97"/>
              </w:rPr>
              <w:t>Date</w:t>
            </w:r>
          </w:p>
        </w:tc>
      </w:tr>
      <w:tr>
        <w:trPr>
          <w:trHeight w:val="488"/>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Jude Bricker</w:t>
            </w:r>
          </w:p>
        </w:tc>
        <w:tc>
          <w:tcPr>
            <w:tcW w:w="5740" w:type="dxa"/>
            <w:vAlign w:val="bottom"/>
          </w:tcPr>
          <w:p>
            <w:pPr>
              <w:jc w:val="center"/>
              <w:ind w:left="170"/>
              <w:spacing w:after="0"/>
              <w:rPr>
                <w:sz w:val="20"/>
                <w:szCs w:val="20"/>
                <w:color w:val="auto"/>
              </w:rPr>
            </w:pPr>
            <w:r>
              <w:rPr>
                <w:rFonts w:ascii="Arial" w:cs="Arial" w:eastAsia="Arial" w:hAnsi="Arial"/>
                <w:sz w:val="18"/>
                <w:szCs w:val="18"/>
                <w:color w:val="auto"/>
                <w:w w:val="99"/>
              </w:rPr>
              <w:t>Chief Executive Officer; 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14, 2024</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Jude Bricker</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9"/>
              </w:rPr>
              <w:t>(Principal Executive Officer)</w:t>
            </w: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Dave Davis</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9"/>
              </w:rPr>
              <w:t>President and Chief Financial Officer;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14, 2024</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Dave Davis</w:t>
            </w:r>
          </w:p>
        </w:tc>
        <w:tc>
          <w:tcPr>
            <w:tcW w:w="5740" w:type="dxa"/>
            <w:vAlign w:val="bottom"/>
          </w:tcPr>
          <w:p>
            <w:pPr>
              <w:jc w:val="center"/>
              <w:ind w:left="170"/>
              <w:spacing w:after="0"/>
              <w:rPr>
                <w:sz w:val="20"/>
                <w:szCs w:val="20"/>
                <w:color w:val="auto"/>
              </w:rPr>
            </w:pPr>
            <w:r>
              <w:rPr>
                <w:rFonts w:ascii="Arial" w:cs="Arial" w:eastAsia="Arial" w:hAnsi="Arial"/>
                <w:sz w:val="18"/>
                <w:szCs w:val="18"/>
                <w:color w:val="auto"/>
                <w:w w:val="99"/>
              </w:rPr>
              <w:t>Director (Principal Financial and Accounting Officer)</w:t>
            </w: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Jennifer Vogel</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9"/>
              </w:rPr>
              <w:t>Chair of the Board; 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14, 2024</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Jennifer Vogel</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Patrick O'Keeffe</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14, 2024</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rPr>
              <w:t>Patrick O'Keeffe</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Thomas C. Kennedy</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14, 2024</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Thomas C. Kennedy</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Marion Blakey</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14, 2024</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Marion Blakey</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Kerry Philipovitch</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14, 2024</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w w:val="99"/>
              </w:rPr>
              <w:t>Kerry Philipovitch</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90"/>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Gail Peterson</w:t>
            </w:r>
          </w:p>
        </w:tc>
        <w:tc>
          <w:tcPr>
            <w:tcW w:w="5740" w:type="dxa"/>
            <w:vAlign w:val="bottom"/>
          </w:tcPr>
          <w:p>
            <w:pPr>
              <w:jc w:val="center"/>
              <w:ind w:left="150"/>
              <w:spacing w:after="0"/>
              <w:rPr>
                <w:sz w:val="20"/>
                <w:szCs w:val="20"/>
                <w:color w:val="auto"/>
              </w:rPr>
            </w:pPr>
            <w:r>
              <w:rPr>
                <w:rFonts w:ascii="Arial" w:cs="Arial" w:eastAsia="Arial" w:hAnsi="Arial"/>
                <w:sz w:val="18"/>
                <w:szCs w:val="18"/>
                <w:color w:val="auto"/>
                <w:w w:val="98"/>
              </w:rPr>
              <w:t>Director</w:t>
            </w:r>
          </w:p>
        </w:tc>
        <w:tc>
          <w:tcPr>
            <w:tcW w:w="2160" w:type="dxa"/>
            <w:vAlign w:val="bottom"/>
          </w:tcPr>
          <w:p>
            <w:pPr>
              <w:jc w:val="center"/>
              <w:ind w:left="610"/>
              <w:spacing w:after="0"/>
              <w:rPr>
                <w:sz w:val="20"/>
                <w:szCs w:val="20"/>
                <w:color w:val="auto"/>
              </w:rPr>
            </w:pPr>
            <w:r>
              <w:rPr>
                <w:rFonts w:ascii="Arial" w:cs="Arial" w:eastAsia="Arial" w:hAnsi="Arial"/>
                <w:sz w:val="18"/>
                <w:szCs w:val="18"/>
                <w:color w:val="auto"/>
                <w:w w:val="99"/>
              </w:rPr>
              <w:t>February 14, 2024</w:t>
            </w:r>
          </w:p>
        </w:tc>
      </w:tr>
      <w:tr>
        <w:trPr>
          <w:trHeight w:val="232"/>
        </w:trPr>
        <w:tc>
          <w:tcPr>
            <w:tcW w:w="2880" w:type="dxa"/>
            <w:vAlign w:val="bottom"/>
          </w:tcPr>
          <w:p>
            <w:pPr>
              <w:jc w:val="center"/>
              <w:spacing w:after="0"/>
              <w:rPr>
                <w:sz w:val="20"/>
                <w:szCs w:val="20"/>
                <w:color w:val="auto"/>
              </w:rPr>
            </w:pPr>
            <w:r>
              <w:rPr>
                <w:rFonts w:ascii="Arial" w:cs="Arial" w:eastAsia="Arial" w:hAnsi="Arial"/>
                <w:sz w:val="18"/>
                <w:szCs w:val="18"/>
                <w:color w:val="auto"/>
              </w:rPr>
              <w:t>Gail Peterson</w:t>
            </w:r>
          </w:p>
        </w:tc>
        <w:tc>
          <w:tcPr>
            <w:tcW w:w="57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899"/>
        </w:trPr>
        <w:tc>
          <w:tcPr>
            <w:tcW w:w="2880" w:type="dxa"/>
            <w:vAlign w:val="bottom"/>
          </w:tcPr>
          <w:p>
            <w:pPr>
              <w:spacing w:after="0"/>
              <w:rPr>
                <w:sz w:val="24"/>
                <w:szCs w:val="24"/>
                <w:color w:val="auto"/>
              </w:rPr>
            </w:pPr>
          </w:p>
        </w:tc>
        <w:tc>
          <w:tcPr>
            <w:tcW w:w="5740" w:type="dxa"/>
            <w:vAlign w:val="bottom"/>
          </w:tcPr>
          <w:p>
            <w:pPr>
              <w:jc w:val="right"/>
              <w:ind w:right="2750"/>
              <w:spacing w:after="0"/>
              <w:rPr>
                <w:sz w:val="20"/>
                <w:szCs w:val="20"/>
                <w:color w:val="auto"/>
              </w:rPr>
            </w:pPr>
            <w:r>
              <w:rPr>
                <w:rFonts w:ascii="Arial" w:cs="Arial" w:eastAsia="Arial" w:hAnsi="Arial"/>
                <w:sz w:val="18"/>
                <w:szCs w:val="18"/>
                <w:color w:val="auto"/>
              </w:rPr>
              <w:t>138</w:t>
            </w:r>
          </w:p>
        </w:tc>
        <w:tc>
          <w:tcPr>
            <w:tcW w:w="21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4.14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Registrant’s Securities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of December 31, 2023, Sun Country Airlines Holdings, Inc. (“Sun Country”, the “Company,” “we,” “us” and “our”) had one class of securities registered under Section 12 of the Securities Exchange Act of 1934, as amended (the “Exchange Act”): common stock, par value $0.01 per share. The following description of Sun Country’s capital stock summarizes certain material terms of our amended and restated certificate of incorporation (the “certificate of incorporation”) and amended and restated bylaws (the “bylaws”) and of specific provisions of Delaware law. The following description is intended as a summary only and is qualified in its entirety by reference to our certificate of incorporation and our bylaws, copies of which have been filed as exhibits to this Annual Report on Form 10-K, and the Delaware General Corporation Law, or the DGCL. Defined terms used herein, but otherwise not defined shall have the meaning ascribed to them in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capital stock consists of 1,000,000,000 authorized shares, of which 995,000,000 shares, par value $0.01 per share, are designated as “common stock” and 5,000,000 shares, par value $0.01 per share, are designated as “preferred stock.” As of December 31, 2023, there were 53,291,001 shares of common stock outstanding and no shares of preferred stock outstanding.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our common stock are entitled to one vote per share on all matters submitted for action by the stockholders generally.</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Dividend Rights. </w:t>
      </w:r>
      <w:r>
        <w:rPr>
          <w:rFonts w:ascii="Arial" w:cs="Arial" w:eastAsia="Arial" w:hAnsi="Arial"/>
          <w:sz w:val="16"/>
          <w:szCs w:val="16"/>
          <w:color w:val="auto"/>
        </w:rPr>
        <w:t>Subject to any preferential rights of any then outstanding preferred stock, all shares of our common stock are entitled to share equally in</w:t>
      </w:r>
      <w:r>
        <w:rPr>
          <w:rFonts w:ascii="Arial" w:cs="Arial" w:eastAsia="Arial" w:hAnsi="Arial"/>
          <w:sz w:val="16"/>
          <w:szCs w:val="16"/>
          <w:i w:val="1"/>
          <w:iCs w:val="1"/>
          <w:color w:val="auto"/>
        </w:rPr>
        <w:t xml:space="preserve"> </w:t>
      </w:r>
      <w:r>
        <w:rPr>
          <w:rFonts w:ascii="Arial" w:cs="Arial" w:eastAsia="Arial" w:hAnsi="Arial"/>
          <w:sz w:val="16"/>
          <w:szCs w:val="16"/>
          <w:color w:val="auto"/>
        </w:rPr>
        <w:t>any dividends our board of directors may declare from legally available sources.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Liquidation Rights. </w:t>
      </w:r>
      <w:r>
        <w:rPr>
          <w:rFonts w:ascii="Arial" w:cs="Arial" w:eastAsia="Arial" w:hAnsi="Arial"/>
          <w:sz w:val="16"/>
          <w:szCs w:val="16"/>
          <w:color w:val="auto"/>
        </w:rPr>
        <w:t>Upon our liquidation, dissolution or winding up, whether voluntary or involuntary, after payment in full of the amounts required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to holders of any the outstanding preferred stock, all shares of our common stock are entitled to share equally in the assets available for distribution to stockholders after payment of all of our prior obligations.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Holders of our common stock have no preemptive or conversion rights, and our common stock is not subject to further calls or assessments</w:t>
      </w:r>
      <w:r>
        <w:rPr>
          <w:rFonts w:ascii="Arial" w:cs="Arial" w:eastAsia="Arial" w:hAnsi="Arial"/>
          <w:sz w:val="16"/>
          <w:szCs w:val="16"/>
          <w:i w:val="1"/>
          <w:iCs w:val="1"/>
          <w:color w:val="auto"/>
        </w:rPr>
        <w:t xml:space="preserve"> </w:t>
      </w:r>
      <w:r>
        <w:rPr>
          <w:rFonts w:ascii="Arial" w:cs="Arial" w:eastAsia="Arial" w:hAnsi="Arial"/>
          <w:sz w:val="16"/>
          <w:szCs w:val="16"/>
          <w:color w:val="auto"/>
        </w:rPr>
        <w:t>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2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December 31, 2023, approximately 25.3%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Vested 2019 Warrants may be exercised until the eighth anniversary of the issue date.</w:t>
      </w:r>
    </w:p>
    <w:p>
      <w:pPr>
        <w:sectPr>
          <w:pgSz w:w="11900" w:h="16838" w:orient="portrait"/>
          <w:cols w:equalWidth="0" w:num="1">
            <w:col w:w="11240"/>
          </w:cols>
          <w:pgMar w:left="320" w:top="935" w:right="339" w:bottom="1440" w:gutter="0" w:footer="0" w:header="0"/>
        </w:sectPr>
      </w:pPr>
    </w:p>
    <w:bookmarkStart w:id="140" w:name="page141"/>
    <w:bookmarkEnd w:id="140"/>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Composition of Board of Directors; Election and Removal</w:t>
      </w: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two directors in Class II and three directors in Class III. See “—Certain Corporate Anti-takeover Provisions—Classified Board of Directors.”</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w:t>
      </w:r>
    </w:p>
    <w:p>
      <w:pPr>
        <w:spacing w:after="0" w:line="19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Corporate Anti-takeover Provisions</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Preferred Stock</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ectPr>
          <w:pgSz w:w="11900" w:h="16838" w:orient="portrait"/>
          <w:cols w:equalWidth="0" w:num="1">
            <w:col w:w="11240"/>
          </w:cols>
          <w:pgMar w:left="320" w:top="1440" w:right="33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i w:val="1"/>
          <w:iCs w:val="1"/>
          <w:color w:val="auto"/>
        </w:rPr>
        <w:t>Classified Board of Directors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“—Composition of Board of Directors; Election and Removal.”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Removal of Directors; Vacancies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 Composition of Board of Directors; Election and Removal.”</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Cumulative Voting</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Under our certificate of incorporation, stockholders do not have the right to cumulative votes in the election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Meetings of Stockholders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Action by Written Consent</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Advance Notice Requirements for Stockholder Proposals and Director Nominations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w:t>
      </w:r>
    </w:p>
    <w:p>
      <w:pPr>
        <w:sectPr>
          <w:pgSz w:w="11900" w:h="16838" w:orient="portrait"/>
          <w:cols w:equalWidth="0" w:num="1">
            <w:col w:w="11240"/>
          </w:cols>
          <w:pgMar w:left="320" w:top="1153" w:right="339" w:bottom="1440" w:gutter="0" w:footer="0" w:header="0"/>
        </w:sectPr>
      </w:pPr>
    </w:p>
    <w:bookmarkStart w:id="142" w:name="page143"/>
    <w:bookmarkEnd w:id="142"/>
    <w:p>
      <w:pPr>
        <w:jc w:val="both"/>
        <w:ind w:right="20"/>
        <w:spacing w:after="0" w:line="286" w:lineRule="auto"/>
        <w:rPr>
          <w:sz w:val="20"/>
          <w:szCs w:val="20"/>
          <w:color w:val="auto"/>
        </w:rPr>
      </w:pPr>
      <w:r>
        <w:rPr>
          <w:rFonts w:ascii="Arial" w:cs="Arial" w:eastAsia="Arial" w:hAnsi="Arial"/>
          <w:sz w:val="16"/>
          <w:szCs w:val="16"/>
          <w:color w:val="auto"/>
        </w:rPr>
        <w:t>These provisions may preclude stockholders from bringing matters before an annual meeting of stockholders or from making nominations for directors at an annual meeting of stockholders.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Delaware Takeover Statute</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 including the Apollo Funds and the Apollo Stockholder, or their direct and indirect transferees, on the one hand, and us, on the other. In addition, such restrictions will not apply if:</w:t>
      </w:r>
    </w:p>
    <w:p>
      <w:pPr>
        <w:spacing w:after="0" w:line="173" w:lineRule="exact"/>
        <w:rPr>
          <w:sz w:val="20"/>
          <w:szCs w:val="20"/>
          <w:color w:val="auto"/>
        </w:rPr>
      </w:pPr>
    </w:p>
    <w:p>
      <w:pPr>
        <w:jc w:val="both"/>
        <w:ind w:left="660" w:hanging="328"/>
        <w:spacing w:after="0" w:line="275"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164" w:lineRule="exact"/>
        <w:rPr>
          <w:rFonts w:ascii="Arial" w:cs="Arial" w:eastAsia="Arial" w:hAnsi="Arial"/>
          <w:sz w:val="16"/>
          <w:szCs w:val="16"/>
          <w:color w:val="auto"/>
        </w:rPr>
      </w:pPr>
    </w:p>
    <w:p>
      <w:pPr>
        <w:jc w:val="both"/>
        <w:ind w:left="660" w:hanging="328"/>
        <w:spacing w:after="0" w:line="257"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 Additionally, we would be able to enter into a business combination with an interested stockholder if:</w:t>
      </w:r>
    </w:p>
    <w:p>
      <w:pPr>
        <w:spacing w:after="0" w:line="184"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before that person became an interested stockholder, our board of directors approved the transaction in which the interested stockholder became an interested stockholder or approved the business combination;</w:t>
      </w:r>
    </w:p>
    <w:p>
      <w:pPr>
        <w:spacing w:after="0" w:line="169" w:lineRule="exact"/>
        <w:rPr>
          <w:rFonts w:ascii="Arial" w:cs="Arial" w:eastAsia="Arial" w:hAnsi="Arial"/>
          <w:sz w:val="16"/>
          <w:szCs w:val="16"/>
          <w:color w:val="auto"/>
        </w:rPr>
      </w:pPr>
    </w:p>
    <w:p>
      <w:pPr>
        <w:jc w:val="both"/>
        <w:ind w:left="660" w:hanging="328"/>
        <w:spacing w:after="0" w:line="260"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191"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ectPr>
          <w:pgSz w:w="11900" w:h="16838" w:orient="portrait"/>
          <w:cols w:equalWidth="0" w:num="1">
            <w:col w:w="11240"/>
          </w:cols>
          <w:pgMar w:left="320" w:top="1151" w:right="339" w:bottom="1440" w:gutter="0" w:footer="0" w:header="0"/>
        </w:sectPr>
      </w:pPr>
    </w:p>
    <w:bookmarkStart w:id="143" w:name="page144"/>
    <w:bookmarkEnd w:id="143"/>
    <w:p>
      <w:pPr>
        <w:jc w:val="both"/>
        <w:spacing w:after="0" w:line="265" w:lineRule="auto"/>
        <w:rPr>
          <w:sz w:val="20"/>
          <w:szCs w:val="20"/>
          <w:color w:val="auto"/>
        </w:rPr>
      </w:pPr>
      <w:r>
        <w:rPr>
          <w:rFonts w:ascii="Arial" w:cs="Arial" w:eastAsia="Arial" w:hAnsi="Arial"/>
          <w:sz w:val="16"/>
          <w:szCs w:val="16"/>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of Our Certificate of Incorporation</w:t>
      </w:r>
    </w:p>
    <w:p>
      <w:pPr>
        <w:spacing w:after="0" w:line="2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Delaware law, our certificate of incorporation may be amended only with the affirmative vote of holders of at least a majority of the outstanding stock entitled to vote thereon.</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186" w:lineRule="exact"/>
        <w:rPr>
          <w:sz w:val="20"/>
          <w:szCs w:val="20"/>
          <w:color w:val="auto"/>
        </w:rPr>
      </w:pPr>
    </w:p>
    <w:p>
      <w:pPr>
        <w:ind w:left="660" w:hanging="328"/>
        <w:spacing w:after="0" w:line="286"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169"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184"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provisions authorizing our board of directors to make, alter, amend or repeal our bylaws;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provisions regarding the calling of special meetings and stockholder action by written consent in lieu of a meeting;</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provisions eliminating monetary damages for breaches of fiduciary duty by a director;</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provisions providing for indemnification and advance of expenses of our directors and officers;</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provisions regarding competition and corporate opportunities;</w:t>
      </w:r>
    </w:p>
    <w:p>
      <w:pPr>
        <w:spacing w:after="0" w:line="234"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164" w:lineRule="exact"/>
        <w:rPr>
          <w:rFonts w:ascii="Arial" w:cs="Arial" w:eastAsia="Arial" w:hAnsi="Arial"/>
          <w:sz w:val="16"/>
          <w:szCs w:val="16"/>
          <w:color w:val="auto"/>
        </w:rPr>
      </w:pPr>
    </w:p>
    <w:p>
      <w:pPr>
        <w:ind w:left="640" w:hanging="308"/>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provisions regarding entering into business combinations with interested stockholders;</w:t>
      </w:r>
    </w:p>
    <w:p>
      <w:pPr>
        <w:spacing w:after="0" w:line="221"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177" w:lineRule="exact"/>
        <w:rPr>
          <w:rFonts w:ascii="Arial" w:cs="Arial" w:eastAsia="Arial" w:hAnsi="Arial"/>
          <w:sz w:val="16"/>
          <w:szCs w:val="16"/>
          <w:color w:val="auto"/>
        </w:rPr>
      </w:pPr>
    </w:p>
    <w:p>
      <w:pPr>
        <w:jc w:val="both"/>
        <w:ind w:left="660" w:hanging="328"/>
        <w:spacing w:after="0" w:line="266" w:lineRule="auto"/>
        <w:tabs>
          <w:tab w:leader="none" w:pos="649"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ectPr>
          <w:pgSz w:w="11900" w:h="16838" w:orient="portrait"/>
          <w:cols w:equalWidth="0" w:num="1">
            <w:col w:w="11240"/>
          </w:cols>
          <w:pgMar w:left="320" w:top="1151" w:right="3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i w:val="1"/>
          <w:iCs w:val="1"/>
          <w:color w:val="auto"/>
        </w:rPr>
        <w:t>Amendment of Our Bylaws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Certain Matters that Require Consent of our Stockholders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164" w:lineRule="exact"/>
        <w:rPr>
          <w:sz w:val="20"/>
          <w:szCs w:val="20"/>
          <w:color w:val="auto"/>
        </w:rPr>
      </w:pPr>
    </w:p>
    <w:p>
      <w:pPr>
        <w:ind w:left="660" w:hanging="328"/>
        <w:spacing w:after="0" w:line="304"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141"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material disposition of any of our or our subsidiaries’ assets or equity interests, other than dispositions of aircraft or engines in the ordinary course of business; or</w:t>
      </w:r>
    </w:p>
    <w:p>
      <w:pPr>
        <w:spacing w:after="0" w:line="169"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Limited Ownership and Voting by Foreign Owners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Exclusive Forum Selection</w:t>
      </w:r>
    </w:p>
    <w:p>
      <w:pPr>
        <w:spacing w:after="0" w:line="22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Unless we consent in writing to the selection of an alternative forum, the Chancery Court of the State of Delaware will, to the fullest extent permitted by law, be the sole and exclusive forum for:</w:t>
      </w:r>
    </w:p>
    <w:p>
      <w:pPr>
        <w:spacing w:after="0" w:line="141"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employees or agents to us or our stockholders;</w:t>
      </w:r>
    </w:p>
    <w:p>
      <w:pPr>
        <w:sectPr>
          <w:pgSz w:w="11900" w:h="16838" w:orient="portrait"/>
          <w:cols w:equalWidth="0" w:num="1">
            <w:col w:w="11240"/>
          </w:cols>
          <w:pgMar w:left="320" w:top="1153" w:right="339" w:bottom="1440" w:gutter="0" w:footer="0" w:header="0"/>
        </w:sectPr>
      </w:pPr>
    </w:p>
    <w:bookmarkStart w:id="145" w:name="page146"/>
    <w:bookmarkEnd w:id="145"/>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action asserting a claim arising pursuant to any provision of the DGCL or of our certificate of incorporation or our bylaws; or</w:t>
      </w:r>
    </w:p>
    <w:p>
      <w:pPr>
        <w:spacing w:after="0" w:line="221" w:lineRule="exact"/>
        <w:rPr>
          <w:rFonts w:ascii="Arial" w:cs="Arial" w:eastAsia="Arial" w:hAnsi="Arial"/>
          <w:sz w:val="16"/>
          <w:szCs w:val="16"/>
          <w:color w:val="auto"/>
        </w:rPr>
      </w:pPr>
    </w:p>
    <w:p>
      <w:pPr>
        <w:ind w:left="660" w:hanging="328"/>
        <w:spacing w:after="0" w:line="304" w:lineRule="auto"/>
        <w:tabs>
          <w:tab w:leader="none" w:pos="649"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or officers governed by the internal affairs doctrine, in each such case subject to the Delaware Court of Chancery having personal jurisdiction over the indispensable parties named as defendants.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Nasdaq under the symbol “SNCY.”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Broadridge Corporate Issuer Solutions.</w:t>
      </w:r>
    </w:p>
    <w:p>
      <w:pPr>
        <w:sectPr>
          <w:pgSz w:w="11900" w:h="16838" w:orient="portrait"/>
          <w:cols w:equalWidth="0" w:num="1">
            <w:col w:w="11240"/>
          </w:cols>
          <w:pgMar w:left="320" w:top="115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10.43</w:t>
      </w:r>
    </w:p>
    <w:p>
      <w:pPr>
        <w:spacing w:after="0" w:line="200" w:lineRule="exact"/>
        <w:rPr>
          <w:sz w:val="20"/>
          <w:szCs w:val="20"/>
          <w:color w:val="auto"/>
        </w:rPr>
      </w:pPr>
    </w:p>
    <w:p>
      <w:pPr>
        <w:spacing w:after="0" w:line="39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SUN COUNTRY AIRLINES HOLDINGS, INC.</w:t>
      </w:r>
    </w:p>
    <w:p>
      <w:pPr>
        <w:spacing w:after="0" w:line="3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2021 OMNIBUS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STOCK UNIT AWARD AGREEMENT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RESTRICTED STOCK UNIT AWARD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[______], (the “</w:t>
      </w:r>
      <w:r>
        <w:rPr>
          <w:rFonts w:ascii="Times New Roman" w:cs="Times New Roman" w:eastAsia="Times New Roman" w:hAnsi="Times New Roman"/>
          <w:sz w:val="20"/>
          <w:szCs w:val="20"/>
          <w:u w:val="single" w:color="auto"/>
          <w:color w:val="auto"/>
        </w:rPr>
        <w:t>Date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by and between Sun Country Airlines Holdings,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[______]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Capitalized terms used in this Agreement and not otherwise defined herein have the meanings ascribed to such terms in the Sun Country Airlines Holdings, Inc. 2021 Omnibus Incentive Plan, as amended, restated or otherwise modified from time to time in accordance with its terms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has adopted the Plan, pursuant to which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may be granted; and</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Committee has determined that it is in the best interests of the Company and its stockholders to grant the RSUs provided for herein to the Participant on the terms and subject to the conditions set forth herein.</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NOW, THEREFORE, for and in consideration of the promises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64"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Grant of Restricted Stock Units.</w:t>
      </w:r>
    </w:p>
    <w:p>
      <w:pPr>
        <w:spacing w:after="0" w:line="233" w:lineRule="exact"/>
        <w:rPr>
          <w:rFonts w:ascii="Times New Roman" w:cs="Times New Roman" w:eastAsia="Times New Roman" w:hAnsi="Times New Roman"/>
          <w:sz w:val="20"/>
          <w:szCs w:val="20"/>
          <w:b w:val="1"/>
          <w:bCs w:val="1"/>
          <w:color w:val="auto"/>
        </w:rPr>
      </w:pPr>
    </w:p>
    <w:p>
      <w:pPr>
        <w:jc w:val="both"/>
        <w:ind w:firstLine="656"/>
        <w:spacing w:after="0" w:line="261" w:lineRule="auto"/>
        <w:tabs>
          <w:tab w:leader="none" w:pos="128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The Company hereby grants to the Participant a total number of [______] RSUs, on the terms and subject to the conditions set forth in this Agreement and as otherwise provided in the Plan. The RSUs shall vest in accordance with Section 2. The RSUs shall be credited to a separate book-entry account maintained for the Participant on the books of the Company.</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284"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Incorporation by Reference</w:t>
      </w:r>
      <w:r>
        <w:rPr>
          <w:rFonts w:ascii="Times New Roman" w:cs="Times New Roman" w:eastAsia="Times New Roman" w:hAnsi="Times New Roman"/>
          <w:sz w:val="20"/>
          <w:szCs w:val="20"/>
          <w:color w:val="auto"/>
        </w:rPr>
        <w:t>. The provisions of the Plan are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The Committee shall have final authority to interpret and construe the Plan and this Agreement and to make any and all determinations under them, and its decision shall be binding and conclusive upon the Participant and the Participant’s beneficiary in respect of any questions arising under the Plan or this Agreement. The Participant acknowledges that the Participant has received a copy of the Plan and has had an opportunity to review the Plan and agrees to be bound by all the terms and provisions of the Plan.</w:t>
      </w:r>
    </w:p>
    <w:p>
      <w:pPr>
        <w:spacing w:after="0" w:line="188" w:lineRule="exact"/>
        <w:rPr>
          <w:rFonts w:ascii="Times New Roman" w:cs="Times New Roman" w:eastAsia="Times New Roman" w:hAnsi="Times New Roman"/>
          <w:sz w:val="20"/>
          <w:szCs w:val="20"/>
          <w:color w:val="auto"/>
        </w:rPr>
      </w:pPr>
    </w:p>
    <w:p>
      <w:pPr>
        <w:jc w:val="both"/>
        <w:ind w:firstLine="8"/>
        <w:spacing w:after="0" w:line="254" w:lineRule="auto"/>
        <w:tabs>
          <w:tab w:leader="none" w:pos="648"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Settlement. </w:t>
      </w:r>
      <w:r>
        <w:rPr>
          <w:rFonts w:ascii="Times New Roman" w:cs="Times New Roman" w:eastAsia="Times New Roman" w:hAnsi="Times New Roman"/>
          <w:sz w:val="20"/>
          <w:szCs w:val="20"/>
          <w:color w:val="auto"/>
        </w:rPr>
        <w:t>The RSUs shall be one hundred percent (100%) unvested as of the Date of Grant. Except as may otherwise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herein, the RSUs shall vest on [______] [the one-year anniversary of the Date of Grant] (the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subject to the Participant’s continued employment with, membership on the board of directors of, or engagement to provide services to, the Company or any of its Affiliates through the Vesting Date. Except as otherwise provided herein, the RSUs shall be settled within 15 days following the Vesting Date in an equivalent number of shares of Common Stock.</w:t>
      </w:r>
    </w:p>
    <w:p>
      <w:pPr>
        <w:spacing w:after="0" w:line="187"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648"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 Equivalents. </w:t>
      </w:r>
      <w:r>
        <w:rPr>
          <w:rFonts w:ascii="Times New Roman" w:cs="Times New Roman" w:eastAsia="Times New Roman" w:hAnsi="Times New Roman"/>
          <w:sz w:val="20"/>
          <w:szCs w:val="20"/>
          <w:color w:val="auto"/>
        </w:rPr>
        <w:t>In the event of any issuance of a cash dividend on the shares of Common Stock (a “</w:t>
      </w:r>
      <w:r>
        <w:rPr>
          <w:rFonts w:ascii="Times New Roman" w:cs="Times New Roman" w:eastAsia="Times New Roman" w:hAnsi="Times New Roman"/>
          <w:sz w:val="20"/>
          <w:szCs w:val="20"/>
          <w:u w:val="single" w:color="auto"/>
          <w:color w:val="auto"/>
        </w:rPr>
        <w:t>Dividend</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shall be credited, as of the payment date for such Dividend, with an amount (a “</w:t>
      </w:r>
      <w:r>
        <w:rPr>
          <w:rFonts w:ascii="Times New Roman" w:cs="Times New Roman" w:eastAsia="Times New Roman" w:hAnsi="Times New Roman"/>
          <w:sz w:val="20"/>
          <w:szCs w:val="20"/>
          <w:u w:val="single" w:color="auto"/>
          <w:color w:val="auto"/>
        </w:rPr>
        <w:t>Dividend Equivalent</w:t>
      </w:r>
      <w:r>
        <w:rPr>
          <w:rFonts w:ascii="Times New Roman" w:cs="Times New Roman" w:eastAsia="Times New Roman" w:hAnsi="Times New Roman"/>
          <w:sz w:val="20"/>
          <w:szCs w:val="20"/>
          <w:color w:val="auto"/>
        </w:rPr>
        <w:t>”) equal to the product of</w:t>
      </w:r>
    </w:p>
    <w:p>
      <w:pPr>
        <w:spacing w:after="0" w:line="1" w:lineRule="exact"/>
        <w:rPr>
          <w:rFonts w:ascii="Times New Roman" w:cs="Times New Roman" w:eastAsia="Times New Roman" w:hAnsi="Times New Roman"/>
          <w:sz w:val="20"/>
          <w:szCs w:val="20"/>
          <w:b w:val="1"/>
          <w:bCs w:val="1"/>
          <w:color w:val="auto"/>
        </w:rPr>
      </w:pPr>
    </w:p>
    <w:p>
      <w:pPr>
        <w:ind w:right="20"/>
        <w:spacing w:after="0" w:line="26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 the number of RSUs granted pursuant to this Agreement and outstanding as of the record date for such Dividend multiplied by (ii) the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585" w:right="339" w:bottom="1440" w:gutter="0" w:footer="0" w:header="0"/>
        </w:sectPr>
      </w:pPr>
    </w:p>
    <w:bookmarkStart w:id="147" w:name="page148"/>
    <w:bookmarkEnd w:id="147"/>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Dividend per share. The aggregate amount of the Dividend Equivalents (the “</w:t>
      </w:r>
      <w:r>
        <w:rPr>
          <w:rFonts w:ascii="Times New Roman" w:cs="Times New Roman" w:eastAsia="Times New Roman" w:hAnsi="Times New Roman"/>
          <w:sz w:val="20"/>
          <w:szCs w:val="20"/>
          <w:u w:val="single" w:color="auto"/>
          <w:color w:val="auto"/>
        </w:rPr>
        <w:t>Distributable Amount</w:t>
      </w:r>
      <w:r>
        <w:rPr>
          <w:rFonts w:ascii="Times New Roman" w:cs="Times New Roman" w:eastAsia="Times New Roman" w:hAnsi="Times New Roman"/>
          <w:sz w:val="20"/>
          <w:szCs w:val="20"/>
          <w:color w:val="auto"/>
        </w:rPr>
        <w:t>”) shall be distributed to the Participant in connection with the settlement of the RSUs either in cash or, at the discretion of the Committee, in a number of shares of Common Stock with a Fair Market Value (as determined on the Vesting Date) equal to the Distributable Amount. To the extent any RSUs are forfeited prior to vesting, the corresponding Dividend Equivalents in respect thereof shall be forfeited immediately thereupon.</w:t>
      </w:r>
    </w:p>
    <w:p>
      <w:pPr>
        <w:spacing w:after="0" w:line="168" w:lineRule="exact"/>
        <w:rPr>
          <w:sz w:val="20"/>
          <w:szCs w:val="20"/>
          <w:color w:val="auto"/>
        </w:rPr>
      </w:pPr>
    </w:p>
    <w:p>
      <w:pPr>
        <w:jc w:val="both"/>
        <w:ind w:firstLine="8"/>
        <w:spacing w:after="0" w:line="270" w:lineRule="auto"/>
        <w:tabs>
          <w:tab w:leader="none" w:pos="648"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Employment or Services. </w:t>
      </w:r>
      <w:r>
        <w:rPr>
          <w:rFonts w:ascii="Times New Roman" w:cs="Times New Roman" w:eastAsia="Times New Roman" w:hAnsi="Times New Roman"/>
          <w:sz w:val="20"/>
          <w:szCs w:val="20"/>
          <w:color w:val="auto"/>
        </w:rPr>
        <w:t>If the Participant’s employment with, membership on the board of directors of,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engagement to provide services to the Company or any of its Affiliates terminates for any reason prior to the Vesting Date, the RSUs shall be canceled immediately, and the Participant shall not be entitled to receive any payments with respect thereto.</w:t>
      </w:r>
    </w:p>
    <w:p>
      <w:pPr>
        <w:spacing w:after="0" w:line="155" w:lineRule="exact"/>
        <w:rPr>
          <w:rFonts w:ascii="Times New Roman" w:cs="Times New Roman" w:eastAsia="Times New Roman" w:hAnsi="Times New Roman"/>
          <w:sz w:val="20"/>
          <w:szCs w:val="20"/>
          <w:b w:val="1"/>
          <w:bCs w:val="1"/>
          <w:color w:val="auto"/>
        </w:rPr>
      </w:pPr>
    </w:p>
    <w:p>
      <w:pPr>
        <w:jc w:val="both"/>
        <w:ind w:firstLine="8"/>
        <w:spacing w:after="0" w:line="258" w:lineRule="auto"/>
        <w:tabs>
          <w:tab w:leader="none" w:pos="648"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Rights as a Stockholder. </w:t>
      </w:r>
      <w:r>
        <w:rPr>
          <w:rFonts w:ascii="Times New Roman" w:cs="Times New Roman" w:eastAsia="Times New Roman" w:hAnsi="Times New Roman"/>
          <w:sz w:val="20"/>
          <w:szCs w:val="20"/>
          <w:color w:val="auto"/>
        </w:rPr>
        <w:t>The Participant shall not be deemed for any purpose to be the owner of any shares of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underlying the RSUs unless, until and to the extent that (i) the Company shall have issued and delivered to the Participant the shares of Common Stock underlying the RSUs and (ii) the Participant’s name shall have been entered as a stockholder of record with respect to such shares of Common Stock on the books of the Company. The Company shall cause the actions described in clauses (i) and (ii) of the preceding sentence to occur promptly following settlement as contemplated by this Agreement, subject to compliance with applicable laws.</w:t>
      </w:r>
    </w:p>
    <w:p>
      <w:pPr>
        <w:spacing w:after="0" w:line="167"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Legal Requirements.</w:t>
      </w:r>
    </w:p>
    <w:p>
      <w:pPr>
        <w:spacing w:after="0" w:line="233" w:lineRule="exact"/>
        <w:rPr>
          <w:rFonts w:ascii="Times New Roman" w:cs="Times New Roman" w:eastAsia="Times New Roman" w:hAnsi="Times New Roman"/>
          <w:sz w:val="20"/>
          <w:szCs w:val="20"/>
          <w:b w:val="1"/>
          <w:bCs w:val="1"/>
          <w:color w:val="auto"/>
        </w:rPr>
      </w:pPr>
    </w:p>
    <w:p>
      <w:pPr>
        <w:jc w:val="both"/>
        <w:ind w:firstLine="656"/>
        <w:spacing w:after="0" w:line="251" w:lineRule="auto"/>
        <w:tabs>
          <w:tab w:leader="none" w:pos="128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The granting and settlement of the RSUs, and any other obligations of the Company under this Agreement, shall be subject to all applicable U.S. federal, state and local laws, rules and regulations, all applicable non-U.S. laws, rules and regulations and to such approvals by any regulatory or governmental agency as may be required. The Participant agrees to take all steps that the Committee or the Company determines are reasonably necessary to comply with all applicable provisions of U.S. federal and state securities law and non-U.S. securities law in exercising the Participant’s rights under this Agreement. Without limiting the generality of the foregoing, the Committee, in its sole discretion, may postpone the issuance or delivery of shares of Common Stock as the Committee may consider appropriate and may require the Participant to make such representations and furnish such information as it may consider appropriate in connection with the issuance or delivery of shares of Common Stock in compliance with applicable laws, rules and regulations.</w:t>
      </w:r>
    </w:p>
    <w:p>
      <w:pPr>
        <w:spacing w:after="0" w:line="181"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Vesting and settlement of the RSUs shall be subject to the Participant’s satisfying any applicable U.S. federal, state and local tax withholding obligations and non-U.S. tax withholding obligations. The Company shall have the right and is hereby authorized to withhold from any amounts payable to the Participant in connection with the RSUs or otherwise the amount of any required withholding taxes in respect of the RSUs, their settlement or any payment or transfer of the RSUs or under the Plan and to take any such other action as the Committee or the Company deem necessary to satisfy all obligations for the payment of such withholding taxes (up to the maximum permissible withholding amounts), including the right to sell the number of shares of Common Stock that would otherwise be available for delivery upon settlement of the RSUs necessary to generate sufficient proceeds to satisfy withholding obligations. The Participant may elect to satisfy, and the Company may in all events require the Participant to satisfy, in whole or in part, the tax obligations by withholding shares of Common Stock that would otherwise be deliverable to the Participant upon settlement of the RSUs with a Fair Market Value equal to such withholding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5"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Clawback.</w:t>
      </w:r>
    </w:p>
    <w:p>
      <w:pPr>
        <w:spacing w:after="0" w:line="23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Notwithstanding anything to the contrary contained herein, the Committee may cancel the RSU award if the Participant, without the consent of the Company, has engaged in or engages in activity that is in conflict with or adverse to the interests of the Company or any Affiliate while employed by, serving as a director of, or otherwise providing services to the Company or any Subsidiary, including fraud or conduct contributing to any financial restatements or irregularities, or violates a non-competition, non-solicitation, non-disparagement or non-disclosure covenant or agreement with the Company or any Subsidiary (after giving effect to any applicable cure period set forth therein), as determined by the Committee. In such event, the Participant will forfeit any compensation, gain or other value realized thereafter on the vesting or settlement of the RSUs, the sale or other transfer of the RSUs, or the sale of shares of Common Stock acquired in respect of the RSUs (provided that the RSUs vested during the 12-month period immediately prior to the Participant’s adverse activity) and must promptly repay such amounts to the Company. If the Participant receives any amount in excess of what the Participant should have received under the terms of the RSUs for any reason (including without limitation by reason of a financial restatement, mistake in calculations or other administrative error), all as determined by the Committee, then the Participant shall promptly repay any such excess amount to the Company. To the extent required by applicable law or the rules and regulations of the NYSE or any other securities exchange or inter-dealer quotation system on which the Common Stock is listed or quoted, or if so required pursuant to a written policy adopted by the Company, the RSUs shall be subject (including on a retroactive basis) to clawback, forfeiture or similar requirements (and such requirements shall be deemed incorporated by reference into this Agreement).</w:t>
      </w:r>
    </w:p>
    <w:p>
      <w:pPr>
        <w:spacing w:after="0" w:line="19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Restrictive Covenants.</w:t>
      </w:r>
    </w:p>
    <w:p>
      <w:pPr>
        <w:spacing w:after="0" w:line="219" w:lineRule="exact"/>
        <w:rPr>
          <w:rFonts w:ascii="Times New Roman" w:cs="Times New Roman" w:eastAsia="Times New Roman" w:hAnsi="Times New Roman"/>
          <w:sz w:val="20"/>
          <w:szCs w:val="20"/>
          <w:b w:val="1"/>
          <w:bCs w:val="1"/>
          <w:color w:val="auto"/>
        </w:rPr>
      </w:pPr>
    </w:p>
    <w:p>
      <w:pPr>
        <w:ind w:right="260" w:firstLine="656"/>
        <w:spacing w:after="0" w:line="258" w:lineRule="auto"/>
        <w:tabs>
          <w:tab w:leader="none" w:pos="128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During the term of the Participant’s employment or service with the Company or any of its Affiliates and thereafter in perpetuity, the Participant shall not, directly or indirectly, knowingly disparage, criticize, or otherwise make derogatory statements regarding the Company or any of its Affiliates, successors, directors or officers. The foregoing shall not be violated by the Participant’s truthful responses to legal process or inquiry by a governmental authority.</w:t>
      </w:r>
    </w:p>
    <w:p>
      <w:pPr>
        <w:spacing w:after="0" w:line="172" w:lineRule="exact"/>
        <w:rPr>
          <w:rFonts w:ascii="Times New Roman" w:cs="Times New Roman" w:eastAsia="Times New Roman" w:hAnsi="Times New Roman"/>
          <w:sz w:val="20"/>
          <w:szCs w:val="20"/>
          <w:color w:val="auto"/>
        </w:rPr>
      </w:pPr>
    </w:p>
    <w:p>
      <w:pPr>
        <w:ind w:right="60" w:firstLine="656"/>
        <w:spacing w:after="0" w:line="250" w:lineRule="auto"/>
        <w:tabs>
          <w:tab w:leader="none" w:pos="12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Non-Disclosure of Confidential Information; Return of Property</w:t>
      </w:r>
      <w:r>
        <w:rPr>
          <w:rFonts w:ascii="Times New Roman" w:cs="Times New Roman" w:eastAsia="Times New Roman" w:hAnsi="Times New Roman"/>
          <w:sz w:val="20"/>
          <w:szCs w:val="20"/>
          <w:color w:val="auto"/>
        </w:rPr>
        <w:t xml:space="preserve">. During the term of the Participant’s employment or service with the Company or any of its Affiliates and thereafter in perpetuity, the Participant shall maintain in confidence and shall not directly, indirectly or otherwise, use, disseminate, disclose or publish, or use for the Participant’s benefit or the benefit of any Person, any confidential or proprietary information or trade secrets of or relating to the Company or any of its Affiliates, including, without limitation, information with respect to the Company’s or any of its Affiliates’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Participant’s good faith performance of his or her duties and responsibilities for the Company and its Affiliates during employment or service shall not be deemed a breach of this Section 8(b). Upon the Participant’s termination of employment or service for any reason, the Participant shall promptly deliver to the Company all correspondence, drawings, manuals, letters, notes, notebooks, reports, programs, plans, proposals, financial documents, or any other documents concerning the Company’s or any of its Affiliates’ customers, business plans, marketing strategies, products or processes. The Participant may respond to a lawful and valid subpoena or other legal process but shall give the Company the earliest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17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jc w:val="both"/>
        <w:ind w:firstLine="656"/>
        <w:spacing w:after="0" w:line="258" w:lineRule="auto"/>
        <w:tabs>
          <w:tab w:leader="none" w:pos="128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The RSUs may not be assigned, alienated, pledged, attached, sold or otherwise transferred or encumbered (a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by the Participant other than by will or by the laws of descent and distribution, pursuant to a qualified domestic relations order or as otherwise permitted under Section 14(b) of the Plan. Any attempted Transfer of the RSUs contrary to the provisions hereof, and the levy of any execution, attachment or similar process upon the RSUs, shall be null and void and without effect.</w:t>
      </w:r>
    </w:p>
    <w:p>
      <w:pPr>
        <w:spacing w:after="0" w:line="185"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72" w:lineRule="exact"/>
        <w:rPr>
          <w:rFonts w:ascii="Times New Roman" w:cs="Times New Roman" w:eastAsia="Times New Roman" w:hAnsi="Times New Roman"/>
          <w:sz w:val="20"/>
          <w:szCs w:val="20"/>
          <w:color w:val="auto"/>
        </w:rPr>
      </w:pPr>
    </w:p>
    <w:p>
      <w:pPr>
        <w:jc w:val="both"/>
        <w:ind w:firstLine="656"/>
        <w:spacing w:after="0" w:line="252" w:lineRule="auto"/>
        <w:tabs>
          <w:tab w:leader="none" w:pos="128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RSUs are intended to be exempt from, or compliant with, Section 409A of the Code.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discretion and without the Participant’s consent, modify such provision to (i) comply with, or avoid being subject to, Section 409A of the Code, or to avoid the incurrence of taxes, interest and penalties under Section 409A of the Code, and/or (ii) maintain, to the maximum extent practicable, the original intent and economic benefit to the Participant of the applicable provision without materially increasing the cost to the Company or contravening the provisions of Section 409A of the Code. This Section 9(c) does not create an obligation on the part of the Company to modify the Plan or this Agreement and does not guarantee that the RSUs will not be subject to interest and penalties under Section 409A.</w:t>
      </w:r>
    </w:p>
    <w:p>
      <w:pPr>
        <w:spacing w:after="0" w:line="175"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Assets</w:t>
      </w:r>
      <w:r>
        <w:rPr>
          <w:rFonts w:ascii="Times New Roman" w:cs="Times New Roman" w:eastAsia="Times New Roman" w:hAnsi="Times New Roman"/>
          <w:sz w:val="20"/>
          <w:szCs w:val="20"/>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61" w:lineRule="exact"/>
        <w:rPr>
          <w:rFonts w:ascii="Times New Roman" w:cs="Times New Roman" w:eastAsia="Times New Roman" w:hAnsi="Times New Roman"/>
          <w:sz w:val="20"/>
          <w:szCs w:val="20"/>
          <w:color w:val="auto"/>
        </w:rPr>
      </w:pPr>
    </w:p>
    <w:p>
      <w:pPr>
        <w:jc w:val="both"/>
        <w:ind w:firstLine="656"/>
        <w:spacing w:after="0" w:line="257" w:lineRule="auto"/>
        <w:tabs>
          <w:tab w:leader="none" w:pos="128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provided for in this Agreement or the Plan shall be in writing and shall be deemed sufficiently given if either hand delivered or if sent by fax, pdf/email or overnight courier, or by postage-paid first-class mail. Notices sent by mail shall be deemed received three business days after mailing but in no event later than the date of actual receipt. Notices shall be directed, if to the Participant, at the Participant’s address indicated by the Company’s records, or if to the Company, to the attention of the General Counsel at the Company’s principal executive office.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1"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81" w:lineRule="exact"/>
        <w:rPr>
          <w:rFonts w:ascii="Times New Roman" w:cs="Times New Roman" w:eastAsia="Times New Roman" w:hAnsi="Times New Roman"/>
          <w:sz w:val="20"/>
          <w:szCs w:val="20"/>
          <w:color w:val="auto"/>
        </w:rPr>
      </w:pPr>
    </w:p>
    <w:p>
      <w:pPr>
        <w:ind w:right="20" w:firstLine="656"/>
        <w:spacing w:after="0" w:line="283" w:lineRule="auto"/>
        <w:tabs>
          <w:tab w:leader="none" w:pos="128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Employment, Directorship or Service</w:t>
      </w:r>
      <w:r>
        <w:rPr>
          <w:rFonts w:ascii="Times New Roman" w:cs="Times New Roman" w:eastAsia="Times New Roman" w:hAnsi="Times New Roman"/>
          <w:sz w:val="20"/>
          <w:szCs w:val="20"/>
          <w:color w:val="auto"/>
        </w:rPr>
        <w:t>. Nothing contained in this Agreement shall be construed as giving the Participant any right to be retained, in any position, as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9"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consultant or director of the Company or any of its Affiliates or shall interfere with or restrict in any way the rights of the Company or any of its Affiliates, which are hereby expressly reserved, to remove, terminate or discharge the Participant at any time for any reason whatsoever.</w:t>
      </w:r>
    </w:p>
    <w:p>
      <w:pPr>
        <w:spacing w:after="0" w:line="124" w:lineRule="exact"/>
        <w:rPr>
          <w:sz w:val="20"/>
          <w:szCs w:val="20"/>
          <w:color w:val="auto"/>
        </w:rPr>
      </w:pPr>
    </w:p>
    <w:p>
      <w:pPr>
        <w:jc w:val="both"/>
        <w:ind w:firstLine="656"/>
        <w:spacing w:after="0" w:line="258"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No fractional shares of Common Stock shall be issued or delivered pursuant to this Agreement, and the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29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Beneficiary</w:t>
      </w:r>
      <w:r>
        <w:rPr>
          <w:rFonts w:ascii="Times New Roman" w:cs="Times New Roman" w:eastAsia="Times New Roman" w:hAnsi="Times New Roman"/>
          <w:sz w:val="20"/>
          <w:szCs w:val="20"/>
          <w:color w:val="auto"/>
        </w:rPr>
        <w:t>. The Participant may file with the Committee a written designation of a beneficiary on such form as may be prescribed by the Committee and may, from time to time, amend or revoke such designation.</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9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contain the entire agreement and understanding of the parties hereto with respect to the subject matter contained herein and supersede all prior communications, representations and negotiations in respect thereto, other than any other non-competition, non-solicitation, non-disparagement or non-disclosure or other similar agreement to which the Participant may be a party, the covenants of which shall continue to apply to the Participant in accordance with the terms of such agreement. No change, modification or waiver of any provision of this Agreement shall be valid unless the same be in writing and signed by the parties hereto, except for any changes permitted without consent under Section 11 or 13 of the Plan.</w:t>
      </w:r>
    </w:p>
    <w:p>
      <w:pPr>
        <w:spacing w:after="0" w:line="19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shall be construed and interpreted in accordance with the laws of the State of Delaware, without regard to principles of conflicts of laws thereof, or principles of conflicts of laws of any other jurisdiction that could cause the application of the laws of any jurisdiction other than the State of Delaware.</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954"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Dispute Resolution; Consent to Jurisdiction</w:t>
      </w:r>
      <w:r>
        <w:rPr>
          <w:rFonts w:ascii="Times New Roman" w:cs="Times New Roman" w:eastAsia="Times New Roman" w:hAnsi="Times New Roman"/>
          <w:sz w:val="20"/>
          <w:szCs w:val="20"/>
          <w:color w:val="auto"/>
        </w:rPr>
        <w:t>. All disputes between or among any Persons arising out of or in any way connected with the Plan, this Agreement or the RSUs shall be solely and finally settled by the Committee, acting in good faith, the determination of which shall be final. Any matters not covered by the preceding sentence shall be solely and finally settled in accordance with the Plan, and the Participant and the Company consent to the personal jurisdiction of the United States federal and state courts sitting in Wilmington, Delaware, as the exclusive jurisdiction with respect to matters arising out of or related to the enforcement of the Committee’s determinations and resolution of matters, if any, related to the Plan or this Agreement not required to be resolved by the Committee. Each such Person hereby irrevocably consents to the service of process of any of the aforementioned courts in any such suit, action or proceeding by the mailing of copies thereof by registered or certified mail, postage prepaid, to the last known address of such Person, such service to become effective 10 days after such mailing.</w:t>
      </w:r>
    </w:p>
    <w:p>
      <w:pPr>
        <w:spacing w:after="0" w:line="18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or the transactions contemplated (whether based on contract, tort or any other theory). Each party hereto (A) certifies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9" w:lineRule="exact"/>
        <w:rPr>
          <w:sz w:val="20"/>
          <w:szCs w:val="20"/>
          <w:color w:val="auto"/>
        </w:rPr>
      </w:pPr>
    </w:p>
    <w:p>
      <w:pPr>
        <w:jc w:val="both"/>
        <w:ind w:left="640" w:right="20"/>
        <w:spacing w:after="0" w:line="261" w:lineRule="auto"/>
        <w:rPr>
          <w:sz w:val="20"/>
          <w:szCs w:val="20"/>
          <w:color w:val="auto"/>
        </w:rPr>
      </w:pPr>
      <w:r>
        <w:rPr>
          <w:rFonts w:ascii="Times New Roman" w:cs="Times New Roman" w:eastAsia="Times New Roman" w:hAnsi="Times New Roman"/>
          <w:sz w:val="20"/>
          <w:szCs w:val="20"/>
          <w:color w:val="auto"/>
        </w:rPr>
        <w:t>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1" w:lineRule="exact"/>
        <w:rPr>
          <w:sz w:val="20"/>
          <w:szCs w:val="20"/>
          <w:color w:val="auto"/>
        </w:rPr>
      </w:pPr>
    </w:p>
    <w:p>
      <w:pPr>
        <w:ind w:left="-20" w:right="20" w:firstLine="656"/>
        <w:spacing w:after="0" w:line="269" w:lineRule="auto"/>
        <w:tabs>
          <w:tab w:leader="none" w:pos="126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Sections hereof are provided for convenience only and are not to serve as a basis for interpretation or construction, and shall not constitute a part, of this Agreement.</w:t>
      </w:r>
    </w:p>
    <w:p>
      <w:pPr>
        <w:spacing w:after="0" w:line="172" w:lineRule="exact"/>
        <w:rPr>
          <w:rFonts w:ascii="Times New Roman" w:cs="Times New Roman" w:eastAsia="Times New Roman" w:hAnsi="Times New Roman"/>
          <w:sz w:val="20"/>
          <w:szCs w:val="20"/>
          <w:color w:val="auto"/>
        </w:rPr>
      </w:pPr>
    </w:p>
    <w:p>
      <w:pPr>
        <w:jc w:val="both"/>
        <w:ind w:left="-20" w:firstLine="656"/>
        <w:spacing w:after="0" w:line="261" w:lineRule="auto"/>
        <w:tabs>
          <w:tab w:leader="none" w:pos="126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81" w:lineRule="exact"/>
        <w:rPr>
          <w:rFonts w:ascii="Times New Roman" w:cs="Times New Roman" w:eastAsia="Times New Roman" w:hAnsi="Times New Roman"/>
          <w:sz w:val="20"/>
          <w:szCs w:val="20"/>
          <w:color w:val="auto"/>
        </w:rPr>
      </w:pPr>
    </w:p>
    <w:p>
      <w:pPr>
        <w:jc w:val="both"/>
        <w:ind w:left="-20" w:firstLine="656"/>
        <w:spacing w:after="0" w:line="253" w:lineRule="auto"/>
        <w:tabs>
          <w:tab w:leader="none" w:pos="126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This Agreement may be accepted by return signature or by electronic confirmation. By accepting this Agreement, the Participant consents to the electronic delivery of prospectuses, annual reports and other information required to be delivered by U.S. Securities and Exchange Commission rules (which consent may be revoked in writing by the Participant at any time upon three business days’ notice to the Company, in which case subsequent prospectuses, annual reports and other information will be delivered in hard copy to the Participant).</w:t>
      </w:r>
    </w:p>
    <w:p>
      <w:pPr>
        <w:spacing w:after="0" w:line="191" w:lineRule="exact"/>
        <w:rPr>
          <w:rFonts w:ascii="Times New Roman" w:cs="Times New Roman" w:eastAsia="Times New Roman" w:hAnsi="Times New Roman"/>
          <w:sz w:val="20"/>
          <w:szCs w:val="20"/>
          <w:color w:val="auto"/>
        </w:rPr>
      </w:pPr>
    </w:p>
    <w:p>
      <w:pPr>
        <w:jc w:val="both"/>
        <w:ind w:left="-20" w:firstLine="656"/>
        <w:spacing w:after="0" w:line="258" w:lineRule="auto"/>
        <w:tabs>
          <w:tab w:leader="none" w:pos="126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Participation in Plan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40" w:right="339" w:bottom="1440" w:gutter="0" w:footer="0" w:header="0"/>
        </w:sectPr>
      </w:pPr>
    </w:p>
    <w:bookmarkStart w:id="152" w:name="page153"/>
    <w:bookmarkEnd w:id="152"/>
    <w:p>
      <w:pPr>
        <w:ind w:firstLine="881"/>
        <w:spacing w:after="0"/>
        <w:rPr>
          <w:sz w:val="20"/>
          <w:szCs w:val="20"/>
          <w:color w:val="auto"/>
        </w:rPr>
      </w:pPr>
      <w:r>
        <w:rPr>
          <w:rFonts w:ascii="Times New Roman" w:cs="Times New Roman" w:eastAsia="Times New Roman" w:hAnsi="Times New Roman"/>
          <w:sz w:val="20"/>
          <w:szCs w:val="20"/>
          <w:color w:val="auto"/>
        </w:rPr>
        <w:t>IN WITNESS WHEREOF, this Restricted Stock Unit Award Agreement has been executed by the Company and the Participant as of the day first written above.</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SUN COUNTRY AIRLINES HOLDINGS, INC.</w:t>
      </w:r>
    </w:p>
    <w:p>
      <w:pPr>
        <w:spacing w:after="0" w:line="39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2655570</wp:posOffset>
            </wp:positionH>
            <wp:positionV relativeFrom="paragraph">
              <wp:posOffset>-7620</wp:posOffset>
            </wp:positionV>
            <wp:extent cx="1257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ind w:left="3900"/>
        <w:spacing w:after="0" w:line="197" w:lineRule="auto"/>
        <w:rPr>
          <w:sz w:val="20"/>
          <w:szCs w:val="20"/>
          <w:color w:val="auto"/>
        </w:rPr>
      </w:pPr>
      <w:r>
        <w:rPr>
          <w:rFonts w:ascii="Times New Roman" w:cs="Times New Roman" w:eastAsia="Times New Roman" w:hAnsi="Times New Roman"/>
          <w:sz w:val="20"/>
          <w:szCs w:val="20"/>
          <w:color w:val="auto"/>
        </w:rPr>
        <w:t>Name:</w:t>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-130810</wp:posOffset>
            </wp:positionV>
            <wp:extent cx="1257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8">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ectPr>
          <w:pgSz w:w="11900" w:h="16838" w:orient="portrait"/>
          <w:cols w:equalWidth="0" w:num="1">
            <w:col w:w="11220"/>
          </w:cols>
          <w:pgMar w:left="320" w:top="1399" w:right="35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Exhibit 10.44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SUN COUNTRY EXECUTIVE EMPLOYMENT LETTER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Rose Neale,</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Welcome to a new day at Sun Country Airlines. This Employment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effective as of July 1, 2023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Erin Rose Neale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Sun Country, Inc., a Minnesota corporation (together with any of its subsidiaries and affiliates) as may employ the Executive from time to time, and any and all successors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outlines the terms of your employment with the Company.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execution of this Agreement, the Executive agrees to the terms outlined below.</w:t>
      </w:r>
    </w:p>
    <w:p>
      <w:pPr>
        <w:spacing w:after="0" w:line="179"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Company shall employ the Executive, and the Executive shall be employed by the Company, on an at will basis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in the position set forth in Section 1(b), and upon the other terms and conditions herein provided.</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as General Counsel and Senior Vice President of the Company, with responsibilities, duties, and authority customary for such position. The Executive shall report to the President and Chief Financial Officer of the Company. The Executive agrees to observe and comply with the Company’s rules and policies as adopted from time to time by the Company.</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the Executive shall receive a base salary at a rate of $325,000 per annum, which shall be paid in accordance with the customary payroll practices of the Company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respect to each calendar year that ends during the Term, the Executive shall be eligible to receive a discretionary annual cash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in accordance with the terms of the Company’s then in effective Omnibus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Executive’s actual Annual Bonus for a given year, if any, shall be determined on the basis of the Executive’s and/or the Company’s attainment of objective financial and/or other subjective or objective criteria established by the Company’s Board of Directors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communicated to the Executive at the beginning of such year. Notwithstanding the foregoing, no Annual Bonus shall be payable with respect to any calendar year unless the Executive remains continuously employed with the Company through the date of payment, except as otherwise provided in Section 4.</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3"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Early Termination Right adjustment outlined below, the Executive shall be granted certain equity interests of Sun Country Airlines Holdings, Inc., (the “</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terms and conditions set forth in the Plan and any award agreement(s)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96" w:right="339" w:bottom="1440" w:gutter="0" w:footer="0" w:header="0"/>
        </w:sectPr>
      </w:pPr>
    </w:p>
    <w:bookmarkStart w:id="154" w:name="page155"/>
    <w:bookmarkEnd w:id="154"/>
    <w:p>
      <w:pPr>
        <w:ind w:firstLine="656"/>
        <w:spacing w:after="0" w:line="236" w:lineRule="auto"/>
        <w:tabs>
          <w:tab w:leader="none" w:pos="129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Travel Benefits</w:t>
      </w:r>
      <w:r>
        <w:rPr>
          <w:rFonts w:ascii="Times New Roman" w:cs="Times New Roman" w:eastAsia="Times New Roman" w:hAnsi="Times New Roman"/>
          <w:sz w:val="22"/>
          <w:szCs w:val="22"/>
          <w:color w:val="auto"/>
        </w:rPr>
        <w:t>. The Executive is entitled to both positive-space and space-available travel benefits, in accordance with the Company’s rules and policies.</w:t>
      </w:r>
    </w:p>
    <w:p>
      <w:pPr>
        <w:spacing w:after="0" w:line="150"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2"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Positive Space Travel</w:t>
      </w:r>
      <w:r>
        <w:rPr>
          <w:rFonts w:ascii="Times New Roman" w:cs="Times New Roman" w:eastAsia="Times New Roman" w:hAnsi="Times New Roman"/>
          <w:sz w:val="21"/>
          <w:szCs w:val="21"/>
          <w:color w:val="auto"/>
        </w:rPr>
        <w:t>. Positive space travel is permitted as follows: the Executive will receive an annual credit of $10,000 in the Executive’s Universal Air Travel Plan (“</w:t>
      </w:r>
      <w:r>
        <w:rPr>
          <w:rFonts w:ascii="Times New Roman" w:cs="Times New Roman" w:eastAsia="Times New Roman" w:hAnsi="Times New Roman"/>
          <w:sz w:val="21"/>
          <w:szCs w:val="21"/>
          <w:u w:val="single" w:color="auto"/>
          <w:color w:val="auto"/>
        </w:rPr>
        <w:t>UATP</w:t>
      </w:r>
      <w:r>
        <w:rPr>
          <w:rFonts w:ascii="Times New Roman" w:cs="Times New Roman" w:eastAsia="Times New Roman" w:hAnsi="Times New Roman"/>
          <w:sz w:val="21"/>
          <w:szCs w:val="21"/>
          <w:color w:val="auto"/>
        </w:rPr>
        <w:t>”) account for personal travel on Company scheduled flights for the Executive and certain Qualifying Friends and Family (as defined below). Any increases to the annual credit of other executives of the same rank shall apply equally to the Executive. Each flown segment is valued at $75, and deducted from the UATP account. The value of this benefit is reported as taxable income with taxes on such income paid for by the Company.</w:t>
      </w:r>
    </w:p>
    <w:p>
      <w:pPr>
        <w:spacing w:after="0" w:line="15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Friends &amp; Family</w:t>
      </w:r>
      <w:r>
        <w:rPr>
          <w:rFonts w:ascii="Times New Roman" w:cs="Times New Roman" w:eastAsia="Times New Roman" w:hAnsi="Times New Roman"/>
          <w:sz w:val="22"/>
          <w:szCs w:val="22"/>
          <w:color w:val="auto"/>
        </w:rPr>
        <w:t>. “Qualifying Friends and Family” are defined as follows: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5"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travels on a flight itinerary, the Executive may bring up to eight friends or family members, on the same itinerary, on any scheduled Company flight (provided such persons are not prohibited by Company from traveling on Company flights).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587"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not listed on the flight itinerary, (x) the Executive’s Circle of Travelers (defined under the Company’s Employee Travel Policy) may use the Executive’s positive travel benefit for any scheduled Company flight and flown segments will be deducted from the UATP account; or (y) any friend or family member not otherwise prohibited by Company from traveling on Company’s flights, may travel on any scheduled Company flight with Executive’s consent, and flown segments will be deducted from the UATP account.</w:t>
      </w:r>
    </w:p>
    <w:p>
      <w:pPr>
        <w:spacing w:after="0" w:line="153"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Space Available Travel</w:t>
      </w:r>
      <w:r>
        <w:rPr>
          <w:rFonts w:ascii="Times New Roman" w:cs="Times New Roman" w:eastAsia="Times New Roman" w:hAnsi="Times New Roman"/>
          <w:sz w:val="22"/>
          <w:szCs w:val="22"/>
          <w:color w:val="auto"/>
        </w:rPr>
        <w:t>. The Executive and the Executive’s Circle of Travelers may also travel on scheduled Company flights in accordance with the Company’s Employee Travel Policy, in which case, flown segments will not be deducted from the Executive’s UATP account.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7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Benefits Vesting</w:t>
      </w:r>
      <w:r>
        <w:rPr>
          <w:rFonts w:ascii="Times New Roman" w:cs="Times New Roman" w:eastAsia="Times New Roman" w:hAnsi="Times New Roman"/>
          <w:sz w:val="22"/>
          <w:szCs w:val="22"/>
          <w:color w:val="auto"/>
        </w:rPr>
        <w:t>. Upon the earlier of (x) five (5) years of service to SCA, measured from the Executive’s original hire date; or (y) the acquisition by any person or related “group”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or (B) the combined voting power of the then-outstanding voting securities of the Company entitled to vote in the election of directors, but excluding any acquisition by the Company or any of its affiliates or by any employee benefit plan sponsored or maintained by the Company or any of its affiliates;, Executive’s travel benefits under this Agreement vest and are non-forfeitable for the Executive’s lifetime and therefore are useable by Executive for the remainder of Executive’s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55" w:name="page156"/>
    <w:bookmarkEnd w:id="155"/>
    <w:p>
      <w:pPr>
        <w:ind w:firstLine="656"/>
        <w:spacing w:after="0" w:line="236" w:lineRule="auto"/>
        <w:tabs>
          <w:tab w:leader="none" w:pos="1293"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entitled to receive other benefits (e.g., vacation, welfare benefits, etc.) in accordance with the Company’s rules and policies as adopted from time to time by the Company.</w:t>
      </w:r>
    </w:p>
    <w:p>
      <w:pPr>
        <w:spacing w:after="0" w:line="150" w:lineRule="exact"/>
        <w:rPr>
          <w:rFonts w:ascii="Times New Roman" w:cs="Times New Roman" w:eastAsia="Times New Roman" w:hAnsi="Times New Roman"/>
          <w:sz w:val="22"/>
          <w:szCs w:val="22"/>
          <w:color w:val="auto"/>
        </w:rPr>
      </w:pPr>
    </w:p>
    <w:p>
      <w:pPr>
        <w:ind w:right="20" w:firstLine="8"/>
        <w:spacing w:after="0" w:line="236" w:lineRule="auto"/>
        <w:tabs>
          <w:tab w:leader="none" w:pos="64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Pursuant to the Early Termination Right, the Executive’s employment hereunder may be terminated without any breach of this Agreement only under the following circumstances: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his or her death.</w:t>
      </w:r>
    </w:p>
    <w:p>
      <w:pPr>
        <w:spacing w:after="0" w:line="179"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38"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w:t>
      </w:r>
      <w:r>
        <w:rPr>
          <w:rFonts w:ascii="Times New Roman" w:cs="Times New Roman" w:eastAsia="Times New Roman" w:hAnsi="Times New Roman"/>
          <w:sz w:val="22"/>
          <w:szCs w:val="22"/>
          <w:color w:val="auto"/>
        </w:rPr>
        <w:t>. The Company may terminate the Executive’s employment with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President and Chief Financial Officer of the Company after written notice thereof and failure to cure within ten (10) business days of receipt of the written notice, (iii) the Executive’s fraud, misappropriation, embezzlement (whether or not in connection with employment), or material misuse of funds or property belonging to the Company or any of its affiliates, (iv) the Executive’s willful violation of the policies of the Company or any of its subsidiaries, or gross negligence in connection with the performance of his or her duties, after written notice thereof and failure to cure within ten (10) business days of receipt of written notice, (v) 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that are cured within ten (10) days after the Executive becomes aware of such breaches, to the extent curable) or the non-solicitation provisions to which the Executive is subject (including, without limitation, under this Agreement, if applicable). If, within thirty (30) days subsequent to 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 to the Company all amounts received under this Agreement, all equity awards or otherwise that would not have been payable to the Executive had such termination of employment been by the Company for Cause.</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The Company may terminate the Executive’s employment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56" w:name="page157"/>
    <w:bookmarkEnd w:id="156"/>
    <w:p>
      <w:pPr>
        <w:ind w:firstLine="1304"/>
        <w:spacing w:after="0" w:line="236" w:lineRule="auto"/>
        <w:tabs>
          <w:tab w:leader="none" w:pos="1932"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Executive may resign from his or her employment upon not less than sixty (60) days’ advance written notice to the President and Chief Financial Officer of the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the Executive’s employment by the Company or by the Executive under this Section 3 (other than termination pursuant to Section 3(a)(i)) shall be communicated by a written notice (a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specifying a date for termination in accordance with the applicable provision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All Positions</w:t>
      </w:r>
      <w:r>
        <w:rPr>
          <w:rFonts w:ascii="Times New Roman" w:cs="Times New Roman" w:eastAsia="Times New Roman" w:hAnsi="Times New Roman"/>
          <w:sz w:val="22"/>
          <w:szCs w:val="22"/>
          <w:color w:val="auto"/>
        </w:rPr>
        <w:t>. Upon termination of the Executive’s employment for any reason,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or her proxy to any officer of the Company to so execute on his or her behalf.</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Duties</w:t>
      </w:r>
      <w:r>
        <w:rPr>
          <w:rFonts w:ascii="Times New Roman" w:cs="Times New Roman" w:eastAsia="Times New Roman" w:hAnsi="Times New Roman"/>
          <w:sz w:val="22"/>
          <w:szCs w:val="22"/>
          <w:color w:val="auto"/>
        </w:rPr>
        <w:t>. The Company reserves the right to bar the Executive from the offices of the Company or any of its affiliates and to require that the Executive refrain from undertaking all or any of the Executive’s duties.</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Obligations upon Termination of 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Upon termination of the Executive’s employment for any reason, the Executive (or the Executive’s estate) shall be entitled to receive (i) any amount of the Executive’s Annual Base Salary earned through the Date of Termination not theretofore paid, (ii) any Annual Bonus (and if applicable, any Long-Term Incentive) for the year prior to the year in which the Date of Termination occurred, that was earned but not yet paid, and (iii) any amount arising from the Executive’s participation in, or benefits under, any employee benefit plans, programs, or arrangements under Section 2(g) (other than severance plans, programs, or arrangements), which amounts shall be payable in accordance with the terms and conditions of such employee benefit plans, programs, or arrangements including, where applicable, any death and disability benefits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Notwithstanding anything to the contrary, upon a termination by the Company with Cause, the Accrued Obligations shall not include the amount set forth in clause (ii) of the preceding sentence.</w:t>
      </w:r>
    </w:p>
    <w:p>
      <w:pPr>
        <w:spacing w:after="0" w:line="158"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xml:space="preserve">. If the Company terminates the Executive’s employment without Cause pursuant to Section 3(a)(iii), the Company shall, in addition to the Accrued Obligations, continue to pay the Annual Base Salary in accordance with the Company’s customary payroll practices during the period beginning on the Date of Termination and ending on the earlier to occur of (A) the twelve (12) month anniversary of the Date of Termination and (B) the first date that the Executive violates any covenant contained herein or in the Release (as hereafter defined), after receipt of written notice thereof and expiration of a 10 business day cure period;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the installment payments payable pursuant to this Section 5(b) shall commence on the first payroll period following the effective date of the Release (as defined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57" w:name="page158"/>
    <w:bookmarkEnd w:id="157"/>
    <w:p>
      <w:pPr>
        <w:ind w:right="20"/>
        <w:spacing w:after="0" w:line="236" w:lineRule="auto"/>
        <w:rPr>
          <w:sz w:val="20"/>
          <w:szCs w:val="20"/>
          <w:color w:val="auto"/>
        </w:rPr>
      </w:pPr>
      <w:r>
        <w:rPr>
          <w:rFonts w:ascii="Times New Roman" w:cs="Times New Roman" w:eastAsia="Times New Roman" w:hAnsi="Times New Roman"/>
          <w:sz w:val="22"/>
          <w:szCs w:val="22"/>
          <w:color w:val="auto"/>
        </w:rPr>
        <w:t>and the initial installment shall include a lump-sum payment of all amounts accrued under this Section 5(b) from the Date of Termination through the date of such initial payment.</w:t>
      </w:r>
    </w:p>
    <w:p>
      <w:pPr>
        <w:spacing w:after="0" w:line="150" w:lineRule="exact"/>
        <w:rPr>
          <w:sz w:val="20"/>
          <w:szCs w:val="20"/>
          <w:color w:val="auto"/>
        </w:rPr>
      </w:pPr>
    </w:p>
    <w:p>
      <w:pPr>
        <w:jc w:val="both"/>
        <w:ind w:firstLine="656"/>
        <w:spacing w:after="0" w:line="218" w:lineRule="auto"/>
        <w:tabs>
          <w:tab w:leader="none" w:pos="129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anything herein to the contrary, the amounts payable to the Executive under Sections 4(b), other than the Accrued Obligations, shall be contingent upon and subject to the Executive’s (or the Executive’s estate, if applicable) execution and non-revocation of a general waiver and release of claims agreement in the Company’s customary form, which in any case shall include a 12 month (i) non-solicitation and non-hire clause; and (ii) nondisclosure, nondisparagement, and intellectual property protection clause, each in the Company’s standard form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the expiration of any applicable revocation period), on or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Termination.</w:t>
      </w:r>
    </w:p>
    <w:p>
      <w:pPr>
        <w:spacing w:after="0" w:line="70"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herein, the expiration or termination of the Term shall not impair the rights or obligations of any party hereto, which shall have accrued prior to such expiration or termination.</w:t>
      </w:r>
    </w:p>
    <w:p>
      <w:pPr>
        <w:spacing w:after="0" w:line="150" w:lineRule="exact"/>
        <w:rPr>
          <w:rFonts w:ascii="Times New Roman" w:cs="Times New Roman" w:eastAsia="Times New Roman" w:hAnsi="Times New Roman"/>
          <w:sz w:val="22"/>
          <w:szCs w:val="22"/>
          <w:color w:val="auto"/>
        </w:rPr>
      </w:pPr>
    </w:p>
    <w:p>
      <w:pPr>
        <w:jc w:val="both"/>
        <w:ind w:firstLine="8"/>
        <w:spacing w:after="0" w:line="215" w:lineRule="auto"/>
        <w:tabs>
          <w:tab w:leader="none" w:pos="6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 The Company may assign its rights and obligations under this Agreement. The Executive may not assign his or her rights or obligations under this Agreement.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or her employment, all unpaid amounts otherwise due the Executive (including under Section 4) shall be paid to his or her estate.</w:t>
      </w:r>
    </w:p>
    <w:p>
      <w:pPr>
        <w:spacing w:after="0" w:line="152"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 The parties agree that any suit, action or proceeding brought by or against such party in connection with this Agreement shall be brought solely in any state or federal court within the State of Delaware. EACH PARTY HEREBY IRREVOCABLY WAIVES ALL RIGHT TO A TRIAL BY JURY IN ANY SUIT, ACTION OR OTHER PROCEEDING INSTITUTED BY OR AGAINST SUCH PARTY IN RESPECT OF ITS RIGHTS OR OBLIGATIONS HEREUNDER.</w:t>
      </w:r>
    </w:p>
    <w:p>
      <w:pPr>
        <w:spacing w:after="0" w:line="156"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w:t>
      </w:r>
    </w:p>
    <w:p>
      <w:pPr>
        <w:spacing w:after="0" w:line="152"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terms of this Agreement (together with any other agreements and instruments expressly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and all such prior agreements, plans, provisions, understandings or arrangements shall be null and void in their entirety and of no further force or effect. The parties hereto further intend that this Agreement shall constitute the complete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58" w:name="page159"/>
    <w:bookmarkEnd w:id="158"/>
    <w:p>
      <w:pPr>
        <w:ind w:right="20"/>
        <w:spacing w:after="0" w:line="236" w:lineRule="auto"/>
        <w:rPr>
          <w:sz w:val="20"/>
          <w:szCs w:val="20"/>
          <w:color w:val="auto"/>
        </w:rPr>
      </w:pPr>
      <w:r>
        <w:rPr>
          <w:rFonts w:ascii="Times New Roman" w:cs="Times New Roman" w:eastAsia="Times New Roman" w:hAnsi="Times New Roman"/>
          <w:sz w:val="22"/>
          <w:szCs w:val="22"/>
          <w:color w:val="auto"/>
        </w:rPr>
        <w:t>exclusive statement of its terms and that no extrinsic evidence whatsoever may be introduced in any judicial, administrative, or other legal proceeding to vary the terms of this Agreement.</w:t>
      </w:r>
    </w:p>
    <w:p>
      <w:pPr>
        <w:spacing w:after="0" w:line="150" w:lineRule="exact"/>
        <w:rPr>
          <w:sz w:val="20"/>
          <w:szCs w:val="20"/>
          <w:color w:val="auto"/>
        </w:rPr>
      </w:pPr>
    </w:p>
    <w:p>
      <w:pPr>
        <w:jc w:val="both"/>
        <w:ind w:firstLine="8"/>
        <w:spacing w:after="0" w:line="212" w:lineRule="auto"/>
        <w:tabs>
          <w:tab w:leader="none" w:pos="6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xml:space="preserve">. This Agreement may not be modified, amended, or terminated except by an instrument in writing signed by the Executive and a duly authorized officer of the Company (other than the Executive). By an instrument in writing similarly executed and similarly identifying the waived compliance, the Executive or a duly authorized officer of the Company (other than the Executive) may waive compliance by the other party or parties with any provision of this Agreement that such other party was or is obligated to comply with or perform;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56"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6" w:lineRule="exact"/>
        <w:rPr>
          <w:rFonts w:ascii="Times New Roman" w:cs="Times New Roman" w:eastAsia="Times New Roman" w:hAnsi="Times New Roman"/>
          <w:sz w:val="22"/>
          <w:szCs w:val="22"/>
          <w:color w:val="auto"/>
        </w:rPr>
      </w:pPr>
    </w:p>
    <w:p>
      <w:pPr>
        <w:jc w:val="both"/>
        <w:ind w:firstLine="8"/>
        <w:spacing w:after="0" w:line="209" w:lineRule="auto"/>
        <w:tabs>
          <w:tab w:leader="none" w:pos="6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Representations</w:t>
      </w:r>
      <w:r>
        <w:rPr>
          <w:rFonts w:ascii="Times New Roman" w:cs="Times New Roman" w:eastAsia="Times New Roman" w:hAnsi="Times New Roman"/>
          <w:sz w:val="22"/>
          <w:szCs w:val="22"/>
          <w:color w:val="auto"/>
        </w:rPr>
        <w:t>. The Executive represents, warrants and covenants that (i) to the extent applicable, this Agreement shall be interpreted in accordance with, and incorporate the terms and conditions required by, Section 409A of the Internal Revenue Code and the Department of Treasury Regulations and other interpretive guidance issued thereunder, including without limitation any such regulations or other guidance that may be issued after the date hereof; (ii) that he or she has read and understands this Agreement, is fully aware of its legal effect, has not acted in reliance upon any representations or promises made by the Company other than those contained in writing herein, and has entered into this Agreement freely based on his or her own judgment, (iii) the execution and delivery of this Agreement shall not result in any breach or violation of, or a default under, any existing obligation, commitment or agreement to which Executive is subject, (iv) the Executive shall keep all terms of this Agreement confidential, except with respect to disclosure to the Executive’s spouse, accountants or attorneys, each of whom shall agree to keep all terms of this Agreement confidential, and (v) the Company shall be entitled to withhold from any amounts payable under this Agreement any federal, state, local, and foreign withholding and other taxes and charges that the Company is required to withhold.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We look forward to having you on board.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Sun Country, Inc.</w:t>
      </w:r>
    </w:p>
    <w:p>
      <w:pPr>
        <w:spacing w:after="0" w:line="38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-5715</wp:posOffset>
            </wp:positionV>
            <wp:extent cx="13563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9">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 Dave Davis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367"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22"/>
          <w:szCs w:val="22"/>
          <w:b w:val="1"/>
          <w:bCs w:val="1"/>
          <w:color w:val="auto"/>
        </w:rPr>
        <w:t>ACKNOWLEDGED AND AGREED:</w:t>
      </w:r>
    </w:p>
    <w:p>
      <w:pPr>
        <w:spacing w:after="0" w:line="3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Erin Rose Neale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2001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Erin Rose Neale</w:t>
      </w:r>
    </w:p>
    <w:p>
      <w:pPr>
        <w:sectPr>
          <w:pgSz w:w="11900" w:h="16838" w:orient="portrait"/>
          <w:cols w:equalWidth="0" w:num="1">
            <w:col w:w="10139"/>
          </w:cols>
          <w:pgMar w:left="320" w:top="1395"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10.49</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SUN COUNTRY EXECUTIVE EMPLOYMENT LETTER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Eric Levenhagen,</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Welcome to a new day at Sun Country Airlines. This Employment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effective as of July 1, 2023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Eric Levenhagen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Sun Country, Inc., a Minnesota corporation (together with any of its subsidiaries and affiliates) as may employ the Executive from time to time, and any and all successors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outlines the terms of your employment with the Company.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execution of this Agreement, the Executive agrees to the terms outlined below.</w:t>
      </w:r>
    </w:p>
    <w:p>
      <w:pPr>
        <w:spacing w:after="0" w:line="179"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Company shall employ the Executive, and the Executive shall be employed by the Company, on an at will basis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in the position set forth in Section 1(b), and upon the other terms and conditions herein provided.</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as Chief Human Resources Officer and Senior Vice President of the Company, with responsibilities, duties, and authority customary for such position. The Executive shall report to the Chief Executive Officer of the Company. The Executive agrees to observe and comply with the Company’s rules and policies as adopted from time to time by the Company.</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the Executive shall receive a base salary at a rate of $325,000 per annum, which shall be paid in accordance with the customary payroll practices of the Company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respect to each calendar year that ends during the Term, the Executive shall be eligible to receive a discretionary annual cash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in accordance with the terms of the Company’s then in effective Omnibus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Executive’s actual Annual Bonus for a given year, if any, shall be determined on the basis of the Executive’s and/or the Company’s attainment of objective financial and/or other subjective or objective criteria established by the Company’s Board of Directors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communicated to the Executive at the beginning of such year. Notwithstanding the foregoing, no Annual Bonus shall be payable with respect to any calendar year unless the Executive remains continuously employed with the Company through the date of payment, except as otherwise provided in Section 4.</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3"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Early Termination Right adjustment outlined below, the Executive shall be granted certain equity interests of Sun Country Airlines Holdings, Inc., (the “</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terms and conditions set forth in the Plan and any award agreement(s)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0" w:right="339" w:bottom="1440" w:gutter="0" w:footer="0" w:header="0"/>
        </w:sectPr>
      </w:pPr>
    </w:p>
    <w:bookmarkStart w:id="161" w:name="page162"/>
    <w:bookmarkEnd w:id="161"/>
    <w:p>
      <w:pPr>
        <w:ind w:firstLine="656"/>
        <w:spacing w:after="0" w:line="236"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Travel Benefits</w:t>
      </w:r>
      <w:r>
        <w:rPr>
          <w:rFonts w:ascii="Times New Roman" w:cs="Times New Roman" w:eastAsia="Times New Roman" w:hAnsi="Times New Roman"/>
          <w:sz w:val="22"/>
          <w:szCs w:val="22"/>
          <w:color w:val="auto"/>
        </w:rPr>
        <w:t>. The Executive is entitled to both positive-space and space-available travel benefits, in accordance with the Company’s rules and policies.</w:t>
      </w:r>
    </w:p>
    <w:p>
      <w:pPr>
        <w:spacing w:after="0" w:line="150"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Positive Space Travel</w:t>
      </w:r>
      <w:r>
        <w:rPr>
          <w:rFonts w:ascii="Times New Roman" w:cs="Times New Roman" w:eastAsia="Times New Roman" w:hAnsi="Times New Roman"/>
          <w:sz w:val="21"/>
          <w:szCs w:val="21"/>
          <w:color w:val="auto"/>
        </w:rPr>
        <w:t>. Positive space travel is permitted as follows: the Executive will receive an annual credit of $10,000 in the Executive’s Universal Air Travel Plan (“</w:t>
      </w:r>
      <w:r>
        <w:rPr>
          <w:rFonts w:ascii="Times New Roman" w:cs="Times New Roman" w:eastAsia="Times New Roman" w:hAnsi="Times New Roman"/>
          <w:sz w:val="21"/>
          <w:szCs w:val="21"/>
          <w:u w:val="single" w:color="auto"/>
          <w:color w:val="auto"/>
        </w:rPr>
        <w:t>UATP</w:t>
      </w:r>
      <w:r>
        <w:rPr>
          <w:rFonts w:ascii="Times New Roman" w:cs="Times New Roman" w:eastAsia="Times New Roman" w:hAnsi="Times New Roman"/>
          <w:sz w:val="21"/>
          <w:szCs w:val="21"/>
          <w:color w:val="auto"/>
        </w:rPr>
        <w:t>”) account for personal travel on Company scheduled flights for the Executive and certain Qualifying Friends and Family (as defined below). Any increases to the annual credit of other executives of the same rank shall apply equally to the Executive. Each flown segment is valued at $75, and deducted from the UATP account. The value of this benefit is reported as taxable income with taxes on such income paid for by the Company.</w:t>
      </w:r>
    </w:p>
    <w:p>
      <w:pPr>
        <w:spacing w:after="0" w:line="15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Friends &amp; Family</w:t>
      </w:r>
      <w:r>
        <w:rPr>
          <w:rFonts w:ascii="Times New Roman" w:cs="Times New Roman" w:eastAsia="Times New Roman" w:hAnsi="Times New Roman"/>
          <w:sz w:val="22"/>
          <w:szCs w:val="22"/>
          <w:color w:val="auto"/>
        </w:rPr>
        <w:t>. “Qualifying Friends and Family” are defined as follows: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5"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travels on a flight itinerary, the Executive may bring up to eight friends or family members, on the same itinerary, on any scheduled Company flight (provided such persons are not prohibited by Company from traveling on Company flights).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587"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not listed on the flight itinerary, (x) the Executive’s Circle of Travelers (defined under the Company’s Employee Travel Policy) may use the Executive’s positive travel benefit for any scheduled Company flight and flown segments will be deducted from the UATP account; or (y) any friend or family member not otherwise prohibited by Company from traveling on Company’s flights, may travel on any scheduled Company flight with Executive’s consent, and flown segments will be deducted from the UATP account.</w:t>
      </w:r>
    </w:p>
    <w:p>
      <w:pPr>
        <w:spacing w:after="0" w:line="153"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4"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Space Available Travel</w:t>
      </w:r>
      <w:r>
        <w:rPr>
          <w:rFonts w:ascii="Times New Roman" w:cs="Times New Roman" w:eastAsia="Times New Roman" w:hAnsi="Times New Roman"/>
          <w:sz w:val="22"/>
          <w:szCs w:val="22"/>
          <w:color w:val="auto"/>
        </w:rPr>
        <w:t>. The Executive and the Executive’s Circle of Travelers may also travel on scheduled Company flights in accordance with the Company’s Employee Travel Policy, in which case, flown segments will not be deducted from the Executive’s UATP account.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72"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Benefits Vesting</w:t>
      </w:r>
      <w:r>
        <w:rPr>
          <w:rFonts w:ascii="Times New Roman" w:cs="Times New Roman" w:eastAsia="Times New Roman" w:hAnsi="Times New Roman"/>
          <w:sz w:val="22"/>
          <w:szCs w:val="22"/>
          <w:color w:val="auto"/>
        </w:rPr>
        <w:t>. Upon the earlier of (x) five (5) years of service to SCA, measured from the Executive’s original hire date; or (y) the acquisition by any person or related “group”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or (B) the combined voting power of the then-outstanding voting securities of the Company entitled to vote in the election of directors, but excluding any acquisition by the Company or any of its affiliates or by any employee benefit plan sponsored or maintained by the Company or any of its affiliates;, Executive’s travel benefits under this Agreement vest and are non-forfeitable for the Executive’s lifetime and therefore are useable by Executive for the remainder of Executive’s life.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62" w:name="page163"/>
    <w:bookmarkEnd w:id="162"/>
    <w:p>
      <w:pPr>
        <w:ind w:firstLine="656"/>
        <w:spacing w:after="0" w:line="236" w:lineRule="auto"/>
        <w:tabs>
          <w:tab w:leader="none" w:pos="129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entitled to receive other benefits (e.g., vacation, welfare benefits, etc.) in accordance with the Company’s rules and policies as adopted from time to time by the Company.</w:t>
      </w:r>
    </w:p>
    <w:p>
      <w:pPr>
        <w:spacing w:after="0" w:line="150" w:lineRule="exact"/>
        <w:rPr>
          <w:rFonts w:ascii="Times New Roman" w:cs="Times New Roman" w:eastAsia="Times New Roman" w:hAnsi="Times New Roman"/>
          <w:sz w:val="22"/>
          <w:szCs w:val="22"/>
          <w:color w:val="auto"/>
        </w:rPr>
      </w:pPr>
    </w:p>
    <w:p>
      <w:pPr>
        <w:ind w:right="20" w:firstLine="8"/>
        <w:spacing w:after="0" w:line="236" w:lineRule="auto"/>
        <w:tabs>
          <w:tab w:leader="none" w:pos="64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Pursuant to the Early Termination Right, the Executive’s employment hereunder may be terminated without any breach of this Agreement only under the following circumstances: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his or her death.</w:t>
      </w:r>
    </w:p>
    <w:p>
      <w:pPr>
        <w:spacing w:after="0" w:line="179"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38"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w:t>
      </w:r>
      <w:r>
        <w:rPr>
          <w:rFonts w:ascii="Times New Roman" w:cs="Times New Roman" w:eastAsia="Times New Roman" w:hAnsi="Times New Roman"/>
          <w:sz w:val="22"/>
          <w:szCs w:val="22"/>
          <w:color w:val="auto"/>
        </w:rPr>
        <w:t>. The Company may terminate the Executive’s employment with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Chief Executive Officer of the Company after written notice thereof and failure to cure within ten (10) business days of receipt of the written notice, (iii) the Executive’s fraud, misappropriation, embezzlement (whether or not in connection with employment), or material misuse of funds or property belonging to the Company or any of its affiliates, (iv) the Executive’s willful violation of the policies of the Company or any of its subsidiaries, or gross negligence in connection with the performance of his or her duties, after written notice thereof and failure to cure within ten (10) business days of receipt of written notice, (v) 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that are cured within ten (10) days after the Executive becomes aware of such breaches, to the extent curable) or the non-solicitation provisions to which the Executive is subject (including, without limitation, under this Agreement, if applicable). If, within thirty (30) days subsequent to 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 to the Company all amounts received under this Agreement, all equity awards or otherwise that would not have been payable to the Executive had such termination of employment been by the Company for Cause.</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The Company may terminate the Executive’s employment without Cause.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63" w:name="page164"/>
    <w:bookmarkEnd w:id="163"/>
    <w:p>
      <w:pPr>
        <w:ind w:firstLine="1304"/>
        <w:spacing w:after="0" w:line="236" w:lineRule="auto"/>
        <w:tabs>
          <w:tab w:leader="none" w:pos="1932"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Executive may resign from his or her employment upon not less than sixty (60) days’ advance written notice to the Chief Executive Officer of the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the Executive’s employment by the Company or by the Executive under this Section 3 (other than termination pursuant to Section 3(a)(i)) shall be communicated by a written notice (a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specifying a date for termination in accordance with the applicable provision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All Positions</w:t>
      </w:r>
      <w:r>
        <w:rPr>
          <w:rFonts w:ascii="Times New Roman" w:cs="Times New Roman" w:eastAsia="Times New Roman" w:hAnsi="Times New Roman"/>
          <w:sz w:val="22"/>
          <w:szCs w:val="22"/>
          <w:color w:val="auto"/>
        </w:rPr>
        <w:t>. Upon termination of the Executive’s employment for any reason,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or her proxy to any officer of the Company to so execute on his or her behalf.</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Duties</w:t>
      </w:r>
      <w:r>
        <w:rPr>
          <w:rFonts w:ascii="Times New Roman" w:cs="Times New Roman" w:eastAsia="Times New Roman" w:hAnsi="Times New Roman"/>
          <w:sz w:val="22"/>
          <w:szCs w:val="22"/>
          <w:color w:val="auto"/>
        </w:rPr>
        <w:t>. The Company reserves the right to bar the Executive from the offices of the Company or any of its affiliates and to require that the Executive refrain from undertaking all or any of the Executive’s duties.</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Obligations upon Termination of 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Upon termination of the Executive’s employment for any reason, the Executive (or the Executive’s estate) shall be entitled to receive (i) any amount of the Executive’s Annual Base Salary earned through the Date of Termination not theretofore paid, (ii) any Annual Bonus (and if applicable, any Long-Term Incentive) for the year prior to the year in which the Date of Termination occurred, that was earned but not yet paid, and (iii) any amount arising from the Executive’s participation in, or benefits under, any employee benefit plans, programs, or arrangements under Section 2(g) (other than severance plans, programs, or arrangements), which amounts shall be payable in accordance with the terms and conditions of such employee benefit plans, programs, or arrangements including, where applicable, any death and disability benefits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Notwithstanding anything to the contrary, upon a termination by the Company with Cause, the Accrued Obligations shall not include the amount set forth in clause (ii) of the preceding sentence.</w:t>
      </w:r>
    </w:p>
    <w:p>
      <w:pPr>
        <w:spacing w:after="0" w:line="158"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xml:space="preserve">. If the Company terminates the Executive’s employment without Cause pursuant to Section 3(a)(iii), the Company shall, in addition to the Accrued Obligations, continue to pay the Annual Base Salary in accordance with the Company’s customary payroll practices during the period beginning on the Date of Termination and ending on the earlier to occur of (A) the twelve (12) month anniversary of the Date of Termination and (B) the first date that the Executive violates any covenant contained herein or in the Release (as hereafter defined), after receipt of written notice thereof and expiration of a 10 business day cure period;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the installment payments payable pursuant to this Section 5(b) shall commence on the first payroll period following the effective date of the Release (as defined below),</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64" w:name="page165"/>
    <w:bookmarkEnd w:id="164"/>
    <w:p>
      <w:pPr>
        <w:ind w:right="20"/>
        <w:spacing w:after="0" w:line="236" w:lineRule="auto"/>
        <w:rPr>
          <w:sz w:val="20"/>
          <w:szCs w:val="20"/>
          <w:color w:val="auto"/>
        </w:rPr>
      </w:pPr>
      <w:r>
        <w:rPr>
          <w:rFonts w:ascii="Times New Roman" w:cs="Times New Roman" w:eastAsia="Times New Roman" w:hAnsi="Times New Roman"/>
          <w:sz w:val="22"/>
          <w:szCs w:val="22"/>
          <w:color w:val="auto"/>
        </w:rPr>
        <w:t>and the initial installment shall include a lump-sum payment of all amounts accrued under this Section 5(b) from the Date of Termination through the date of such initial payment.</w:t>
      </w:r>
    </w:p>
    <w:p>
      <w:pPr>
        <w:spacing w:after="0" w:line="150" w:lineRule="exact"/>
        <w:rPr>
          <w:sz w:val="20"/>
          <w:szCs w:val="20"/>
          <w:color w:val="auto"/>
        </w:rPr>
      </w:pPr>
    </w:p>
    <w:p>
      <w:pPr>
        <w:jc w:val="both"/>
        <w:ind w:firstLine="656"/>
        <w:spacing w:after="0" w:line="218" w:lineRule="auto"/>
        <w:tabs>
          <w:tab w:leader="none" w:pos="1293"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anything herein to the contrary, the amounts payable to the Executive under Sections 4(b), other than the Accrued Obligations, shall be contingent upon and subject to the Executive’s (or the Executive’s estate, if applicable) execution and non-revocation of a general waiver and release of claims agreement in the Company’s customary form, which in any case shall include a 12 month (i) non-solicitation and non-hire clause; and (ii) nondisclosure, nondisparagement, and intellectual property protection clause, each in the Company’s standard form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the expiration of any applicable revocation period), on or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Termination.</w:t>
      </w:r>
    </w:p>
    <w:p>
      <w:pPr>
        <w:spacing w:after="0" w:line="7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herein, the expiration or termination of the Term shall not impair the rights or obligations of any party hereto, which shall have accrued prior to such expiration or termination.</w:t>
      </w:r>
    </w:p>
    <w:p>
      <w:pPr>
        <w:spacing w:after="0" w:line="150" w:lineRule="exact"/>
        <w:rPr>
          <w:rFonts w:ascii="Times New Roman" w:cs="Times New Roman" w:eastAsia="Times New Roman" w:hAnsi="Times New Roman"/>
          <w:sz w:val="22"/>
          <w:szCs w:val="22"/>
          <w:color w:val="auto"/>
        </w:rPr>
      </w:pPr>
    </w:p>
    <w:p>
      <w:pPr>
        <w:jc w:val="both"/>
        <w:ind w:firstLine="8"/>
        <w:spacing w:after="0" w:line="215" w:lineRule="auto"/>
        <w:tabs>
          <w:tab w:leader="none" w:pos="64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 The Company may assign its rights and obligations under this Agreement. The Executive may not assign his or her rights or obligations under this Agreement.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or her employment, all unpaid amounts otherwise due the Executive (including under Section 4) shall be paid to his or her estate.</w:t>
      </w:r>
    </w:p>
    <w:p>
      <w:pPr>
        <w:spacing w:after="0" w:line="152"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 The parties agree that any suit, action or proceeding brought by or against such party in connection with this Agreement shall be brought solely in any state or federal court within the State of Delaware. EACH PARTY HEREBY IRREVOCABLY WAIVES ALL RIGHT TO A TRIAL BY JURY IN ANY SUIT, ACTION OR OTHER PROCEEDING INSTITUTED BY OR AGAINST SUCH PARTY IN RESPECT OF ITS RIGHTS OR OBLIGATIONS HEREUNDER.</w:t>
      </w:r>
    </w:p>
    <w:p>
      <w:pPr>
        <w:spacing w:after="0" w:line="156"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w:t>
      </w:r>
    </w:p>
    <w:p>
      <w:pPr>
        <w:spacing w:after="0" w:line="152"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terms of this Agreement (together with any other agreements and instruments expressly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and all such prior agreements, plans, provisions, understandings or arrangements shall be null and void in their entirety and of no further force or effect. The parties hereto further intend that this Agreement shall constitute the complete</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65" w:name="page166"/>
    <w:bookmarkEnd w:id="165"/>
    <w:p>
      <w:pPr>
        <w:spacing w:after="0" w:line="236" w:lineRule="auto"/>
        <w:rPr>
          <w:sz w:val="20"/>
          <w:szCs w:val="20"/>
          <w:color w:val="auto"/>
        </w:rPr>
      </w:pPr>
      <w:r>
        <w:rPr>
          <w:rFonts w:ascii="Times New Roman" w:cs="Times New Roman" w:eastAsia="Times New Roman" w:hAnsi="Times New Roman"/>
          <w:sz w:val="22"/>
          <w:szCs w:val="22"/>
          <w:color w:val="auto"/>
        </w:rPr>
        <w:t>and exclusive statement of its terms and that no extrinsic evidence whatsoever may be introduced in any judicial, administrative, or other legal proceeding to vary the terms of this Agreement.</w:t>
      </w:r>
    </w:p>
    <w:p>
      <w:pPr>
        <w:spacing w:after="0" w:line="150" w:lineRule="exact"/>
        <w:rPr>
          <w:sz w:val="20"/>
          <w:szCs w:val="20"/>
          <w:color w:val="auto"/>
        </w:rPr>
      </w:pPr>
    </w:p>
    <w:p>
      <w:pPr>
        <w:jc w:val="both"/>
        <w:ind w:firstLine="8"/>
        <w:spacing w:after="0" w:line="212" w:lineRule="auto"/>
        <w:tabs>
          <w:tab w:leader="none" w:pos="64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xml:space="preserve">. This Agreement may not be modified, amended, or terminated except by an instrument in writing signed by the Executive and a duly authorized officer of the Company (other than the Executive). By an instrument in writing similarly executed and similarly identifying the waived compliance, the Executive or a duly authorized officer of the Company (other than the Executive) may waive compliance by the other party or parties with any provision of this Agreement that such other party was or is obligated to comply with or perform;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56"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6" w:lineRule="exact"/>
        <w:rPr>
          <w:rFonts w:ascii="Times New Roman" w:cs="Times New Roman" w:eastAsia="Times New Roman" w:hAnsi="Times New Roman"/>
          <w:sz w:val="22"/>
          <w:szCs w:val="22"/>
          <w:color w:val="auto"/>
        </w:rPr>
      </w:pPr>
    </w:p>
    <w:p>
      <w:pPr>
        <w:jc w:val="both"/>
        <w:ind w:firstLine="8"/>
        <w:spacing w:after="0" w:line="209" w:lineRule="auto"/>
        <w:tabs>
          <w:tab w:leader="none" w:pos="6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Representations</w:t>
      </w:r>
      <w:r>
        <w:rPr>
          <w:rFonts w:ascii="Times New Roman" w:cs="Times New Roman" w:eastAsia="Times New Roman" w:hAnsi="Times New Roman"/>
          <w:sz w:val="22"/>
          <w:szCs w:val="22"/>
          <w:color w:val="auto"/>
        </w:rPr>
        <w:t>. The Executive represents, warrants and covenants that (i) to the extent applicable, this Agreement shall be interpreted in accordance with, and incorporate the terms and conditions required by, Section 409A of the Internal Revenue Code and the Department of Treasury Regulations and other interpretive guidance issued thereunder, including without limitation any such regulations or other guidance that may be issued after the date hereof; (ii) that he or she has read and understands this Agreement, is fully aware of its legal effect, has not acted in reliance upon any representations or promises made by the Company other than those contained in writing herein, and has entered into this Agreement freely based on his or her own judgment, (iii) the execution and delivery of this Agreement shall not result in any breach or violation of, or a default under, any existing obligation, commitment or agreement to which Executive is subject, (iv) the Executive shall keep all terms of this Agreement confidential, except with respect to disclosure to the Executive’s spouse, accountants or attorneys, each of whom shall agree to keep all terms of this Agreement confidential, and (v) the Company shall be entitled to withhold from any amounts payable under this Agreement any federal, state, local, and foreign withholding and other taxes and charges that the Company is required to withhold.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color w:val="auto"/>
        </w:rPr>
        <w:t>We look forward to having you on board.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Sun Country, Inc.</w:t>
      </w:r>
    </w:p>
    <w:p>
      <w:pPr>
        <w:spacing w:after="0" w:line="38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5468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1">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 Jude Bricker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367"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22"/>
          <w:szCs w:val="22"/>
          <w:b w:val="1"/>
          <w:bCs w:val="1"/>
          <w:color w:val="auto"/>
        </w:rPr>
        <w:t>ACKNOWLEDGED AND AGREED:</w:t>
      </w:r>
    </w:p>
    <w:p>
      <w:pPr>
        <w:spacing w:after="0" w:line="3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3709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2">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Eric Levenhagen</w:t>
      </w:r>
    </w:p>
    <w:p>
      <w:pPr>
        <w:sectPr>
          <w:pgSz w:w="11900" w:h="16838" w:orient="portrait"/>
          <w:cols w:equalWidth="0" w:num="1">
            <w:col w:w="10139"/>
          </w:cols>
          <w:pgMar w:left="320" w:top="1395" w:right="1440"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10.50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SUN COUNTRY EXECUTIVE EMPLOYMENT LETTER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Grant Whitney,</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Welcome to a new day at Sun Country Airlines. This Employment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effective as of July 1, 2023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is made by and between Grant Whitney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Sun Country, Inc., a Minnesota corporation (together with any of its subsidiaries and affiliates) as may employ the Executive from time to time, and any and all successors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outlines the terms of your employment with the Company.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By execution of this Agreement, the Executive agrees to the terms outlined below.</w:t>
      </w:r>
    </w:p>
    <w:p>
      <w:pPr>
        <w:spacing w:after="0" w:line="179"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The Company shall employ the Executive, and the Executive shall be employed by the Company, on an at will basis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in the position set forth in Section 1(b), and upon the other terms and conditions herein provided.</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During the Term, the Executive shall serve as Chief Revenue Officer and Senior Vice President of the Company, with responsibilities, duties, and authority customary for such position. The Executive shall report to the Chief Executive Officer of the Company. The Executive agrees to observe and comply with the Company’s rules and policies as adopted from time to time by the Company.</w:t>
      </w:r>
    </w:p>
    <w:p>
      <w:pPr>
        <w:spacing w:after="0" w:line="15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the Executive shall receive a base salary at a rate of $325,000 per annum, which shall be paid in accordance with the customary payroll practices of the Company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respect to each calendar year that ends during the Term, the Executive shall be eligible to receive a discretionary annual cash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in accordance with the terms of the Company’s then in effective Omnibus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The Executive’s actual Annual Bonus for a given year, if any, shall be determined on the basis of the Executive’s and/or the Company’s attainment of objective financial and/or other subjective or objective criteria established by the Company’s Board of Directors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and communicated to the Executive at the beginning of such year. Notwithstanding the foregoing, no Annual Bonus shall be payable with respect to any calendar year unless the Executive remains continuously employed with the Company through the date of payment, except as otherwise provided in Section 4.</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3"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Early Termination Right adjustment outlined below, the Executive shall be granted certain equity interests of Sun Country Airlines Holdings, Inc., (the “</w:t>
      </w: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subject to the terms and conditions set forth in the Plan and any award agreement(s)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rPr>
          <w:sz w:val="20"/>
          <w:szCs w:val="20"/>
          <w:color w:val="auto"/>
        </w:rPr>
      </w:pPr>
      <w:r>
        <w:rPr>
          <w:rFonts w:ascii="Times New Roman" w:cs="Times New Roman" w:eastAsia="Times New Roman" w:hAnsi="Times New Roman"/>
          <w:sz w:val="13"/>
          <w:szCs w:val="13"/>
          <w:color w:val="auto"/>
        </w:rPr>
        <w:t>Doc#: US1:11877174v2</w:t>
      </w:r>
    </w:p>
    <w:p>
      <w:pPr>
        <w:sectPr>
          <w:pgSz w:w="11900" w:h="16838" w:orient="portrait"/>
          <w:cols w:equalWidth="0" w:num="1">
            <w:col w:w="11240"/>
          </w:cols>
          <w:pgMar w:left="320" w:top="1400" w:right="339" w:bottom="1440" w:gutter="0" w:footer="0" w:header="0"/>
        </w:sectPr>
      </w:pPr>
    </w:p>
    <w:bookmarkStart w:id="168" w:name="page169"/>
    <w:bookmarkEnd w:id="168"/>
    <w:p>
      <w:pPr>
        <w:ind w:firstLine="656"/>
        <w:spacing w:after="0" w:line="236"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Travel Benefits</w:t>
      </w:r>
      <w:r>
        <w:rPr>
          <w:rFonts w:ascii="Times New Roman" w:cs="Times New Roman" w:eastAsia="Times New Roman" w:hAnsi="Times New Roman"/>
          <w:sz w:val="22"/>
          <w:szCs w:val="22"/>
          <w:color w:val="auto"/>
        </w:rPr>
        <w:t>. The Executive is entitled to both positive-space and space-available travel benefits, in accordance with the Company’s rules and policies.</w:t>
      </w:r>
    </w:p>
    <w:p>
      <w:pPr>
        <w:spacing w:after="0" w:line="150"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2"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Positive Space Travel</w:t>
      </w:r>
      <w:r>
        <w:rPr>
          <w:rFonts w:ascii="Times New Roman" w:cs="Times New Roman" w:eastAsia="Times New Roman" w:hAnsi="Times New Roman"/>
          <w:sz w:val="21"/>
          <w:szCs w:val="21"/>
          <w:color w:val="auto"/>
        </w:rPr>
        <w:t>. Positive space travel is permitted as follows: the Executive will receive an annual credit of $10,000 in the Executive’s Universal Air Travel Plan (“</w:t>
      </w:r>
      <w:r>
        <w:rPr>
          <w:rFonts w:ascii="Times New Roman" w:cs="Times New Roman" w:eastAsia="Times New Roman" w:hAnsi="Times New Roman"/>
          <w:sz w:val="21"/>
          <w:szCs w:val="21"/>
          <w:u w:val="single" w:color="auto"/>
          <w:color w:val="auto"/>
        </w:rPr>
        <w:t>UATP</w:t>
      </w:r>
      <w:r>
        <w:rPr>
          <w:rFonts w:ascii="Times New Roman" w:cs="Times New Roman" w:eastAsia="Times New Roman" w:hAnsi="Times New Roman"/>
          <w:sz w:val="21"/>
          <w:szCs w:val="21"/>
          <w:color w:val="auto"/>
        </w:rPr>
        <w:t>”) account for personal travel on Company scheduled flights for the Executive and certain Qualifying Friends and Family (as defined below). Any increases to the annual credit of other executives of the same rank shall apply equally to the Executive. Each flown segment is valued at $75, and deducted from the UATP account. The value of this benefit is reported as taxable income with taxes on such income paid for by the Company.</w:t>
      </w:r>
    </w:p>
    <w:p>
      <w:pPr>
        <w:spacing w:after="0" w:line="15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Qualifying Friends &amp; Family</w:t>
      </w:r>
      <w:r>
        <w:rPr>
          <w:rFonts w:ascii="Times New Roman" w:cs="Times New Roman" w:eastAsia="Times New Roman" w:hAnsi="Times New Roman"/>
          <w:sz w:val="22"/>
          <w:szCs w:val="22"/>
          <w:color w:val="auto"/>
        </w:rPr>
        <w:t>. “Qualifying Friends and Family” are defined as follows:</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5"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travels on a flight itinerary, the Executive may bring up to eight friends or family members, on the same itinerary, on any scheduled Company flight (provided such persons are not prohibited by Company from traveling on Company flights).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7" w:lineRule="auto"/>
        <w:tabs>
          <w:tab w:leader="none" w:pos="2587"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 is not listed on the flight itinerary, (x) the Executive’s Circle Of Travelers (defined under the Company’s Employee Travel Policy) may use the Executive’s positive travel benefit for any scheduled Company flight and flown segments will be deducted from the UATP account; or (y) any friend or family member not otherwise prohibited by Company from traveling on Company’s flights, may travel on any scheduled Company flight with Executive’s consent, and flown segments will be deducted from the UATP account.</w:t>
      </w:r>
    </w:p>
    <w:p>
      <w:pPr>
        <w:spacing w:after="0" w:line="153"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Space Available Travel</w:t>
      </w:r>
      <w:r>
        <w:rPr>
          <w:rFonts w:ascii="Times New Roman" w:cs="Times New Roman" w:eastAsia="Times New Roman" w:hAnsi="Times New Roman"/>
          <w:sz w:val="22"/>
          <w:szCs w:val="22"/>
          <w:color w:val="auto"/>
        </w:rPr>
        <w:t>. The Executive and the Executive’s Circle of Travelers may also travel on scheduled Company flights in accordance with the Company’s Employee Travel Policy, in which case, flown segments will not be deducted from the Executive’s UATP account.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72"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Travel Benefits Vesting</w:t>
      </w:r>
      <w:r>
        <w:rPr>
          <w:rFonts w:ascii="Times New Roman" w:cs="Times New Roman" w:eastAsia="Times New Roman" w:hAnsi="Times New Roman"/>
          <w:sz w:val="22"/>
          <w:szCs w:val="22"/>
          <w:color w:val="auto"/>
        </w:rPr>
        <w:t>. Upon the earlier of (x) five (5) years of service to SCA, measured from the Executive’s original hire date; or (y) the acquisition by any person or related “group”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or (B) the combined voting power of the then-outstanding voting securities of the Company entitled to vote in the election of directors, but excluding any acquisition by the Company or any of its affiliates or by any employee benefit plan sponsored or maintained by the Company or any of its affiliates;, Executive’s travel benefits under this Agreement vest and are non-forfeitable for the Executive’s lifetime and therefore are useable by Executive for the remainder of Executive’s life.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69" w:name="page170"/>
    <w:bookmarkEnd w:id="169"/>
    <w:p>
      <w:pPr>
        <w:ind w:firstLine="656"/>
        <w:spacing w:after="0" w:line="236" w:lineRule="auto"/>
        <w:tabs>
          <w:tab w:leader="none" w:pos="1293"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entitled to receive other benefits (e.g., vacation, welfare benefits, etc.) in accordance with the Company’s rules and policies as adopted from time to time by the Company.</w:t>
      </w:r>
    </w:p>
    <w:p>
      <w:pPr>
        <w:spacing w:after="0" w:line="150" w:lineRule="exact"/>
        <w:rPr>
          <w:rFonts w:ascii="Times New Roman" w:cs="Times New Roman" w:eastAsia="Times New Roman" w:hAnsi="Times New Roman"/>
          <w:sz w:val="22"/>
          <w:szCs w:val="22"/>
          <w:color w:val="auto"/>
        </w:rPr>
      </w:pPr>
    </w:p>
    <w:p>
      <w:pPr>
        <w:ind w:right="20" w:firstLine="8"/>
        <w:spacing w:after="0" w:line="236" w:lineRule="auto"/>
        <w:tabs>
          <w:tab w:leader="none" w:pos="64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Pursuant to the Early Termination Right, the Executive’s employment hereunder may be terminated without any breach of this Agreement only under the following circumstances:</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his or her death.</w:t>
      </w:r>
    </w:p>
    <w:p>
      <w:pPr>
        <w:spacing w:after="0" w:line="179"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38"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 Cause</w:t>
      </w:r>
      <w:r>
        <w:rPr>
          <w:rFonts w:ascii="Times New Roman" w:cs="Times New Roman" w:eastAsia="Times New Roman" w:hAnsi="Times New Roman"/>
          <w:sz w:val="22"/>
          <w:szCs w:val="22"/>
          <w:color w:val="auto"/>
        </w:rPr>
        <w:t>. The Company may terminate the Executive’s employment with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Chief Executive Officer of the Company after written notice thereof and failure to cure within ten (10) business days of receipt of the written notice, (iii) the Executive’s fraud, misappropriation, embezzlement (whether or not in connection with employment), or material misuse of funds or property belonging to the Company or any of its affiliates, (iv) the Executive’s willful violation of the policies of the Company or any of its subsidiaries, or gross negligence in connection with the performance of his or her duties, after written notice thereof and failure to cure within ten (10) business days of receipt of written notice, (v) 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that are cured within ten (10) days after the Executive becomes aware of such breaches, to the extent curable) or the non-solicitation provisions to which the Executive is subject (including, without limitation, under this Agreement, if applicable). If, within thirty (30) days subsequent to 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 to the Company all amounts received under this Agreement, all equity awards or otherwise that would not have been payable to the Executive had such termination of employment been by the Company for Cause.</w:t>
      </w:r>
    </w:p>
    <w:p>
      <w:pPr>
        <w:spacing w:after="0" w:line="16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The Company may terminate the Executive’s employment without Cause.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70" w:name="page171"/>
    <w:bookmarkEnd w:id="170"/>
    <w:p>
      <w:pPr>
        <w:ind w:firstLine="1304"/>
        <w:spacing w:after="0" w:line="236" w:lineRule="auto"/>
        <w:tabs>
          <w:tab w:leader="none" w:pos="1932"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The Executive may resign from his or her employment upon not less than sixty (60) days’ advance written notice to the Chief Executive Officer of the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Any termination of the Executive’s employment by the Company or by the Executive under this Section 3 (other than termination pursuant to Section 3(a)(i)) shall be communicated by a written notice (a “</w:t>
      </w:r>
      <w:r>
        <w:rPr>
          <w:rFonts w:ascii="Times New Roman" w:cs="Times New Roman" w:eastAsia="Times New Roman" w:hAnsi="Times New Roman"/>
          <w:sz w:val="22"/>
          <w:szCs w:val="22"/>
          <w:u w:val="single" w:color="auto"/>
          <w:color w:val="auto"/>
        </w:rPr>
        <w:t>Notice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to the other party hereto specifying a date for termination in accordance with the applicable provision (“</w:t>
      </w:r>
      <w:r>
        <w:rPr>
          <w:rFonts w:ascii="Times New Roman" w:cs="Times New Roman" w:eastAsia="Times New Roman" w:hAnsi="Times New Roman"/>
          <w:sz w:val="22"/>
          <w:szCs w:val="22"/>
          <w:u w:val="single" w:color="auto"/>
          <w:color w:val="auto"/>
        </w:rPr>
        <w:t>Date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All Positions</w:t>
      </w:r>
      <w:r>
        <w:rPr>
          <w:rFonts w:ascii="Times New Roman" w:cs="Times New Roman" w:eastAsia="Times New Roman" w:hAnsi="Times New Roman"/>
          <w:sz w:val="22"/>
          <w:szCs w:val="22"/>
          <w:color w:val="auto"/>
        </w:rPr>
        <w:t>. Upon termination of the Executive’s employment for any reason,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or her proxy to any officer of the Company to so execute on his or her behalf.</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Suspension of Duties</w:t>
      </w:r>
      <w:r>
        <w:rPr>
          <w:rFonts w:ascii="Times New Roman" w:cs="Times New Roman" w:eastAsia="Times New Roman" w:hAnsi="Times New Roman"/>
          <w:sz w:val="22"/>
          <w:szCs w:val="22"/>
          <w:color w:val="auto"/>
        </w:rPr>
        <w:t>. The Company reserves the right to bar the Executive from the offices of the Company or any of its affiliates and to require that the Executive refrain from undertaking all or any of the Executive’s duties.</w:t>
      </w:r>
    </w:p>
    <w:p>
      <w:pPr>
        <w:spacing w:after="0" w:line="15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Obligations upon Termination of Employment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3"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 General</w:t>
      </w:r>
      <w:r>
        <w:rPr>
          <w:rFonts w:ascii="Times New Roman" w:cs="Times New Roman" w:eastAsia="Times New Roman" w:hAnsi="Times New Roman"/>
          <w:sz w:val="22"/>
          <w:szCs w:val="22"/>
          <w:color w:val="auto"/>
        </w:rPr>
        <w:t>. Upon termination of the Executive’s employment for any reason, the Executive (or the Executive’s estate) shall be entitled to receive (i) any amount of the Executive’s Annual Base Salary earned through the Date of Termination not theretofore paid, (ii) any Annual Bonus (and if applicable, any Long-Term Incentive) for the year prior to the year in which the Date of Termination occurred, that was earned but not yet paid, and (iii) any amount arising from the Executive’s participation in, or benefits under, any employee benefit plans, programs, or arrangements under Section 2(g) (other than severance plans, programs, or arrangements), which amounts shall be payable in accordance with the terms and conditions of such employee benefit plans, programs, or arrangements including, where applicable, any death and disability benefits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Notwithstanding anything to the contrary, upon a termination by the Company with Cause, the Accrued Obligations shall not include the amount set forth in clause (ii) of the preceding sentence.</w:t>
      </w:r>
    </w:p>
    <w:p>
      <w:pPr>
        <w:spacing w:after="0" w:line="158"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 xml:space="preserve">. If the Company terminates the Executive’s employment without Cause pursuant to Section 3(a)(iii), the Company shall, in addition to the Accrued Obligations, continue to pay the Annual Base Salary in accordance with the Company’s customary payroll practices during the period beginning on the Date of Termination and ending on the earlier to occur of (A) the twelve (12) month anniversary of the Date of Termination and (B) the first date that the Executive violates any covenant contained herein or in the Release (as hereafter defined), after receipt of written notice thereof and expiration of a 10 business day cure period;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the installment payments payable pursuant to this Section 5(b) shall commence on the first payroll period following the effective date of the Release (as defined below),</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71" w:name="page172"/>
    <w:bookmarkEnd w:id="171"/>
    <w:p>
      <w:pPr>
        <w:ind w:right="20"/>
        <w:spacing w:after="0" w:line="236" w:lineRule="auto"/>
        <w:rPr>
          <w:sz w:val="20"/>
          <w:szCs w:val="20"/>
          <w:color w:val="auto"/>
        </w:rPr>
      </w:pPr>
      <w:r>
        <w:rPr>
          <w:rFonts w:ascii="Times New Roman" w:cs="Times New Roman" w:eastAsia="Times New Roman" w:hAnsi="Times New Roman"/>
          <w:sz w:val="22"/>
          <w:szCs w:val="22"/>
          <w:color w:val="auto"/>
        </w:rPr>
        <w:t>and the initial installment shall include a lump-sum payment of all amounts accrued under this Section 5(b) from the Date of Termination through the date of such initial payment.</w:t>
      </w:r>
    </w:p>
    <w:p>
      <w:pPr>
        <w:spacing w:after="0" w:line="150" w:lineRule="exact"/>
        <w:rPr>
          <w:sz w:val="20"/>
          <w:szCs w:val="20"/>
          <w:color w:val="auto"/>
        </w:rPr>
      </w:pPr>
    </w:p>
    <w:p>
      <w:pPr>
        <w:jc w:val="both"/>
        <w:ind w:firstLine="656"/>
        <w:spacing w:after="0" w:line="218" w:lineRule="auto"/>
        <w:tabs>
          <w:tab w:leader="none" w:pos="129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Notwithstanding anything herein to the contrary, the amounts payable to the Executive under Sections 4(b), other than the Accrued Obligations, shall be contingent upon and subject to the Executive’s (or the Executive’s estate, if applicable) execution and non-revocation of a general waiver and release of claims agreement in the Company’s customary form, which in any case shall include a 12 month (i) non-solicitation and non-hire clause; and (ii) nondisclosure, nondisparagement, and intellectual property protection clause, each in the Company’s standard form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(and the expiration of any applicable revocation period), on or prior to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Date of Termination.</w:t>
      </w:r>
    </w:p>
    <w:p>
      <w:pPr>
        <w:spacing w:after="0" w:line="7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Except as otherwise set forth herein, the expiration or termination of the Term shall not impair the rights or obligations of any party hereto, which shall have accrued prior to such expiration or termination.</w:t>
      </w:r>
    </w:p>
    <w:p>
      <w:pPr>
        <w:spacing w:after="0" w:line="150" w:lineRule="exact"/>
        <w:rPr>
          <w:rFonts w:ascii="Times New Roman" w:cs="Times New Roman" w:eastAsia="Times New Roman" w:hAnsi="Times New Roman"/>
          <w:sz w:val="22"/>
          <w:szCs w:val="22"/>
          <w:color w:val="auto"/>
        </w:rPr>
      </w:pPr>
    </w:p>
    <w:p>
      <w:pPr>
        <w:jc w:val="both"/>
        <w:ind w:firstLine="8"/>
        <w:spacing w:after="0" w:line="215" w:lineRule="auto"/>
        <w:tabs>
          <w:tab w:leader="none" w:pos="6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 The Company may assign its rights and obligations under this Agreement. The Executive may not assign his or her rights or obligations under this Agreement. This Agreement shall be binding upon and inure to the benefit of the Company and the Executive and their respective successors, assigns, personnel, legal representatives, executors, administrators, heirs, distributees, devisees, and legatees, as applicable. In the event of the Executive’s death following a termination of his or her employment, all unpaid amounts otherwise due the Executive (including under Section 4) shall be paid to his or her estate.</w:t>
      </w:r>
    </w:p>
    <w:p>
      <w:pPr>
        <w:spacing w:after="0" w:line="152"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shall be governed, construed, interpreted, and enforced in accordance with the substantive laws of the State of Delaware, without reference to the principles of conflicts of law of Delaware or any other jurisdiction, and where applicable, the laws of the United States. The parties agree that any suit, action or proceeding brought by or against such party in connection with this Agreement shall be brought solely in any state or federal court within the State of Delaware. EACH PARTY HEREBY IRREVOCABLY WAIVES ALL RIGHT TO A TRIAL BY JURY IN ANY SUIT, ACTION OR OTHER PROCEEDING INSTITUTED BY OR AGAINST SUCH PARTY IN RESPECT OF ITS RIGHTS OR OBLIGATIONS HEREUNDER.</w:t>
      </w:r>
    </w:p>
    <w:p>
      <w:pPr>
        <w:spacing w:after="0" w:line="156" w:lineRule="exact"/>
        <w:rPr>
          <w:rFonts w:ascii="Times New Roman" w:cs="Times New Roman" w:eastAsia="Times New Roman" w:hAnsi="Times New Roman"/>
          <w:sz w:val="22"/>
          <w:szCs w:val="22"/>
          <w:color w:val="auto"/>
        </w:rPr>
      </w:pPr>
    </w:p>
    <w:p>
      <w:pPr>
        <w:jc w:val="both"/>
        <w:ind w:firstLine="8"/>
        <w:spacing w:after="0" w:line="225" w:lineRule="auto"/>
        <w:tabs>
          <w:tab w:leader="none" w:pos="6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w:t>
      </w:r>
    </w:p>
    <w:p>
      <w:pPr>
        <w:spacing w:after="0" w:line="152"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terms of this Agreement (together with any other agreements and instruments expressly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and all such prior agreements, plans, provisions, understandings or arrangements shall be null and void in their entirety and of no further force or effect. The parties hereto further intend that this Agreement shall constitute the complete and</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72" w:name="page173"/>
    <w:bookmarkEnd w:id="172"/>
    <w:p>
      <w:pPr>
        <w:ind w:right="20"/>
        <w:spacing w:after="0" w:line="236" w:lineRule="auto"/>
        <w:rPr>
          <w:sz w:val="20"/>
          <w:szCs w:val="20"/>
          <w:color w:val="auto"/>
        </w:rPr>
      </w:pPr>
      <w:r>
        <w:rPr>
          <w:rFonts w:ascii="Times New Roman" w:cs="Times New Roman" w:eastAsia="Times New Roman" w:hAnsi="Times New Roman"/>
          <w:sz w:val="22"/>
          <w:szCs w:val="22"/>
          <w:color w:val="auto"/>
        </w:rPr>
        <w:t>exclusive statement of its terms and that no extrinsic evidence whatsoever may be introduced in any judicial, administrative, or other legal proceeding to vary the terms of this Agreement.</w:t>
      </w:r>
    </w:p>
    <w:p>
      <w:pPr>
        <w:spacing w:after="0" w:line="150" w:lineRule="exact"/>
        <w:rPr>
          <w:sz w:val="20"/>
          <w:szCs w:val="20"/>
          <w:color w:val="auto"/>
        </w:rPr>
      </w:pPr>
    </w:p>
    <w:p>
      <w:pPr>
        <w:jc w:val="both"/>
        <w:ind w:firstLine="8"/>
        <w:spacing w:after="0" w:line="212" w:lineRule="auto"/>
        <w:tabs>
          <w:tab w:leader="none" w:pos="6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xml:space="preserve">. This Agreement may not be modified, amended, or terminated except by an instrument in writing signed by the Executive and a duly authorized officer of the Company (other than the Executive). By an instrument in writing similarly executed and similarly identifying the waived compliance, the Executive or a duly authorized officer of the Company (other than the Executive) may waive compliance by the other party or parties with any provision of this Agreement that such other party was or is obligated to comply with or perform;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56"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6" w:lineRule="exact"/>
        <w:rPr>
          <w:rFonts w:ascii="Times New Roman" w:cs="Times New Roman" w:eastAsia="Times New Roman" w:hAnsi="Times New Roman"/>
          <w:sz w:val="22"/>
          <w:szCs w:val="22"/>
          <w:color w:val="auto"/>
        </w:rPr>
      </w:pPr>
    </w:p>
    <w:p>
      <w:pPr>
        <w:jc w:val="both"/>
        <w:ind w:firstLine="8"/>
        <w:spacing w:after="0" w:line="209" w:lineRule="auto"/>
        <w:tabs>
          <w:tab w:leader="none" w:pos="6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Representations</w:t>
      </w:r>
      <w:r>
        <w:rPr>
          <w:rFonts w:ascii="Times New Roman" w:cs="Times New Roman" w:eastAsia="Times New Roman" w:hAnsi="Times New Roman"/>
          <w:sz w:val="22"/>
          <w:szCs w:val="22"/>
          <w:color w:val="auto"/>
        </w:rPr>
        <w:t>. The Executive represents, warrants and covenants that (i) to the extent applicable, this Agreement shall be interpreted in accordance with, and incorporate the terms and conditions required by, Section 409A of the Internal Revenue Code and the Department of Treasury Regulations and other interpretive guidance issued thereunder, including without limitation any such regulations or other guidance that may be issued after the date hereof; (ii) that he or she has read and understands this Agreement, is fully aware of its legal effect, has not acted in reliance upon any representations or promises made by the Company other than those contained in writing herein, and has entered into this Agreement freely based on his or her own judgment, (iii) the execution and delivery of this Agreement shall not result in any breach or violation of, or a default under, any existing obligation, commitment or agreement to which Executive is subject, (iv) the Executive shall keep all terms of this Agreement confidential, except with respect to disclosure to the Executive’s spouse, accountants or attorneys, each of whom shall agree to keep all terms of this Agreement confidential, and (v) the Company shall be entitled to withhold from any amounts payable under this Agreement any federal, state, local, and foreign withholding and other taxes and charges that the Company is required to withhold.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22"/>
          <w:szCs w:val="22"/>
          <w:color w:val="auto"/>
        </w:rPr>
        <w:t>We look forward to having you on board.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Sun Country, Inc.</w:t>
      </w:r>
    </w:p>
    <w:p>
      <w:pPr>
        <w:spacing w:after="0" w:line="38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5468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3">
                      <a:extLst>
                        <a:ext uri="{28A0092B-C50C-407E-A947-70E740481C1C}"/>
                      </a:extLst>
                    </a:blip>
                    <a:srcRect/>
                    <a:stretch>
                      <a:fillRect/>
                    </a:stretch>
                  </pic:blipFill>
                  <pic:spPr bwMode="auto">
                    <a:xfrm>
                      <a:off x="0" y="0"/>
                      <a:ext cx="1546860" cy="8255"/>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2"/>
          <w:szCs w:val="22"/>
          <w:color w:val="auto"/>
        </w:rPr>
        <w:t>Name: Jude Bricker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367"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22"/>
          <w:szCs w:val="22"/>
          <w:b w:val="1"/>
          <w:bCs w:val="1"/>
          <w:color w:val="auto"/>
        </w:rPr>
        <w:t>ACKNOWLEDGED AND AGREED:</w:t>
      </w:r>
    </w:p>
    <w:p>
      <w:pPr>
        <w:spacing w:after="0" w:line="39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Grant Whitney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-5715</wp:posOffset>
            </wp:positionV>
            <wp:extent cx="12573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4">
                      <a:extLst>
                        <a:ext uri="{28A0092B-C50C-407E-A947-70E740481C1C}"/>
                      </a:extLst>
                    </a:blip>
                    <a:srcRect/>
                    <a:stretch>
                      <a:fillRect/>
                    </a:stretch>
                  </pic:blipFill>
                  <pic:spPr bwMode="auto">
                    <a:xfrm>
                      <a:off x="0" y="0"/>
                      <a:ext cx="125730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Grant Whitney</w:t>
      </w:r>
    </w:p>
    <w:p>
      <w:pPr>
        <w:sectPr>
          <w:pgSz w:w="11900" w:h="16838" w:orient="portrait"/>
          <w:cols w:equalWidth="0" w:num="1">
            <w:col w:w="10139"/>
          </w:cols>
          <w:pgMar w:left="320" w:top="1395" w:right="1440"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64"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6"/>
          <w:szCs w:val="16"/>
          <w:color w:val="auto"/>
        </w:rPr>
        <w:t>We consent to the incorporation by reference in the registration statements (No. 333-254371) on Form S-8 and (No. 333-269023) on Form S-3 of our report dated February 14, 2024, with respect to the consolidated financial statements of Sun Country Airlines Holdings, Inc. and subsidiaries and the effectiveness of internal control over financial reporting.</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KPMG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Minneapolis, Minnesota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2024</w:t>
      </w:r>
    </w:p>
    <w:p>
      <w:pPr>
        <w:sectPr>
          <w:pgSz w:w="11900" w:h="16838" w:orient="portrait"/>
          <w:cols w:equalWidth="0" w:num="1">
            <w:col w:w="11240"/>
          </w:cols>
          <w:pgMar w:left="320" w:top="1150"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2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PURSUANT TO RULE 13a-14(a) OR 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Jude Bricker, certify that:</w:t>
      </w:r>
    </w:p>
    <w:p>
      <w:pPr>
        <w:spacing w:after="0" w:line="221"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Sun Country Airlines Holdings, Inc. ("Sun Country") for the year ended December 31, 2023;</w:t>
      </w:r>
    </w:p>
    <w:p>
      <w:pPr>
        <w:spacing w:after="0" w:line="234"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Sun Country and have:</w:t>
      </w:r>
    </w:p>
    <w:p>
      <w:pPr>
        <w:spacing w:after="0" w:line="51" w:lineRule="exact"/>
        <w:rPr>
          <w:rFonts w:ascii="Times New Roman" w:cs="Times New Roman" w:eastAsia="Times New Roman" w:hAnsi="Times New Roman"/>
          <w:sz w:val="16"/>
          <w:szCs w:val="16"/>
          <w:color w:val="auto"/>
        </w:rPr>
      </w:pPr>
    </w:p>
    <w:p>
      <w:pPr>
        <w:ind w:left="1140" w:right="160" w:hanging="322"/>
        <w:spacing w:after="0" w:line="272" w:lineRule="auto"/>
        <w:tabs>
          <w:tab w:leader="none" w:pos="1131"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6"/>
          <w:szCs w:val="16"/>
          <w:color w:val="auto"/>
        </w:rPr>
      </w:pPr>
    </w:p>
    <w:p>
      <w:pPr>
        <w:ind w:left="1140" w:right="80" w:hanging="322"/>
        <w:spacing w:after="0" w:line="272" w:lineRule="auto"/>
        <w:tabs>
          <w:tab w:leader="none" w:pos="114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6"/>
          <w:szCs w:val="16"/>
          <w:color w:val="auto"/>
        </w:rPr>
      </w:pPr>
    </w:p>
    <w:p>
      <w:pPr>
        <w:ind w:left="1140" w:right="100" w:hanging="322"/>
        <w:spacing w:after="0" w:line="290" w:lineRule="auto"/>
        <w:tabs>
          <w:tab w:leader="none" w:pos="1131"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140" w:right="100" w:hanging="322"/>
        <w:spacing w:after="0" w:line="298" w:lineRule="auto"/>
        <w:tabs>
          <w:tab w:leader="none" w:pos="114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50" w:lineRule="exact"/>
        <w:rPr>
          <w:rFonts w:ascii="Times New Roman" w:cs="Times New Roman" w:eastAsia="Times New Roman" w:hAnsi="Times New Roman"/>
          <w:sz w:val="16"/>
          <w:szCs w:val="16"/>
          <w:color w:val="auto"/>
        </w:rPr>
      </w:pPr>
    </w:p>
    <w:p>
      <w:pPr>
        <w:ind w:left="660" w:right="440" w:hanging="328"/>
        <w:spacing w:after="0" w:line="260" w:lineRule="auto"/>
        <w:tabs>
          <w:tab w:leader="none" w:pos="66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ind w:left="1140" w:right="240" w:hanging="322"/>
        <w:spacing w:after="0" w:line="255" w:lineRule="auto"/>
        <w:tabs>
          <w:tab w:leader="none" w:pos="1131"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140" w:right="500" w:hanging="322"/>
        <w:spacing w:after="0" w:line="270" w:lineRule="auto"/>
        <w:tabs>
          <w:tab w:leader="none" w:pos="114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Sun Country's internal control over financial reporting.</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February 14, 2024</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5">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Jude Bricker</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Chief Executive Officer</w:t>
      </w:r>
    </w:p>
    <w:p>
      <w:pPr>
        <w:sectPr>
          <w:pgSz w:w="11900" w:h="16838" w:orient="portrait"/>
          <w:cols w:equalWidth="0" w:num="1">
            <w:col w:w="11240"/>
          </w:cols>
          <w:pgMar w:left="320" w:top="1150"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6"/>
          <w:szCs w:val="16"/>
          <w:b w:val="1"/>
          <w:bCs w:val="1"/>
          <w:color w:val="auto"/>
        </w:rPr>
        <w:t>PURSUANT TO RULE 13a-14(a) OR 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Dave Davis, certify that:</w:t>
      </w:r>
    </w:p>
    <w:p>
      <w:pPr>
        <w:spacing w:after="0" w:line="221"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Sun Country Airlines Holdings, Inc. ("Sun Country") for the year ended December 31, 2023;</w:t>
      </w:r>
    </w:p>
    <w:p>
      <w:pPr>
        <w:spacing w:after="0" w:line="234"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Times New Roman" w:cs="Times New Roman" w:eastAsia="Times New Roman" w:hAnsi="Times New Roman"/>
          <w:sz w:val="16"/>
          <w:szCs w:val="16"/>
          <w:color w:val="auto"/>
        </w:rPr>
      </w:pPr>
    </w:p>
    <w:p>
      <w:pPr>
        <w:ind w:left="660" w:right="520" w:hanging="328"/>
        <w:spacing w:after="0" w:line="280" w:lineRule="auto"/>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6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are responsible for establishing and maintaining disclosure controls and procedures (as defined in Exchange Act Rules</w:t>
      </w:r>
    </w:p>
    <w:p>
      <w:pPr>
        <w:spacing w:after="0" w:line="26"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Sun Country and have:</w:t>
      </w:r>
    </w:p>
    <w:p>
      <w:pPr>
        <w:spacing w:after="0" w:line="51" w:lineRule="exact"/>
        <w:rPr>
          <w:rFonts w:ascii="Times New Roman" w:cs="Times New Roman" w:eastAsia="Times New Roman" w:hAnsi="Times New Roman"/>
          <w:sz w:val="16"/>
          <w:szCs w:val="16"/>
          <w:color w:val="auto"/>
        </w:rPr>
      </w:pPr>
    </w:p>
    <w:p>
      <w:pPr>
        <w:ind w:left="1140" w:right="160" w:hanging="322"/>
        <w:spacing w:after="0" w:line="272" w:lineRule="auto"/>
        <w:tabs>
          <w:tab w:leader="none" w:pos="1131"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6"/>
          <w:szCs w:val="16"/>
          <w:color w:val="auto"/>
        </w:rPr>
      </w:pPr>
    </w:p>
    <w:p>
      <w:pPr>
        <w:ind w:left="1140" w:right="80" w:hanging="322"/>
        <w:spacing w:after="0" w:line="272" w:lineRule="auto"/>
        <w:tabs>
          <w:tab w:leader="none" w:pos="114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6"/>
          <w:szCs w:val="16"/>
          <w:color w:val="auto"/>
        </w:rPr>
      </w:pPr>
    </w:p>
    <w:p>
      <w:pPr>
        <w:ind w:left="1140" w:right="100" w:hanging="322"/>
        <w:spacing w:after="0" w:line="290" w:lineRule="auto"/>
        <w:tabs>
          <w:tab w:leader="none" w:pos="1131"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ind w:left="1140" w:right="100" w:hanging="322"/>
        <w:spacing w:after="0" w:line="298" w:lineRule="auto"/>
        <w:tabs>
          <w:tab w:leader="none" w:pos="114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50" w:lineRule="exact"/>
        <w:rPr>
          <w:rFonts w:ascii="Times New Roman" w:cs="Times New Roman" w:eastAsia="Times New Roman" w:hAnsi="Times New Roman"/>
          <w:sz w:val="16"/>
          <w:szCs w:val="16"/>
          <w:color w:val="auto"/>
        </w:rPr>
      </w:pPr>
    </w:p>
    <w:p>
      <w:pPr>
        <w:ind w:left="660" w:right="440" w:hanging="328"/>
        <w:spacing w:after="0" w:line="260" w:lineRule="auto"/>
        <w:tabs>
          <w:tab w:leader="none" w:pos="66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ind w:left="1140" w:right="240" w:hanging="322"/>
        <w:spacing w:after="0" w:line="255" w:lineRule="auto"/>
        <w:tabs>
          <w:tab w:leader="none" w:pos="1131"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ind w:left="1140" w:right="500" w:hanging="322"/>
        <w:spacing w:after="0" w:line="270" w:lineRule="auto"/>
        <w:tabs>
          <w:tab w:leader="none" w:pos="114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Sun Country's internal control over financial reporting.</w:t>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February 14, 2024</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6">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Dave Davis</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ectPr>
          <w:pgSz w:w="11900" w:h="16838" w:orient="portrait"/>
          <w:cols w:equalWidth="0" w:num="1">
            <w:col w:w="11240"/>
          </w:cols>
          <w:pgMar w:left="320" w:top="115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CERTIFICATION PURSUANT TO</w:t>
      </w:r>
    </w:p>
    <w:p>
      <w:pPr>
        <w:spacing w:after="0" w:line="2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6"/>
          <w:szCs w:val="16"/>
          <w:color w:val="auto"/>
        </w:rPr>
        <w:t>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SECTION 906 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14, 2024</w:t>
      </w:r>
    </w:p>
    <w:p>
      <w:pPr>
        <w:spacing w:after="0" w:line="22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annual report on Form 10-K of Sun Country Airlines Holdings, Inc. ("Sun Country") for the annual period ended December 31, 2023 (the "Report").</w:t>
      </w:r>
    </w:p>
    <w:p>
      <w:pPr>
        <w:spacing w:after="0" w:line="184"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6"/>
          <w:szCs w:val="16"/>
          <w:color w:val="auto"/>
        </w:rPr>
        <w:t>Each of the undersigned, the Chief Executive Officer and the President and Chief Financial Officer, respectively, of Sun Country, hereby certifies that, as of the end of the period covered by the Report:</w:t>
      </w:r>
    </w:p>
    <w:p>
      <w:pPr>
        <w:spacing w:after="0" w:line="165"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Report fully complies with the requirements of Section 13(a) of the Securities Exchange Act of 1934; and</w:t>
      </w:r>
    </w:p>
    <w:p>
      <w:pPr>
        <w:spacing w:after="0" w:line="23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Sun Country.</w:t>
      </w:r>
    </w:p>
    <w:p>
      <w:pPr>
        <w:spacing w:after="0" w:line="26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Jude Bricker</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30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20320</wp:posOffset>
            </wp:positionV>
            <wp:extent cx="288861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Dave Davis</w:t>
      </w:r>
    </w:p>
    <w:p>
      <w:pPr>
        <w:spacing w:after="0" w:line="32"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ectPr>
          <w:pgSz w:w="11900" w:h="16838" w:orient="portrait"/>
          <w:cols w:equalWidth="0" w:num="1">
            <w:col w:w="11240"/>
          </w:cols>
          <w:pgMar w:left="320" w:top="1150" w:right="339" w:bottom="1440" w:gutter="0" w:footer="0" w:header="0"/>
        </w:sectPr>
      </w:pPr>
    </w:p>
    <w:bookmarkStart w:id="178" w:name="page179"/>
    <w:bookmarkEnd w:id="178"/>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20" w:type="dxa"/>
            <w:vAlign w:val="bottom"/>
            <w:tcBorders>
              <w:top w:val="single" w:sz="8" w:color="auto"/>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3D3D3D"/>
              </w:rPr>
              <w:t>Policy Name: Clawback Policy</w:t>
            </w:r>
          </w:p>
        </w:tc>
        <w:tc>
          <w:tcPr>
            <w:tcW w:w="2320" w:type="dxa"/>
            <w:vAlign w:val="bottom"/>
            <w:tcBorders>
              <w:top w:val="single" w:sz="8" w:color="auto"/>
              <w:bottom w:val="single" w:sz="8" w:color="auto"/>
              <w:right w:val="single" w:sz="8" w:color="auto"/>
            </w:tcBorders>
          </w:tcPr>
          <w:p>
            <w:pPr>
              <w:spacing w:after="0"/>
              <w:rPr>
                <w:sz w:val="21"/>
                <w:szCs w:val="21"/>
                <w:color w:val="auto"/>
              </w:rPr>
            </w:pP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D3D3D"/>
              </w:rPr>
              <w:t>Policy Owner: Legal</w:t>
            </w:r>
          </w:p>
        </w:tc>
      </w:tr>
      <w:tr>
        <w:trPr>
          <w:trHeight w:val="223"/>
        </w:trPr>
        <w:tc>
          <w:tcPr>
            <w:tcW w:w="33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3D3D3D"/>
              </w:rPr>
              <w:t>Effective Date: 11/3/2023</w:t>
            </w:r>
          </w:p>
        </w:tc>
        <w:tc>
          <w:tcPr>
            <w:tcW w:w="232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D3D3D"/>
              </w:rPr>
              <w:t>Policy Contact: General Counsel</w:t>
            </w:r>
          </w:p>
        </w:tc>
      </w:tr>
      <w:tr>
        <w:trPr>
          <w:trHeight w:val="223"/>
        </w:trPr>
        <w:tc>
          <w:tcPr>
            <w:tcW w:w="332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3D3D3D"/>
              </w:rPr>
              <w:t>Version: 1</w:t>
            </w:r>
          </w:p>
        </w:tc>
        <w:tc>
          <w:tcPr>
            <w:tcW w:w="232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spacing w:after="0"/>
              <w:rPr>
                <w:sz w:val="19"/>
                <w:szCs w:val="19"/>
                <w:color w:val="auto"/>
              </w:rPr>
            </w:pPr>
          </w:p>
        </w:tc>
      </w:tr>
      <w:tr>
        <w:trPr>
          <w:trHeight w:val="572"/>
        </w:trPr>
        <w:tc>
          <w:tcPr>
            <w:tcW w:w="3320" w:type="dxa"/>
            <w:vAlign w:val="bottom"/>
          </w:tcPr>
          <w:p>
            <w:pPr>
              <w:spacing w:after="0"/>
              <w:rPr>
                <w:sz w:val="24"/>
                <w:szCs w:val="24"/>
                <w:color w:val="auto"/>
              </w:rPr>
            </w:pPr>
          </w:p>
        </w:tc>
        <w:tc>
          <w:tcPr>
            <w:tcW w:w="7940" w:type="dxa"/>
            <w:vAlign w:val="bottom"/>
            <w:gridSpan w:val="2"/>
          </w:tcPr>
          <w:p>
            <w:pPr>
              <w:jc w:val="center"/>
              <w:ind w:right="3250"/>
              <w:spacing w:after="0"/>
              <w:rPr>
                <w:sz w:val="20"/>
                <w:szCs w:val="20"/>
                <w:color w:val="auto"/>
              </w:rPr>
            </w:pPr>
            <w:r>
              <w:rPr>
                <w:rFonts w:ascii="Times New Roman" w:cs="Times New Roman" w:eastAsia="Times New Roman" w:hAnsi="Times New Roman"/>
                <w:sz w:val="22"/>
                <w:szCs w:val="22"/>
                <w:b w:val="1"/>
                <w:bCs w:val="1"/>
                <w:color w:val="auto"/>
                <w:w w:val="98"/>
              </w:rPr>
              <w:t>SUN COUNTRY AIRLINES</w:t>
            </w:r>
          </w:p>
        </w:tc>
      </w:tr>
      <w:tr>
        <w:trPr>
          <w:trHeight w:val="459"/>
        </w:trPr>
        <w:tc>
          <w:tcPr>
            <w:tcW w:w="3320" w:type="dxa"/>
            <w:vAlign w:val="bottom"/>
          </w:tcPr>
          <w:p>
            <w:pPr>
              <w:spacing w:after="0"/>
              <w:rPr>
                <w:sz w:val="24"/>
                <w:szCs w:val="24"/>
                <w:color w:val="auto"/>
              </w:rPr>
            </w:pPr>
          </w:p>
        </w:tc>
        <w:tc>
          <w:tcPr>
            <w:tcW w:w="7940" w:type="dxa"/>
            <w:vAlign w:val="bottom"/>
            <w:gridSpan w:val="2"/>
          </w:tcPr>
          <w:p>
            <w:pPr>
              <w:jc w:val="center"/>
              <w:ind w:right="3250"/>
              <w:spacing w:after="0"/>
              <w:rPr>
                <w:sz w:val="20"/>
                <w:szCs w:val="20"/>
                <w:color w:val="auto"/>
              </w:rPr>
            </w:pPr>
            <w:r>
              <w:rPr>
                <w:rFonts w:ascii="Times New Roman" w:cs="Times New Roman" w:eastAsia="Times New Roman" w:hAnsi="Times New Roman"/>
                <w:sz w:val="22"/>
                <w:szCs w:val="22"/>
                <w:b w:val="1"/>
                <w:bCs w:val="1"/>
                <w:color w:val="auto"/>
                <w:w w:val="96"/>
              </w:rPr>
              <w:t>CLAWBACK POLICY</w:t>
            </w:r>
          </w:p>
        </w:tc>
      </w:tr>
    </w:tbl>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Sun Country Airlines Holdings, Inc.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has adopted this Policy in accordance with Nasdaq listing</w:t>
      </w:r>
    </w:p>
    <w:p>
      <w:pPr>
        <w:spacing w:after="0"/>
        <w:rPr>
          <w:sz w:val="20"/>
          <w:szCs w:val="20"/>
          <w:color w:val="auto"/>
        </w:rPr>
      </w:pPr>
      <w:r>
        <w:rPr>
          <w:rFonts w:ascii="Times New Roman" w:cs="Times New Roman" w:eastAsia="Times New Roman" w:hAnsi="Times New Roman"/>
          <w:sz w:val="22"/>
          <w:szCs w:val="22"/>
          <w:color w:val="auto"/>
        </w:rPr>
        <w:t>requirements.</w:t>
      </w:r>
    </w:p>
    <w:p>
      <w:pPr>
        <w:spacing w:after="0" w:line="151" w:lineRule="exact"/>
        <w:rPr>
          <w:sz w:val="20"/>
          <w:szCs w:val="20"/>
          <w:color w:val="auto"/>
        </w:rPr>
      </w:pPr>
    </w:p>
    <w:p>
      <w:pPr>
        <w:ind w:left="1300" w:hanging="644"/>
        <w:spacing w:after="0"/>
        <w:tabs>
          <w:tab w:leader="none" w:pos="130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Application of Policy</w:t>
      </w:r>
    </w:p>
    <w:p>
      <w:pPr>
        <w:spacing w:after="0" w:line="179" w:lineRule="exact"/>
        <w:rPr>
          <w:sz w:val="20"/>
          <w:szCs w:val="20"/>
          <w:color w:val="auto"/>
        </w:rPr>
      </w:pPr>
    </w:p>
    <w:p>
      <w:pPr>
        <w:jc w:val="both"/>
        <w:ind w:right="20" w:firstLine="1296"/>
        <w:spacing w:after="0" w:line="221" w:lineRule="auto"/>
        <w:rPr>
          <w:sz w:val="20"/>
          <w:szCs w:val="20"/>
          <w:color w:val="auto"/>
        </w:rPr>
      </w:pPr>
      <w:r>
        <w:rPr>
          <w:rFonts w:ascii="Times New Roman" w:cs="Times New Roman" w:eastAsia="Times New Roman" w:hAnsi="Times New Roman"/>
          <w:sz w:val="22"/>
          <w:szCs w:val="22"/>
          <w:color w:val="auto"/>
        </w:rPr>
        <w:t xml:space="preserve">This Policy applies in the event of </w:t>
      </w:r>
      <w:r>
        <w:rPr>
          <w:rFonts w:ascii="Times New Roman" w:cs="Times New Roman" w:eastAsia="Times New Roman" w:hAnsi="Times New Roman"/>
          <w:sz w:val="22"/>
          <w:szCs w:val="22"/>
          <w:u w:val="single" w:color="auto"/>
          <w:color w:val="auto"/>
        </w:rPr>
        <w:t>any</w:t>
      </w:r>
      <w:r>
        <w:rPr>
          <w:rFonts w:ascii="Times New Roman" w:cs="Times New Roman" w:eastAsia="Times New Roman" w:hAnsi="Times New Roman"/>
          <w:sz w:val="22"/>
          <w:szCs w:val="22"/>
          <w:color w:val="auto"/>
        </w:rPr>
        <w:t xml:space="preserve"> accounting restatement (“</w:t>
      </w:r>
      <w:r>
        <w:rPr>
          <w:rFonts w:ascii="Times New Roman" w:cs="Times New Roman" w:eastAsia="Times New Roman" w:hAnsi="Times New Roman"/>
          <w:sz w:val="22"/>
          <w:szCs w:val="22"/>
          <w:b w:val="1"/>
          <w:bCs w:val="1"/>
          <w:u w:val="single" w:color="auto"/>
          <w:color w:val="auto"/>
        </w:rPr>
        <w:t>Restatement</w:t>
      </w:r>
      <w:r>
        <w:rPr>
          <w:rFonts w:ascii="Times New Roman" w:cs="Times New Roman" w:eastAsia="Times New Roman" w:hAnsi="Times New Roman"/>
          <w:sz w:val="22"/>
          <w:szCs w:val="22"/>
          <w:color w:val="auto"/>
        </w:rPr>
        <w:t>”) due to the Company’s material non-compliance with financial reporting requirements under applicable federal securities laws, in accordance with Rule 10D-1 of the Securities Exchange Act of 1934 (“</w:t>
      </w:r>
      <w:r>
        <w:rPr>
          <w:rFonts w:ascii="Times New Roman" w:cs="Times New Roman" w:eastAsia="Times New Roman" w:hAnsi="Times New Roman"/>
          <w:sz w:val="22"/>
          <w:szCs w:val="22"/>
          <w:b w:val="1"/>
          <w:bCs w:val="1"/>
          <w:u w:val="single" w:color="auto"/>
          <w:color w:val="auto"/>
        </w:rPr>
        <w:t>Rule 10D</w:t>
      </w:r>
      <w:r>
        <w:rPr>
          <w:rFonts w:ascii="Times New Roman" w:cs="Times New Roman" w:eastAsia="Times New Roman" w:hAnsi="Times New Roman"/>
          <w:sz w:val="22"/>
          <w:szCs w:val="22"/>
          <w:color w:val="auto"/>
        </w:rPr>
        <w:t>”). This Policy shall apply to Incentive-Based Compensation (as defined below) received on or after October 2, 2023 (the “</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1120" w:hanging="464"/>
        <w:spacing w:after="0"/>
        <w:tabs>
          <w:tab w:leader="none" w:pos="112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 Officers Subject to the Policy</w:t>
      </w:r>
    </w:p>
    <w:p>
      <w:pPr>
        <w:spacing w:after="0" w:line="183" w:lineRule="exact"/>
        <w:rPr>
          <w:sz w:val="20"/>
          <w:szCs w:val="20"/>
          <w:color w:val="auto"/>
        </w:rPr>
      </w:pPr>
    </w:p>
    <w:p>
      <w:pPr>
        <w:jc w:val="both"/>
        <w:ind w:right="20" w:firstLine="1296"/>
        <w:spacing w:after="0" w:line="222" w:lineRule="auto"/>
        <w:rPr>
          <w:sz w:val="20"/>
          <w:szCs w:val="20"/>
          <w:color w:val="auto"/>
        </w:rPr>
      </w:pPr>
      <w:r>
        <w:rPr>
          <w:rFonts w:ascii="Times New Roman" w:cs="Times New Roman" w:eastAsia="Times New Roman" w:hAnsi="Times New Roman"/>
          <w:sz w:val="21"/>
          <w:szCs w:val="21"/>
          <w:color w:val="auto"/>
        </w:rPr>
        <w:t>The executives of the Company who serve or served as an “executive officer” (as defined under Rule 10D) of the Company (the “</w:t>
      </w:r>
      <w:r>
        <w:rPr>
          <w:rFonts w:ascii="Times New Roman" w:cs="Times New Roman" w:eastAsia="Times New Roman" w:hAnsi="Times New Roman"/>
          <w:sz w:val="21"/>
          <w:szCs w:val="21"/>
          <w:b w:val="1"/>
          <w:bCs w:val="1"/>
          <w:u w:val="single" w:color="auto"/>
          <w:color w:val="auto"/>
        </w:rPr>
        <w:t>Executive Officers</w:t>
      </w:r>
      <w:r>
        <w:rPr>
          <w:rFonts w:ascii="Times New Roman" w:cs="Times New Roman" w:eastAsia="Times New Roman" w:hAnsi="Times New Roman"/>
          <w:sz w:val="21"/>
          <w:szCs w:val="21"/>
          <w:color w:val="auto"/>
        </w:rPr>
        <w:t>”) are covered by this Policy. This includes the Company’s current or former chief executive officer, president, chief financial officer, chief accounting officer or controller, any vice-president of the Company in charge of a principal business unit, division or function, and any other current or former officer or person who performs or performed a significant policy-making function for the Company, including executive officers of Company subsidiaries or the Company’s parent, if they perform such policy-making functions. All of these Executive Officers are subject to this Policy, even if an Executive Officer had no responsibility for the financial statement errors which required restatement. The Company’s Board of Directors (the “</w:t>
      </w:r>
      <w:r>
        <w:rPr>
          <w:rFonts w:ascii="Times New Roman" w:cs="Times New Roman" w:eastAsia="Times New Roman" w:hAnsi="Times New Roman"/>
          <w:sz w:val="21"/>
          <w:szCs w:val="21"/>
          <w:b w:val="1"/>
          <w:bCs w:val="1"/>
          <w:u w:val="single" w:color="auto"/>
          <w:color w:val="auto"/>
        </w:rPr>
        <w:t>Board</w:t>
      </w:r>
      <w:r>
        <w:rPr>
          <w:rFonts w:ascii="Times New Roman" w:cs="Times New Roman" w:eastAsia="Times New Roman" w:hAnsi="Times New Roman"/>
          <w:sz w:val="21"/>
          <w:szCs w:val="21"/>
          <w:color w:val="auto"/>
        </w:rPr>
        <w:t>”) determines who shall be an Executive Officer for purposes of this Policy on an annual basis.</w:t>
      </w:r>
    </w:p>
    <w:p>
      <w:pPr>
        <w:spacing w:after="0" w:line="153" w:lineRule="exact"/>
        <w:rPr>
          <w:sz w:val="20"/>
          <w:szCs w:val="20"/>
          <w:color w:val="auto"/>
        </w:rPr>
      </w:pPr>
    </w:p>
    <w:p>
      <w:pPr>
        <w:ind w:left="1140" w:hanging="484"/>
        <w:spacing w:after="0"/>
        <w:tabs>
          <w:tab w:leader="none" w:pos="114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Subject to and Clawback Period of the Policy</w:t>
      </w:r>
    </w:p>
    <w:p>
      <w:pPr>
        <w:spacing w:after="0" w:line="183" w:lineRule="exact"/>
        <w:rPr>
          <w:sz w:val="20"/>
          <w:szCs w:val="20"/>
          <w:color w:val="auto"/>
        </w:rPr>
      </w:pPr>
    </w:p>
    <w:p>
      <w:pPr>
        <w:jc w:val="both"/>
        <w:ind w:right="20" w:firstLine="1296"/>
        <w:spacing w:after="0" w:line="220" w:lineRule="auto"/>
        <w:rPr>
          <w:sz w:val="20"/>
          <w:szCs w:val="20"/>
          <w:color w:val="auto"/>
        </w:rPr>
      </w:pPr>
      <w:r>
        <w:rPr>
          <w:rFonts w:ascii="Times New Roman" w:cs="Times New Roman" w:eastAsia="Times New Roman" w:hAnsi="Times New Roman"/>
          <w:sz w:val="22"/>
          <w:szCs w:val="22"/>
          <w:color w:val="auto"/>
        </w:rPr>
        <w:t>This Policy covers all incentive-based compensation (including any cash or equity compensation) that is granted, earned or vested based wholly or in part upon the attainment of any “financial reporting measure” (“</w:t>
      </w:r>
      <w:r>
        <w:rPr>
          <w:rFonts w:ascii="Times New Roman" w:cs="Times New Roman" w:eastAsia="Times New Roman" w:hAnsi="Times New Roman"/>
          <w:sz w:val="22"/>
          <w:szCs w:val="22"/>
          <w:b w:val="1"/>
          <w:bCs w:val="1"/>
          <w:u w:val="single" w:color="auto"/>
          <w:color w:val="auto"/>
        </w:rPr>
        <w:t>Incentive-Based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color w:val="auto"/>
        </w:rPr>
        <w:t>”). This Policy applies to any Incentive-Based Compensation “received” by an Executive Officer during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(the “</w:t>
      </w:r>
      <w:r>
        <w:rPr>
          <w:rFonts w:ascii="Times New Roman" w:cs="Times New Roman" w:eastAsia="Times New Roman" w:hAnsi="Times New Roman"/>
          <w:sz w:val="22"/>
          <w:szCs w:val="22"/>
          <w:b w:val="1"/>
          <w:bCs w:val="1"/>
          <w:u w:val="single" w:color="auto"/>
          <w:color w:val="auto"/>
        </w:rPr>
        <w:t>Clawback Period</w:t>
      </w:r>
      <w:r>
        <w:rPr>
          <w:rFonts w:ascii="Times New Roman" w:cs="Times New Roman" w:eastAsia="Times New Roman" w:hAnsi="Times New Roman"/>
          <w:sz w:val="22"/>
          <w:szCs w:val="22"/>
          <w:color w:val="auto"/>
        </w:rPr>
        <w:t>”) consisting of any of the three completed fiscal years immediately preceding:</w:t>
      </w:r>
    </w:p>
    <w:p>
      <w:pPr>
        <w:spacing w:after="0" w:line="152" w:lineRule="exact"/>
        <w:rPr>
          <w:sz w:val="20"/>
          <w:szCs w:val="20"/>
          <w:color w:val="auto"/>
        </w:rPr>
      </w:pPr>
    </w:p>
    <w:p>
      <w:pPr>
        <w:ind w:left="1300" w:right="60" w:hanging="320"/>
        <w:spacing w:after="0" w:line="236" w:lineRule="auto"/>
        <w:tabs>
          <w:tab w:leader="none" w:pos="129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the Company’s Board (or Audit Committee) concludes, or reasonably should have concluded, that the Company is required to prepare a Restatement, or</w:t>
      </w:r>
    </w:p>
    <w:p>
      <w:pPr>
        <w:spacing w:after="0" w:line="15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a court, regulator, or other legally authorized body directs the Company to prepare a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60"/>
          </w:cols>
          <w:pgMar w:left="320" w:top="94" w:right="319" w:bottom="1440" w:gutter="0" w:footer="0" w:header="0"/>
        </w:sectPr>
      </w:pPr>
    </w:p>
    <w:bookmarkStart w:id="179" w:name="page180"/>
    <w:bookmarkEnd w:id="179"/>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Financial reporting measures are those that are determined and presented in accordance with the accounting principles used in preparing the Company’s financial statements and any measures derived wholly or in part from such financial information (including non-GAAP measures, stock price and total shareholder return). For purposes of this Policy, Incentive-Based Compensation is deemed “received” in the fiscal period during which the applicable financial reporting measure (as specified in the terms of the award) is attained (the “</w:t>
      </w:r>
      <w:r>
        <w:rPr>
          <w:rFonts w:ascii="Times New Roman" w:cs="Times New Roman" w:eastAsia="Times New Roman" w:hAnsi="Times New Roman"/>
          <w:sz w:val="22"/>
          <w:szCs w:val="22"/>
          <w:b w:val="1"/>
          <w:bCs w:val="1"/>
          <w:u w:val="single" w:color="auto"/>
          <w:color w:val="auto"/>
        </w:rPr>
        <w:t>Performance Period</w:t>
      </w:r>
      <w:r>
        <w:rPr>
          <w:rFonts w:ascii="Times New Roman" w:cs="Times New Roman" w:eastAsia="Times New Roman" w:hAnsi="Times New Roman"/>
          <w:sz w:val="22"/>
          <w:szCs w:val="22"/>
          <w:color w:val="auto"/>
        </w:rPr>
        <w:t>”), even if the payment or grant occurs after the end of that fiscal period. For the avoidance of doubt, the Clawback Period with respect to an Executive Officer applies to Incentive-Based Compensation received by the Executive Officer (a) after beginning services as an Executive Officer (including compensation derived from an award authorized before the individual is newly hired as an Executive Officer, e.g. inducement grants) and (b) if that person served as an Executive Officer at any time during the Performance Period for such Incentive-Based Compensation.</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For the avoidance of doubt, Incentive-Based Compensation does not include (i) base annual salary, (ii) compensation which is awarded based solely on service to the Company (e.g. a time-vested award, including time-vesting stock options or restricted share units), or (iii) compensation which is awarded based solely on subjective standards, strategic measures (e.g. completion of a merger) or operational measures (e.g. attainment of a certain market share).</w:t>
      </w:r>
    </w:p>
    <w:p>
      <w:pPr>
        <w:spacing w:after="0" w:line="148"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D.</w:t>
      </w:r>
      <w:r>
        <w:rPr>
          <w:sz w:val="20"/>
          <w:szCs w:val="20"/>
          <w:color w:val="auto"/>
        </w:rPr>
        <w:tab/>
      </w:r>
      <w:r>
        <w:rPr>
          <w:rFonts w:ascii="Times New Roman" w:cs="Times New Roman" w:eastAsia="Times New Roman" w:hAnsi="Times New Roman"/>
          <w:sz w:val="21"/>
          <w:szCs w:val="21"/>
          <w:b w:val="1"/>
          <w:bCs w:val="1"/>
          <w:color w:val="auto"/>
        </w:rPr>
        <w:t>Amount Required to be Repaid Pursuant to this Policy</w:t>
      </w:r>
    </w:p>
    <w:p>
      <w:pPr>
        <w:spacing w:after="0" w:line="18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The amount of Incentive-Based Compensation that must be repaid by the Executive Officer (subject to the few limitations discussed below) is the amount of Incentive-Based Compensation received by the Executive Officer that exceeds the amount of Incentive-Based Compensation that otherwise would have been received had it been determined based on the Restatement (the “</w:t>
      </w:r>
      <w:r>
        <w:rPr>
          <w:rFonts w:ascii="Times New Roman" w:cs="Times New Roman" w:eastAsia="Times New Roman" w:hAnsi="Times New Roman"/>
          <w:sz w:val="22"/>
          <w:szCs w:val="22"/>
          <w:b w:val="1"/>
          <w:bCs w:val="1"/>
          <w:u w:val="single" w:color="auto"/>
          <w:color w:val="auto"/>
        </w:rPr>
        <w:t>Recoverable Amount</w:t>
      </w:r>
      <w:r>
        <w:rPr>
          <w:rFonts w:ascii="Times New Roman" w:cs="Times New Roman" w:eastAsia="Times New Roman" w:hAnsi="Times New Roman"/>
          <w:sz w:val="22"/>
          <w:szCs w:val="22"/>
          <w:color w:val="auto"/>
        </w:rPr>
        <w:t>”). Applying this definition, after a Restatement, the Company will recalculate the applicable financial reporting measure and the Recoverable Amount in accordance with SEC and Nasdaq rules. The Company will determine whether, based on that financial reporting measure as calculated relying on the original financial statements, the Executive Officer received a greater amount of Incentive-Based Compensation than would have been received applying the recalculated financial measure. Where Incentive-Based Compensation is based only in part on the achievement of a financial reporting measure performance goal, the Company will determine the portion of the original Incentive-Based Compensation based on or derived from the financial reporting measure which was restated and will recalculate the affected portion based on the financial reporting measure as restated to determine the difference between the greater amount based on the original financial statements and the lesser amount that would have been received based on the Restatement. The Recoverable Amounts will be calculated on a pre-tax basis to ensure that the Company recovers the full amount of Incentive-Based Compensation that was erroneously awarded. Documentation of the Company’s calculation of the Recoverable Amount shall be maintained, and may be provided to Nasdaq as required by the Nasdaq rules.</w:t>
      </w:r>
    </w:p>
    <w:p>
      <w:pPr>
        <w:spacing w:after="0" w:line="15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In no event shall the Company be required to award Executive Officers an additional payment if the restated or accurate financial results would have resulted in a higher incentive compensation payment.</w:t>
      </w:r>
    </w:p>
    <w:p>
      <w:pPr>
        <w:spacing w:after="0" w:line="150" w:lineRule="exact"/>
        <w:rPr>
          <w:sz w:val="20"/>
          <w:szCs w:val="20"/>
          <w:color w:val="auto"/>
        </w:rPr>
      </w:pPr>
    </w:p>
    <w:p>
      <w:pPr>
        <w:jc w:val="both"/>
        <w:ind w:right="20" w:firstLine="1296"/>
        <w:spacing w:after="0" w:line="255" w:lineRule="auto"/>
        <w:rPr>
          <w:sz w:val="20"/>
          <w:szCs w:val="20"/>
          <w:color w:val="auto"/>
        </w:rPr>
      </w:pPr>
      <w:r>
        <w:rPr>
          <w:rFonts w:ascii="Times New Roman" w:cs="Times New Roman" w:eastAsia="Times New Roman" w:hAnsi="Times New Roman"/>
          <w:sz w:val="21"/>
          <w:szCs w:val="21"/>
          <w:color w:val="auto"/>
        </w:rPr>
        <w:t>If equity compensation is recoverable due to being granted to the Executive Officer (when the accounting results were the reason the equity compensation was granted) or vested by the Executive Officer (when the accounting results were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80" w:name="page181"/>
    <w:bookmarkEnd w:id="180"/>
    <w:p>
      <w:pPr>
        <w:spacing w:after="0" w:line="236" w:lineRule="auto"/>
        <w:rPr>
          <w:sz w:val="20"/>
          <w:szCs w:val="20"/>
          <w:color w:val="auto"/>
        </w:rPr>
      </w:pPr>
      <w:r>
        <w:rPr>
          <w:rFonts w:ascii="Times New Roman" w:cs="Times New Roman" w:eastAsia="Times New Roman" w:hAnsi="Times New Roman"/>
          <w:sz w:val="22"/>
          <w:szCs w:val="22"/>
          <w:color w:val="auto"/>
        </w:rPr>
        <w:t>reason the equity compensation was vested), in each case in the Clawback Period, the Company will recover the excess portion of the equity award that would not have been granted or vested based on the Restatement, as follows:</w:t>
      </w:r>
    </w:p>
    <w:p>
      <w:pPr>
        <w:spacing w:after="0" w:line="150" w:lineRule="exact"/>
        <w:rPr>
          <w:sz w:val="20"/>
          <w:szCs w:val="20"/>
          <w:color w:val="auto"/>
        </w:rPr>
      </w:pPr>
    </w:p>
    <w:p>
      <w:pPr>
        <w:ind w:left="1300" w:hanging="320"/>
        <w:spacing w:after="0"/>
        <w:tabs>
          <w:tab w:leader="none" w:pos="13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w:t>
      </w:r>
      <w:r>
        <w:rPr>
          <w:rFonts w:ascii="Times New Roman" w:cs="Times New Roman" w:eastAsia="Times New Roman" w:hAnsi="Times New Roman"/>
          <w:sz w:val="22"/>
          <w:szCs w:val="22"/>
          <w:u w:val="single" w:color="auto"/>
          <w:color w:val="auto"/>
        </w:rPr>
        <w:t>equity award is still outstanding</w:t>
      </w:r>
      <w:r>
        <w:rPr>
          <w:rFonts w:ascii="Times New Roman" w:cs="Times New Roman" w:eastAsia="Times New Roman" w:hAnsi="Times New Roman"/>
          <w:sz w:val="22"/>
          <w:szCs w:val="22"/>
          <w:color w:val="auto"/>
        </w:rPr>
        <w:t>, the Executive Officer will forfeit the excess portion of the award;</w:t>
      </w:r>
    </w:p>
    <w:p>
      <w:pPr>
        <w:spacing w:after="0" w:line="175" w:lineRule="exact"/>
        <w:rPr>
          <w:rFonts w:ascii="Times New Roman" w:cs="Times New Roman" w:eastAsia="Times New Roman" w:hAnsi="Times New Roman"/>
          <w:sz w:val="22"/>
          <w:szCs w:val="22"/>
          <w:color w:val="auto"/>
        </w:rPr>
      </w:pPr>
    </w:p>
    <w:p>
      <w:pPr>
        <w:ind w:left="1300" w:right="60" w:hanging="320"/>
        <w:spacing w:after="0" w:line="227" w:lineRule="auto"/>
        <w:tabs>
          <w:tab w:leader="none" w:pos="129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w:t>
      </w:r>
      <w:r>
        <w:rPr>
          <w:rFonts w:ascii="Times New Roman" w:cs="Times New Roman" w:eastAsia="Times New Roman" w:hAnsi="Times New Roman"/>
          <w:sz w:val="22"/>
          <w:szCs w:val="22"/>
          <w:u w:val="single" w:color="auto"/>
          <w:color w:val="auto"/>
        </w:rPr>
        <w:t>equity award has been exercised or settled into shares</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Underlying Shares</w:t>
      </w:r>
      <w:r>
        <w:rPr>
          <w:rFonts w:ascii="Times New Roman" w:cs="Times New Roman" w:eastAsia="Times New Roman" w:hAnsi="Times New Roman"/>
          <w:sz w:val="22"/>
          <w:szCs w:val="22"/>
          <w:color w:val="auto"/>
        </w:rPr>
        <w:t>”), and the Executive Officer still holds the Underlying Shares, the Company will recover the number of Underlying Shares relating to the excess portion of the award (less any exercise price paid for the Underlying Shares); and</w:t>
      </w:r>
    </w:p>
    <w:p>
      <w:pPr>
        <w:spacing w:after="0" w:line="150" w:lineRule="exact"/>
        <w:rPr>
          <w:rFonts w:ascii="Times New Roman" w:cs="Times New Roman" w:eastAsia="Times New Roman" w:hAnsi="Times New Roman"/>
          <w:sz w:val="22"/>
          <w:szCs w:val="22"/>
          <w:color w:val="auto"/>
        </w:rPr>
      </w:pPr>
    </w:p>
    <w:p>
      <w:pPr>
        <w:ind w:left="1300" w:right="20" w:hanging="320"/>
        <w:spacing w:after="0" w:line="225" w:lineRule="auto"/>
        <w:tabs>
          <w:tab w:leader="none" w:pos="129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w:t>
      </w:r>
      <w:r>
        <w:rPr>
          <w:rFonts w:ascii="Times New Roman" w:cs="Times New Roman" w:eastAsia="Times New Roman" w:hAnsi="Times New Roman"/>
          <w:sz w:val="22"/>
          <w:szCs w:val="22"/>
          <w:u w:val="single" w:color="auto"/>
          <w:color w:val="auto"/>
        </w:rPr>
        <w:t>Underlying Shares have been sold by the Executive Officer</w:t>
      </w:r>
      <w:r>
        <w:rPr>
          <w:rFonts w:ascii="Times New Roman" w:cs="Times New Roman" w:eastAsia="Times New Roman" w:hAnsi="Times New Roman"/>
          <w:sz w:val="22"/>
          <w:szCs w:val="22"/>
          <w:color w:val="auto"/>
        </w:rPr>
        <w:t>, the Company will recover the proceeds received by the Executive Officer from the sale of the Underlying Shares relating to the excess portion of the award (less any exercise price paid for the Underlying Shares).</w:t>
      </w:r>
    </w:p>
    <w:p>
      <w:pPr>
        <w:spacing w:after="0" w:line="153" w:lineRule="exact"/>
        <w:rPr>
          <w:sz w:val="20"/>
          <w:szCs w:val="20"/>
          <w:color w:val="auto"/>
        </w:rPr>
      </w:pPr>
    </w:p>
    <w:p>
      <w:pPr>
        <w:jc w:val="both"/>
        <w:ind w:firstLine="1296"/>
        <w:spacing w:after="0" w:line="227" w:lineRule="auto"/>
        <w:rPr>
          <w:sz w:val="20"/>
          <w:szCs w:val="20"/>
          <w:color w:val="auto"/>
        </w:rPr>
      </w:pPr>
      <w:r>
        <w:rPr>
          <w:rFonts w:ascii="Times New Roman" w:cs="Times New Roman" w:eastAsia="Times New Roman" w:hAnsi="Times New Roman"/>
          <w:sz w:val="21"/>
          <w:szCs w:val="21"/>
          <w:color w:val="auto"/>
        </w:rPr>
        <w:t>The Board (or its applicable committee) will take such action as it deems appropriate, in its sole and absolute discretion, reasonably promptly to recover the Recoverable Amount, unless a majority of the independent members of the Board (or, if composed of independent directors, the Compensation and Human Resources Committee) determines that it would be impracticable to recover such amount because the Company has made a reasonable and documented attempt to recover the Recoverable Amount and has determined that the direct costs of enforcing recovery would exceed the Recoverable Amount.</w:t>
      </w:r>
    </w:p>
    <w:p>
      <w:pPr>
        <w:spacing w:after="0" w:line="150"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E.</w:t>
      </w:r>
      <w:r>
        <w:rPr>
          <w:sz w:val="20"/>
          <w:szCs w:val="20"/>
          <w:color w:val="auto"/>
        </w:rPr>
        <w:tab/>
      </w:r>
      <w:r>
        <w:rPr>
          <w:rFonts w:ascii="Times New Roman" w:cs="Times New Roman" w:eastAsia="Times New Roman" w:hAnsi="Times New Roman"/>
          <w:sz w:val="21"/>
          <w:szCs w:val="21"/>
          <w:b w:val="1"/>
          <w:bCs w:val="1"/>
          <w:color w:val="auto"/>
        </w:rPr>
        <w:t>Additional Clawback Required by Section 304 of the Sarbanes-Oxley Act of 2002</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0D212A"/>
        </w:rPr>
        <w:t>In addition to the provisions described above, if the Company is required to prepare an accounting restatement due to the material noncompliance of the Company, as a result of misconduct, with any financial reporting requirement under the securities laws, then, in accordance with Section 304 of the Sarbanes-Oxley Act of 2002, the Chief Executive Officer and Chief Financial Officer (at the time the financial document embodying such financial reporting requirement was originally issued) shall reimburse the Company for:</w:t>
      </w:r>
    </w:p>
    <w:p>
      <w:pPr>
        <w:spacing w:after="0" w:line="152" w:lineRule="exact"/>
        <w:rPr>
          <w:sz w:val="20"/>
          <w:szCs w:val="20"/>
          <w:color w:val="auto"/>
        </w:rPr>
      </w:pPr>
    </w:p>
    <w:p>
      <w:pPr>
        <w:ind w:left="1300" w:right="320" w:hanging="320"/>
        <w:spacing w:after="0" w:line="225" w:lineRule="auto"/>
        <w:tabs>
          <w:tab w:leader="none" w:pos="1295" w:val="left"/>
        </w:tabs>
        <w:numPr>
          <w:ilvl w:val="1"/>
          <w:numId w:val="96"/>
        </w:numPr>
        <w:rPr>
          <w:rFonts w:ascii="Times New Roman" w:cs="Times New Roman" w:eastAsia="Times New Roman" w:hAnsi="Times New Roman"/>
          <w:sz w:val="22"/>
          <w:szCs w:val="22"/>
          <w:color w:val="0D212A"/>
        </w:rPr>
      </w:pPr>
      <w:r>
        <w:rPr>
          <w:rFonts w:ascii="Times New Roman" w:cs="Times New Roman" w:eastAsia="Times New Roman" w:hAnsi="Times New Roman"/>
          <w:sz w:val="22"/>
          <w:szCs w:val="22"/>
          <w:color w:val="0D212A"/>
        </w:rPr>
        <w:t>any bonus or other incentive-based or equity-based compensation received from the Company during the 12-month period following the first public issuance or filing with the Commission (whichever first occurs) of such financial document; and</w:t>
      </w:r>
    </w:p>
    <w:p>
      <w:pPr>
        <w:spacing w:after="0" w:line="152" w:lineRule="exact"/>
        <w:rPr>
          <w:rFonts w:ascii="Times New Roman" w:cs="Times New Roman" w:eastAsia="Times New Roman" w:hAnsi="Times New Roman"/>
          <w:sz w:val="22"/>
          <w:szCs w:val="22"/>
          <w:color w:val="0D212A"/>
        </w:rPr>
      </w:pPr>
    </w:p>
    <w:p>
      <w:pPr>
        <w:ind w:left="1300" w:hanging="320"/>
        <w:spacing w:after="0"/>
        <w:tabs>
          <w:tab w:leader="none" w:pos="1300" w:val="left"/>
        </w:tabs>
        <w:numPr>
          <w:ilvl w:val="1"/>
          <w:numId w:val="96"/>
        </w:numPr>
        <w:rPr>
          <w:rFonts w:ascii="Times New Roman" w:cs="Times New Roman" w:eastAsia="Times New Roman" w:hAnsi="Times New Roman"/>
          <w:sz w:val="22"/>
          <w:szCs w:val="22"/>
          <w:color w:val="0D212A"/>
        </w:rPr>
      </w:pPr>
      <w:r>
        <w:rPr>
          <w:rFonts w:ascii="Times New Roman" w:cs="Times New Roman" w:eastAsia="Times New Roman" w:hAnsi="Times New Roman"/>
          <w:sz w:val="22"/>
          <w:szCs w:val="22"/>
          <w:color w:val="0D212A"/>
        </w:rPr>
        <w:t>any profits realized from the sale of securities of the Company during that 12-month period.</w:t>
      </w:r>
    </w:p>
    <w:p>
      <w:pPr>
        <w:spacing w:after="0" w:line="175" w:lineRule="exact"/>
        <w:rPr>
          <w:rFonts w:ascii="Times New Roman" w:cs="Times New Roman" w:eastAsia="Times New Roman" w:hAnsi="Times New Roman"/>
          <w:sz w:val="22"/>
          <w:szCs w:val="22"/>
          <w:color w:val="0D212A"/>
        </w:rPr>
      </w:pPr>
    </w:p>
    <w:p>
      <w:pPr>
        <w:ind w:left="660"/>
        <w:spacing w:after="0"/>
        <w:rPr>
          <w:rFonts w:ascii="Times New Roman" w:cs="Times New Roman" w:eastAsia="Times New Roman" w:hAnsi="Times New Roman"/>
          <w:sz w:val="22"/>
          <w:szCs w:val="22"/>
          <w:color w:val="0D212A"/>
        </w:rPr>
      </w:pPr>
      <w:r>
        <w:rPr>
          <w:rFonts w:ascii="Times New Roman" w:cs="Times New Roman" w:eastAsia="Times New Roman" w:hAnsi="Times New Roman"/>
          <w:sz w:val="22"/>
          <w:szCs w:val="22"/>
          <w:b w:val="1"/>
          <w:bCs w:val="1"/>
          <w:color w:val="auto"/>
        </w:rPr>
        <w:t>F.  Crediting of Recovery Amounts</w:t>
      </w:r>
    </w:p>
    <w:p>
      <w:pPr>
        <w:spacing w:after="0" w:line="179" w:lineRule="exact"/>
        <w:rPr>
          <w:sz w:val="20"/>
          <w:szCs w:val="20"/>
          <w:color w:val="auto"/>
        </w:rPr>
      </w:pPr>
    </w:p>
    <w:p>
      <w:pPr>
        <w:jc w:val="both"/>
        <w:ind w:firstLine="1296"/>
        <w:spacing w:after="0" w:line="218" w:lineRule="auto"/>
        <w:rPr>
          <w:sz w:val="20"/>
          <w:szCs w:val="20"/>
          <w:color w:val="auto"/>
        </w:rPr>
      </w:pPr>
      <w:r>
        <w:rPr>
          <w:rFonts w:ascii="Times New Roman" w:cs="Times New Roman" w:eastAsia="Times New Roman" w:hAnsi="Times New Roman"/>
          <w:sz w:val="22"/>
          <w:szCs w:val="22"/>
          <w:color w:val="auto"/>
        </w:rPr>
        <w:t>To the extent that subsections A, B, C and D of this Policy (the “</w:t>
      </w:r>
      <w:r>
        <w:rPr>
          <w:rFonts w:ascii="Times New Roman" w:cs="Times New Roman" w:eastAsia="Times New Roman" w:hAnsi="Times New Roman"/>
          <w:sz w:val="22"/>
          <w:szCs w:val="22"/>
          <w:b w:val="1"/>
          <w:bCs w:val="1"/>
          <w:u w:val="single" w:color="auto"/>
          <w:color w:val="auto"/>
        </w:rPr>
        <w:t>Rule 10D-1 Clawback Requirements</w:t>
      </w:r>
      <w:r>
        <w:rPr>
          <w:rFonts w:ascii="Times New Roman" w:cs="Times New Roman" w:eastAsia="Times New Roman" w:hAnsi="Times New Roman"/>
          <w:sz w:val="22"/>
          <w:szCs w:val="22"/>
          <w:color w:val="auto"/>
        </w:rPr>
        <w:t>”) would provide for recovery of Incentive-Based Compensation recoverable by the Company pursuant to Section 304 of the Sarbanes-Oxley Act, in accordance with subsection E of this Policy (the “</w:t>
      </w:r>
      <w:r>
        <w:rPr>
          <w:rFonts w:ascii="Times New Roman" w:cs="Times New Roman" w:eastAsia="Times New Roman" w:hAnsi="Times New Roman"/>
          <w:sz w:val="22"/>
          <w:szCs w:val="22"/>
          <w:b w:val="1"/>
          <w:bCs w:val="1"/>
          <w:u w:val="single" w:color="auto"/>
          <w:color w:val="auto"/>
        </w:rPr>
        <w:t>Sarbanes-Oxley Clawback Requirements</w:t>
      </w:r>
      <w:r>
        <w:rPr>
          <w:rFonts w:ascii="Times New Roman" w:cs="Times New Roman" w:eastAsia="Times New Roman" w:hAnsi="Times New Roman"/>
          <w:sz w:val="22"/>
          <w:szCs w:val="22"/>
          <w:color w:val="auto"/>
        </w:rPr>
        <w:t>”), and/or any other recovery obligations (including pursuant to employment agreements, or plan awards), the amount such Executive Officer has already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81" w:name="page182"/>
    <w:bookmarkEnd w:id="181"/>
    <w:p>
      <w:pPr>
        <w:jc w:val="both"/>
        <w:spacing w:after="0" w:line="225" w:lineRule="auto"/>
        <w:rPr>
          <w:sz w:val="20"/>
          <w:szCs w:val="20"/>
          <w:color w:val="auto"/>
        </w:rPr>
      </w:pPr>
      <w:r>
        <w:rPr>
          <w:rFonts w:ascii="Times New Roman" w:cs="Times New Roman" w:eastAsia="Times New Roman" w:hAnsi="Times New Roman"/>
          <w:sz w:val="22"/>
          <w:szCs w:val="22"/>
          <w:color w:val="auto"/>
        </w:rPr>
        <w:t>reimbursed the Company shall be credited to the required recovery under the Rule 10D-1 Clawback Requirements. Recovery pursuant to the Rule 10D-1 Clawback Requirements does not preclude recovery under the Sarbanes-Oxley Clawback Requirements, to the extent any applicable amounts have not been reimbursed to the Company.</w:t>
      </w:r>
    </w:p>
    <w:p>
      <w:pPr>
        <w:spacing w:after="0" w:line="39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2"/>
          <w:szCs w:val="22"/>
          <w:b w:val="1"/>
          <w:bCs w:val="1"/>
          <w:color w:val="auto"/>
        </w:rPr>
        <w:t>G.</w:t>
      </w:r>
      <w:r>
        <w:rPr>
          <w:sz w:val="20"/>
          <w:szCs w:val="20"/>
          <w:color w:val="auto"/>
        </w:rPr>
        <w:tab/>
      </w:r>
      <w:r>
        <w:rPr>
          <w:rFonts w:ascii="Times New Roman" w:cs="Times New Roman" w:eastAsia="Times New Roman" w:hAnsi="Times New Roman"/>
          <w:sz w:val="21"/>
          <w:szCs w:val="21"/>
          <w:b w:val="1"/>
          <w:bCs w:val="1"/>
          <w:color w:val="auto"/>
        </w:rPr>
        <w:t>General Provisions</w:t>
      </w:r>
    </w:p>
    <w:p>
      <w:pPr>
        <w:spacing w:after="0" w:line="18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This Policy may be amended by the Board or its applicable committee from time to time. Changes to this Policy will be communicated to all persons to whom this Policy applies.</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The Company will not indemnify or provide insurance to cover any repayment of Incentive-Based Compensation in accordance with this Policy.</w:t>
      </w:r>
    </w:p>
    <w:p>
      <w:pPr>
        <w:spacing w:after="0" w:line="150"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The provisions of this Policy apply to the fullest extent of the law; provided however, to the extent that any provisions of this Policy are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This Policy is in addition to (and not in lieu of) any right of repayment, forfeiture or right of offset against any Executive Officer that is required pursuant to any other statutory repayment requirement (regardless of whether implemented at any time prior to or following the adoption of this Policy). Nothing in this Policy in any way detracts from or limits any obligation that those subject to it have in law or pursuant to a management, employment, consulting, equity award or other plan or agreement with the Company or any of its subsidiaries.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All determinations and decisions made by the Board (or any committee thereof) pursuant to the provisions of this Policy shall be final, conclusive and binding on the Company, its subsidiaries and the persons to whom this Policy applies. Executive Officers (as defined above) are required to acknowledge annually that they have read this Policy and understand this Policy shall be binding and enforceable against them, their beneficiaries, heirs, executors, administrators or other legal representatives. If you have questions about the interpretation of this Policy, please contact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o"/>
      <w:numFmt w:val="bullet"/>
      <w:start w:val="1"/>
    </w:lvl>
  </w:abstractNum>
  <w:abstractNum w:abstractNumId="2">
    <w:nsid w:val="579478FE"/>
    <w:multiLevelType w:val="hybridMultilevel"/>
    <w:lvl w:ilvl="0">
      <w:lvlJc w:val="left"/>
      <w:lvlText w:val="\endash "/>
      <w:numFmt w:val="bullet"/>
      <w:start w:val="1"/>
    </w:lvl>
  </w:abstractNum>
  <w:abstractNum w:abstractNumId="3">
    <w:nsid w:val="749ABB43"/>
    <w:multiLevelType w:val="hybridMultilevel"/>
    <w:lvl w:ilvl="0">
      <w:lvlJc w:val="left"/>
      <w:lvlText w:val="(%1)"/>
      <w:numFmt w:val="decimal"/>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1)"/>
      <w:numFmt w:val="decimal"/>
      <w:start w:val="1"/>
    </w:lvl>
  </w:abstractNum>
  <w:abstractNum w:abstractNumId="19">
    <w:nsid w:val="235BA861"/>
    <w:multiLevelType w:val="hybridMultilevel"/>
    <w:lvl w:ilvl="0">
      <w:lvlJc w:val="left"/>
      <w:lvlText w:val="(%1)"/>
      <w:numFmt w:val="lowerLetter"/>
      <w:start w:val="1"/>
    </w:lvl>
  </w:abstractNum>
  <w:abstractNum w:abstractNumId="20">
    <w:nsid w:val="47398C89"/>
    <w:multiLevelType w:val="hybridMultilevel"/>
    <w:lvl w:ilvl="0">
      <w:lvlJc w:val="left"/>
      <w:lvlText w:val="(%1)"/>
      <w:numFmt w:val="lowerLetter"/>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1."/>
      <w:numFmt w:val="lowerRoman"/>
      <w:start w:val="1"/>
    </w:lvl>
  </w:abstractNum>
  <w:abstractNum w:abstractNumId="23">
    <w:nsid w:val="741226BB"/>
    <w:multiLevelType w:val="hybridMultilevel"/>
    <w:lvl w:ilvl="0">
      <w:lvlJc w:val="left"/>
      <w:lvlText w:val="\endash "/>
      <w:numFmt w:val="bullet"/>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decimal"/>
      <w:start w:val="1"/>
    </w:lvl>
    <w:lvl w:ilvl="1">
      <w:lvlJc w:val="left"/>
      <w:lvlText w:val="(%2)"/>
      <w:numFmt w:val="decimal"/>
      <w:start w:val="1"/>
    </w:lvl>
  </w:abstractNum>
  <w:abstractNum w:abstractNumId="26">
    <w:nsid w:val="3F6AB60F"/>
    <w:multiLevelType w:val="hybridMultilevel"/>
    <w:lvl w:ilvl="0">
      <w:lvlJc w:val="left"/>
      <w:lvlText w:val="%1."/>
      <w:numFmt w:val="decimal"/>
      <w:start w:val="4"/>
    </w:lvl>
    <w:lvl w:ilvl="1">
      <w:lvlJc w:val="left"/>
      <w:lvlText w:val="%2"/>
      <w:numFmt w:val="decimal"/>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5"/>
    </w:lvl>
  </w:abstractNum>
  <w:abstractNum w:abstractNumId="35">
    <w:nsid w:val="1DBABF00"/>
    <w:multiLevelType w:val="hybridMultilevel"/>
    <w:lvl w:ilvl="0">
      <w:lvlJc w:val="left"/>
      <w:lvlText w:val="(%1)"/>
      <w:numFmt w:val="decimal"/>
      <w:start w:val="2"/>
    </w:lvl>
  </w:abstractNum>
  <w:abstractNum w:abstractNumId="36">
    <w:nsid w:val="4AD084E9"/>
    <w:multiLevelType w:val="hybridMultilevel"/>
    <w:lvl w:ilvl="0">
      <w:lvlJc w:val="left"/>
      <w:lvlText w:val="%1."/>
      <w:numFmt w:val="decimal"/>
      <w:start w:val="19"/>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1)"/>
      <w:numFmt w:val="decimal"/>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1."/>
      <w:numFmt w:val="decimal"/>
      <w:start w:val="1"/>
    </w:lvl>
    <w:lvl w:ilvl="1">
      <w:lvlJc w:val="left"/>
      <w:lvlText w:val="(%2)"/>
      <w:numFmt w:val="lowerLetter"/>
      <w:start w:val="1"/>
    </w:lvl>
  </w:abstractNum>
  <w:abstractNum w:abstractNumId="51">
    <w:nsid w:val="5DC79EA8"/>
    <w:multiLevelType w:val="hybridMultilevel"/>
    <w:lvl w:ilvl="0">
      <w:lvlJc w:val="left"/>
      <w:lvlText w:val="%1."/>
      <w:numFmt w:val="decimal"/>
      <w:start w:val="4"/>
    </w:lvl>
    <w:lvl w:ilvl="1">
      <w:lvlJc w:val="left"/>
      <w:lvlText w:val="(%2)"/>
      <w:numFmt w:val="lowerLetter"/>
      <w:start w:val="1"/>
    </w:lvl>
  </w:abstractNum>
  <w:abstractNum w:abstractNumId="52">
    <w:nsid w:val="540A471C"/>
    <w:multiLevelType w:val="hybridMultilevel"/>
    <w:lvl w:ilvl="0">
      <w:lvlJc w:val="left"/>
      <w:lvlText w:val="%1."/>
      <w:numFmt w:val="decimal"/>
      <w:start w:val="7"/>
    </w:lvl>
  </w:abstractNum>
  <w:abstractNum w:abstractNumId="53">
    <w:nsid w:val="7BD3EE7B"/>
    <w:multiLevelType w:val="hybridMultilevel"/>
    <w:lvl w:ilvl="0">
      <w:lvlJc w:val="left"/>
      <w:lvlText w:val="%1."/>
      <w:numFmt w:val="decimal"/>
      <w:start w:val="8"/>
    </w:lvl>
    <w:lvl w:ilvl="1">
      <w:lvlJc w:val="left"/>
      <w:lvlText w:val="(%2)"/>
      <w:numFmt w:val="lowerLetter"/>
      <w:start w:val="1"/>
    </w:lvl>
  </w:abstractNum>
  <w:abstractNum w:abstractNumId="54">
    <w:nsid w:val="51D9C564"/>
    <w:multiLevelType w:val="hybridMultilevel"/>
    <w:lvl w:ilvl="0">
      <w:lvlJc w:val="left"/>
      <w:lvlText w:val="%1."/>
      <w:numFmt w:val="decimal"/>
      <w:start w:val="9"/>
    </w:lvl>
    <w:lvl w:ilvl="1">
      <w:lvlJc w:val="left"/>
      <w:lvlText w:val="(%2)"/>
      <w:numFmt w:val="lowerLetter"/>
      <w:start w:val="1"/>
    </w:lvl>
  </w:abstractNum>
  <w:abstractNum w:abstractNumId="55">
    <w:nsid w:val="613EFDC5"/>
    <w:multiLevelType w:val="hybridMultilevel"/>
    <w:lvl w:ilvl="0">
      <w:lvlJc w:val="left"/>
      <w:lvlText w:val="(%1)"/>
      <w:numFmt w:val="lowerLetter"/>
      <w:start w:val="8"/>
    </w:lvl>
    <w:lvl w:ilvl="1">
      <w:lvlJc w:val="left"/>
      <w:lvlText w:val="(%2)"/>
      <w:numFmt w:val="lowerRoman"/>
      <w:start w:val="1"/>
    </w:lvl>
  </w:abstractNum>
  <w:abstractNum w:abstractNumId="56">
    <w:nsid w:val="BF72B14"/>
    <w:multiLevelType w:val="hybridMultilevel"/>
    <w:lvl w:ilvl="0">
      <w:lvlJc w:val="left"/>
      <w:lvlText w:val="(%1)"/>
      <w:numFmt w:val="lowerLetter"/>
      <w:start w:val="13"/>
    </w:lvl>
  </w:abstractNum>
  <w:abstractNum w:abstractNumId="57">
    <w:nsid w:val="11447B73"/>
    <w:multiLevelType w:val="hybridMultilevel"/>
    <w:lvl w:ilvl="0">
      <w:lvlJc w:val="left"/>
      <w:lvlText w:val="%1."/>
      <w:numFmt w:val="decimal"/>
      <w:start w:val="1"/>
    </w:lvl>
    <w:lvl w:ilvl="1">
      <w:lvlJc w:val="left"/>
      <w:lvlText w:val="(%2)"/>
      <w:numFmt w:val="lowerLetter"/>
      <w:start w:val="1"/>
    </w:lvl>
  </w:abstractNum>
  <w:abstractNum w:abstractNumId="58">
    <w:nsid w:val="42963E5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9">
    <w:nsid w:val="A0382C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0">
    <w:nsid w:val="8F2B15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1">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62">
    <w:nsid w:val="3B0FD37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3">
    <w:nsid w:val="68EB2F6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4">
    <w:nsid w:val="4962813B"/>
    <w:multiLevelType w:val="hybridMultilevel"/>
    <w:lvl w:ilvl="0">
      <w:lvlJc w:val="left"/>
      <w:lvlText w:val="%1"/>
      <w:numFmt w:val="decimal"/>
      <w:start w:val="1"/>
    </w:lvl>
    <w:lvl w:ilvl="1">
      <w:lvlJc w:val="left"/>
      <w:lvlText w:val="(%2)"/>
      <w:numFmt w:val="lowerLetter"/>
      <w:start w:val="2"/>
    </w:lvl>
  </w:abstractNum>
  <w:abstractNum w:abstractNumId="65">
    <w:nsid w:val="60B6DF70"/>
    <w:multiLevelType w:val="hybridMultilevel"/>
    <w:lvl w:ilvl="0">
      <w:lvlJc w:val="left"/>
      <w:lvlText w:val="%1."/>
      <w:numFmt w:val="decimal"/>
      <w:start w:val="5"/>
    </w:lvl>
    <w:lvl w:ilvl="1">
      <w:lvlJc w:val="left"/>
      <w:lvlText w:val="%2"/>
      <w:numFmt w:val="lowerLetter"/>
      <w:start w:val="1"/>
    </w:lvl>
  </w:abstractNum>
  <w:abstractNum w:abstractNumId="66">
    <w:nsid w:val="6A5EE64"/>
    <w:multiLevelType w:val="hybridMultilevel"/>
    <w:lvl w:ilvl="0">
      <w:lvlJc w:val="left"/>
      <w:lvlText w:val="%1."/>
      <w:numFmt w:val="decimal"/>
      <w:start w:val="9"/>
    </w:lvl>
  </w:abstractNum>
  <w:abstractNum w:abstractNumId="67">
    <w:nsid w:val="14330624"/>
    <w:multiLevelType w:val="hybridMultilevel"/>
    <w:lvl w:ilvl="0">
      <w:lvlJc w:val="left"/>
      <w:lvlText w:val="%1."/>
      <w:numFmt w:val="decimal"/>
      <w:start w:val="1"/>
    </w:lvl>
    <w:lvl w:ilvl="1">
      <w:lvlJc w:val="left"/>
      <w:lvlText w:val="(%2)"/>
      <w:numFmt w:val="lowerLetter"/>
      <w:start w:val="1"/>
    </w:lvl>
  </w:abstractNum>
  <w:abstractNum w:abstractNumId="68">
    <w:nsid w:val="7FFFCA1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69">
    <w:nsid w:val="1A27709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70">
    <w:nsid w:val="71EA110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1">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2">
    <w:nsid w:val="7FB7E0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3">
    <w:nsid w:val="6EB5B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4">
    <w:nsid w:val="6F6DD9AC"/>
    <w:multiLevelType w:val="hybridMultilevel"/>
    <w:lvl w:ilvl="0">
      <w:lvlJc w:val="left"/>
      <w:lvlText w:val="%1"/>
      <w:numFmt w:val="decimal"/>
      <w:start w:val="1"/>
    </w:lvl>
    <w:lvl w:ilvl="1">
      <w:lvlJc w:val="left"/>
      <w:lvlText w:val="(%2)"/>
      <w:numFmt w:val="lowerLetter"/>
      <w:start w:val="3"/>
    </w:lvl>
  </w:abstractNum>
  <w:abstractNum w:abstractNumId="75">
    <w:nsid w:val="94211F2"/>
    <w:multiLevelType w:val="hybridMultilevel"/>
    <w:lvl w:ilvl="0">
      <w:lvlJc w:val="left"/>
      <w:lvlText w:val="%1."/>
      <w:numFmt w:val="decimal"/>
      <w:start w:val="5"/>
    </w:lvl>
    <w:lvl w:ilvl="1">
      <w:lvlJc w:val="left"/>
      <w:lvlText w:val="%2"/>
      <w:numFmt w:val="lowerLetter"/>
      <w:start w:val="1"/>
    </w:lvl>
  </w:abstractNum>
  <w:abstractNum w:abstractNumId="76">
    <w:nsid w:val="885E1B"/>
    <w:multiLevelType w:val="hybridMultilevel"/>
    <w:lvl w:ilvl="0">
      <w:lvlJc w:val="left"/>
      <w:lvlText w:val="%1."/>
      <w:numFmt w:val="decimal"/>
      <w:start w:val="9"/>
    </w:lvl>
  </w:abstractNum>
  <w:abstractNum w:abstractNumId="77">
    <w:nsid w:val="76272110"/>
    <w:multiLevelType w:val="hybridMultilevel"/>
    <w:lvl w:ilvl="0">
      <w:lvlJc w:val="left"/>
      <w:lvlText w:val="%1."/>
      <w:numFmt w:val="decimal"/>
      <w:start w:val="1"/>
    </w:lvl>
    <w:lvl w:ilvl="1">
      <w:lvlJc w:val="left"/>
      <w:lvlText w:val="(%2)"/>
      <w:numFmt w:val="lowerLetter"/>
      <w:start w:val="1"/>
    </w:lvl>
  </w:abstractNum>
  <w:abstractNum w:abstractNumId="78">
    <w:nsid w:val="4C04A8A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9">
    <w:nsid w:val="1716703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0">
    <w:nsid w:val="14E17E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1">
    <w:nsid w:val="3222E7C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2">
    <w:nsid w:val="74DE0EE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68EBC55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4">
    <w:nsid w:val="2DF6D648"/>
    <w:multiLevelType w:val="hybridMultilevel"/>
    <w:lvl w:ilvl="0">
      <w:lvlJc w:val="left"/>
      <w:lvlText w:val="%1"/>
      <w:numFmt w:val="decimal"/>
      <w:start w:val="1"/>
    </w:lvl>
    <w:lvl w:ilvl="1">
      <w:lvlJc w:val="left"/>
      <w:lvlText w:val="(%2)"/>
      <w:numFmt w:val="lowerLetter"/>
      <w:start w:val="3"/>
    </w:lvl>
  </w:abstractNum>
  <w:abstractNum w:abstractNumId="85">
    <w:nsid w:val="46B7D447"/>
    <w:multiLevelType w:val="hybridMultilevel"/>
    <w:lvl w:ilvl="0">
      <w:lvlJc w:val="left"/>
      <w:lvlText w:val="%1."/>
      <w:numFmt w:val="decimal"/>
      <w:start w:val="5"/>
    </w:lvl>
    <w:lvl w:ilvl="1">
      <w:lvlJc w:val="left"/>
      <w:lvlText w:val="%2"/>
      <w:numFmt w:val="lowerLetter"/>
      <w:start w:val="1"/>
    </w:lvl>
  </w:abstractNum>
  <w:abstractNum w:abstractNumId="86">
    <w:nsid w:val="4A2AC315"/>
    <w:multiLevelType w:val="hybridMultilevel"/>
    <w:lvl w:ilvl="0">
      <w:lvlJc w:val="left"/>
      <w:lvlText w:val="%1."/>
      <w:numFmt w:val="decimal"/>
      <w:start w:val="9"/>
    </w:lvl>
  </w:abstractNum>
  <w:abstractNum w:abstractNumId="87">
    <w:nsid w:val="39EE015C"/>
    <w:multiLevelType w:val="hybridMultilevel"/>
    <w:lvl w:ilvl="0">
      <w:lvlJc w:val="left"/>
      <w:lvlText w:val="%1."/>
      <w:numFmt w:val="decimal"/>
      <w:start w:val="1"/>
    </w:lvl>
    <w:lvl w:ilvl="1">
      <w:lvlJc w:val="left"/>
      <w:lvlText w:val="(%2)"/>
      <w:numFmt w:val="lowerLetter"/>
      <w:start w:val="1"/>
    </w:lvl>
  </w:abstractNum>
  <w:abstractNum w:abstractNumId="88">
    <w:nsid w:val="57FC4FBB"/>
    <w:multiLevelType w:val="hybridMultilevel"/>
    <w:lvl w:ilvl="0">
      <w:lvlJc w:val="left"/>
      <w:lvlText w:val="%1."/>
      <w:numFmt w:val="decimal"/>
      <w:start w:val="1"/>
    </w:lvl>
    <w:lvl w:ilvl="1">
      <w:lvlJc w:val="left"/>
      <w:lvlText w:val="(%2)"/>
      <w:numFmt w:val="lowerLetter"/>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upperLetter"/>
      <w:start w:val="1"/>
    </w:lvl>
  </w:abstractNum>
  <w:abstractNum w:abstractNumId="91">
    <w:nsid w:val="60EF0119"/>
    <w:multiLevelType w:val="hybridMultilevel"/>
    <w:lvl w:ilvl="0">
      <w:lvlJc w:val="left"/>
      <w:lvlText w:val="%1."/>
      <w:numFmt w:val="upperLetter"/>
      <w:start w:val="2"/>
    </w:lvl>
  </w:abstractNum>
  <w:abstractNum w:abstractNumId="92">
    <w:nsid w:val="26F324BA"/>
    <w:multiLevelType w:val="hybridMultilevel"/>
    <w:lvl w:ilvl="0">
      <w:lvlJc w:val="left"/>
      <w:lvlText w:val="%1."/>
      <w:numFmt w:val="upperLetter"/>
      <w:start w:val="3"/>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1"/>
      <w:numFmt w:val="upp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21" Type="http://schemas.openxmlformats.org/officeDocument/2006/relationships/image" Target="media/image203.png"/><Relationship Id="rId231"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60" Type="http://schemas.openxmlformats.org/officeDocument/2006/relationships/image" Target="media/image207.png"/><Relationship Id="rId273" Type="http://schemas.openxmlformats.org/officeDocument/2006/relationships/image" Target="media/image208.png"/><Relationship Id="rId274" Type="http://schemas.openxmlformats.org/officeDocument/2006/relationships/image" Target="media/image209.png"/><Relationship Id="rId275" Type="http://schemas.openxmlformats.org/officeDocument/2006/relationships/image" Target="media/image210.png"/><Relationship Id="rId276" Type="http://schemas.openxmlformats.org/officeDocument/2006/relationships/image" Target="media/image211.png"/><Relationship Id="rId277" Type="http://schemas.openxmlformats.org/officeDocument/2006/relationships/image" Target="media/image212.png"/><Relationship Id="rId278" Type="http://schemas.openxmlformats.org/officeDocument/2006/relationships/image" Target="media/image213.png"/><Relationship Id="rId279" Type="http://schemas.openxmlformats.org/officeDocument/2006/relationships/image" Target="media/image214.png"/><Relationship Id="rId280" Type="http://schemas.openxmlformats.org/officeDocument/2006/relationships/image" Target="media/image215.png"/><Relationship Id="rId281" Type="http://schemas.openxmlformats.org/officeDocument/2006/relationships/image" Target="media/image216.png"/><Relationship Id="rId282" Type="http://schemas.openxmlformats.org/officeDocument/2006/relationships/image" Target="media/image217.png"/><Relationship Id="rId283" Type="http://schemas.openxmlformats.org/officeDocument/2006/relationships/image" Target="media/image218.png"/><Relationship Id="rId284" Type="http://schemas.openxmlformats.org/officeDocument/2006/relationships/image" Target="media/image219.png"/><Relationship Id="rId285" Type="http://schemas.openxmlformats.org/officeDocument/2006/relationships/image" Target="media/image220.png"/><Relationship Id="rId286" Type="http://schemas.openxmlformats.org/officeDocument/2006/relationships/image" Target="media/image221.png"/><Relationship Id="rId287" Type="http://schemas.openxmlformats.org/officeDocument/2006/relationships/image" Target="media/image222.png"/><Relationship Id="rId288" Type="http://schemas.openxmlformats.org/officeDocument/2006/relationships/image" Target="media/image223.png"/><Relationship Id="rId210" Type="http://schemas.openxmlformats.org/officeDocument/2006/relationships/hyperlink" Target="https://www.sec.gov/Archives/edgar/data/1743907/000119312521083088/d54989dex31.htm" TargetMode="External"/><Relationship Id="rId211" Type="http://schemas.openxmlformats.org/officeDocument/2006/relationships/hyperlink" Target="https://www.sec.gov/Archives/edgar/data/1743907/000119312521083088/d54989dex32.htm" TargetMode="External"/><Relationship Id="rId212" Type="http://schemas.openxmlformats.org/officeDocument/2006/relationships/hyperlink" Target="https://www.sec.gov/Archives/edgar/data/1743907/000119312521032486/d71456dex41.htm" TargetMode="External"/><Relationship Id="rId213" Type="http://schemas.openxmlformats.org/officeDocument/2006/relationships/hyperlink" Target="https://www.sec.gov/Archives/edgar/data/1743907/000119312521032486/d71456dex42.htm" TargetMode="External"/><Relationship Id="rId214" Type="http://schemas.openxmlformats.org/officeDocument/2006/relationships/hyperlink" Target="https://www.sec.gov/Archives/edgar/data/1743907/000119312521032486/d71456dex43.htm" TargetMode="External"/><Relationship Id="rId215" Type="http://schemas.openxmlformats.org/officeDocument/2006/relationships/hyperlink" Target="https://www.sec.gov/Archives/edgar/data/1743907/000119312521032486/d71456dex44.htm" TargetMode="External"/><Relationship Id="rId216" Type="http://schemas.openxmlformats.org/officeDocument/2006/relationships/hyperlink" Target="https://www.sec.gov/Archives/edgar/data/1743907/000119312521032486/d71456dex45.htm" TargetMode="External"/><Relationship Id="rId217" Type="http://schemas.openxmlformats.org/officeDocument/2006/relationships/hyperlink" Target="https://www.sec.gov/Archives/edgar/data/1743907/000119312522095256/d331629dex41.htm" TargetMode="External"/><Relationship Id="rId218" Type="http://schemas.openxmlformats.org/officeDocument/2006/relationships/hyperlink" Target="https://www.sec.gov/Archives/edgar/data/1743907/000119312522095256/d331629dex42.htm" TargetMode="External"/><Relationship Id="rId219" Type="http://schemas.openxmlformats.org/officeDocument/2006/relationships/hyperlink" Target="https://www.sec.gov/Archives/edgar/data/1743907/000119312522095256/d331629dex43.htm" TargetMode="External"/><Relationship Id="rId220" Type="http://schemas.openxmlformats.org/officeDocument/2006/relationships/hyperlink" Target="https://www.sec.gov/Archives/edgar/data/1743907/000119312522095256/d331629dex44.htm" TargetMode="External"/><Relationship Id="rId222" Type="http://schemas.openxmlformats.org/officeDocument/2006/relationships/hyperlink" Target="https://www.sec.gov/Archives/edgar/data/1743907/000119312521032486/d71456dex105.htm" TargetMode="External"/><Relationship Id="rId223" Type="http://schemas.openxmlformats.org/officeDocument/2006/relationships/hyperlink" Target="https://www.sec.gov/Archives/edgar/data/1743907/000119312521032486/d71456dex106.htm" TargetMode="External"/><Relationship Id="rId224" Type="http://schemas.openxmlformats.org/officeDocument/2006/relationships/hyperlink" Target="https://www.sec.gov/Archives/edgar/data/1743907/000119312521032486/d71456dex107.htm" TargetMode="External"/><Relationship Id="rId225" Type="http://schemas.openxmlformats.org/officeDocument/2006/relationships/hyperlink" Target="https://www.sec.gov/Archives/edgar/data/1743907/000119312521032486/d71456dex108.htm" TargetMode="External"/><Relationship Id="rId226" Type="http://schemas.openxmlformats.org/officeDocument/2006/relationships/hyperlink" Target="https://www.sec.gov/Archives/edgar/data/1743907/000119312521032486/d71456dex109.htm" TargetMode="External"/><Relationship Id="rId227" Type="http://schemas.openxmlformats.org/officeDocument/2006/relationships/hyperlink" Target="https://www.sec.gov/Archives/edgar/data/1743907/000119312521032486/d71456dex1010.htm" TargetMode="External"/><Relationship Id="rId228" Type="http://schemas.openxmlformats.org/officeDocument/2006/relationships/hyperlink" Target="https://www.sec.gov/Archives/edgar/data/1743907/000119312521032486/d71456dex1011.htm" TargetMode="External"/><Relationship Id="rId229" Type="http://schemas.openxmlformats.org/officeDocument/2006/relationships/hyperlink" Target="https://www.sec.gov/Archives/edgar/data/1743907/000119312521032486/d71456dex1012.htm" TargetMode="External"/><Relationship Id="rId230" Type="http://schemas.openxmlformats.org/officeDocument/2006/relationships/hyperlink" Target="https://www.sec.gov/Archives/edgar/data/1743907/000119312521032486/d71456dex1013.htm" TargetMode="External"/><Relationship Id="rId232" Type="http://schemas.openxmlformats.org/officeDocument/2006/relationships/hyperlink" Target="https://www.sec.gov/Archives/edgar/data/1743907/000119312521032486/d71456dex1014.htm" TargetMode="External"/><Relationship Id="rId233" Type="http://schemas.openxmlformats.org/officeDocument/2006/relationships/hyperlink" Target="https://www.sec.gov/Archives/edgar/data/1743907/000119312521032486/d71456dex1015.htm" TargetMode="External"/><Relationship Id="rId234" Type="http://schemas.openxmlformats.org/officeDocument/2006/relationships/hyperlink" Target="https://www.sec.gov/Archives/edgar/data/1743907/000119312521032486/d71456dex1016.htm" TargetMode="External"/><Relationship Id="rId235" Type="http://schemas.openxmlformats.org/officeDocument/2006/relationships/hyperlink" Target="https://www.sec.gov/Archives/edgar/data/1743907/000119312521032486/d71456dex1017.htm" TargetMode="External"/><Relationship Id="rId236" Type="http://schemas.openxmlformats.org/officeDocument/2006/relationships/hyperlink" Target="https://www.sec.gov/Archives/edgar/data/1743907/000119312521032486/d71456dex1018.htm" TargetMode="External"/><Relationship Id="rId237" Type="http://schemas.openxmlformats.org/officeDocument/2006/relationships/hyperlink" Target="https://www.sec.gov/Archives/edgar/data/1743907/000119312521032486/d71456dex1019.htm" TargetMode="External"/><Relationship Id="rId238" Type="http://schemas.openxmlformats.org/officeDocument/2006/relationships/hyperlink" Target="https://www.sec.gov/Archives/edgar/data/1743907/000119312521032486/d71456dex1020.htm" TargetMode="External"/><Relationship Id="rId239" Type="http://schemas.openxmlformats.org/officeDocument/2006/relationships/hyperlink" Target="https://www.sec.gov/Archives/edgar/data/1743907/000119312521032486/d71456dex1021.htm" TargetMode="External"/><Relationship Id="rId240" Type="http://schemas.openxmlformats.org/officeDocument/2006/relationships/hyperlink" Target="https://www.sec.gov/Archives/edgar/data/1743907/000119312521032486/d71456dex1022.htm" TargetMode="External"/><Relationship Id="rId241" Type="http://schemas.openxmlformats.org/officeDocument/2006/relationships/hyperlink" Target="https://www.sec.gov/Archives/edgar/data/1743907/000119312521032486/d71456dex1023.htm" TargetMode="External"/><Relationship Id="rId242" Type="http://schemas.openxmlformats.org/officeDocument/2006/relationships/hyperlink" Target="https://www.sec.gov/Archives/edgar/data/1743907/000119312521032486/d71456dex1024.htm" TargetMode="External"/><Relationship Id="rId243" Type="http://schemas.openxmlformats.org/officeDocument/2006/relationships/hyperlink" Target="https://www.sec.gov/Archives/edgar/data/1743907/000119312521032486/d71456dex1025.htm" TargetMode="External"/><Relationship Id="rId244" Type="http://schemas.openxmlformats.org/officeDocument/2006/relationships/hyperlink" Target="https://www.sec.gov/Archives/edgar/data/1743907/000119312521032486/d71456dex1026.htm" TargetMode="External"/><Relationship Id="rId247" Type="http://schemas.openxmlformats.org/officeDocument/2006/relationships/hyperlink" Target="https://www.sec.gov/Archives/edgar/data/1743907/000119312521032486/d71456dex1027.htm" TargetMode="External"/><Relationship Id="rId248" Type="http://schemas.openxmlformats.org/officeDocument/2006/relationships/hyperlink" Target="https://www.sec.gov/Archives/edgar/data/1743907/000119312521032486/d71456dex1028.htm" TargetMode="External"/><Relationship Id="rId249" Type="http://schemas.openxmlformats.org/officeDocument/2006/relationships/hyperlink" Target="https://www.sec.gov/Archives/edgar/data/1743907/000119312521032486/d71456dex1029.htm" TargetMode="External"/><Relationship Id="rId250" Type="http://schemas.openxmlformats.org/officeDocument/2006/relationships/hyperlink" Target="https://www.sec.gov/Archives/edgar/data/1743907/000119312521032486/d71456dex1030.htm" TargetMode="External"/><Relationship Id="rId251" Type="http://schemas.openxmlformats.org/officeDocument/2006/relationships/hyperlink" Target="https://www.sec.gov/Archives/edgar/data/1743907/000119312521032486/d71456dex1031.htm" TargetMode="External"/><Relationship Id="rId252" Type="http://schemas.openxmlformats.org/officeDocument/2006/relationships/hyperlink" Target="https://www.sec.gov/Archives/edgar/data/1743907/000119312521032486/d71456dex1032.htm" TargetMode="External"/><Relationship Id="rId253" Type="http://schemas.openxmlformats.org/officeDocument/2006/relationships/hyperlink" Target="https://www.sec.gov/Archives/edgar/data/1743907/000119312521032486/d71456dex1033.htm" TargetMode="External"/><Relationship Id="rId254" Type="http://schemas.openxmlformats.org/officeDocument/2006/relationships/hyperlink" Target="https://www.sec.gov/Archives/edgar/data/1743907/000119312521032486/d71456dex1034.htm" TargetMode="External"/><Relationship Id="rId255" Type="http://schemas.openxmlformats.org/officeDocument/2006/relationships/hyperlink" Target="https://www.sec.gov/Archives/edgar/data/1743907/000119312521032486/d71456dex1035.htm" TargetMode="External"/><Relationship Id="rId256" Type="http://schemas.openxmlformats.org/officeDocument/2006/relationships/hyperlink" Target="https://www.sec.gov/Archives/edgar/data/1743907/000119312521032486/d71456dex1036.htm" TargetMode="External"/><Relationship Id="rId257" Type="http://schemas.openxmlformats.org/officeDocument/2006/relationships/hyperlink" Target="https://www.sec.gov/Archives/edgar/data/1743907/000119312521089702/d151286dex102.htm" TargetMode="External"/><Relationship Id="rId258" Type="http://schemas.openxmlformats.org/officeDocument/2006/relationships/hyperlink" Target="https://www.sec.gov/Archives/edgar/data/1743907/000119312521089702/d151286dex101.htm" TargetMode="External"/><Relationship Id="rId259" Type="http://schemas.openxmlformats.org/officeDocument/2006/relationships/hyperlink" Target="https://www.sec.gov/Archives/edgar/data/1743907/000119312521032486/d71456dex1039.htm" TargetMode="External"/><Relationship Id="rId261" Type="http://schemas.openxmlformats.org/officeDocument/2006/relationships/hyperlink" Target="https://www.sec.gov/Archives/edgar/data/1743907/000119312521032486/d71456dex1040.htm" TargetMode="External"/><Relationship Id="rId262" Type="http://schemas.openxmlformats.org/officeDocument/2006/relationships/hyperlink" Target="https://www.sec.gov/Archives/edgar/data/1743907/000119312521083088/d54989dex42.htm" TargetMode="External"/><Relationship Id="rId263" Type="http://schemas.openxmlformats.org/officeDocument/2006/relationships/hyperlink" Target="https://www.sec.gov/Archives/edgar/data/1743907/000119312521032486/d71456dex1042.htm" TargetMode="External"/><Relationship Id="rId264" Type="http://schemas.openxmlformats.org/officeDocument/2006/relationships/hyperlink" Target="https://www.sec.gov/Archives/edgar/data/1743907/000119312521032486/d71456dex1045.htm" TargetMode="External"/><Relationship Id="rId265" Type="http://schemas.openxmlformats.org/officeDocument/2006/relationships/hyperlink" Target="https://www.sec.gov/Archives/edgar/data/1743907/000119312521089702/d151286dex103.htm" TargetMode="External"/><Relationship Id="rId266" Type="http://schemas.openxmlformats.org/officeDocument/2006/relationships/hyperlink" Target="https://www.sec.gov/Archives/edgar/data/1743907/000119312521051676/d71456dex1047.htm" TargetMode="External"/><Relationship Id="rId267" Type="http://schemas.openxmlformats.org/officeDocument/2006/relationships/hyperlink" Target="https://www.sec.gov/Archives/edgar/data/1743907/000155837021009506/sncy-20210630xex10d1.htm" TargetMode="External"/><Relationship Id="rId268" Type="http://schemas.openxmlformats.org/officeDocument/2006/relationships/hyperlink" Target="https://www.sec.gov/Archives/edgar/data/1743907/000174390723000013/sncy-20230331x10xqexx102.htm" TargetMode="External"/><Relationship Id="rId269" Type="http://schemas.openxmlformats.org/officeDocument/2006/relationships/hyperlink" Target="https://www.sec.gov/Archives/edgar/data/1743907/000119312523143537/d485508dex101.htm" TargetMode="External"/><Relationship Id="rId270" Type="http://schemas.openxmlformats.org/officeDocument/2006/relationships/hyperlink" Target="https://www.sec.gov/Archives/edgar/data/1743907/000119312523143537/d485508dex102.htm" TargetMode="External"/><Relationship Id="rId271" Type="http://schemas.openxmlformats.org/officeDocument/2006/relationships/hyperlink" Target="https://www.sec.gov/Archives/edgar/data/1743907/000174390723000023/sncy-20230930x10xqex101.htm" TargetMode="External"/><Relationship Id="rId272" Type="http://schemas.openxmlformats.org/officeDocument/2006/relationships/hyperlink" Target="https://www.sec.gov/Archives/edgar/data/1743907/000119312521032486/d7145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2024-02-14T12:48:37Z</dcterms:created>
  <dcterms:modified xsi:type="dcterms:W3CDTF">2024-02-14T12:48:37Z</dcterms:modified>
</cp:coreProperties>
</file>