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615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151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Whitney Grant</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40"/>
        <w:spacing w:after="0" w:line="337" w:lineRule="auto"/>
        <w:rPr>
          <w:sz w:val="20"/>
          <w:szCs w:val="20"/>
          <w:color w:val="auto"/>
        </w:rPr>
      </w:pPr>
      <w:r>
        <w:rPr>
          <w:rFonts w:ascii="Times New Roman" w:cs="Times New Roman" w:eastAsia="Times New Roman" w:hAnsi="Times New Roman"/>
          <w:sz w:val="17"/>
          <w:szCs w:val="17"/>
          <w:color w:val="0000FF"/>
        </w:rPr>
        <w:t>C/O SUN COUNTRY AIRLINES HOLDINGS, INC. 2005 CARGO ROAD</w:t>
      </w:r>
    </w:p>
    <w:p>
      <w:pPr>
        <w:spacing w:after="0" w:line="17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MINNEAPOLIS</w:t>
            </w:r>
          </w:p>
        </w:tc>
        <w:tc>
          <w:tcPr>
            <w:tcW w:w="8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47"/>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84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Sun Country Airlines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SNCY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40" w:type="dxa"/>
            <w:vAlign w:val="bottom"/>
            <w:tcBorders>
              <w:top w:val="single" w:sz="8" w:color="0000EE"/>
            </w:tcBorders>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20"/>
              <w:spacing w:after="0" w:line="142"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840" w:type="dxa"/>
            <w:vAlign w:val="bottom"/>
            <w:tcBorders>
              <w:bottom w:val="single" w:sz="8" w:color="808080"/>
            </w:tcBorders>
          </w:tcPr>
          <w:p>
            <w:pPr>
              <w:spacing w:after="0"/>
              <w:rPr>
                <w:sz w:val="15"/>
                <w:szCs w:val="15"/>
                <w:color w:val="auto"/>
              </w:rPr>
            </w:pPr>
          </w:p>
        </w:tc>
        <w:tc>
          <w:tcPr>
            <w:tcW w:w="80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360" w:type="dxa"/>
            <w:vAlign w:val="bottom"/>
            <w:vMerge w:val="restart"/>
          </w:tcPr>
          <w:p>
            <w:pPr>
              <w:ind w:left="12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Chief Revenue Officer &amp; EVP</w:t>
            </w:r>
          </w:p>
        </w:tc>
        <w:tc>
          <w:tcPr>
            <w:tcW w:w="0" w:type="dxa"/>
            <w:vAlign w:val="bottom"/>
          </w:tcPr>
          <w:p>
            <w:pPr>
              <w:spacing w:after="0"/>
              <w:rPr>
                <w:sz w:val="1"/>
                <w:szCs w:val="1"/>
                <w:color w:val="auto"/>
              </w:rPr>
            </w:pPr>
          </w:p>
        </w:tc>
      </w:tr>
      <w:tr>
        <w:trPr>
          <w:trHeight w:val="216"/>
        </w:trPr>
        <w:tc>
          <w:tcPr>
            <w:tcW w:w="3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03/20/2023</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16,524</w:t>
            </w:r>
            <w:r>
              <w:rPr>
                <w:rFonts w:ascii="Times New Roman" w:cs="Times New Roman" w:eastAsia="Times New Roman" w:hAnsi="Times New Roman"/>
                <w:sz w:val="21"/>
                <w:szCs w:val="21"/>
                <w:color w:val="008000"/>
                <w:vertAlign w:val="superscript"/>
              </w:rPr>
              <w:t>(1)</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16,524</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03/20/2023</w:t>
            </w:r>
          </w:p>
        </w:tc>
        <w:tc>
          <w:tcPr>
            <w:tcW w:w="106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03/20/2023</w:t>
            </w:r>
          </w:p>
        </w:tc>
        <w:tc>
          <w:tcPr>
            <w:tcW w:w="7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07/31/2029</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134,574</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56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31, 2019, the reporting person was granted an option to purchase 165,232 shares of common stock. The option vests in six installments based on Sun Country's satisfaction of certain performance criteria. The performance criteria for the third installment were met resulting in vesting of the option as to 16,524 shares on March 20, 2023.</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Rose Neale, as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03/22/2023</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 for Grant Whitney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048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2023-03-22T20:09:52Z</dcterms:created>
  <dcterms:modified xsi:type="dcterms:W3CDTF">2023-03-22T20:09:52Z</dcterms:modified>
</cp:coreProperties>
</file>