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473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47319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Gyurci John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254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6"/>
          <w:szCs w:val="16"/>
          <w:color w:val="0000FF"/>
        </w:rPr>
        <w:t>55450</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Sun Country Airlines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SNCY</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40" w:type="dxa"/>
            <w:vAlign w:val="bottom"/>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8"/>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2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Chief Acct. Off. &amp; VP, Finance</w:t>
            </w:r>
          </w:p>
        </w:tc>
        <w:tc>
          <w:tcPr>
            <w:tcW w:w="0" w:type="dxa"/>
            <w:vAlign w:val="bottom"/>
          </w:tcPr>
          <w:p>
            <w:pPr>
              <w:spacing w:after="0"/>
              <w:rPr>
                <w:sz w:val="1"/>
                <w:szCs w:val="1"/>
                <w:color w:val="auto"/>
              </w:rPr>
            </w:pPr>
          </w:p>
        </w:tc>
      </w:tr>
      <w:tr>
        <w:trPr>
          <w:trHeight w:val="1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0" w:type="dxa"/>
            <w:vAlign w:val="bottom"/>
            <w:gridSpan w:val="2"/>
            <w:vMerge w:val="continue"/>
          </w:tcPr>
          <w:p>
            <w:pPr>
              <w:spacing w:after="0"/>
              <w:rPr>
                <w:sz w:val="2"/>
                <w:szCs w:val="2"/>
                <w:color w:val="auto"/>
              </w:rPr>
            </w:pPr>
          </w:p>
        </w:tc>
        <w:tc>
          <w:tcPr>
            <w:tcW w:w="3640" w:type="dxa"/>
            <w:vAlign w:val="bottom"/>
            <w:gridSpan w:val="2"/>
            <w:vMerge w:val="continue"/>
          </w:tcPr>
          <w:p>
            <w:pPr>
              <w:spacing w:after="0"/>
              <w:rPr>
                <w:sz w:val="2"/>
                <w:szCs w:val="2"/>
                <w:color w:val="auto"/>
              </w:rPr>
            </w:pPr>
          </w:p>
        </w:tc>
        <w:tc>
          <w:tcPr>
            <w:tcW w:w="1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01/21/2025</w:t>
            </w:r>
          </w:p>
        </w:tc>
        <w:tc>
          <w:tcPr>
            <w:tcW w:w="7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8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328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500" w:lineRule="exact"/>
        <w:rPr>
          <w:sz w:val="24"/>
          <w:szCs w:val="24"/>
          <w:color w:val="auto"/>
        </w:rPr>
      </w:pPr>
    </w:p>
    <w:p>
      <w:pPr>
        <w:sectPr>
          <w:pgSz w:w="11900" w:h="16838" w:orient="portrait"/>
          <w:cols w:equalWidth="0" w:num="2">
            <w:col w:w="3380" w:space="46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01/21/2025</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89"/>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12,018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01/21/2025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17.0013</w:t>
            </w:r>
            <w:r>
              <w:rPr>
                <w:rFonts w:ascii="Times New Roman" w:cs="Times New Roman" w:eastAsia="Times New Roman" w:hAnsi="Times New Roman"/>
                <w:sz w:val="21"/>
                <w:szCs w:val="21"/>
                <w:color w:val="008000"/>
                <w:w w:val="93"/>
                <w:vertAlign w:val="superscript"/>
              </w:rPr>
              <w:t>(2)</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11,618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01/22/2025</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89"/>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17,618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01/22/2025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17.134</w:t>
            </w:r>
            <w:r>
              <w:rPr>
                <w:rFonts w:ascii="Times New Roman" w:cs="Times New Roman" w:eastAsia="Times New Roman" w:hAnsi="Times New Roman"/>
                <w:sz w:val="21"/>
                <w:szCs w:val="21"/>
                <w:color w:val="008000"/>
                <w:w w:val="93"/>
                <w:vertAlign w:val="superscript"/>
              </w:rPr>
              <w:t>(3)</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11,618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40" w:type="dxa"/>
            <w:vAlign w:val="bottom"/>
            <w:gridSpan w:val="8"/>
          </w:tcPr>
          <w:p>
            <w:pPr>
              <w:jc w:val="center"/>
              <w:ind w:left="25"/>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Security</w:t>
            </w: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(Instr. 5)</w:t>
            </w:r>
          </w:p>
        </w:tc>
        <w:tc>
          <w:tcPr>
            <w:tcW w:w="16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400</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01/21/2025</w:t>
            </w: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vMerge w:val="restart"/>
          </w:tcPr>
          <w:p>
            <w:pPr>
              <w:jc w:val="right"/>
              <w:ind w:righ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jc w:val="right"/>
              <w:ind w:right="41"/>
              <w:spacing w:after="0" w:line="143" w:lineRule="exact"/>
              <w:rPr>
                <w:sz w:val="20"/>
                <w:szCs w:val="20"/>
                <w:color w:val="auto"/>
              </w:rPr>
            </w:pPr>
            <w:r>
              <w:rPr>
                <w:rFonts w:ascii="Times New Roman" w:cs="Times New Roman" w:eastAsia="Times New Roman" w:hAnsi="Times New Roman"/>
                <w:sz w:val="13"/>
                <w:szCs w:val="13"/>
                <w:color w:val="0000FF"/>
              </w:rPr>
              <w:t>400</w:t>
            </w:r>
          </w:p>
        </w:tc>
        <w:tc>
          <w:tcPr>
            <w:tcW w:w="800" w:type="dxa"/>
            <w:vAlign w:val="bottom"/>
            <w:vMerge w:val="continue"/>
          </w:tcPr>
          <w:p>
            <w:pPr>
              <w:spacing w:after="0"/>
              <w:rPr>
                <w:sz w:val="5"/>
                <w:szCs w:val="5"/>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11/21/2028</w:t>
            </w: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60" w:type="dxa"/>
            <w:vAlign w:val="bottom"/>
          </w:tcPr>
          <w:p>
            <w:pPr>
              <w:spacing w:after="0"/>
              <w:rPr>
                <w:sz w:val="5"/>
                <w:szCs w:val="5"/>
                <w:color w:val="auto"/>
              </w:rPr>
            </w:pPr>
          </w:p>
        </w:tc>
        <w:tc>
          <w:tcPr>
            <w:tcW w:w="68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89,158</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6,000</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75"/>
              <w:spacing w:after="0" w:line="130" w:lineRule="exact"/>
              <w:rPr>
                <w:sz w:val="20"/>
                <w:szCs w:val="20"/>
                <w:color w:val="auto"/>
              </w:rPr>
            </w:pPr>
            <w:r>
              <w:rPr>
                <w:rFonts w:ascii="Times New Roman" w:cs="Times New Roman" w:eastAsia="Times New Roman" w:hAnsi="Times New Roman"/>
                <w:sz w:val="13"/>
                <w:szCs w:val="13"/>
                <w:color w:val="0000FF"/>
              </w:rPr>
              <w:t>01/22/2025</w:t>
            </w: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jc w:val="right"/>
              <w:ind w:righ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0000FF"/>
              </w:rPr>
              <w:t>6,000</w:t>
            </w:r>
          </w:p>
        </w:tc>
        <w:tc>
          <w:tcPr>
            <w:tcW w:w="800" w:type="dxa"/>
            <w:vAlign w:val="bottom"/>
            <w:vMerge w:val="continue"/>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11/21/2028</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gridSpan w:val="2"/>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60" w:type="dxa"/>
            <w:vAlign w:val="bottom"/>
          </w:tcPr>
          <w:p>
            <w:pPr>
              <w:spacing w:after="0"/>
              <w:rPr>
                <w:sz w:val="11"/>
                <w:szCs w:val="11"/>
                <w:color w:val="auto"/>
              </w:rPr>
            </w:pPr>
          </w:p>
        </w:tc>
        <w:tc>
          <w:tcPr>
            <w:tcW w:w="68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0000FF"/>
              </w:rPr>
              <w:t>83,158</w:t>
            </w:r>
          </w:p>
        </w:tc>
        <w:tc>
          <w:tcPr>
            <w:tcW w:w="26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The 10b5-1 trading plan was adopted on September 10, 2024.</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$17.00 to $17.01,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$17.00 to $17.38,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Grants may have a graded vesting schedule. Date Exercisable will vary for each vesting tranche.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Rose Neale, as attorney-in-</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01/23/2025</w:t>
            </w:r>
          </w:p>
        </w:tc>
        <w:tc>
          <w:tcPr>
            <w:tcW w:w="0" w:type="dxa"/>
            <w:vAlign w:val="bottom"/>
          </w:tcPr>
          <w:p>
            <w:pPr>
              <w:spacing w:after="0"/>
              <w:rPr>
                <w:sz w:val="1"/>
                <w:szCs w:val="1"/>
                <w:color w:val="auto"/>
              </w:rPr>
            </w:pPr>
          </w:p>
        </w:tc>
      </w:tr>
      <w:tr>
        <w:trPr>
          <w:trHeight w:val="84"/>
        </w:trPr>
        <w:tc>
          <w:tcPr>
            <w:tcW w:w="212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 for John Gyurci</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0688"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2025-01-23T19:34:20Z</dcterms:created>
  <dcterms:modified xsi:type="dcterms:W3CDTF">2025-01-23T19:34:20Z</dcterms:modified>
</cp:coreProperties>
</file>