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Levenhagen Eric</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20"/>
              <w:spacing w:after="0"/>
              <w:rPr>
                <w:sz w:val="20"/>
                <w:szCs w:val="20"/>
                <w:color w:val="auto"/>
              </w:rPr>
            </w:pPr>
            <w:r>
              <w:rPr>
                <w:rFonts w:ascii="Arial" w:cs="Arial" w:eastAsia="Arial" w:hAnsi="Arial"/>
                <w:sz w:val="22"/>
                <w:szCs w:val="22"/>
                <w:b w:val="1"/>
                <w:bCs w:val="1"/>
                <w:color w:val="auto"/>
                <w:w w:val="85"/>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28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114879</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2410161.42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08/03/2023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40" w:space="24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20" w:type="dxa"/>
            <w:vAlign w:val="bottom"/>
          </w:tcPr>
          <w:p>
            <w:pPr>
              <w:jc w:val="center"/>
              <w:ind w:left="112"/>
              <w:spacing w:after="0"/>
              <w:rPr>
                <w:sz w:val="20"/>
                <w:szCs w:val="20"/>
                <w:color w:val="auto"/>
              </w:rPr>
            </w:pPr>
            <w:r>
              <w:rPr>
                <w:rFonts w:ascii="Arial" w:cs="Arial" w:eastAsia="Arial" w:hAnsi="Arial"/>
                <w:sz w:val="22"/>
                <w:szCs w:val="22"/>
                <w:b w:val="1"/>
                <w:bCs w:val="1"/>
                <w:color w:val="auto"/>
                <w:w w:val="95"/>
              </w:rPr>
              <w:t>Whom</w:t>
            </w:r>
          </w:p>
        </w:tc>
        <w:tc>
          <w:tcPr>
            <w:tcW w:w="2580" w:type="dxa"/>
            <w:vAlign w:val="bottom"/>
          </w:tcPr>
          <w:p>
            <w:pPr>
              <w:jc w:val="center"/>
              <w:ind w:right="1652"/>
              <w:spacing w:after="0"/>
              <w:rPr>
                <w:sz w:val="20"/>
                <w:szCs w:val="20"/>
                <w:color w:val="auto"/>
              </w:rPr>
            </w:pPr>
            <w:r>
              <w:rPr>
                <w:rFonts w:ascii="Arial" w:cs="Arial" w:eastAsia="Arial" w:hAnsi="Arial"/>
                <w:sz w:val="22"/>
                <w:szCs w:val="22"/>
                <w:b w:val="1"/>
                <w:bCs w:val="1"/>
                <w:color w:val="auto"/>
                <w:w w:val="81"/>
              </w:rPr>
              <w:t>a</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Arial" w:cs="Arial" w:eastAsia="Arial" w:hAnsi="Arial"/>
                <w:sz w:val="22"/>
                <w:szCs w:val="22"/>
                <w:b w:val="1"/>
                <w:bCs w:val="1"/>
                <w:color w:val="auto"/>
                <w:w w:val="90"/>
              </w:rPr>
              <w:t>Acquired</w:t>
            </w:r>
          </w:p>
        </w:tc>
        <w:tc>
          <w:tcPr>
            <w:tcW w:w="2580" w:type="dxa"/>
            <w:vAlign w:val="bottom"/>
          </w:tcPr>
          <w:p>
            <w:pPr>
              <w:jc w:val="center"/>
              <w:ind w:right="1672"/>
              <w:spacing w:after="0"/>
              <w:rPr>
                <w:sz w:val="20"/>
                <w:szCs w:val="20"/>
                <w:color w:val="auto"/>
              </w:rPr>
            </w:pPr>
            <w:r>
              <w:rPr>
                <w:rFonts w:ascii="Arial" w:cs="Arial" w:eastAsia="Arial" w:hAnsi="Arial"/>
                <w:sz w:val="22"/>
                <w:szCs w:val="22"/>
                <w:b w:val="1"/>
                <w:bCs w:val="1"/>
                <w:color w:val="auto"/>
                <w:w w:val="93"/>
              </w:rPr>
              <w:t>Gift?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620" w:type="dxa"/>
            <w:vAlign w:val="bottom"/>
          </w:tcPr>
          <w:p>
            <w:pPr>
              <w:ind w:left="20"/>
              <w:spacing w:after="0"/>
              <w:rPr>
                <w:sz w:val="20"/>
                <w:szCs w:val="20"/>
                <w:color w:val="auto"/>
              </w:rPr>
            </w:pPr>
            <w:r>
              <w:rPr>
                <w:rFonts w:ascii="Arial" w:cs="Arial" w:eastAsia="Arial" w:hAnsi="Arial"/>
                <w:sz w:val="22"/>
                <w:szCs w:val="22"/>
                <w:color w:val="auto"/>
                <w:w w:val="98"/>
              </w:rPr>
              <w:t>Restricted Stock</w:t>
            </w:r>
          </w:p>
        </w:tc>
        <w:tc>
          <w:tcPr>
            <w:tcW w:w="1420" w:type="dxa"/>
            <w:vAlign w:val="bottom"/>
            <w:vMerge w:val="restart"/>
          </w:tcPr>
          <w:p>
            <w:pPr>
              <w:ind w:left="100"/>
              <w:spacing w:after="0"/>
              <w:rPr>
                <w:sz w:val="20"/>
                <w:szCs w:val="20"/>
                <w:color w:val="auto"/>
              </w:rPr>
            </w:pPr>
            <w:r>
              <w:rPr>
                <w:rFonts w:ascii="Arial" w:cs="Arial" w:eastAsia="Arial" w:hAnsi="Arial"/>
                <w:sz w:val="22"/>
                <w:szCs w:val="22"/>
                <w:color w:val="auto"/>
              </w:rPr>
              <w:t>Issuer</w:t>
            </w:r>
          </w:p>
        </w:tc>
        <w:tc>
          <w:tcPr>
            <w:tcW w:w="2580" w:type="dxa"/>
            <w:vAlign w:val="bottom"/>
            <w:vMerge w:val="restart"/>
          </w:tcPr>
          <w:p>
            <w:pPr>
              <w:ind w:left="1620"/>
              <w:spacing w:after="0"/>
              <w:rPr>
                <w:sz w:val="20"/>
                <w:szCs w:val="20"/>
                <w:color w:val="auto"/>
              </w:rPr>
            </w:pPr>
            <w:r>
              <w:rPr>
                <w:rFonts w:ascii="Arial" w:cs="Arial" w:eastAsia="Arial" w:hAnsi="Arial"/>
                <w:sz w:val="22"/>
                <w:szCs w:val="22"/>
                <w:color w:val="auto"/>
              </w:rPr>
              <w:t>870</w:t>
            </w:r>
          </w:p>
        </w:tc>
        <w:tc>
          <w:tcPr>
            <w:tcW w:w="2620" w:type="dxa"/>
            <w:vAlign w:val="bottom"/>
            <w:vMerge w:val="restart"/>
          </w:tcPr>
          <w:p>
            <w:pPr>
              <w:ind w:left="34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Arial" w:cs="Arial" w:eastAsia="Arial" w:hAnsi="Arial"/>
                <w:sz w:val="22"/>
                <w:szCs w:val="22"/>
                <w:color w:val="auto"/>
              </w:rPr>
              <w:t>Vesting</w:t>
            </w:r>
          </w:p>
        </w:tc>
        <w:tc>
          <w:tcPr>
            <w:tcW w:w="1420" w:type="dxa"/>
            <w:vAlign w:val="bottom"/>
            <w:vMerge w:val="continue"/>
          </w:tcPr>
          <w:p>
            <w:pPr>
              <w:spacing w:after="0"/>
              <w:rPr>
                <w:sz w:val="23"/>
                <w:szCs w:val="23"/>
                <w:color w:val="auto"/>
              </w:rPr>
            </w:pPr>
          </w:p>
        </w:tc>
        <w:tc>
          <w:tcPr>
            <w:tcW w:w="2580" w:type="dxa"/>
            <w:vAlign w:val="bottom"/>
            <w:vMerge w:val="continue"/>
          </w:tcPr>
          <w:p>
            <w:pPr>
              <w:spacing w:after="0"/>
              <w:rPr>
                <w:sz w:val="23"/>
                <w:szCs w:val="23"/>
                <w:color w:val="auto"/>
              </w:rPr>
            </w:pPr>
          </w:p>
        </w:tc>
        <w:tc>
          <w:tcPr>
            <w:tcW w:w="2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08/03/2023</w:t>
            </w:r>
          </w:p>
        </w:tc>
        <w:tc>
          <w:tcPr>
            <w:tcW w:w="1620" w:type="dxa"/>
            <w:vAlign w:val="bottom"/>
          </w:tcPr>
          <w:p>
            <w:pPr>
              <w:ind w:left="20"/>
              <w:spacing w:after="0"/>
              <w:rPr>
                <w:sz w:val="20"/>
                <w:szCs w:val="20"/>
                <w:color w:val="auto"/>
              </w:rPr>
            </w:pPr>
            <w:r>
              <w:rPr>
                <w:rFonts w:ascii="Arial" w:cs="Arial" w:eastAsia="Arial" w:hAnsi="Arial"/>
                <w:sz w:val="22"/>
                <w:szCs w:val="22"/>
                <w:color w:val="auto"/>
                <w:w w:val="96"/>
              </w:rPr>
              <w:t>Option Granted -</w:t>
            </w:r>
          </w:p>
        </w:tc>
        <w:tc>
          <w:tcPr>
            <w:tcW w:w="1420" w:type="dxa"/>
            <w:vAlign w:val="bottom"/>
            <w:vMerge w:val="restart"/>
          </w:tcPr>
          <w:p>
            <w:pPr>
              <w:ind w:left="100"/>
              <w:spacing w:after="0"/>
              <w:rPr>
                <w:sz w:val="20"/>
                <w:szCs w:val="20"/>
                <w:color w:val="auto"/>
              </w:rPr>
            </w:pPr>
            <w:r>
              <w:rPr>
                <w:rFonts w:ascii="Arial" w:cs="Arial" w:eastAsia="Arial" w:hAnsi="Arial"/>
                <w:sz w:val="22"/>
                <w:szCs w:val="22"/>
                <w:color w:val="auto"/>
              </w:rPr>
              <w:t>Issuer</w:t>
            </w:r>
          </w:p>
        </w:tc>
        <w:tc>
          <w:tcPr>
            <w:tcW w:w="2580" w:type="dxa"/>
            <w:vAlign w:val="bottom"/>
            <w:vMerge w:val="restart"/>
          </w:tcPr>
          <w:p>
            <w:pPr>
              <w:ind w:left="1620"/>
              <w:spacing w:after="0"/>
              <w:rPr>
                <w:sz w:val="20"/>
                <w:szCs w:val="20"/>
                <w:color w:val="auto"/>
              </w:rPr>
            </w:pPr>
            <w:r>
              <w:rPr>
                <w:rFonts w:ascii="Arial" w:cs="Arial" w:eastAsia="Arial" w:hAnsi="Arial"/>
                <w:sz w:val="22"/>
                <w:szCs w:val="22"/>
                <w:color w:val="auto"/>
              </w:rPr>
              <w:t>114009</w:t>
            </w:r>
          </w:p>
        </w:tc>
        <w:tc>
          <w:tcPr>
            <w:tcW w:w="2620" w:type="dxa"/>
            <w:vAlign w:val="bottom"/>
            <w:vMerge w:val="restart"/>
          </w:tcPr>
          <w:p>
            <w:pPr>
              <w:ind w:left="340"/>
              <w:spacing w:after="0"/>
              <w:rPr>
                <w:sz w:val="20"/>
                <w:szCs w:val="20"/>
                <w:color w:val="auto"/>
              </w:rPr>
            </w:pPr>
            <w:r>
              <w:rPr>
                <w:rFonts w:ascii="Arial" w:cs="Arial" w:eastAsia="Arial" w:hAnsi="Arial"/>
                <w:sz w:val="22"/>
                <w:szCs w:val="22"/>
                <w:color w:val="auto"/>
              </w:rPr>
              <w:t>08/03/2023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Arial" w:cs="Arial" w:eastAsia="Arial" w:hAnsi="Arial"/>
                <w:sz w:val="22"/>
                <w:szCs w:val="22"/>
                <w:color w:val="auto"/>
              </w:rPr>
              <w:t>11/21/2018</w:t>
            </w:r>
          </w:p>
        </w:tc>
        <w:tc>
          <w:tcPr>
            <w:tcW w:w="1420" w:type="dxa"/>
            <w:vAlign w:val="bottom"/>
            <w:vMerge w:val="continue"/>
          </w:tcPr>
          <w:p>
            <w:pPr>
              <w:spacing w:after="0"/>
              <w:rPr>
                <w:sz w:val="23"/>
                <w:szCs w:val="23"/>
                <w:color w:val="auto"/>
              </w:rPr>
            </w:pPr>
          </w:p>
        </w:tc>
        <w:tc>
          <w:tcPr>
            <w:tcW w:w="2580" w:type="dxa"/>
            <w:vAlign w:val="bottom"/>
            <w:vMerge w:val="continue"/>
          </w:tcPr>
          <w:p>
            <w:pPr>
              <w:spacing w:after="0"/>
              <w:rPr>
                <w:sz w:val="23"/>
                <w:szCs w:val="23"/>
                <w:color w:val="auto"/>
              </w:rPr>
            </w:pPr>
          </w:p>
        </w:tc>
        <w:tc>
          <w:tcPr>
            <w:tcW w:w="2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Eric Levenhagen</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05/03/2023 1272</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23532.00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Eric Levenhagen</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07/03/2023 387</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8676.80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08/03/2023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05/03/2023</w:t>
      </w:r>
    </w:p>
    <w:p>
      <w:pPr>
        <w:spacing w:after="0" w:line="652" w:lineRule="exact"/>
        <w:rPr>
          <w:sz w:val="20"/>
          <w:szCs w:val="20"/>
          <w:color w:val="auto"/>
        </w:rPr>
      </w:pPr>
    </w:p>
    <w:p>
      <w:pPr>
        <w:sectPr>
          <w:pgSz w:w="11900" w:h="16838" w:orient="portrait"/>
          <w:cols w:equalWidth="0" w:num="2">
            <w:col w:w="4160" w:space="140"/>
            <w:col w:w="694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200" w:type="dxa"/>
            <w:vAlign w:val="bottom"/>
          </w:tcPr>
          <w:p>
            <w:pPr>
              <w:ind w:left="1720"/>
              <w:spacing w:after="0" w:line="246" w:lineRule="exact"/>
              <w:rPr>
                <w:sz w:val="20"/>
                <w:szCs w:val="20"/>
                <w:color w:val="auto"/>
              </w:rPr>
            </w:pPr>
            <w:r>
              <w:rPr>
                <w:rFonts w:ascii="Arial" w:cs="Arial" w:eastAsia="Arial" w:hAnsi="Arial"/>
                <w:sz w:val="22"/>
                <w:szCs w:val="22"/>
                <w:color w:val="auto"/>
                <w:w w:val="88"/>
              </w:rPr>
              <w:t>/s/ Gary Redman, as a duly authorized representative of Fidelity Brokerage</w:t>
            </w:r>
          </w:p>
        </w:tc>
        <w:tc>
          <w:tcPr>
            <w:tcW w:w="0" w:type="dxa"/>
            <w:vAlign w:val="bottom"/>
          </w:tcPr>
          <w:p>
            <w:pPr>
              <w:spacing w:after="0"/>
              <w:rPr>
                <w:sz w:val="1"/>
                <w:szCs w:val="1"/>
                <w:color w:val="auto"/>
              </w:rPr>
            </w:pPr>
          </w:p>
        </w:tc>
      </w:tr>
      <w:tr>
        <w:trPr>
          <w:trHeight w:val="153"/>
        </w:trPr>
        <w:tc>
          <w:tcPr>
            <w:tcW w:w="2540" w:type="dxa"/>
            <w:vAlign w:val="bottom"/>
            <w:vMerge w:val="continue"/>
          </w:tcPr>
          <w:p>
            <w:pPr>
              <w:spacing w:after="0"/>
              <w:rPr>
                <w:sz w:val="13"/>
                <w:szCs w:val="13"/>
                <w:color w:val="auto"/>
              </w:rPr>
            </w:pPr>
          </w:p>
        </w:tc>
        <w:tc>
          <w:tcPr>
            <w:tcW w:w="8200" w:type="dxa"/>
            <w:vAlign w:val="bottom"/>
            <w:vMerge w:val="restart"/>
          </w:tcPr>
          <w:p>
            <w:pPr>
              <w:ind w:left="1720"/>
              <w:spacing w:after="0"/>
              <w:rPr>
                <w:sz w:val="20"/>
                <w:szCs w:val="20"/>
                <w:color w:val="auto"/>
              </w:rPr>
            </w:pPr>
            <w:r>
              <w:rPr>
                <w:rFonts w:ascii="Arial" w:cs="Arial" w:eastAsia="Arial" w:hAnsi="Arial"/>
                <w:sz w:val="22"/>
                <w:szCs w:val="22"/>
                <w:color w:val="auto"/>
              </w:rPr>
              <w:t>Services LLC, as attorney-in-fact for Eric Levenhagen</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2023-08-03T09:15:29Z</dcterms:created>
  <dcterms:modified xsi:type="dcterms:W3CDTF">2023-08-03T09:15:29Z</dcterms:modified>
</cp:coreProperties>
</file>