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VOGEL JENNIFER 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80"/>
        <w:spacing w:after="0" w:line="294"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2005 CARGO ROAD</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Sun Country Airlines Holdings, LLC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0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740" w:type="dxa"/>
            <w:vAlign w:val="bottom"/>
            <w:gridSpan w:val="3"/>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304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2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05/13/2026</w:t>
            </w:r>
          </w:p>
        </w:tc>
        <w:tc>
          <w:tcPr>
            <w:tcW w:w="5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304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33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0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2"/>
                <w:szCs w:val="12"/>
                <w:color w:val="auto"/>
              </w:rPr>
            </w:pPr>
          </w:p>
        </w:tc>
        <w:tc>
          <w:tcPr>
            <w:tcW w:w="20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2"/>
                <w:szCs w:val="12"/>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96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Borders>
              <w:top w:val="single" w:sz="8" w:color="2C2C2C"/>
            </w:tcBorders>
          </w:tcPr>
          <w:p>
            <w:pPr>
              <w:spacing w:after="0"/>
              <w:rPr>
                <w:sz w:val="7"/>
                <w:szCs w:val="7"/>
                <w:color w:val="auto"/>
              </w:rPr>
            </w:pPr>
          </w:p>
        </w:tc>
        <w:tc>
          <w:tcPr>
            <w:tcW w:w="620" w:type="dxa"/>
            <w:vAlign w:val="bottom"/>
            <w:tcBorders>
              <w:top w:val="single" w:sz="8" w:color="2C2C2C"/>
            </w:tcBorders>
          </w:tcPr>
          <w:p>
            <w:pPr>
              <w:spacing w:after="0"/>
              <w:rPr>
                <w:sz w:val="7"/>
                <w:szCs w:val="7"/>
                <w:color w:val="auto"/>
              </w:rPr>
            </w:pPr>
          </w:p>
        </w:tc>
        <w:tc>
          <w:tcPr>
            <w:tcW w:w="96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gridSpan w:val="2"/>
            <w:vMerge w:val="restart"/>
          </w:tcPr>
          <w:p>
            <w:pPr>
              <w:ind w:left="240"/>
              <w:spacing w:after="0"/>
              <w:rPr>
                <w:sz w:val="20"/>
                <w:szCs w:val="20"/>
                <w:color w:val="auto"/>
              </w:rPr>
            </w:pPr>
            <w:r>
              <w:rPr>
                <w:rFonts w:ascii="Arial" w:cs="Arial" w:eastAsia="Arial" w:hAnsi="Arial"/>
                <w:sz w:val="12"/>
                <w:szCs w:val="12"/>
                <w:b w:val="1"/>
                <w:bCs w:val="1"/>
                <w:color w:val="auto"/>
              </w:rPr>
              <w:t>(A) or</w:t>
            </w:r>
          </w:p>
        </w:tc>
        <w:tc>
          <w:tcPr>
            <w:tcW w:w="28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vMerge w:val="continue"/>
          </w:tcPr>
          <w:p>
            <w:pPr>
              <w:spacing w:after="0"/>
              <w:rPr>
                <w:sz w:val="13"/>
                <w:szCs w:val="13"/>
                <w:color w:val="auto"/>
              </w:rPr>
            </w:pP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96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gridSpan w:val="2"/>
          </w:tcPr>
          <w:p>
            <w:pPr>
              <w:ind w:left="240"/>
              <w:spacing w:after="0"/>
              <w:rPr>
                <w:sz w:val="20"/>
                <w:szCs w:val="20"/>
                <w:color w:val="auto"/>
              </w:rPr>
            </w:pPr>
            <w:r>
              <w:rPr>
                <w:rFonts w:ascii="Arial" w:cs="Arial" w:eastAsia="Arial" w:hAnsi="Arial"/>
                <w:sz w:val="12"/>
                <w:szCs w:val="12"/>
                <w:b w:val="1"/>
                <w:bCs w:val="1"/>
                <w:color w:val="auto"/>
              </w:rPr>
              <w:t>(D)</w:t>
            </w:r>
          </w:p>
        </w:tc>
        <w:tc>
          <w:tcPr>
            <w:tcW w:w="2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w w:val="98"/>
              </w:rPr>
              <w:t>05/13/2026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D</w:t>
            </w:r>
          </w:p>
        </w:tc>
        <w:tc>
          <w:tcPr>
            <w:tcW w:w="1300" w:type="dxa"/>
            <w:vAlign w:val="bottom"/>
            <w:tcBorders>
              <w:bottom w:val="single" w:sz="8" w:color="2C2C2C"/>
            </w:tcBorders>
            <w:gridSpan w:val="2"/>
          </w:tcPr>
          <w:p>
            <w:pPr>
              <w:ind w:left="80"/>
              <w:spacing w:after="0" w:line="320" w:lineRule="exact"/>
              <w:rPr>
                <w:sz w:val="20"/>
                <w:szCs w:val="20"/>
                <w:color w:val="auto"/>
              </w:rPr>
            </w:pPr>
            <w:r>
              <w:rPr>
                <w:rFonts w:ascii="Times New Roman" w:cs="Times New Roman" w:eastAsia="Times New Roman" w:hAnsi="Times New Roman"/>
                <w:sz w:val="34"/>
                <w:szCs w:val="34"/>
                <w:color w:val="0000FF"/>
                <w:vertAlign w:val="subscript"/>
              </w:rPr>
              <w:t>59,588</w:t>
            </w:r>
            <w:r>
              <w:rPr>
                <w:rFonts w:ascii="Times New Roman" w:cs="Times New Roman" w:eastAsia="Times New Roman" w:hAnsi="Times New Roman"/>
                <w:sz w:val="11"/>
                <w:szCs w:val="11"/>
                <w:color w:val="008000"/>
              </w:rPr>
              <w:t>(1)(2)(3)(4)</w:t>
            </w:r>
          </w:p>
        </w:tc>
        <w:tc>
          <w:tcPr>
            <w:tcW w:w="3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3"/>
          </w:tcPr>
          <w:p>
            <w:pPr>
              <w:ind w:left="20"/>
              <w:spacing w:after="0"/>
              <w:rPr>
                <w:sz w:val="20"/>
                <w:szCs w:val="20"/>
                <w:color w:val="auto"/>
              </w:rPr>
            </w:pPr>
            <w:r>
              <w:rPr>
                <w:rFonts w:ascii="Times New Roman" w:cs="Times New Roman" w:eastAsia="Times New Roman" w:hAnsi="Times New Roman"/>
                <w:sz w:val="11"/>
                <w:szCs w:val="11"/>
                <w:color w:val="008000"/>
              </w:rPr>
              <w:t>(1)(2)(3)(4)</w:t>
            </w:r>
          </w:p>
        </w:tc>
        <w:tc>
          <w:tcPr>
            <w:tcW w:w="4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96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4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13, 2026, pursuant to the Agreement and Plan of Merger (the "Merger Agreement"), dated as of January 11, 2026, by and among Sun Country Airlines Holdings, Inc. ("Sun Country" ), Allegiant Travel Company ("Allegiant"), Mirage Merger Sub, Inc. ("Merger Sub 1") and a direct wholly owned subsidiary of Allegiant, Sawdust Merger Sub, LLC ("Merger Sub 2"), a direct wholly owned subsidiary of Allegiant: (a) Merger Sub 1 merged with and into Sun Country (the "First Merger"), with Sun Country surviving the First Merger as a direct wholly owned subsidiary of Allegiant and</w:t>
      </w:r>
    </w:p>
    <w:p>
      <w:pPr>
        <w:spacing w:after="0" w:line="1" w:lineRule="exact"/>
        <w:rPr>
          <w:rFonts w:ascii="Times New Roman" w:cs="Times New Roman" w:eastAsia="Times New Roman" w:hAnsi="Times New Roman"/>
          <w:sz w:val="13"/>
          <w:szCs w:val="13"/>
          <w:color w:val="008000"/>
        </w:rPr>
      </w:pPr>
    </w:p>
    <w:p>
      <w:pPr>
        <w:ind w:left="40" w:right="16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 immediately after the First Merger, Sun Country merged with and into Merger Sub 2, with Merger Sub 2 surviving as a direct, wholly owned subsidiary of Allegiant (the "Second Merger" and, together with the First Merger, the "Mergers"). All terms capitalized but not defined herein shall have the meaning given to them in the Merger Agreement.</w:t>
      </w:r>
    </w:p>
    <w:p>
      <w:pPr>
        <w:spacing w:after="0" w:line="21"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Following consummation of the Mergers, Sun Country Airlines Holdings, Inc. is now known as Sun Country Airlines Holdings, LLC.</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44,869 shares of Sun Country common stock ("Company Shares"), par value $0.01 per share, held directly by the reporting person, which, as of the effective time of the First Merger (the "First Effective Time") were converted into the right to receive (a) $4.10 in cash, without interest (the "Per Share Cash Consideration") and (b) 0.1557 (the "Merger Exchange Ratio") shares of Allegiant common stock ("Parent Shares"), par value $0.001 per share (the "Per Share Stock Consideration" and, together with the Per Share Cash Consideration, the "Merger Consideration").</w:t>
      </w:r>
    </w:p>
    <w:p>
      <w:pPr>
        <w:spacing w:after="0" w:line="20" w:lineRule="exact"/>
        <w:rPr>
          <w:rFonts w:ascii="Times New Roman" w:cs="Times New Roman" w:eastAsia="Times New Roman" w:hAnsi="Times New Roman"/>
          <w:sz w:val="13"/>
          <w:szCs w:val="13"/>
          <w:color w:val="008000"/>
        </w:rPr>
      </w:pPr>
    </w:p>
    <w:p>
      <w:pPr>
        <w:ind w:left="40" w:right="660" w:firstLine="7"/>
        <w:spacing w:after="0" w:line="249"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each outstanding Sun Country restricted stock unit award ("Company RSU Award") consisting of 14,719 restricted stock units previously granted to the reporting person, which, as of immediately prior to the First Effective Time, such Company RSU Awards became fully vested (to the extent not yet vested) and were cancelled and converted into the right to receive the Merger Consideration.</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Rose Neale, as attorney-in- </w:t>
      </w:r>
      <w:r>
        <w:rPr>
          <w:rFonts w:ascii="Times New Roman" w:cs="Times New Roman" w:eastAsia="Times New Roman" w:hAnsi="Times New Roman"/>
          <w:sz w:val="33"/>
          <w:szCs w:val="33"/>
          <w:color w:val="0000FF"/>
          <w:vertAlign w:val="subscript"/>
        </w:rPr>
        <w:t>05/15/2026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9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Jennifer Vogel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9842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8425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64189" TargetMode="External"/><Relationship Id="rId14"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2026-05-15T19:38:42Z</dcterms:created>
  <dcterms:modified xsi:type="dcterms:W3CDTF">2026-05-15T19:38:42Z</dcterms:modified>
</cp:coreProperties>
</file>