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-663575</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-629285</wp:posOffset>
            </wp:positionV>
            <wp:extent cx="58420" cy="642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747395</wp:posOffset>
            </wp:positionV>
            <wp:extent cx="7045960" cy="5495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95925"/>
                    </a:xfrm>
                    <a:prstGeom prst="rect">
                      <a:avLst/>
                    </a:prstGeom>
                    <a:noFill/>
                  </pic:spPr>
                </pic:pic>
              </a:graphicData>
            </a:graphic>
          </wp:anchor>
        </w:drawing>
      </w:r>
    </w:p>
    <w:p>
      <w:pPr>
        <w:spacing w:after="0" w:line="124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Mays Gregory A.</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82"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6"/>
          <w:szCs w:val="16"/>
          <w:color w:val="0000FF"/>
        </w:rPr>
        <w:t>55450</w:t>
      </w:r>
    </w:p>
    <w:p>
      <w:pPr>
        <w:spacing w:after="0" w:line="3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3"/>
        </w:trPr>
        <w:tc>
          <w:tcPr>
            <w:tcW w:w="3820" w:type="dxa"/>
            <w:vAlign w:val="bottom"/>
            <w:gridSpan w:val="4"/>
          </w:tcPr>
          <w:p>
            <w:pPr>
              <w:ind w:left="60"/>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SNCY</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tcPr>
          <w:p>
            <w:pPr>
              <w:ind w:left="6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Operating Officer &amp; EVP</w:t>
            </w:r>
          </w:p>
        </w:tc>
        <w:tc>
          <w:tcPr>
            <w:tcW w:w="0" w:type="dxa"/>
            <w:vAlign w:val="bottom"/>
          </w:tcPr>
          <w:p>
            <w:pPr>
              <w:spacing w:after="0"/>
              <w:rPr>
                <w:sz w:val="1"/>
                <w:szCs w:val="1"/>
                <w:color w:val="auto"/>
              </w:rPr>
            </w:pPr>
          </w:p>
        </w:tc>
      </w:tr>
      <w:tr>
        <w:trPr>
          <w:trHeight w:val="15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18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01/10/2025</w:t>
            </w:r>
          </w:p>
        </w:tc>
        <w:tc>
          <w:tcPr>
            <w:tcW w:w="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3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1"/>
              <w:spacing w:after="0"/>
              <w:rPr>
                <w:sz w:val="20"/>
                <w:szCs w:val="20"/>
                <w:color w:val="auto"/>
              </w:rPr>
            </w:pPr>
            <w:r>
              <w:rPr>
                <w:rFonts w:ascii="Times New Roman" w:cs="Times New Roman" w:eastAsia="Times New Roman" w:hAnsi="Times New Roman"/>
                <w:sz w:val="17"/>
                <w:szCs w:val="17"/>
                <w:color w:val="0000FF"/>
              </w:rPr>
              <w:t>01/10/2025</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194"/>
              <w:spacing w:after="0"/>
              <w:rPr>
                <w:sz w:val="20"/>
                <w:szCs w:val="20"/>
                <w:color w:val="auto"/>
              </w:rPr>
            </w:pPr>
            <w:r>
              <w:rPr>
                <w:rFonts w:ascii="Times New Roman" w:cs="Times New Roman" w:eastAsia="Times New Roman" w:hAnsi="Times New Roman"/>
                <w:sz w:val="17"/>
                <w:szCs w:val="17"/>
                <w:color w:val="0000FF"/>
              </w:rPr>
              <w:t>164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66,515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01"/>
              <w:spacing w:after="0"/>
              <w:rPr>
                <w:sz w:val="20"/>
                <w:szCs w:val="20"/>
                <w:color w:val="auto"/>
              </w:rPr>
            </w:pPr>
            <w:r>
              <w:rPr>
                <w:rFonts w:ascii="Times New Roman" w:cs="Times New Roman" w:eastAsia="Times New Roman" w:hAnsi="Times New Roman"/>
                <w:sz w:val="17"/>
                <w:szCs w:val="17"/>
                <w:color w:val="0000FF"/>
              </w:rPr>
              <w:t>01/10/2025</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17"/>
                <w:szCs w:val="17"/>
                <w:color w:val="0000FF"/>
              </w:rPr>
              <w:t>6,147</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16.0804</w:t>
            </w:r>
            <w:r>
              <w:rPr>
                <w:rFonts w:ascii="Times New Roman" w:cs="Times New Roman" w:eastAsia="Times New Roman" w:hAnsi="Times New Roman"/>
                <w:sz w:val="21"/>
                <w:szCs w:val="21"/>
                <w:color w:val="00800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60,368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1"/>
          </w:tcPr>
          <w:p>
            <w:pPr>
              <w:jc w:val="center"/>
              <w:ind w:right="1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ind w:left="360"/>
              <w:spacing w:after="0" w:line="284" w:lineRule="exact"/>
              <w:rPr>
                <w:sz w:val="20"/>
                <w:szCs w:val="20"/>
                <w:color w:val="auto"/>
              </w:rPr>
            </w:pPr>
            <w:r>
              <w:rPr>
                <w:rFonts w:ascii="Times New Roman" w:cs="Times New Roman" w:eastAsia="Times New Roman" w:hAnsi="Times New Roman"/>
                <w:sz w:val="25"/>
                <w:szCs w:val="25"/>
                <w:color w:val="0000FF"/>
                <w:w w:val="79"/>
                <w:vertAlign w:val="subscript"/>
              </w:rPr>
              <w:t>164</w:t>
            </w:r>
            <w:r>
              <w:rPr>
                <w:rFonts w:ascii="Times New Roman" w:cs="Times New Roman" w:eastAsia="Times New Roman" w:hAnsi="Times New Roman"/>
                <w:sz w:val="11"/>
                <w:szCs w:val="11"/>
                <w:color w:val="008000"/>
                <w:w w:val="79"/>
              </w:rPr>
              <w:t>(4)</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8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164</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20" w:type="dxa"/>
            <w:vAlign w:val="bottom"/>
            <w:vMerge w:val="restart"/>
          </w:tcPr>
          <w:p>
            <w:pPr>
              <w:jc w:val="right"/>
              <w:ind w:right="120"/>
              <w:spacing w:after="0" w:line="143" w:lineRule="exact"/>
              <w:rPr>
                <w:sz w:val="20"/>
                <w:szCs w:val="20"/>
                <w:color w:val="auto"/>
              </w:rPr>
            </w:pPr>
            <w:r>
              <w:rPr>
                <w:rFonts w:ascii="Times New Roman" w:cs="Times New Roman" w:eastAsia="Times New Roman" w:hAnsi="Times New Roman"/>
                <w:sz w:val="13"/>
                <w:szCs w:val="13"/>
                <w:color w:val="0000FF"/>
              </w:rPr>
              <w:t>01/10/2025</w:t>
            </w: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vMerge w:val="restart"/>
          </w:tcPr>
          <w:p>
            <w:pPr>
              <w:jc w:val="right"/>
              <w:ind w:right="101"/>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07/01/2029</w:t>
            </w: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w w:val="94"/>
              </w:rPr>
              <w:t>403,342</w:t>
            </w:r>
          </w:p>
        </w:tc>
        <w:tc>
          <w:tcPr>
            <w:tcW w:w="24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The 10b5-1 trading plan was adopted on September 4, 2024.</w:t>
      </w:r>
    </w:p>
    <w:p>
      <w:pPr>
        <w:spacing w:after="0" w:line="44"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5,983 of these shares sold represents the number of shares sold by the reporting person to cover tax withholding obligations in connection with the vesting of restricted stock units. The sale of these 5,983 shares is mandated to satisfy the tax withholding obligations which are funded by a "sell to cover" transaction and does not represent a discretionary trade by the reporting person. 164 of these shares were sold pursuant to a Rule 10b5-1 trading plan. The 10b5-1 trading plan was adopted on September 4, 2024.</w:t>
      </w:r>
    </w:p>
    <w:p>
      <w:pPr>
        <w:spacing w:after="0" w:line="2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$16.00 to $16.35,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The 10b5-1 trading plan was adopted on September 4, 2024.</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Rose Neale, as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Gregory Mays</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0885"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2025-01-14T17:43:28Z</dcterms:created>
  <dcterms:modified xsi:type="dcterms:W3CDTF">2025-01-14T17:43:28Z</dcterms:modified>
</cp:coreProperties>
</file>