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Sun Country Airlines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424" w:type="dxa"/>
        <w:tblCellMar>
          <w:top w:w="0" w:type="dxa"/>
          <w:left w:w="0" w:type="dxa"/>
          <w:bottom w:w="0" w:type="dxa"/>
          <w:right w:w="0" w:type="dxa"/>
        </w:tblCellMar>
      </w:tblPr>
      <w:tr>
        <w:trPr>
          <w:trHeight w:val="214"/>
        </w:trPr>
        <w:tc>
          <w:tcPr>
            <w:tcW w:w="3160" w:type="dxa"/>
            <w:vAlign w:val="bottom"/>
          </w:tcPr>
          <w:p>
            <w:pPr>
              <w:jc w:val="center"/>
              <w:ind w:right="21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001-40217</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82-4092570</w:t>
            </w:r>
          </w:p>
        </w:tc>
      </w:tr>
      <w:tr>
        <w:trPr>
          <w:trHeight w:val="148"/>
        </w:trPr>
        <w:tc>
          <w:tcPr>
            <w:tcW w:w="3160" w:type="dxa"/>
            <w:vAlign w:val="bottom"/>
          </w:tcPr>
          <w:p>
            <w:pPr>
              <w:jc w:val="center"/>
              <w:ind w:right="2199"/>
              <w:spacing w:after="0" w:line="149" w:lineRule="exact"/>
              <w:rPr>
                <w:sz w:val="20"/>
                <w:szCs w:val="20"/>
                <w:color w:val="auto"/>
              </w:rPr>
            </w:pPr>
            <w:r>
              <w:rPr>
                <w:rFonts w:ascii="Times New Roman" w:cs="Times New Roman" w:eastAsia="Times New Roman" w:hAnsi="Times New Roman"/>
                <w:sz w:val="14"/>
                <w:szCs w:val="14"/>
                <w:b w:val="1"/>
                <w:bCs w:val="1"/>
                <w:color w:val="auto"/>
              </w:rPr>
              <w:t>(State of</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160" w:type="dxa"/>
            <w:vAlign w:val="bottom"/>
          </w:tcPr>
          <w:p>
            <w:pPr>
              <w:jc w:val="center"/>
              <w:ind w:right="2179"/>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3160" w:type="dxa"/>
            <w:vAlign w:val="bottom"/>
          </w:tcPr>
          <w:p>
            <w:pPr>
              <w:jc w:val="center"/>
              <w:ind w:right="379"/>
              <w:spacing w:after="0"/>
              <w:rPr>
                <w:sz w:val="20"/>
                <w:szCs w:val="20"/>
                <w:color w:val="auto"/>
              </w:rPr>
            </w:pPr>
            <w:r>
              <w:rPr>
                <w:rFonts w:ascii="Times New Roman" w:cs="Times New Roman" w:eastAsia="Times New Roman" w:hAnsi="Times New Roman"/>
                <w:sz w:val="18"/>
                <w:szCs w:val="18"/>
                <w:b w:val="1"/>
                <w:bCs w:val="1"/>
                <w:color w:val="auto"/>
                <w:w w:val="99"/>
              </w:rPr>
              <w:t>2005 Cargo Road</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160" w:type="dxa"/>
            <w:vAlign w:val="bottom"/>
          </w:tcPr>
          <w:p>
            <w:pPr>
              <w:jc w:val="center"/>
              <w:ind w:right="379"/>
              <w:spacing w:after="0"/>
              <w:rPr>
                <w:sz w:val="20"/>
                <w:szCs w:val="20"/>
                <w:color w:val="auto"/>
              </w:rPr>
            </w:pPr>
            <w:r>
              <w:rPr>
                <w:rFonts w:ascii="Times New Roman" w:cs="Times New Roman" w:eastAsia="Times New Roman" w:hAnsi="Times New Roman"/>
                <w:sz w:val="18"/>
                <w:szCs w:val="18"/>
                <w:b w:val="1"/>
                <w:bCs w:val="1"/>
                <w:color w:val="auto"/>
                <w:w w:val="99"/>
              </w:rPr>
              <w:t>Minneapolis, MN</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55450</w:t>
            </w:r>
          </w:p>
        </w:tc>
      </w:tr>
      <w:tr>
        <w:trPr>
          <w:trHeight w:val="190"/>
        </w:trPr>
        <w:tc>
          <w:tcPr>
            <w:tcW w:w="3160" w:type="dxa"/>
            <w:vAlign w:val="bottom"/>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(651) 681-3900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6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170815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2" w:lineRule="exact"/>
        <w:rPr>
          <w:sz w:val="24"/>
          <w:szCs w:val="24"/>
          <w:color w:val="auto"/>
        </w:rPr>
      </w:pPr>
    </w:p>
    <w:p>
      <w:pPr>
        <w:ind w:left="4" w:right="4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SNCY</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35" w:lineRule="exact"/>
        <w:rPr>
          <w:sz w:val="20"/>
          <w:szCs w:val="20"/>
          <w:color w:val="auto"/>
        </w:rPr>
      </w:pPr>
    </w:p>
    <w:p>
      <w:pPr>
        <w:ind w:left="960" w:hanging="532"/>
        <w:spacing w:after="0" w:line="289" w:lineRule="auto"/>
        <w:tabs>
          <w:tab w:leader="none" w:pos="9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June 12, 2024, Sun Country Airlines Holdings, Inc. (the “Company”) held its annual meeting of stockholders (the “Annual Meeting”). The matters voted upon at the Annual Meeting and the final results of such voting are set forth below. A more complete description of each proposal is set forth in the Company’s definitive proxy statement filed with the Securities and Exchange Commission on April 29, 2024.</w:t>
      </w:r>
    </w:p>
    <w:p>
      <w:pPr>
        <w:spacing w:after="0" w:line="59" w:lineRule="exact"/>
        <w:rPr>
          <w:rFonts w:ascii="Times New Roman" w:cs="Times New Roman" w:eastAsia="Times New Roman" w:hAnsi="Times New Roman"/>
          <w:sz w:val="17"/>
          <w:szCs w:val="17"/>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1</w:t>
      </w:r>
      <w:r>
        <w:rPr>
          <w:rFonts w:ascii="Times New Roman" w:cs="Times New Roman" w:eastAsia="Times New Roman" w:hAnsi="Times New Roman"/>
          <w:sz w:val="18"/>
          <w:szCs w:val="18"/>
          <w:color w:val="auto"/>
        </w:rPr>
        <w:t>. To reelect Jude Bricker, Dave Davis, and Kerry Philipovitch to the board of directors of the Company (the “Board”) as</w:t>
      </w:r>
    </w:p>
    <w:p>
      <w:pPr>
        <w:spacing w:after="0" w:line="31" w:lineRule="exact"/>
        <w:rPr>
          <w:rFonts w:ascii="Times New Roman" w:cs="Times New Roman" w:eastAsia="Times New Roman" w:hAnsi="Times New Roman"/>
          <w:sz w:val="18"/>
          <w:szCs w:val="18"/>
          <w:color w:val="auto"/>
        </w:rPr>
      </w:pPr>
    </w:p>
    <w:p>
      <w:pPr>
        <w:ind w:left="9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directors, in each case, for a term of three years expiring at the annual meeting of stockholders to be held in 2027. The Company’s stockholders duly elected Jude Bricker, Dave Davis, and Kerry Philipovitch, by at least a plurality of the votes cast, to serve as Class III directors until the 2027 annual meeting of stockholders and until his or her successor is duly elected and qualified. The results of the voting were as follows:</w:t>
      </w:r>
    </w:p>
    <w:p>
      <w:pPr>
        <w:spacing w:after="0" w:line="209"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5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8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15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
        </w:trPr>
        <w:tc>
          <w:tcPr>
            <w:tcW w:w="20" w:type="dxa"/>
            <w:vAlign w:val="bottom"/>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Jude Bricker</w:t>
            </w: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46,038,302</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2,690,064</w:t>
            </w: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1,435,104</w:t>
            </w:r>
          </w:p>
        </w:tc>
        <w:tc>
          <w:tcPr>
            <w:tcW w:w="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Dave Davis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40,907,661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7,820,705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1,435,104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Kerry Philipovitch</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37,941,802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10,786,564</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1,435,104</w:t>
            </w:r>
          </w:p>
        </w:tc>
        <w:tc>
          <w:tcPr>
            <w:tcW w:w="40" w:type="dxa"/>
            <w:vAlign w:val="bottom"/>
            <w:shd w:val="clear" w:color="auto" w:fill="CCEEFF"/>
          </w:tcPr>
          <w:p>
            <w:pPr>
              <w:spacing w:after="0"/>
              <w:rPr>
                <w:sz w:val="18"/>
                <w:szCs w:val="18"/>
                <w:color w:val="auto"/>
              </w:rPr>
            </w:pPr>
          </w:p>
        </w:tc>
      </w:tr>
    </w:tbl>
    <w:p>
      <w:pPr>
        <w:spacing w:after="0" w:line="86" w:lineRule="exact"/>
        <w:rPr>
          <w:sz w:val="20"/>
          <w:szCs w:val="20"/>
          <w:color w:val="auto"/>
        </w:rPr>
      </w:pPr>
    </w:p>
    <w:p>
      <w:pPr>
        <w:ind w:left="980" w:right="360"/>
        <w:spacing w:after="0" w:line="268" w:lineRule="auto"/>
        <w:rPr>
          <w:sz w:val="20"/>
          <w:szCs w:val="20"/>
          <w:color w:val="auto"/>
        </w:rPr>
      </w:pPr>
      <w:r>
        <w:rPr>
          <w:rFonts w:ascii="Times New Roman" w:cs="Times New Roman" w:eastAsia="Times New Roman" w:hAnsi="Times New Roman"/>
          <w:sz w:val="18"/>
          <w:szCs w:val="18"/>
          <w:b w:val="1"/>
          <w:bCs w:val="1"/>
          <w:color w:val="auto"/>
        </w:rPr>
        <w:t>Proposal 2</w:t>
      </w:r>
      <w:r>
        <w:rPr>
          <w:rFonts w:ascii="Times New Roman" w:cs="Times New Roman" w:eastAsia="Times New Roman" w:hAnsi="Times New Roman"/>
          <w:sz w:val="18"/>
          <w:szCs w:val="18"/>
          <w:color w:val="auto"/>
        </w:rPr>
        <w:t>. To vote, on a non-binding, advisory basis, on the frequency of future advisory votes to approve the compensation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named executive officers. The Company’s stockholders approved, on an advisory basis, the holding of an advisory vote to approve the compensation of the Company’s named executive officers “every 1 year”. The results of the voting were as follows:</w:t>
      </w:r>
    </w:p>
    <w:p>
      <w:pPr>
        <w:spacing w:after="0" w:line="220"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Every 1 Year</w:t>
            </w:r>
          </w:p>
        </w:tc>
        <w:tc>
          <w:tcPr>
            <w:tcW w:w="4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47,547,050</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Every 2 Years</w:t>
            </w: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Every 3 Years</w:t>
            </w:r>
          </w:p>
        </w:tc>
        <w:tc>
          <w:tcPr>
            <w:tcW w:w="4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1,169,893</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8,114</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4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1,435,104</w:t>
            </w:r>
          </w:p>
        </w:tc>
      </w:tr>
    </w:tbl>
    <w:p>
      <w:pPr>
        <w:spacing w:after="0" w:line="90" w:lineRule="exact"/>
        <w:rPr>
          <w:sz w:val="20"/>
          <w:szCs w:val="20"/>
          <w:color w:val="auto"/>
        </w:rPr>
      </w:pPr>
    </w:p>
    <w:p>
      <w:pPr>
        <w:ind w:left="980" w:right="60"/>
        <w:spacing w:after="0" w:line="266" w:lineRule="auto"/>
        <w:rPr>
          <w:sz w:val="20"/>
          <w:szCs w:val="20"/>
          <w:color w:val="auto"/>
        </w:rPr>
      </w:pPr>
      <w:r>
        <w:rPr>
          <w:rFonts w:ascii="Times New Roman" w:cs="Times New Roman" w:eastAsia="Times New Roman" w:hAnsi="Times New Roman"/>
          <w:sz w:val="18"/>
          <w:szCs w:val="18"/>
          <w:color w:val="auto"/>
        </w:rPr>
        <w:t>In light of the voting results on this advisory vote, and consistent with its recommendation to the Company’s stockholders, the Company’s Board determined that the Company will hold an advisory vote to approve the compensation of the Company’s named executive officers every year.</w:t>
      </w:r>
    </w:p>
    <w:p>
      <w:pPr>
        <w:spacing w:after="0" w:line="64" w:lineRule="exact"/>
        <w:rPr>
          <w:sz w:val="20"/>
          <w:szCs w:val="20"/>
          <w:color w:val="auto"/>
        </w:rPr>
      </w:pPr>
    </w:p>
    <w:p>
      <w:pPr>
        <w:ind w:left="980" w:right="100"/>
        <w:spacing w:after="0" w:line="317" w:lineRule="auto"/>
        <w:rPr>
          <w:sz w:val="20"/>
          <w:szCs w:val="20"/>
          <w:color w:val="auto"/>
        </w:rPr>
      </w:pPr>
      <w:r>
        <w:rPr>
          <w:rFonts w:ascii="Times New Roman" w:cs="Times New Roman" w:eastAsia="Times New Roman" w:hAnsi="Times New Roman"/>
          <w:sz w:val="17"/>
          <w:szCs w:val="17"/>
          <w:b w:val="1"/>
          <w:bCs w:val="1"/>
          <w:color w:val="auto"/>
        </w:rPr>
        <w:t>Proposal 3</w:t>
      </w:r>
      <w:r>
        <w:rPr>
          <w:rFonts w:ascii="Times New Roman" w:cs="Times New Roman" w:eastAsia="Times New Roman" w:hAnsi="Times New Roman"/>
          <w:sz w:val="17"/>
          <w:szCs w:val="17"/>
          <w:color w:val="auto"/>
        </w:rPr>
        <w:t>. To approve, on a non-binding, advisory basis, the compensation of the Company’s named executive officers. The Company’s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stockholders approved the compensation of the Company’s named executive officers. The results of the voting were as follows:</w:t>
      </w:r>
    </w:p>
    <w:p>
      <w:pPr>
        <w:spacing w:after="0" w:line="156" w:lineRule="exact"/>
        <w:rPr>
          <w:sz w:val="20"/>
          <w:szCs w:val="20"/>
          <w:color w:val="auto"/>
        </w:rPr>
      </w:pPr>
    </w:p>
    <w:tbl>
      <w:tblPr>
        <w:tblLayout w:type="fixed"/>
        <w:tblInd w:w="1000" w:type="dxa"/>
        <w:tblCellMar>
          <w:top w:w="0" w:type="dxa"/>
          <w:left w:w="0" w:type="dxa"/>
          <w:bottom w:w="0" w:type="dxa"/>
          <w:right w:w="0" w:type="dxa"/>
        </w:tblCellMar>
      </w:tblPr>
      <w:tr>
        <w:trPr>
          <w:trHeight w:val="187"/>
        </w:trPr>
        <w:tc>
          <w:tcPr>
            <w:tcW w:w="22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0"/>
        </w:trPr>
        <w:tc>
          <w:tcPr>
            <w:tcW w:w="2160" w:type="dxa"/>
            <w:vAlign w:val="bottom"/>
            <w:tcBorders>
              <w:top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46,277,977</w:t>
            </w:r>
          </w:p>
        </w:tc>
        <w:tc>
          <w:tcPr>
            <w:tcW w:w="1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2,441,127</w:t>
            </w:r>
          </w:p>
        </w:tc>
        <w:tc>
          <w:tcPr>
            <w:tcW w:w="1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9,262</w:t>
            </w:r>
          </w:p>
        </w:tc>
        <w:tc>
          <w:tcPr>
            <w:tcW w:w="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1,435,104</w:t>
            </w:r>
          </w:p>
        </w:tc>
      </w:tr>
    </w:tbl>
    <w:p>
      <w:pPr>
        <w:spacing w:after="0" w:line="3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Proposal 4</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980" w:right="280"/>
        <w:spacing w:after="0" w:line="266" w:lineRule="auto"/>
        <w:rPr>
          <w:sz w:val="20"/>
          <w:szCs w:val="20"/>
          <w:color w:val="auto"/>
        </w:rPr>
      </w:pPr>
      <w:r>
        <w:rPr>
          <w:rFonts w:ascii="Times New Roman" w:cs="Times New Roman" w:eastAsia="Times New Roman" w:hAnsi="Times New Roman"/>
          <w:sz w:val="18"/>
          <w:szCs w:val="18"/>
          <w:color w:val="auto"/>
        </w:rPr>
        <w:t>To ratify the appointment of KPMG LLP as the Company’s independent registered public accounting firm for the fiscal year ending December 31, 2024. The Company’s stockholders ratified the selection of KPMG LLP as the Company’s independent registered public accounting firm for the fiscal year ending December 31, 2024. The results of the voting were as follows:</w:t>
      </w:r>
    </w:p>
    <w:p>
      <w:pPr>
        <w:spacing w:after="0" w:line="196" w:lineRule="exact"/>
        <w:rPr>
          <w:sz w:val="20"/>
          <w:szCs w:val="20"/>
          <w:color w:val="auto"/>
        </w:rPr>
      </w:pPr>
    </w:p>
    <w:tbl>
      <w:tblPr>
        <w:tblLayout w:type="fixed"/>
        <w:tblInd w:w="1000" w:type="dxa"/>
        <w:tblCellMar>
          <w:top w:w="0" w:type="dxa"/>
          <w:left w:w="0" w:type="dxa"/>
          <w:bottom w:w="0" w:type="dxa"/>
          <w:right w:w="0" w:type="dxa"/>
        </w:tblCellMar>
      </w:tblPr>
      <w:tr>
        <w:trPr>
          <w:trHeight w:val="187"/>
        </w:trPr>
        <w:tc>
          <w:tcPr>
            <w:tcW w:w="22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0"/>
        </w:trPr>
        <w:tc>
          <w:tcPr>
            <w:tcW w:w="2160" w:type="dxa"/>
            <w:vAlign w:val="bottom"/>
            <w:tcBorders>
              <w:top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49,958,212</w:t>
            </w:r>
          </w:p>
        </w:tc>
        <w:tc>
          <w:tcPr>
            <w:tcW w:w="1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196,807</w:t>
            </w:r>
          </w:p>
        </w:tc>
        <w:tc>
          <w:tcPr>
            <w:tcW w:w="1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8,451</w:t>
            </w:r>
          </w:p>
        </w:tc>
        <w:tc>
          <w:tcPr>
            <w:tcW w:w="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rPr>
              <w:t>0</w:t>
            </w: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1000"/>
          </w:cols>
          <w:pgMar w:left="440"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June 14, 2024</w:t>
            </w:r>
          </w:p>
        </w:tc>
        <w:tc>
          <w:tcPr>
            <w:tcW w:w="762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tc>
      </w:tr>
      <w:tr>
        <w:trPr>
          <w:trHeight w:val="432"/>
        </w:trPr>
        <w:tc>
          <w:tcPr>
            <w:tcW w:w="3400" w:type="dxa"/>
            <w:vAlign w:val="bottom"/>
          </w:tcPr>
          <w:p>
            <w:pPr>
              <w:spacing w:after="0"/>
              <w:rPr>
                <w:sz w:val="24"/>
                <w:szCs w:val="24"/>
                <w:color w:val="auto"/>
              </w:rPr>
            </w:pPr>
          </w:p>
        </w:tc>
        <w:tc>
          <w:tcPr>
            <w:tcW w:w="276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Erin Rose Neale</w:t>
            </w:r>
          </w:p>
        </w:tc>
      </w:tr>
      <w:tr>
        <w:trPr>
          <w:trHeight w:val="205"/>
        </w:trPr>
        <w:tc>
          <w:tcPr>
            <w:tcW w:w="3400" w:type="dxa"/>
            <w:vAlign w:val="bottom"/>
          </w:tcPr>
          <w:p>
            <w:pPr>
              <w:spacing w:after="0"/>
              <w:rPr>
                <w:sz w:val="17"/>
                <w:szCs w:val="17"/>
                <w:color w:val="auto"/>
              </w:rPr>
            </w:pPr>
          </w:p>
        </w:tc>
        <w:tc>
          <w:tcPr>
            <w:tcW w:w="2760" w:type="dxa"/>
            <w:vAlign w:val="bottom"/>
          </w:tcPr>
          <w:p>
            <w:pPr>
              <w:ind w:left="21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Erin Rose Neale</w:t>
            </w:r>
          </w:p>
        </w:tc>
      </w:tr>
      <w:tr>
        <w:trPr>
          <w:trHeight w:val="234"/>
        </w:trPr>
        <w:tc>
          <w:tcPr>
            <w:tcW w:w="3400" w:type="dxa"/>
            <w:vAlign w:val="bottom"/>
          </w:tcPr>
          <w:p>
            <w:pPr>
              <w:spacing w:after="0"/>
              <w:rPr>
                <w:sz w:val="20"/>
                <w:szCs w:val="20"/>
                <w:color w:val="auto"/>
              </w:rPr>
            </w:pPr>
          </w:p>
        </w:tc>
        <w:tc>
          <w:tcPr>
            <w:tcW w:w="276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r>
        <w:trPr>
          <w:trHeight w:val="364"/>
        </w:trPr>
        <w:tc>
          <w:tcPr>
            <w:tcW w:w="3400" w:type="dxa"/>
            <w:vAlign w:val="bottom"/>
          </w:tcPr>
          <w:p>
            <w:pPr>
              <w:spacing w:after="0"/>
              <w:rPr>
                <w:sz w:val="24"/>
                <w:szCs w:val="24"/>
                <w:color w:val="auto"/>
              </w:rPr>
            </w:pPr>
          </w:p>
        </w:tc>
        <w:tc>
          <w:tcPr>
            <w:tcW w:w="27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- 3 -</w:t>
            </w:r>
          </w:p>
        </w:tc>
        <w:tc>
          <w:tcPr>
            <w:tcW w:w="48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2024-06-14T16:07:52Z</dcterms:created>
  <dcterms:modified xsi:type="dcterms:W3CDTF">2024-06-14T16:07:52Z</dcterms:modified>
</cp:coreProperties>
</file>