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November 16, 2025</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Sun Country Airlines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4125" w:type="dxa"/>
        <w:jc w:val="left"/>
        <w:tblInd w:w="0" w:type="dxa"/>
        <w:tblLayout w:type="fixed"/>
        <w:tblCellMar>
          <w:top w:w="28" w:type="dxa"/>
          <w:left w:w="28" w:type="dxa"/>
          <w:bottom w:w="28" w:type="dxa"/>
          <w:right w:w="28" w:type="dxa"/>
        </w:tblCellMar>
      </w:tblPr>
      <w:tblGrid>
        <w:gridCol w:w="466"/>
        <w:gridCol w:w="410"/>
        <w:gridCol w:w="414"/>
        <w:gridCol w:w="394"/>
        <w:gridCol w:w="394"/>
        <w:gridCol w:w="398"/>
        <w:gridCol w:w="481"/>
        <w:gridCol w:w="481"/>
        <w:gridCol w:w="687"/>
      </w:tblGrid>
      <w:tr>
        <w:trPr/>
        <w:tc>
          <w:tcPr>
            <w:tcW w:w="46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001-40217</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82-4092570</w:t>
            </w:r>
          </w:p>
        </w:tc>
      </w:tr>
      <w:tr>
        <w:trPr/>
        <w:tc>
          <w:tcPr>
            <w:tcW w:w="12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of</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Incorporation)</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tbl>
      <w:tblPr>
        <w:tblW w:w="4332" w:type="dxa"/>
        <w:jc w:val="left"/>
        <w:tblInd w:w="0" w:type="dxa"/>
        <w:tblLayout w:type="fixed"/>
        <w:tblCellMar>
          <w:top w:w="28" w:type="dxa"/>
          <w:left w:w="28" w:type="dxa"/>
          <w:bottom w:w="28" w:type="dxa"/>
          <w:right w:w="28" w:type="dxa"/>
        </w:tblCellMar>
      </w:tblPr>
      <w:tblGrid>
        <w:gridCol w:w="640"/>
        <w:gridCol w:w="563"/>
        <w:gridCol w:w="565"/>
        <w:gridCol w:w="509"/>
        <w:gridCol w:w="509"/>
        <w:gridCol w:w="511"/>
        <w:gridCol w:w="303"/>
        <w:gridCol w:w="303"/>
        <w:gridCol w:w="429"/>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29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2005 Cargo Road</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Minneapolis,</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Minnesota</w:t>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55450</w:t>
            </w:r>
          </w:p>
        </w:tc>
      </w:tr>
      <w:tr>
        <w:trPr/>
        <w:tc>
          <w:tcPr>
            <w:tcW w:w="329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(651) 681-3900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762" w:type="dxa"/>
        <w:jc w:val="left"/>
        <w:tblInd w:w="0" w:type="dxa"/>
        <w:tblLayout w:type="fixed"/>
        <w:tblCellMar>
          <w:top w:w="28" w:type="dxa"/>
          <w:left w:w="28" w:type="dxa"/>
          <w:bottom w:w="28" w:type="dxa"/>
          <w:right w:w="28" w:type="dxa"/>
        </w:tblCellMar>
      </w:tblPr>
      <w:tblGrid>
        <w:gridCol w:w="1263"/>
        <w:gridCol w:w="1109"/>
        <w:gridCol w:w="1122"/>
        <w:gridCol w:w="109"/>
        <w:gridCol w:w="109"/>
        <w:gridCol w:w="109"/>
        <w:gridCol w:w="314"/>
        <w:gridCol w:w="314"/>
        <w:gridCol w:w="316"/>
        <w:gridCol w:w="109"/>
        <w:gridCol w:w="109"/>
        <w:gridCol w:w="109"/>
        <w:gridCol w:w="780"/>
        <w:gridCol w:w="780"/>
        <w:gridCol w:w="1110"/>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Trading</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Name of each exchange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on which registered</w:t>
            </w:r>
          </w:p>
        </w:tc>
      </w:tr>
      <w:tr>
        <w:trPr/>
        <w:tc>
          <w:tcPr>
            <w:tcW w:w="3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Appointment of Chief Accounting Officer</w:t>
      </w:r>
    </w:p>
    <w:p>
      <w:pPr>
        <w:pStyle w:val="TextBody"/>
        <w:bidi w:val="0"/>
        <w:spacing w:before="0" w:after="0"/>
        <w:jc w:val="left"/>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0"/>
        </w:rPr>
        <w:t>Effective as of November 16, 2025, the Board of Directors (the “</w:t>
      </w:r>
      <w:r>
        <w:rPr>
          <w:rFonts w:ascii="Times New Roman;serif" w:hAnsi="Times New Roman;serif"/>
          <w:b w:val="false"/>
          <w:color w:val="000000"/>
          <w:sz w:val="20"/>
          <w:u w:val="single"/>
        </w:rPr>
        <w:t>Board</w:t>
      </w:r>
      <w:r>
        <w:rPr>
          <w:color w:val="000000"/>
        </w:rPr>
        <w:t>”</w:t>
      </w:r>
      <w:r>
        <w:rPr>
          <w:rFonts w:ascii="Times New Roman;serif" w:hAnsi="Times New Roman;serif"/>
          <w:b w:val="false"/>
          <w:color w:val="000000"/>
          <w:sz w:val="20"/>
        </w:rPr>
        <w:t>) of Sun Country Airlines Holdings, Inc.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has appointed Christopher Mangione as Vice President and Chief Accounting Officer. Mr. D. Torque Zubeck, the Company’s Chief Financial Officer, who was fulfilling the role of Chief Accounting Officer on an interim basis, will no longer perform the chief accounting officer function effective as of November 16, 2025.</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Mr. Mangione, age 35, most recently served as Senior Director of External Reporting and Technical Accounting of the Company, where he led the Company’s external financial reporting, technical accounting, and regulatory compliance efforts. Before joining the Company in March of 2022, Mr. Mangione, served as Assistant Controller at Calyxt from March, 2021 to March, 2022 and before that, he spent close to a decade at UnitedHealth Group, assuming various roles including Associate Director of Financial Reporting &amp; Corporate Accounting, Senior Consultant of Accounting Policy and Manager of SEC Reporting. Mr. Mangione obtained his bachelor’s degree in accounting from Minnesota State University, Mankato.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are no arrangements or understandings between Mr. Mangione and any other person in connection with his appointment. Mr. Mangione does not have any family relationships with any director or other executive officer of the Company, or any person nominated or chosen by the Company to become a director or executive officer, and there are no transactions in which Mr. Mangione has an interest requiring disclosure under Item 404(a) of Regulation S-K.</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Employment Letter with Mr. Mangione</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In connection with Mr. Mangione’s appointment as Vice President and Chief Accounting Officer, the Company and Mr. Mangione entered into an executive employment letter, effective November 16, 2025 (the “</w:t>
      </w:r>
      <w:r>
        <w:rPr>
          <w:rFonts w:ascii="Times New Roman;serif" w:hAnsi="Times New Roman;serif"/>
          <w:b w:val="false"/>
          <w:color w:val="000000"/>
          <w:sz w:val="20"/>
          <w:u w:val="single"/>
        </w:rPr>
        <w:t>Mangione Employment Letter</w:t>
      </w:r>
      <w:r>
        <w:rPr>
          <w:color w:val="000000"/>
        </w:rPr>
        <w:t>”</w:t>
      </w:r>
      <w:r>
        <w:rPr>
          <w:rFonts w:ascii="Times New Roman;serif" w:hAnsi="Times New Roman;serif"/>
          <w:b w:val="false"/>
          <w:color w:val="000000"/>
          <w:sz w:val="20"/>
        </w:rPr>
        <w:t>). Pursuant to the Mangione Employment Letter, Mr. Mangione will receive an annual base salary of $200,000, and will be eligible to earn an annual cash bonus pursuant to the Company’s annual bonus program for similarly situated employees of the Company, with a target annual bonus equal to 60% his base salary. Effective January 1, 2026, Mr. Mangione will also be eligible to receive annual equity-based compensation awards under the Company’s equity compensation program. The grant value of the annual grant for 2026 is expected to be $120,000, typically delivered in February and subject to the Compensation Committee’s approval.</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event Mr. Mangione’s employment is terminated by the Company without “cause”, he will be entitled to receive the following severance payments/benefits: (i) continued base salary payments for a period of nine (9) months, (ii) a pro-rata annual bonus for the year in which the termination date occurs, based on actual performance of the applicable performance conditions measured for the full year, and pro-rated for time served during such year as a portion of the full year, and (iii) medical and dental coverage through COBRA for Mr. Mangione and his eligible dependents for 9 months, with the Company paying the portion of the premium that exceeds the amount Mr. Mangione paid for medical and dental coverage as an active employee. In the event Mr. Mangione’s employment is terminated by the Company without “cause” or he resigns for “good reason”, in each case, within 24 months following a change in control, then Mr. Mangione will be entitled to receive the foregoing severance benefits, except that the continued base salary payments described in subsection (i) shall continue for 12 months, the pro-rata annual bonus described in subsection (ii) will be measured through the termination date for purposes of determining actual performance level, and Mr. Mangione will also receive an additional severance payment equal to 100% of his target annual bonus or actual annual bonus for the year in which the termination date occurs, whichever is greater, and all unvested time-based restricted stock units will accelerate and vest. Mr. Mangione’s receipt of the foregoing severance payments and benefits will generally be subject to his execution and non-revocation of a general release of claims against the Company and his continued compliance with certain restrictive covenants.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tbl>
      <w:tblPr>
        <w:tblW w:w="9789" w:type="dxa"/>
        <w:jc w:val="left"/>
        <w:tblInd w:w="0" w:type="dxa"/>
        <w:tblLayout w:type="fixed"/>
        <w:tblCellMar>
          <w:top w:w="28" w:type="dxa"/>
          <w:left w:w="28" w:type="dxa"/>
          <w:bottom w:w="28" w:type="dxa"/>
          <w:right w:w="28" w:type="dxa"/>
        </w:tblCellMar>
      </w:tblPr>
      <w:tblGrid>
        <w:gridCol w:w="797"/>
        <w:gridCol w:w="702"/>
        <w:gridCol w:w="706"/>
        <w:gridCol w:w="334"/>
        <w:gridCol w:w="334"/>
        <w:gridCol w:w="334"/>
        <w:gridCol w:w="334"/>
        <w:gridCol w:w="334"/>
        <w:gridCol w:w="334"/>
        <w:gridCol w:w="1635"/>
        <w:gridCol w:w="1635"/>
        <w:gridCol w:w="2310"/>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2310"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18, 2025</w:t>
            </w:r>
          </w:p>
        </w:tc>
        <w:tc>
          <w:tcPr>
            <w:tcW w:w="7584"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Sun Country Airlines Holdings, Inc.</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5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Erin Rose Neale</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Erin Rose Neale</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Legal Officer, Senior Vice President, and Corporate Secretary</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1042</Words>
  <Characters>5777</Characters>
  <CharactersWithSpaces>6757</CharactersWithSpaces>
  <Paragraphs>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