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BLAKEY MARION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LLC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0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05/13/2026</w:t>
            </w:r>
          </w:p>
        </w:tc>
        <w:tc>
          <w:tcPr>
            <w:tcW w:w="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2"/>
                <w:szCs w:val="12"/>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9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gridSpan w:val="2"/>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05/13/2026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D</w:t>
            </w:r>
          </w:p>
        </w:tc>
        <w:tc>
          <w:tcPr>
            <w:tcW w:w="1300" w:type="dxa"/>
            <w:vAlign w:val="bottom"/>
            <w:tcBorders>
              <w:bottom w:val="single" w:sz="8" w:color="2C2C2C"/>
            </w:tcBorders>
            <w:gridSpan w:val="2"/>
          </w:tcPr>
          <w:p>
            <w:pPr>
              <w:ind w:left="80"/>
              <w:spacing w:after="0" w:line="320" w:lineRule="exact"/>
              <w:rPr>
                <w:sz w:val="20"/>
                <w:szCs w:val="20"/>
                <w:color w:val="auto"/>
              </w:rPr>
            </w:pPr>
            <w:r>
              <w:rPr>
                <w:rFonts w:ascii="Times New Roman" w:cs="Times New Roman" w:eastAsia="Times New Roman" w:hAnsi="Times New Roman"/>
                <w:sz w:val="34"/>
                <w:szCs w:val="34"/>
                <w:color w:val="0000FF"/>
                <w:vertAlign w:val="subscript"/>
              </w:rPr>
              <w:t>39,157</w:t>
            </w:r>
            <w:r>
              <w:rPr>
                <w:rFonts w:ascii="Times New Roman" w:cs="Times New Roman" w:eastAsia="Times New Roman" w:hAnsi="Times New Roman"/>
                <w:sz w:val="11"/>
                <w:szCs w:val="11"/>
                <w:color w:val="008000"/>
              </w:rPr>
              <w:t>(1)(2)(3)(4)</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Times New Roman" w:cs="Times New Roman" w:eastAsia="Times New Roman" w:hAnsi="Times New Roman"/>
                <w:sz w:val="11"/>
                <w:szCs w:val="11"/>
                <w:color w:val="008000"/>
              </w:rPr>
              <w:t>(1)(2)(3)(4)</w:t>
            </w:r>
          </w:p>
        </w:tc>
        <w:tc>
          <w:tcPr>
            <w:tcW w:w="4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96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13, 2026, pursuant to the Agreement and Plan of Merger (the "Merger Agreement"), dated as of January 11, 2026, by and among Sun Country Airlines Holdings, Inc. ("Sun Country" ), Allegiant Travel Company ("Allegiant"), Mirage Merger Sub, Inc. ("Merger Sub 1") and a direct wholly owned subsidiary of Allegiant, Sawdust Merger Sub, LLC ("Merger Sub 2"), a direct wholly owned subsidiary of Allegiant: (a) Merger Sub 1 merged with and into Sun Country (the "First Merger"), with Sun Country surviving the First Merger as a direct wholly owned subsidiary of Allegiant and</w:t>
      </w:r>
    </w:p>
    <w:p>
      <w:pPr>
        <w:spacing w:after="0" w:line="1" w:lineRule="exact"/>
        <w:rPr>
          <w:rFonts w:ascii="Times New Roman" w:cs="Times New Roman" w:eastAsia="Times New Roman" w:hAnsi="Times New Roman"/>
          <w:sz w:val="13"/>
          <w:szCs w:val="13"/>
          <w:color w:val="008000"/>
        </w:rPr>
      </w:pPr>
    </w:p>
    <w:p>
      <w:pPr>
        <w:ind w:left="40" w:right="1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 immediately after the First Merger, Sun Country merged with and into Merger Sub 2, with Merger Sub 2 surviving as a direct, wholly owned subsidiary of Allegiant (the "Second Merger" and, together with the First Merger, the "Mergers"). All terms capitalized but not defined herein shall have the meaning given to them in the Merger Agreement.</w:t>
      </w:r>
    </w:p>
    <w:p>
      <w:pPr>
        <w:spacing w:after="0" w:line="2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Following consummation of the Mergers, Sun Country Airlines Holdings, Inc. is now known as Sun Country Airlines Holdings, LLC.</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28,767 shares of Sun Country common stock ("Company Shares"), par value $0.01 per share, held directly by the reporting person, which, as of the effective time of the First Merger (the "First Effective Time") were converted into the right to receive (a) $4.10 in cash, without interest (the "Per Share Cash Consideration") and (b) 0.1557 (the "Merger Exchange Ratio") shares of Allegiant common stock ("Parent Shares"), par value $0.001 per share (the "Per Share Stock Consideration" and, together with the Per Share Cash Consideration, the "Merger Consideration").</w:t>
      </w:r>
    </w:p>
    <w:p>
      <w:pPr>
        <w:spacing w:after="0" w:line="20" w:lineRule="exact"/>
        <w:rPr>
          <w:rFonts w:ascii="Times New Roman" w:cs="Times New Roman" w:eastAsia="Times New Roman" w:hAnsi="Times New Roman"/>
          <w:sz w:val="13"/>
          <w:szCs w:val="13"/>
          <w:color w:val="008000"/>
        </w:rPr>
      </w:pPr>
    </w:p>
    <w:p>
      <w:pPr>
        <w:ind w:left="40" w:right="66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each outstanding Sun Country restricted stock unit award ("Company RSU Award") consisting of 10,390 restricted stock units previously granted to the reporting person, which, as of immediately prior to the First Effective Time, such Company RSU Awards became fully vested (to the extent not yet vested) and were cancelled and converted into the right to receive the Merger Consideration.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Marion Blakey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10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09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03987"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2026-05-15T19:51:32Z</dcterms:created>
  <dcterms:modified xsi:type="dcterms:W3CDTF">2026-05-15T19:51:32Z</dcterms:modified>
</cp:coreProperties>
</file>