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16, 2026</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ALLEGIANT TRAVEL CO</w:t>
      </w:r>
    </w:p>
    <w:p>
      <w:pPr>
        <w:spacing w:after="0" w:line="43" w:lineRule="exact"/>
        <w:rPr>
          <w:sz w:val="24"/>
          <w:szCs w:val="24"/>
          <w:color w:val="auto"/>
        </w:rPr>
      </w:pPr>
    </w:p>
    <w:tbl>
      <w:tblPr>
        <w:tblLayout w:type="fixed"/>
        <w:tblInd w:w="440" w:type="dxa"/>
        <w:tblCellMar>
          <w:top w:w="0" w:type="dxa"/>
          <w:left w:w="0" w:type="dxa"/>
          <w:bottom w:w="0" w:type="dxa"/>
          <w:right w:w="0" w:type="dxa"/>
        </w:tblCellMar>
      </w:tblPr>
      <w:tr>
        <w:trPr>
          <w:trHeight w:val="207"/>
        </w:trPr>
        <w:tc>
          <w:tcPr>
            <w:tcW w:w="1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6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198"/>
        </w:trPr>
        <w:tc>
          <w:tcPr>
            <w:tcW w:w="1140" w:type="dxa"/>
            <w:vAlign w:val="bottom"/>
          </w:tcPr>
          <w:p>
            <w:pPr>
              <w:spacing w:after="0"/>
              <w:rPr>
                <w:sz w:val="17"/>
                <w:szCs w:val="17"/>
                <w:color w:val="auto"/>
              </w:rPr>
            </w:pP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Nevada</w:t>
            </w:r>
          </w:p>
        </w:tc>
        <w:tc>
          <w:tcPr>
            <w:tcW w:w="1340" w:type="dxa"/>
            <w:vAlign w:val="bottom"/>
          </w:tcPr>
          <w:p>
            <w:pPr>
              <w:spacing w:after="0"/>
              <w:rPr>
                <w:sz w:val="17"/>
                <w:szCs w:val="17"/>
                <w:color w:val="auto"/>
              </w:rPr>
            </w:pPr>
          </w:p>
        </w:tc>
        <w:tc>
          <w:tcPr>
            <w:tcW w:w="1740" w:type="dxa"/>
            <w:vAlign w:val="bottom"/>
            <w:gridSpan w:val="2"/>
          </w:tcPr>
          <w:p>
            <w:pPr>
              <w:spacing w:after="0"/>
              <w:rPr>
                <w:sz w:val="17"/>
                <w:szCs w:val="17"/>
                <w:color w:val="auto"/>
              </w:rPr>
            </w:pPr>
          </w:p>
        </w:tc>
        <w:tc>
          <w:tcPr>
            <w:tcW w:w="960" w:type="dxa"/>
            <w:vAlign w:val="bottom"/>
            <w:gridSpan w:val="4"/>
          </w:tcPr>
          <w:p>
            <w:pPr>
              <w:jc w:val="center"/>
              <w:ind w:right="180"/>
              <w:spacing w:after="0" w:line="198" w:lineRule="exact"/>
              <w:rPr>
                <w:sz w:val="20"/>
                <w:szCs w:val="20"/>
                <w:color w:val="auto"/>
              </w:rPr>
            </w:pPr>
            <w:r>
              <w:rPr>
                <w:rFonts w:ascii="Times New Roman" w:cs="Times New Roman" w:eastAsia="Times New Roman" w:hAnsi="Times New Roman"/>
                <w:sz w:val="18"/>
                <w:szCs w:val="18"/>
                <w:b w:val="1"/>
                <w:bCs w:val="1"/>
                <w:color w:val="auto"/>
                <w:w w:val="99"/>
              </w:rPr>
              <w:t>001-33166</w:t>
            </w:r>
          </w:p>
        </w:tc>
        <w:tc>
          <w:tcPr>
            <w:tcW w:w="1920" w:type="dxa"/>
            <w:vAlign w:val="bottom"/>
          </w:tcPr>
          <w:p>
            <w:pPr>
              <w:spacing w:after="0"/>
              <w:rPr>
                <w:sz w:val="17"/>
                <w:szCs w:val="17"/>
                <w:color w:val="auto"/>
              </w:rPr>
            </w:pPr>
          </w:p>
        </w:tc>
        <w:tc>
          <w:tcPr>
            <w:tcW w:w="1940" w:type="dxa"/>
            <w:vAlign w:val="bottom"/>
            <w:gridSpan w:val="3"/>
          </w:tcPr>
          <w:p>
            <w:pPr>
              <w:jc w:val="right"/>
              <w:ind w:right="240"/>
              <w:spacing w:after="0" w:line="198" w:lineRule="exact"/>
              <w:rPr>
                <w:sz w:val="20"/>
                <w:szCs w:val="20"/>
                <w:color w:val="auto"/>
              </w:rPr>
            </w:pPr>
            <w:r>
              <w:rPr>
                <w:rFonts w:ascii="Times New Roman" w:cs="Times New Roman" w:eastAsia="Times New Roman" w:hAnsi="Times New Roman"/>
                <w:sz w:val="18"/>
                <w:szCs w:val="18"/>
                <w:b w:val="1"/>
                <w:bCs w:val="1"/>
                <w:color w:val="auto"/>
              </w:rPr>
              <w:t>20-4745737</w:t>
            </w:r>
          </w:p>
        </w:tc>
      </w:tr>
      <w:tr>
        <w:trPr>
          <w:trHeight w:val="20"/>
        </w:trPr>
        <w:tc>
          <w:tcPr>
            <w:tcW w:w="11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8"/>
        </w:trPr>
        <w:tc>
          <w:tcPr>
            <w:tcW w:w="3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40" w:type="dxa"/>
            <w:vAlign w:val="bottom"/>
          </w:tcPr>
          <w:p>
            <w:pPr>
              <w:spacing w:after="0"/>
              <w:rPr>
                <w:sz w:val="18"/>
                <w:szCs w:val="18"/>
                <w:color w:val="auto"/>
              </w:rPr>
            </w:pPr>
          </w:p>
        </w:tc>
        <w:tc>
          <w:tcPr>
            <w:tcW w:w="3080" w:type="dxa"/>
            <w:vAlign w:val="bottom"/>
            <w:gridSpan w:val="6"/>
          </w:tcPr>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tc>
        <w:tc>
          <w:tcPr>
            <w:tcW w:w="19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3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40" w:type="dxa"/>
            <w:vAlign w:val="bottom"/>
          </w:tcPr>
          <w:p>
            <w:pPr>
              <w:spacing w:after="0"/>
              <w:rPr>
                <w:sz w:val="18"/>
                <w:szCs w:val="18"/>
                <w:color w:val="auto"/>
              </w:rPr>
            </w:pPr>
          </w:p>
        </w:tc>
        <w:tc>
          <w:tcPr>
            <w:tcW w:w="3080" w:type="dxa"/>
            <w:vAlign w:val="bottom"/>
            <w:gridSpan w:val="6"/>
          </w:tcPr>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tc>
        <w:tc>
          <w:tcPr>
            <w:tcW w:w="194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16"/>
        </w:trPr>
        <w:tc>
          <w:tcPr>
            <w:tcW w:w="3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1201 North Town Center Drive</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0"/>
        </w:trPr>
        <w:tc>
          <w:tcPr>
            <w:tcW w:w="3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Las Vegas, NV</w:t>
            </w: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7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89144</w:t>
            </w:r>
          </w:p>
        </w:tc>
        <w:tc>
          <w:tcPr>
            <w:tcW w:w="240" w:type="dxa"/>
            <w:vAlign w:val="bottom"/>
          </w:tcPr>
          <w:p>
            <w:pPr>
              <w:spacing w:after="0"/>
              <w:rPr>
                <w:sz w:val="19"/>
                <w:szCs w:val="19"/>
                <w:color w:val="auto"/>
              </w:rPr>
            </w:pPr>
          </w:p>
        </w:tc>
      </w:tr>
      <w:tr>
        <w:trPr>
          <w:trHeight w:val="234"/>
        </w:trPr>
        <w:tc>
          <w:tcPr>
            <w:tcW w:w="3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392"/>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700" w:type="dxa"/>
            <w:vAlign w:val="bottom"/>
            <w:gridSpan w:val="6"/>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(702) 851-7300</w:t>
            </w:r>
          </w:p>
        </w:tc>
        <w:tc>
          <w:tcPr>
            <w:tcW w:w="1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1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391"/>
        </w:trPr>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234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8"/>
        </w:trPr>
        <w:tc>
          <w:tcPr>
            <w:tcW w:w="1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20" w:type="dxa"/>
            <w:vAlign w:val="bottom"/>
            <w:gridSpan w:val="7"/>
          </w:tcPr>
          <w:p>
            <w:pPr>
              <w:jc w:val="center"/>
              <w:ind w:right="360"/>
              <w:spacing w:after="0"/>
              <w:rPr>
                <w:sz w:val="20"/>
                <w:szCs w:val="20"/>
                <w:color w:val="auto"/>
              </w:rPr>
            </w:pPr>
            <w:r>
              <w:rPr>
                <w:rFonts w:ascii="Times New Roman" w:cs="Times New Roman" w:eastAsia="Times New Roman" w:hAnsi="Times New Roman"/>
                <w:sz w:val="18"/>
                <w:szCs w:val="18"/>
                <w:color w:val="auto"/>
                <w:w w:val="99"/>
              </w:rPr>
              <w:t>(Former name or former address,</w:t>
            </w: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620" w:type="dxa"/>
            <w:vAlign w:val="bottom"/>
            <w:gridSpan w:val="7"/>
          </w:tcPr>
          <w:p>
            <w:pPr>
              <w:jc w:val="center"/>
              <w:ind w:right="380"/>
              <w:spacing w:after="0"/>
              <w:rPr>
                <w:sz w:val="20"/>
                <w:szCs w:val="20"/>
                <w:color w:val="auto"/>
              </w:rPr>
            </w:pPr>
            <w:r>
              <w:rPr>
                <w:rFonts w:ascii="Times New Roman" w:cs="Times New Roman" w:eastAsia="Times New Roman" w:hAnsi="Times New Roman"/>
                <w:sz w:val="18"/>
                <w:szCs w:val="18"/>
                <w:color w:val="auto"/>
              </w:rPr>
              <w:t>if changed since last report)</w:t>
            </w:r>
          </w:p>
        </w:tc>
        <w:tc>
          <w:tcPr>
            <w:tcW w:w="8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19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62" w:lineRule="exact"/>
        <w:rPr>
          <w:sz w:val="24"/>
          <w:szCs w:val="24"/>
          <w:color w:val="auto"/>
        </w:rPr>
      </w:pPr>
    </w:p>
    <w:p>
      <w:pPr>
        <w:jc w:val="both"/>
        <w:ind w:right="4420" w:firstLine="8"/>
        <w:spacing w:after="0" w:line="226" w:lineRule="exact"/>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Written communications pursuant to Rule 425 under the Securities Act (17 CFR 230.425)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Soliciting material pursuant to Rule 14a-12 under the Exchange Act (17 CFR 240.14a-12)</w:t>
      </w:r>
    </w:p>
    <w:p>
      <w:pPr>
        <w:jc w:val="both"/>
        <w:ind w:right="2820"/>
        <w:spacing w:after="0" w:line="229"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14d-2(b) under the Exchange Act (17 CFR 240.14d-2(b))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0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50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0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ALGT</w:t>
            </w:r>
          </w:p>
        </w:tc>
        <w:tc>
          <w:tcPr>
            <w:tcW w:w="50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Stock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8220" w:type="dxa"/>
            <w:vAlign w:val="bottom"/>
          </w:tcPr>
          <w:p>
            <w:pPr>
              <w:spacing w:after="0"/>
              <w:rPr>
                <w:sz w:val="24"/>
                <w:szCs w:val="24"/>
                <w:color w:val="auto"/>
              </w:rPr>
            </w:pPr>
          </w:p>
        </w:tc>
        <w:tc>
          <w:tcPr>
            <w:tcW w:w="3020" w:type="dxa"/>
            <w:vAlign w:val="bottom"/>
            <w:gridSpan w:val="2"/>
          </w:tcPr>
          <w:p>
            <w:pPr>
              <w:jc w:val="right"/>
              <w:ind w:right="11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8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580" w:type="dxa"/>
            <w:vAlign w:val="bottom"/>
            <w:vMerge w:val="restart"/>
          </w:tcPr>
          <w:p>
            <w:pPr>
              <w:jc w:val="right"/>
              <w:ind w:right="11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54"/>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244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0"/>
        </w:trPr>
        <w:tc>
          <w:tcPr>
            <w:tcW w:w="8220" w:type="dxa"/>
            <w:vAlign w:val="bottom"/>
            <w:vMerge w:val="continue"/>
          </w:tcPr>
          <w:p>
            <w:pPr>
              <w:spacing w:after="0"/>
              <w:rPr>
                <w:sz w:val="6"/>
                <w:szCs w:val="6"/>
                <w:color w:val="auto"/>
              </w:rPr>
            </w:pPr>
          </w:p>
        </w:tc>
        <w:tc>
          <w:tcPr>
            <w:tcW w:w="244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7"/>
        </w:trPr>
        <w:tc>
          <w:tcPr>
            <w:tcW w:w="82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822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220" w:type="dxa"/>
            <w:vAlign w:val="bottom"/>
            <w:tcBorders>
              <w:bottom w:val="single" w:sz="8" w:color="auto"/>
            </w:tcBorders>
          </w:tcPr>
          <w:p>
            <w:pPr>
              <w:spacing w:after="0"/>
              <w:rPr>
                <w:sz w:val="17"/>
                <w:szCs w:val="17"/>
                <w:color w:val="auto"/>
              </w:rPr>
            </w:pPr>
          </w:p>
        </w:tc>
        <w:tc>
          <w:tcPr>
            <w:tcW w:w="2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previously announced</w:t>
      </w:r>
      <w:r>
        <w:rPr>
          <w:rFonts w:ascii="Times New Roman" w:cs="Times New Roman" w:eastAsia="Times New Roman" w:hAnsi="Times New Roman"/>
          <w:sz w:val="21"/>
          <w:szCs w:val="21"/>
          <w:color w:val="auto"/>
        </w:rPr>
        <w:t>, o</w:t>
      </w:r>
      <w:r>
        <w:rPr>
          <w:rFonts w:ascii="Times New Roman" w:cs="Times New Roman" w:eastAsia="Times New Roman" w:hAnsi="Times New Roman"/>
          <w:sz w:val="18"/>
          <w:szCs w:val="18"/>
          <w:color w:val="auto"/>
        </w:rPr>
        <w:t>n January 11, 2026, Allegiant Travel Company, a Nevada corporation (“</w:t>
      </w:r>
      <w:r>
        <w:rPr>
          <w:rFonts w:ascii="Times New Roman" w:cs="Times New Roman" w:eastAsia="Times New Roman" w:hAnsi="Times New Roman"/>
          <w:sz w:val="18"/>
          <w:szCs w:val="18"/>
          <w:u w:val="single" w:color="auto"/>
          <w:color w:val="auto"/>
        </w:rPr>
        <w:t>Allegiant</w:t>
      </w:r>
      <w:r>
        <w:rPr>
          <w:rFonts w:ascii="Times New Roman" w:cs="Times New Roman" w:eastAsia="Times New Roman" w:hAnsi="Times New Roman"/>
          <w:sz w:val="18"/>
          <w:szCs w:val="18"/>
          <w:color w:val="auto"/>
        </w:rPr>
        <w:t>”), entered into an Agreement and Plan of Merger with Sun Country Airlines Holdings, Inc., a Delaware corporation (“</w:t>
      </w:r>
      <w:r>
        <w:rPr>
          <w:rFonts w:ascii="Times New Roman" w:cs="Times New Roman" w:eastAsia="Times New Roman" w:hAnsi="Times New Roman"/>
          <w:sz w:val="18"/>
          <w:szCs w:val="18"/>
          <w:u w:val="single" w:color="auto"/>
          <w:color w:val="auto"/>
        </w:rPr>
        <w:t>Sun Country</w:t>
      </w:r>
      <w:r>
        <w:rPr>
          <w:rFonts w:ascii="Times New Roman" w:cs="Times New Roman" w:eastAsia="Times New Roman" w:hAnsi="Times New Roman"/>
          <w:sz w:val="18"/>
          <w:szCs w:val="18"/>
          <w:color w:val="auto"/>
        </w:rPr>
        <w:t>”), Mirage Merger Sub, Inc., a Delaware corporation and a direct wholly owned subsidiary of Allegiant (“</w:t>
      </w:r>
      <w:r>
        <w:rPr>
          <w:rFonts w:ascii="Times New Roman" w:cs="Times New Roman" w:eastAsia="Times New Roman" w:hAnsi="Times New Roman"/>
          <w:sz w:val="18"/>
          <w:szCs w:val="18"/>
          <w:u w:val="single" w:color="auto"/>
          <w:color w:val="auto"/>
        </w:rPr>
        <w:t>Merger Sub 1</w:t>
      </w:r>
      <w:r>
        <w:rPr>
          <w:rFonts w:ascii="Times New Roman" w:cs="Times New Roman" w:eastAsia="Times New Roman" w:hAnsi="Times New Roman"/>
          <w:sz w:val="18"/>
          <w:szCs w:val="18"/>
          <w:color w:val="auto"/>
        </w:rPr>
        <w:t>”), and Sawdust Merger Sub, LLC, a Nevada limited liability company and a direct wholly owned subsidiary of Allegiant (“</w:t>
      </w:r>
      <w:r>
        <w:rPr>
          <w:rFonts w:ascii="Times New Roman" w:cs="Times New Roman" w:eastAsia="Times New Roman" w:hAnsi="Times New Roman"/>
          <w:sz w:val="18"/>
          <w:szCs w:val="18"/>
          <w:u w:val="single" w:color="auto"/>
          <w:color w:val="auto"/>
        </w:rPr>
        <w:t>Merger Sub 2</w:t>
      </w:r>
      <w:r>
        <w:rPr>
          <w:rFonts w:ascii="Times New Roman" w:cs="Times New Roman" w:eastAsia="Times New Roman" w:hAnsi="Times New Roman"/>
          <w:sz w:val="18"/>
          <w:szCs w:val="18"/>
          <w:color w:val="auto"/>
        </w:rPr>
        <w:t>”), providing for the merger of Merger Sub 1 with and into Sun Country (the “</w:t>
      </w:r>
      <w:r>
        <w:rPr>
          <w:rFonts w:ascii="Times New Roman" w:cs="Times New Roman" w:eastAsia="Times New Roman" w:hAnsi="Times New Roman"/>
          <w:sz w:val="18"/>
          <w:szCs w:val="18"/>
          <w:u w:val="single" w:color="auto"/>
          <w:color w:val="auto"/>
        </w:rPr>
        <w:t>First Merger</w:t>
      </w:r>
      <w:r>
        <w:rPr>
          <w:rFonts w:ascii="Times New Roman" w:cs="Times New Roman" w:eastAsia="Times New Roman" w:hAnsi="Times New Roman"/>
          <w:sz w:val="18"/>
          <w:szCs w:val="18"/>
          <w:color w:val="auto"/>
        </w:rPr>
        <w:t>”), with Sun Country surviving the First Merger as a direct wholly owned subsidiary of Allegiant and immediately following the First Merger, the merger of Sun Country with and into Merger Sub 2 (the “</w:t>
      </w:r>
      <w:r>
        <w:rPr>
          <w:rFonts w:ascii="Times New Roman" w:cs="Times New Roman" w:eastAsia="Times New Roman" w:hAnsi="Times New Roman"/>
          <w:sz w:val="18"/>
          <w:szCs w:val="18"/>
          <w:u w:val="single" w:color="auto"/>
          <w:color w:val="auto"/>
        </w:rPr>
        <w:t>Second Merger</w:t>
      </w:r>
      <w:r>
        <w:rPr>
          <w:rFonts w:ascii="Times New Roman" w:cs="Times New Roman" w:eastAsia="Times New Roman" w:hAnsi="Times New Roman"/>
          <w:sz w:val="18"/>
          <w:szCs w:val="18"/>
          <w:color w:val="auto"/>
        </w:rPr>
        <w:t>” and, together with the First Merger, the “</w:t>
      </w:r>
      <w:r>
        <w:rPr>
          <w:rFonts w:ascii="Times New Roman" w:cs="Times New Roman" w:eastAsia="Times New Roman" w:hAnsi="Times New Roman"/>
          <w:sz w:val="18"/>
          <w:szCs w:val="18"/>
          <w:u w:val="single" w:color="auto"/>
          <w:color w:val="auto"/>
        </w:rPr>
        <w:t>Mergers</w:t>
      </w:r>
      <w:r>
        <w:rPr>
          <w:rFonts w:ascii="Times New Roman" w:cs="Times New Roman" w:eastAsia="Times New Roman" w:hAnsi="Times New Roman"/>
          <w:sz w:val="18"/>
          <w:szCs w:val="18"/>
          <w:color w:val="auto"/>
        </w:rPr>
        <w:t>”), with Merger Sub 2 surviving the Second Merger as a direct, wholly owned subsidiary of Allegiant.</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Mergers are conditioned on, among other things, the expiration or early termination of the statutory waiting period under the Hart-Scott-Rodino Antitrust Improvements Act of 1976, as amended (the “</w:t>
      </w:r>
      <w:r>
        <w:rPr>
          <w:rFonts w:ascii="Times New Roman" w:cs="Times New Roman" w:eastAsia="Times New Roman" w:hAnsi="Times New Roman"/>
          <w:sz w:val="18"/>
          <w:szCs w:val="18"/>
          <w:u w:val="single" w:color="auto"/>
          <w:color w:val="auto"/>
        </w:rPr>
        <w:t>HSR Act</w:t>
      </w:r>
      <w:r>
        <w:rPr>
          <w:rFonts w:ascii="Times New Roman" w:cs="Times New Roman" w:eastAsia="Times New Roman" w:hAnsi="Times New Roman"/>
          <w:sz w:val="18"/>
          <w:szCs w:val="18"/>
          <w:color w:val="auto"/>
        </w:rPr>
        <w:t>”). On March 16, 2026, Allegiant and Sun Country issued a joint press release announcing the early termination of the waiting period under the HSR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copy of the press release is attached as Exhibit 99.1 hereto and incorporated by reference herein.</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tcPr>
          <w:p>
            <w:pPr>
              <w:spacing w:after="0"/>
              <w:rPr>
                <w:sz w:val="18"/>
                <w:szCs w:val="18"/>
                <w:color w:val="auto"/>
              </w:rPr>
            </w:pPr>
          </w:p>
        </w:tc>
        <w:tc>
          <w:tcPr>
            <w:tcW w:w="10100" w:type="dxa"/>
            <w:vAlign w:val="bottom"/>
          </w:tcPr>
          <w:p>
            <w:pPr>
              <w:spacing w:after="0"/>
              <w:rPr>
                <w:sz w:val="18"/>
                <w:szCs w:val="18"/>
                <w:color w:val="auto"/>
              </w:rPr>
            </w:pPr>
          </w:p>
        </w:tc>
      </w:tr>
      <w:tr>
        <w:trPr>
          <w:trHeight w:val="245"/>
        </w:trPr>
        <w:tc>
          <w:tcPr>
            <w:tcW w:w="3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120" w:type="dxa"/>
            <w:vAlign w:val="bottom"/>
          </w:tcPr>
          <w:p>
            <w:pPr>
              <w:spacing w:after="0"/>
              <w:rPr>
                <w:sz w:val="21"/>
                <w:szCs w:val="21"/>
                <w:color w:val="auto"/>
              </w:rPr>
            </w:pPr>
          </w:p>
        </w:tc>
        <w:tc>
          <w:tcPr>
            <w:tcW w:w="1010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0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tcPr>
          <w:p>
            <w:pPr>
              <w:spacing w:after="0"/>
              <w:rPr>
                <w:sz w:val="24"/>
                <w:szCs w:val="24"/>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March 16, 2026</w:t>
            </w:r>
          </w:p>
        </w:tc>
      </w:tr>
      <w:tr>
        <w:trPr>
          <w:trHeight w:val="237"/>
        </w:trPr>
        <w:tc>
          <w:tcPr>
            <w:tcW w:w="360" w:type="dxa"/>
            <w:vAlign w:val="bottom"/>
          </w:tcPr>
          <w:p>
            <w:pPr>
              <w:spacing w:after="0"/>
              <w:rPr>
                <w:sz w:val="20"/>
                <w:szCs w:val="20"/>
                <w:color w:val="auto"/>
              </w:rPr>
            </w:pPr>
          </w:p>
        </w:tc>
        <w:tc>
          <w:tcPr>
            <w:tcW w:w="320" w:type="dxa"/>
            <w:vAlign w:val="bottom"/>
            <w:tcBorders>
              <w:top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398"/>
        </w:trPr>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19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 w:name="page4"/>
    <w:bookmarkEnd w:id="3"/>
    <w:p>
      <w:pPr>
        <w:ind w:right="6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Additional Information and Where to Find It</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8"/>
          <w:szCs w:val="18"/>
          <w:b w:val="1"/>
          <w:bCs w:val="1"/>
          <w:color w:val="auto"/>
        </w:rPr>
        <w:t>INVESTORS AND SECURITY HOLDERS OF ALLEGIANT AND SUN COUNTRY ARE URGED TO READ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REGISTRATION STATEMENT AND THE JOINT PROXY STATEMENT/PROSPECTUS INCLUDED WITHIN THE REGISTRATION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THEY BECOME AVAILABLE, AS WELL AS ANY OTHER RELEVANT DOCUMENTS FILED WITH THE SEC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 THE PROPOSED TRANSACTION OR INCORPORATED BY REFERENCE INTO THE REGISTRATION STATEMENT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JOINT PROXY STATEMENT/PROSPECTUS (INCLUDING ANY AMENDMENTS OR SUPPLEMENTS THERETO), BECAUSE THEY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CONTAIN IMPORTANT INFORMATION REGARDING ALLEGIANT, SUN COUNTRY, THE PROPOSED TRANSACTION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RELATED MATTERS. </w:t>
      </w:r>
      <w:r>
        <w:rPr>
          <w:rFonts w:ascii="Times New Roman" w:cs="Times New Roman" w:eastAsia="Times New Roman" w:hAnsi="Times New Roman"/>
          <w:sz w:val="17"/>
          <w:szCs w:val="17"/>
          <w:color w:val="auto"/>
        </w:rPr>
        <w:t>Investors and security holders of Allegiant and Sun Country may obtain free copies of these documents and other documents filed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with the SEC by Allegiant or Sun Country through the website maintained by the SEC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or from Allegiant at its website,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Documents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filings/default.aspx</w:t>
      </w:r>
      <w:r>
        <w:rPr>
          <w:rFonts w:ascii="Times New Roman" w:cs="Times New Roman" w:eastAsia="Times New Roman" w:hAnsi="Times New Roman"/>
          <w:sz w:val="17"/>
          <w:szCs w:val="17"/>
          <w:color w:val="auto"/>
        </w:rPr>
        <w:t>, or alternatively by directing a request by mail to Allegiant’s Investor Relations department, 1201 North Town Center Drive, Las Vegas,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NV 89144, and documents filed with the SEC by Sun Country will be available free of charge by accessing Sun Country’s website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 Minneapolis, MN 55450.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https://www.sec.gov/edgar/browse/?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CIK=1362468&amp;owner=exclude</w:t>
      </w:r>
      <w:r>
        <w:rPr>
          <w:rFonts w:ascii="Times New Roman" w:cs="Times New Roman" w:eastAsia="Times New Roman" w:hAnsi="Times New Roman"/>
          <w:sz w:val="18"/>
          <w:szCs w:val="18"/>
          <w:color w:val="auto"/>
        </w:rPr>
        <w:t xml:space="preserve"> under the tab “Ownership Disclosures”.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https://www.sec.gov/edgar/browse/?CIK=1743907&amp;owner=exclude</w:t>
      </w:r>
      <w:r>
        <w:rPr>
          <w:rFonts w:ascii="Times New Roman" w:cs="Times New Roman" w:eastAsia="Times New Roman" w:hAnsi="Times New Roman"/>
          <w:sz w:val="18"/>
          <w:szCs w:val="18"/>
          <w:color w:val="auto"/>
        </w:rPr>
        <w:t xml:space="preserv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236855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00" w:type="dxa"/>
            <w:vAlign w:val="bottom"/>
          </w:tcPr>
          <w:p>
            <w:pPr>
              <w:spacing w:after="0"/>
              <w:rPr>
                <w:sz w:val="20"/>
                <w:szCs w:val="20"/>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b w:val="1"/>
                <w:bCs w:val="1"/>
                <w:color w:val="auto"/>
              </w:rPr>
              <w:t>ALLEGIANT TRAVEL COMPANY</w:t>
            </w:r>
          </w:p>
        </w:tc>
      </w:tr>
      <w:tr>
        <w:trPr>
          <w:trHeight w:val="439"/>
        </w:trPr>
        <w:tc>
          <w:tcPr>
            <w:tcW w:w="3700" w:type="dxa"/>
            <w:vAlign w:val="bottom"/>
          </w:tcPr>
          <w:p>
            <w:pPr>
              <w:spacing w:after="0"/>
              <w:rPr>
                <w:sz w:val="24"/>
                <w:szCs w:val="24"/>
                <w:color w:val="auto"/>
              </w:rPr>
            </w:pPr>
          </w:p>
        </w:tc>
        <w:tc>
          <w:tcPr>
            <w:tcW w:w="754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Robert J. Neal</w:t>
            </w:r>
          </w:p>
        </w:tc>
      </w:tr>
      <w:tr>
        <w:trPr>
          <w:trHeight w:val="198"/>
        </w:trPr>
        <w:tc>
          <w:tcPr>
            <w:tcW w:w="3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Date:  March 16, 2026</w:t>
            </w:r>
          </w:p>
        </w:tc>
        <w:tc>
          <w:tcPr>
            <w:tcW w:w="2320" w:type="dxa"/>
            <w:vAlign w:val="bottom"/>
          </w:tcPr>
          <w:p>
            <w:pPr>
              <w:spacing w:after="0"/>
              <w:rPr>
                <w:sz w:val="17"/>
                <w:szCs w:val="17"/>
                <w:color w:val="auto"/>
              </w:rPr>
            </w:pPr>
          </w:p>
        </w:tc>
        <w:tc>
          <w:tcPr>
            <w:tcW w:w="5220" w:type="dxa"/>
            <w:vAlign w:val="bottom"/>
            <w:tcBorders>
              <w:top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Robert J. Neal</w:t>
            </w:r>
          </w:p>
        </w:tc>
      </w:tr>
      <w:tr>
        <w:trPr>
          <w:trHeight w:val="234"/>
        </w:trPr>
        <w:tc>
          <w:tcPr>
            <w:tcW w:w="37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Financial Officer</w:t>
            </w:r>
          </w:p>
        </w:tc>
      </w:tr>
      <w:tr>
        <w:trPr>
          <w:trHeight w:val="398"/>
        </w:trPr>
        <w:tc>
          <w:tcPr>
            <w:tcW w:w="37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6" w:name="page7"/>
    <w:bookmarkEnd w:id="6"/>
    <w:p>
      <w:pPr>
        <w:ind w:left="103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148590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7" w:lineRule="exact"/>
        <w:rPr>
          <w:sz w:val="20"/>
          <w:szCs w:val="20"/>
          <w:color w:val="auto"/>
        </w:rPr>
      </w:pPr>
    </w:p>
    <w:p>
      <w:pPr>
        <w:jc w:val="center"/>
        <w:ind w:left="340" w:right="140"/>
        <w:spacing w:after="0" w:line="286" w:lineRule="auto"/>
        <w:rPr>
          <w:sz w:val="20"/>
          <w:szCs w:val="20"/>
          <w:color w:val="auto"/>
        </w:rPr>
      </w:pPr>
      <w:r>
        <w:rPr>
          <w:rFonts w:ascii="Times New Roman" w:cs="Times New Roman" w:eastAsia="Times New Roman" w:hAnsi="Times New Roman"/>
          <w:sz w:val="18"/>
          <w:szCs w:val="18"/>
          <w:b w:val="1"/>
          <w:bCs w:val="1"/>
          <w:color w:val="auto"/>
        </w:rPr>
        <w:t>Allegiant and Sun Country Announce Early Termination of Hart-Scott-Rodino Act Waiting Period for Allegiant’s Proposed Acquisition of Sun Country</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LAS VEGAS and MINNEAPOLIS, March 16, 2026 – (PRNewswire) – Allegiant Travel Company (NASDAQ: ALGT) (“Allegiant”) and Sun Country Airlines (NASDAQ: SNCY) (“Sun Country”) today announced the early termination of the waiting period under the Hart-Scott-Rodino Antitrust Improvements Act of 1976 in connection with Allegiant’s previously announced proposed acquisition of Sun Country. Receiving U.S. antitrust clearance is an important step toward completing the combination of the two airlines.</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proposed transaction remains subject to other customary closing conditions, including approval from the U.S. Department of Transportation (DOT) of an interim exemption application and the approval of the shareholders of each of Allegiant and Sun Country. The transaction is now expected to close in the second or third quarter of 2026.</w:t>
      </w:r>
    </w:p>
    <w:p>
      <w:pPr>
        <w:spacing w:after="0" w:line="176" w:lineRule="exact"/>
        <w:rPr>
          <w:sz w:val="20"/>
          <w:szCs w:val="20"/>
          <w:color w:val="auto"/>
        </w:rPr>
      </w:pPr>
    </w:p>
    <w:p>
      <w:pPr>
        <w:jc w:val="both"/>
        <w:ind w:right="240"/>
        <w:spacing w:after="0" w:line="289" w:lineRule="auto"/>
        <w:rPr>
          <w:sz w:val="20"/>
          <w:szCs w:val="20"/>
          <w:color w:val="auto"/>
        </w:rPr>
      </w:pPr>
      <w:r>
        <w:rPr>
          <w:rFonts w:ascii="Times New Roman" w:cs="Times New Roman" w:eastAsia="Times New Roman" w:hAnsi="Times New Roman"/>
          <w:sz w:val="17"/>
          <w:szCs w:val="17"/>
          <w:color w:val="auto"/>
        </w:rPr>
        <w:t>“We are pleased to receive U.S. antitrust clearance from the Department of Justice,” said Allegiant CEO Greg Anderson. “We remain confident that this combination will deliver meaningful benefits for our customers, team members and the communities we serve. Together, Allegiant and Sun Country will create a stronger leisure-focused airline, offering a broader network, more travel options and increase long-term value creation for our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333333"/>
        </w:rPr>
        <w:t>Allegiant – Together We Fly</w:t>
      </w:r>
      <w:r>
        <w:rPr>
          <w:rFonts w:ascii="Times New Roman" w:cs="Times New Roman" w:eastAsia="Times New Roman" w:hAnsi="Times New Roman"/>
          <w:sz w:val="29"/>
          <w:szCs w:val="29"/>
          <w:b w:val="1"/>
          <w:bCs w:val="1"/>
          <w:color w:val="333333"/>
          <w:vertAlign w:val="superscript"/>
        </w:rPr>
        <w:t>TM</w:t>
      </w:r>
    </w:p>
    <w:p>
      <w:pPr>
        <w:spacing w:after="0" w:line="11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Las Vegas-based Allegiant is an integrated travel company with an airline at its heart, focused on connecting customers with the people, places and experiences that matter most. Since 1999, Allegiant Air has linked travelers in small-to-medium cities to world-class vacation destinations with all-nonstop flights and industry-low average fares. Today, Allegiant’s fleet serves communities across the nation, with base airfares less than half the cost of the average domestic roundtrip ticket. For more information, visit us at Allegiant.com. Media information, including photos, is available at </w:t>
      </w:r>
      <w:r>
        <w:rPr>
          <w:rFonts w:ascii="Times New Roman" w:cs="Times New Roman" w:eastAsia="Times New Roman" w:hAnsi="Times New Roman"/>
          <w:sz w:val="18"/>
          <w:szCs w:val="18"/>
          <w:u w:val="single" w:color="auto"/>
          <w:color w:val="auto"/>
        </w:rPr>
        <w:t>http://gofly.us/iiFa303wrtF</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A0A0A"/>
        </w:rPr>
        <w:t>About Sun Country</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0A0A0A"/>
        </w:rPr>
        <w:t xml:space="preserve">Sun Country Airlines is a new breed of hybrid low-cost air carrier, whose mission is to connect guests to their favorite people and places to create lifelong memories and transformative experiences. Sun Country dynamically and synergistically deploys shared resources for our passenger service, including scheduled service and charter, and cargo service segments. Based in Minnesota, we focus on serving leisure and visiting friends and relatives (“VFR”) passengers and charter customers and providing cargo service to Amazon, with flights throughout the United States and to destinations in Mexico, Central America, Canada, and the Caribbean. For photos, b-roll and additional company information, visit </w:t>
      </w:r>
      <w:r>
        <w:rPr>
          <w:rFonts w:ascii="Times New Roman" w:cs="Times New Roman" w:eastAsia="Times New Roman" w:hAnsi="Times New Roman"/>
          <w:sz w:val="18"/>
          <w:szCs w:val="18"/>
          <w:u w:val="single" w:color="auto"/>
          <w:color w:val="000000"/>
        </w:rPr>
        <w:t>https://www.stories.suncountry.com/multimedia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This communication contains forward-looking statements under the safe harbor provisions of Section 21E of the Securities Exchange Act of 1934, Section 27A of the Securities Act of 1933 and the Private Securities Litigation Reform Act of 1995. Forward-looking statements include all statements that are not historical facts and often can be identified by the use of forward-looking terminology such as the words “believe,” “expect,” “guidance,” “anticipate,” “intend,” “plan,” “estimate”, “project”, “hope” or similar expressions. Forward-looking statements in this communication are based on Allegiant’s and Sun Country’s current expectations, estimates and projections about the expected date of closing of the proposed transaction and the potential benefits thereof, their respective businesses and industries, management’s beliefs and certain assumptions made by Allegiant and Sun Country, all of which are subject to change. Forward-looking statements in this communication may relate to, without limitation, the benefits of the proposed transaction, including future financial and operating results; the parties’ respective plans, objectives, expectations and intentions; the expected timing and likelihood of completion of the proposed transaction; expected synergies of the proposed transaction; the timing and result of various regulatory proceedings related to the proposed transaction; the ability to execute and finance current and long-term business, operational, capital expenditures and growth plans and strategies; the impact of increased or increasing transaction and financing costs associated with the proposed transaction or otherwise, as well as inflation and interest rates; and the ability to access debt and equity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 w:name="page8"/>
    <w:bookmarkEnd w:id="7"/>
    <w:p>
      <w:pPr>
        <w:spacing w:after="0" w:line="251" w:lineRule="auto"/>
        <w:rPr>
          <w:sz w:val="20"/>
          <w:szCs w:val="20"/>
          <w:color w:val="auto"/>
        </w:rPr>
      </w:pPr>
      <w:r>
        <w:rPr>
          <w:rFonts w:ascii="Times New Roman" w:cs="Times New Roman" w:eastAsia="Times New Roman" w:hAnsi="Times New Roman"/>
          <w:sz w:val="18"/>
          <w:szCs w:val="18"/>
          <w:color w:val="auto"/>
        </w:rPr>
        <w:t>Forward-looking statements involve risks, uncertainties and assumptions that could cause actual results to differ materially from those expressed in any forward-looking statements. Accordingly, there are or will be important factors that could cause actual results to differ materially from those indicated in such statements and, therefore, you should not place undue reliance on any such statements and caution must be exercised in relying on forward-looking statements. Important risk factors that may cause such a difference include, but are not limited to, the following: the occurrence of any event, change or other circumstance that could give rise to the right of one or both of the parties to terminate the definitive merger agreement for the proposed transaction; the risk that potential legal proceedings may be instituted against Allegiant or Sun Country and result in significant costs of defense, indemnification or liability; the possibility that the proposed transaction does not close when expected or at all because required stockholder approvals, required regulatory approvals or other conditions to closing are not received or satisfied on a timely basis or at all (and the risk that such regulatory approvals may result in the imposition of conditions that could adversely affect the combined company or the expected benefits of the proposed transaction); the risk that the combined company will not realize expected benefits, cost savings, accretion, synergies and/or growth from the proposed transaction or that any of the foregoing may take longer to realize or be more costly to achieve than expected; disruption to the parties’ businesses as a result of the announcement and pendency of the proposed transaction; the costs associated with the anticipated length of time of the pendency of the proposed transaction, including the restrictions contained in the definitive merger agreement on the ability of each of Sun Country and Allegiant to operate their respective businesses outside the ordinary course consistent with past practice during the pendency of the proposed transaction; the diversion of Allegiant’s and Sun Country’s respective management teams’ attention and time from ongoing business operations and opportunities on acquisition-related matters; the risk that the integration of Sun Country’s operations will be materially delayed or will be more costly or difficult than expected or that Allegiant is otherwise unable to successfully integrate Sun Country’s businesses into its businesses; the possibility that the proposed transaction may be more expensive to complete than anticipated, including as a result of unexpected factors or events; reputational risk and potential adverse reactions of Allegiant’s or Sun Country’s customers, suppliers, employees, labor unions or other business partners, including those resulting from the announcement or completion of the proposed transaction; the dilution caused by Allegiant’s issuance of additional shares of its common stock in connection with the consummation of the proposed transaction; a material adverse change in the business, condition or results of operations of Allegiant or Sun Country; changes in domestic or international economic, political or business conditions, including those impacting the airline industry (including customers, employees and supply chains); Allegiant’s and Sun Country’s ability to successfully implement their respective operational, productivity and strategic initiatives; the outcome of claims, litigation, governmental proceedings and investigations involving Allegiant or Sun Country; and a cybersecurity incident or other disruption to Sun Country’s or Allegiant’s technology infrastructure.</w:t>
      </w:r>
    </w:p>
    <w:p>
      <w:pPr>
        <w:spacing w:after="0" w:line="2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Forward-looking statements in this communication are qualified by and should be read together with, the risk factors set forth above and the risk factors included in Allegiant’s and Sun Country’s respective annual and quarterly reports as filed with the Securities and Exchange Commission (the “SEC”), and readers should refer to such risks, uncertainties and risk factors in evaluating such forward-looking statements. In addition, the risk factors discussed above are not exhaustive and they, along with other risk factors, will be more fully discussed in the registration statement and joint proxy statement/prospectus to be filed with the SEC in connection with the proposed transaction.</w:t>
      </w:r>
    </w:p>
    <w:p>
      <w:pPr>
        <w:spacing w:after="0" w:line="18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forward-looking statements in this communication are made only as of the date they were first issued, and unless otherwise required by applicable securities laws, Allegiant and Sun Country disclaim any intention or obligation to update or revise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262626"/>
        </w:rPr>
        <w:t>Important Additional Information and Where to Find It</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Allegiant intends to file with the SEC a registration statement on Form S-4 (the “Registration Statement”), which will include a prospectus with respect to the shares of Allegiant’s common stock to be issued in the proposed transaction and a joint proxy statement for Allegiant’s and Sun Country’s respective stockholders (the “Joint Proxy Statement/Prospectus”). The definitive joint proxy statement (if and when available) will be mailed to stockholders of Allegiant and Sun Country. Each of Allegiant and Sun Country may also file with or furnish to the SEC other relevant documents regarding the proposed transaction. This communication is not a substitute for the Registration Statement, the Joint Proxy Statement/Prospectus or any other document that Allegiant or Sun Country may file with the SEC or send to their respective stockholders in connection with the proposed transaction. </w:t>
      </w:r>
      <w:r>
        <w:rPr>
          <w:rFonts w:ascii="Times New Roman" w:cs="Times New Roman" w:eastAsia="Times New Roman" w:hAnsi="Times New Roman"/>
          <w:sz w:val="18"/>
          <w:szCs w:val="18"/>
          <w:b w:val="1"/>
          <w:bCs w:val="1"/>
          <w:color w:val="auto"/>
        </w:rPr>
        <w:t>INVESTORS AND SECURITY HOLDERS OF ALLEGIANT AND SUN COUNTRY ARE URGED TO READ THE</w:t>
      </w:r>
    </w:p>
    <w:p>
      <w:pPr>
        <w:spacing w:after="0" w:line="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REGISTRATION STATEMENT AND THE JOINT PROXY STATEMENT/PROSPECTUS INCLUDED WITHIN THE REGISTRATION WHEN THEY BECOME AVAILABLE, AS WELL AS ANY OTHER RELEVANT DOCUMENTS FILED WITH THE SEC IN CONNECTION WITH THE PROPOSED TRANSACTION OR INCORPORATED BY REFERENCE INTO THE REGISTRATION STATEMENT AND THE JOINT PROXY STATEMENT/PROSPECTUS (INCLUDING ANY AMENDMENTS OR SUPPLEMENTS THERETO), BECAUSE THEY WILL CONTAIN IMPORTANT INFORMATION REGARDING ALLEGIANT, SUN COUNTRY, THE PROPOSED TRANSACTION AND RELATED MATTERS. </w:t>
      </w:r>
      <w:r>
        <w:rPr>
          <w:rFonts w:ascii="Times New Roman" w:cs="Times New Roman" w:eastAsia="Times New Roman" w:hAnsi="Times New Roman"/>
          <w:sz w:val="18"/>
          <w:szCs w:val="18"/>
          <w:color w:val="auto"/>
        </w:rPr>
        <w:t>Investors and security holders of Allegiant and Sun Country may obtain free copies of these documents and other documents filed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the SEC by Allegiant or Sun Country through the website maintained by the SEC at http://www.sec.gov or from Allegiant at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from Sun Country at its website,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Documents filed with the SEC by Allegiant will be available free of charge by accessing Allegiant’s website at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xml:space="preserve">, or alternatively by directing a request by mail to Allegiant’s Investor Relations department, 1201 North Town Center Drive, Las Vegas, NV 89144, and documents filed with the SEC by Sun Country will be available free of charge by accessing Sun Country’s website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or alternatively by directing a request by mail to Sun Country’s Investor Relations department, 2005 Cargo Road, Minneapolis, MN 55450.</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Participants In The Solicitation</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Allegiant, Sun Country and certain of their respective directors and executive officers may be deemed to be participants in the solicitation of proxies from the stockholders of Allegiant and Sun Country in connection with the proposed transaction under the rules of the SEC.</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Information about the interests of the directors and executive officers of Allegiant and Sun Country and other persons who may be deemed to be participants in the solicitation of stockholders of Allegiant and Sun Country in connection with the proposed transaction and a description of their direct and indirect interests, by security holdings or otherwise, will be included in the Joint Proxy Statement/Prospectus, which will be filed with the SEC.</w:t>
      </w:r>
    </w:p>
    <w:p>
      <w:pPr>
        <w:spacing w:after="0" w:line="17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Allegiant, their ownership of Allegiant common stock and Allegiant’s transactions with related persons can also be found in the Allegiant Annual Report and Allegiant’s definitive proxy statement in connection with its 2025 annual meeting of stockholders, as filed with the SEC on Schedule 14A on April 30, 2025 (the “Allegiant 2025 Proxy Statement”), and other documents subsequently filed by Allegiant with the SEC, which are available on its website, </w:t>
      </w:r>
      <w:r>
        <w:rPr>
          <w:rFonts w:ascii="Times New Roman" w:cs="Times New Roman" w:eastAsia="Times New Roman" w:hAnsi="Times New Roman"/>
          <w:sz w:val="18"/>
          <w:szCs w:val="18"/>
          <w:u w:val="single" w:color="auto"/>
          <w:color w:val="auto"/>
        </w:rPr>
        <w:t>https://ir.allegiantair.com/financials/sec-filings/default.aspx</w:t>
      </w:r>
      <w:r>
        <w:rPr>
          <w:rFonts w:ascii="Times New Roman" w:cs="Times New Roman" w:eastAsia="Times New Roman" w:hAnsi="Times New Roman"/>
          <w:sz w:val="18"/>
          <w:szCs w:val="18"/>
          <w:color w:val="auto"/>
        </w:rPr>
        <w:t>. Such information is set forth in the sections entitled “Proposal No. 1 – Election of Directors”, “Proposal No. 2 – Advisory (non-binding) Vote on Executive Compensation”, “Proposal No. 3</w:t>
      </w:r>
    </w:p>
    <w:p>
      <w:pPr>
        <w:spacing w:after="0" w:line="3"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 Approval of Amendment to Allegiant 2022 Long-Term Incentive Plan to Increase Number of Shares Available”, “Executive Compensation” and “Related Party Transactions” of the Allegiant 2025 Proxy Statement. To the extent holdings of Allegiant common stock by the directors and executive officers of Allegiant have changed from the amounts of Allegiant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https://www.sec.gov/edgar/browse/?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CIK=1362468&amp;owner=exclude</w:t>
      </w:r>
      <w:r>
        <w:rPr>
          <w:rFonts w:ascii="Times New Roman" w:cs="Times New Roman" w:eastAsia="Times New Roman" w:hAnsi="Times New Roman"/>
          <w:sz w:val="18"/>
          <w:szCs w:val="18"/>
          <w:color w:val="auto"/>
        </w:rPr>
        <w:t xml:space="preserve"> under the tab “Ownership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right="60"/>
        <w:spacing w:after="0" w:line="253" w:lineRule="auto"/>
        <w:rPr>
          <w:sz w:val="20"/>
          <w:szCs w:val="20"/>
          <w:color w:val="auto"/>
        </w:rPr>
      </w:pPr>
      <w:r>
        <w:rPr>
          <w:rFonts w:ascii="Times New Roman" w:cs="Times New Roman" w:eastAsia="Times New Roman" w:hAnsi="Times New Roman"/>
          <w:sz w:val="18"/>
          <w:szCs w:val="18"/>
          <w:color w:val="auto"/>
        </w:rPr>
        <w:t xml:space="preserve">Information about the directors and executive officers of Sun Country, their ownership of Sun Country common stock and Sun Country’s transactions with related persons can also be found in the definitive proxy statement for Sun Country’s 2025 annual meeting of stockholders, as filed with the SEC on Schedule 14A on April 25,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other documents subsequently filed by Sun Country with the SEC. Such information is set forth in the sections entitled “Proposal 1– Reelection of Directors”, “Proposal 2 – Non-binding (Advisory) Vote to Approve the Compensation of Our Named Executive Officers”, “Executive Compensation”, “Certain Relationships and Related Person Transactions” and “Security Ownership of Certain Beneficial Owners and Management” of such definitive proxy statement. Please also refer to Sun Country’s subsequent Current Reports, as filed with the SEC on Form 8-K on September 22, 2025 (which is available at </w:t>
      </w:r>
      <w:r>
        <w:rPr>
          <w:rFonts w:ascii="Times New Roman" w:cs="Times New Roman" w:eastAsia="Times New Roman" w:hAnsi="Times New Roman"/>
          <w:sz w:val="18"/>
          <w:szCs w:val="18"/>
          <w:u w:val="single" w:color="auto"/>
          <w:color w:val="auto"/>
        </w:rPr>
        <w:t>https://ir.suncountry.com/financials/sec-filings</w:t>
      </w:r>
      <w:r>
        <w:rPr>
          <w:rFonts w:ascii="Times New Roman" w:cs="Times New Roman" w:eastAsia="Times New Roman" w:hAnsi="Times New Roman"/>
          <w:sz w:val="18"/>
          <w:szCs w:val="18"/>
          <w:color w:val="auto"/>
        </w:rPr>
        <w:t xml:space="preserve">) and on October 30, 2025, regarding subsequent changes to Sun Country’s Board of Directors and executive management following the filing of such definitive proxy statement. To the extent holdings of Sun Country common stock by the directors and executive officers of Sun Country have changed from the amounts of Sun Country common stock held by such persons as reflected in the definitive proxy statement,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auto"/>
        </w:rPr>
        <w:t>https://www.sec.gov/edgar/browse/?CIK=1743907&amp;owner=exclude</w:t>
      </w:r>
      <w:r>
        <w:rPr>
          <w:rFonts w:ascii="Times New Roman" w:cs="Times New Roman" w:eastAsia="Times New Roman" w:hAnsi="Times New Roman"/>
          <w:sz w:val="18"/>
          <w:szCs w:val="18"/>
          <w:color w:val="auto"/>
        </w:rPr>
        <w:t xml:space="preserve"> under the tab “Ownership Disclosures”.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Free copies of these documents may be obtained as described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No Offer or Solicitation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communication is for informational purposes only and does not constitute, or form a part of, an offer to sell, an offer to buy, or the solicitation of an offer to sell or the solicitation of an offer to buy any securities, and there shall be no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62626"/>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Allegiant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Media Inquiries: </w:t>
      </w:r>
      <w:r>
        <w:rPr>
          <w:rFonts w:ascii="Times New Roman" w:cs="Times New Roman" w:eastAsia="Times New Roman" w:hAnsi="Times New Roman"/>
          <w:sz w:val="18"/>
          <w:szCs w:val="18"/>
          <w:u w:val="single" w:color="auto"/>
          <w:color w:val="auto"/>
        </w:rPr>
        <w:t>mediarelations@allegiantair.com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Investor Inquiries: </w:t>
      </w:r>
      <w:r>
        <w:rPr>
          <w:rFonts w:ascii="Times New Roman" w:cs="Times New Roman" w:eastAsia="Times New Roman" w:hAnsi="Times New Roman"/>
          <w:sz w:val="18"/>
          <w:szCs w:val="18"/>
          <w:u w:val="single" w:color="auto"/>
          <w:color w:val="auto"/>
        </w:rPr>
        <w:t>ir@allegiantair.com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Sun Country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Inquiries: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Wendy Burt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mediarelations@suncountry.com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 Allen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IR@suncountry.com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2026-03-16T08:19:53Z</dcterms:created>
  <dcterms:modified xsi:type="dcterms:W3CDTF">2026-03-16T08:19:53Z</dcterms:modified>
</cp:coreProperties>
</file>