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FORM 8-K</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November 7, 2023</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Sun Country Airlines Holdings,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125" w:type="dxa"/>
        <w:jc w:val="left"/>
        <w:tblInd w:w="0" w:type="dxa"/>
        <w:tblLayout w:type="fixed"/>
        <w:tblCellMar>
          <w:top w:w="28" w:type="dxa"/>
          <w:left w:w="28" w:type="dxa"/>
          <w:bottom w:w="28" w:type="dxa"/>
          <w:right w:w="28" w:type="dxa"/>
        </w:tblCellMar>
      </w:tblPr>
      <w:tblGrid>
        <w:gridCol w:w="466"/>
        <w:gridCol w:w="410"/>
        <w:gridCol w:w="414"/>
        <w:gridCol w:w="394"/>
        <w:gridCol w:w="394"/>
        <w:gridCol w:w="398"/>
        <w:gridCol w:w="481"/>
        <w:gridCol w:w="481"/>
        <w:gridCol w:w="687"/>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001-40217</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82-4092570</w:t>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of</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tbl>
      <w:tblPr>
        <w:tblW w:w="4335" w:type="dxa"/>
        <w:jc w:val="left"/>
        <w:tblInd w:w="0" w:type="dxa"/>
        <w:tblLayout w:type="fixed"/>
        <w:tblCellMar>
          <w:top w:w="28" w:type="dxa"/>
          <w:left w:w="28" w:type="dxa"/>
          <w:bottom w:w="28" w:type="dxa"/>
          <w:right w:w="28" w:type="dxa"/>
        </w:tblCellMar>
      </w:tblPr>
      <w:tblGrid>
        <w:gridCol w:w="1192"/>
        <w:gridCol w:w="1047"/>
        <w:gridCol w:w="1061"/>
        <w:gridCol w:w="303"/>
        <w:gridCol w:w="303"/>
        <w:gridCol w:w="429"/>
      </w:tblGrid>
      <w:tr>
        <w:trPr/>
        <w:tc>
          <w:tcPr>
            <w:tcW w:w="119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2005 Cargo Road</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Minneapolis, Minnesota</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55450</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(651) 681-3900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762"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314"/>
        <w:gridCol w:w="314"/>
        <w:gridCol w:w="316"/>
        <w:gridCol w:w="109"/>
        <w:gridCol w:w="109"/>
        <w:gridCol w:w="109"/>
        <w:gridCol w:w="780"/>
        <w:gridCol w:w="780"/>
        <w:gridCol w:w="1110"/>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Trading</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7, 2023, Sun Country Airlines Holdings, Inc. issued a press release announcing its financial results for the fiscal quarter ended September 30, 2023. A copy of the press release is attached hereto as Exhibit 99.1 and incorporated by reference herein.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of 1934, as amended, regardless of any general incorporation language in such filings,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6, 2023, the Company’s Board of Directors authorized the addition of $25.0 million to the Company’s existing stock repurchase program. As of the date of this filing, the Company has approximately $25.0 million of Board authorization remaining to repurchase additional shares of Common Stock, $0.01 par value per share (“Common Stock”). The Company may purchase shares of its Common Stock on a discretionary basis from time-to-time through open market repurchases, privately negotiated transactions, accelerated share repurchase, or other means, including through Rule 10b5-1 trading plans. Whether any repurchases are made, and the timing and actual number of any shares repurchased, will be determined by management depending on a variety of factors, including stock price, trading volume, market conditions and other general business considerations. The stock repurchase program has no expiration date and may be modified, suspended, or terminated at any time. Any repurchases made under this program will be funded from the Company’s existing cash flows, or future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120" w:after="283"/>
        <w:ind w:left="0" w:right="0" w:hanging="270"/>
        <w:jc w:val="left"/>
        <w:rPr/>
      </w:pPr>
      <w:r>
        <w:rPr>
          <w:rFonts w:ascii="Times New Roman;sans-serif" w:hAnsi="Times New Roman;sans-serif"/>
          <w:b w:val="false"/>
          <w:color w:val="000000"/>
          <w:sz w:val="20"/>
        </w:rPr>
        <w:t>(d)</w:t>
      </w:r>
      <w:r>
        <w:rPr>
          <w:rFonts w:ascii="Times New Roman;sans-serif" w:hAnsi="Times New Roman;sans-serif"/>
          <w:b w:val="false"/>
          <w:i/>
          <w:color w:val="000000"/>
          <w:sz w:val="20"/>
        </w:rPr>
        <w:t>Exhibits.</w:t>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7"/>
        <w:gridCol w:w="1927"/>
        <w:gridCol w:w="274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q32023-ex991.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q32023-ex991.htm">
              <w:r>
                <w:rPr>
                  <w:rStyle w:val="InternetLink"/>
                  <w:rFonts w:ascii="Times New Roman;sans-serif" w:hAnsi="Times New Roman;sans-serif"/>
                  <w:b w:val="false"/>
                  <w:color w:val="0000FF"/>
                  <w:sz w:val="20"/>
                  <w:u w:val="single"/>
                </w:rPr>
                <w:t>Press release, dated November 7, 2023</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8572" w:type="dxa"/>
        <w:jc w:val="left"/>
        <w:tblInd w:w="0" w:type="dxa"/>
        <w:tblLayout w:type="fixed"/>
        <w:tblCellMar>
          <w:top w:w="28" w:type="dxa"/>
          <w:left w:w="28" w:type="dxa"/>
          <w:bottom w:w="28" w:type="dxa"/>
          <w:right w:w="28" w:type="dxa"/>
        </w:tblCellMar>
      </w:tblPr>
      <w:tblGrid>
        <w:gridCol w:w="759"/>
        <w:gridCol w:w="668"/>
        <w:gridCol w:w="672"/>
        <w:gridCol w:w="334"/>
        <w:gridCol w:w="334"/>
        <w:gridCol w:w="334"/>
        <w:gridCol w:w="334"/>
        <w:gridCol w:w="334"/>
        <w:gridCol w:w="334"/>
        <w:gridCol w:w="1309"/>
        <w:gridCol w:w="1309"/>
        <w:gridCol w:w="185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647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Sun Country Airlines Holdings,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4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Erin Rose Neale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Erin Rose Neale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2857500" cy="571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857500" cy="571500"/>
                    </a:xfrm>
                    <a:prstGeom prst="rect">
                      <a:avLst/>
                    </a:prstGeom>
                  </pic:spPr>
                </pic:pic>
              </a:graphicData>
            </a:graphic>
          </wp:inline>
        </w:drawing>
      </w:r>
    </w:p>
    <w:p>
      <w:pPr>
        <w:pStyle w:val="TextBody"/>
        <w:bidi w:val="0"/>
        <w:spacing w:before="0" w:after="0"/>
        <w:jc w:val="right"/>
        <w:rPr/>
      </w:pPr>
      <w:r>
        <w:rPr/>
      </w:r>
    </w:p>
    <w:p>
      <w:pPr>
        <w:pStyle w:val="TextBody"/>
        <w:bidi w:val="0"/>
        <w:spacing w:lineRule="auto" w:line="288" w:before="60" w:after="283"/>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Sun Country Airlines Reports Third Quarter 2023 Results</w:t>
      </w:r>
    </w:p>
    <w:p>
      <w:pPr>
        <w:pStyle w:val="TextBody"/>
        <w:bidi w:val="0"/>
        <w:spacing w:lineRule="auto" w:line="288" w:before="0" w:after="0"/>
        <w:jc w:val="center"/>
        <w:rPr/>
      </w:pPr>
      <w:r>
        <w:rPr>
          <w:rFonts w:ascii="Arial;sans-serif" w:hAnsi="Arial;sans-serif"/>
          <w:b w:val="false"/>
          <w:color w:val="000000"/>
          <w:sz w:val="20"/>
        </w:rPr>
        <w:t>Revenue of $249 million, highest third quarter on record</w:t>
      </w:r>
      <w:r>
        <w:rPr>
          <w:rFonts w:ascii="Arial;sans-serif" w:hAnsi="Arial;sans-serif"/>
          <w:b w:val="false"/>
          <w:color w:val="000000"/>
          <w:sz w:val="13"/>
        </w:rPr>
        <w:t>(1)</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GAAP diluted EPS of $0.13 and operating income of $19 million</w:t>
      </w:r>
    </w:p>
    <w:p>
      <w:pPr>
        <w:pStyle w:val="TextBody"/>
        <w:bidi w:val="0"/>
        <w:spacing w:lineRule="auto" w:line="288" w:before="0" w:after="0"/>
        <w:jc w:val="center"/>
        <w:rPr/>
      </w:pPr>
      <w:r>
        <w:rPr>
          <w:rFonts w:ascii="Arial;sans-serif" w:hAnsi="Arial;sans-serif"/>
          <w:b w:val="false"/>
          <w:color w:val="000000"/>
          <w:sz w:val="20"/>
        </w:rPr>
        <w:t>Adj. diluted EPS</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$0.14</w:t>
      </w:r>
      <w:r>
        <w:rPr>
          <w:color w:val="000000"/>
        </w:rPr>
        <w:t xml:space="preserve"> </w:t>
      </w:r>
      <w:r>
        <w:rPr>
          <w:rFonts w:ascii="Arial;sans-serif" w:hAnsi="Arial;sans-serif"/>
          <w:b w:val="false"/>
          <w:color w:val="000000"/>
          <w:sz w:val="20"/>
        </w:rPr>
        <w:t>and adjusted operating income</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$20 million</w:t>
      </w:r>
      <w:r>
        <w:rPr>
          <w:rFonts w:ascii="Arial;sans-serif" w:hAnsi="Arial;sans-serif"/>
          <w:b w:val="false"/>
          <w:color w:val="000000"/>
          <w:sz w:val="13"/>
        </w:rPr>
        <w:t xml:space="preserve">, </w:t>
      </w:r>
    </w:p>
    <w:p>
      <w:pPr>
        <w:pStyle w:val="TextBody"/>
        <w:bidi w:val="0"/>
        <w:spacing w:lineRule="auto" w:line="288" w:before="240" w:after="283"/>
        <w:jc w:val="left"/>
        <w:rPr/>
      </w:pPr>
      <w:r>
        <w:rPr>
          <w:rFonts w:ascii="Arial;sans-serif" w:hAnsi="Arial;sans-serif"/>
          <w:b w:val="false"/>
          <w:color w:val="000000"/>
          <w:sz w:val="20"/>
        </w:rPr>
        <w:t>MINNEAPOLIS. November 7, 2023. Sun Country Airlines Holdings, Inc. (“Sun Country Airlines,” “Sun Country,” the “Company”) (</w:t>
      </w:r>
      <w:r>
        <w:rPr>
          <w:rFonts w:ascii="Arial;sans-serif" w:hAnsi="Arial;sans-serif"/>
          <w:b w:val="false"/>
          <w:color w:val="0563C1"/>
          <w:sz w:val="20"/>
        </w:rPr>
        <w:t>NASDAQ: SNCY</w:t>
      </w:r>
      <w:r>
        <w:rPr>
          <w:rFonts w:ascii="Arial;sans-serif" w:hAnsi="Arial;sans-serif"/>
          <w:b w:val="false"/>
          <w:color w:val="000000"/>
          <w:sz w:val="20"/>
        </w:rPr>
        <w:t>) today reported financial results for its third quarter ended September 30, 2023.</w:t>
      </w:r>
    </w:p>
    <w:p>
      <w:pPr>
        <w:pStyle w:val="TextBody"/>
        <w:bidi w:val="0"/>
        <w:spacing w:before="0" w:after="0"/>
        <w:jc w:val="both"/>
        <w:rPr/>
      </w:pPr>
      <w:r>
        <w:rPr/>
      </w:r>
    </w:p>
    <w:p>
      <w:pPr>
        <w:pStyle w:val="TextBody"/>
        <w:bidi w:val="0"/>
        <w:spacing w:lineRule="auto" w:line="268" w:before="0" w:after="0"/>
        <w:jc w:val="left"/>
        <w:rPr/>
      </w:pPr>
      <w:r>
        <w:rPr>
          <w:color w:val="0A0A0A"/>
        </w:rPr>
        <w:t>“</w:t>
      </w:r>
      <w:r>
        <w:rPr>
          <w:rFonts w:ascii="Arial;sans-serif" w:hAnsi="Arial;sans-serif"/>
          <w:b w:val="false"/>
          <w:color w:val="0A0A0A"/>
          <w:sz w:val="20"/>
        </w:rPr>
        <w:t>Sun Country’s diversified business model continued to deliver strong results in the third quarter, as evidenced by our strong GAAP operating results and our third consecutive quarter of year over year improvement in adjusted operating margin, adjusted pre-tax margin and adjusted earnings per share,” said Jude Bricker, Chief Executive Officer of Sun Country. “Total revenue was up by 12.3% versus the third quarter 2022 and we produced GAAP operating income of $19 million, operating margin of 7.6%, and adjusted operating margin</w:t>
      </w:r>
      <w:r>
        <w:rPr>
          <w:rFonts w:ascii="Arial;sans-serif" w:hAnsi="Arial;sans-serif"/>
          <w:b w:val="false"/>
          <w:color w:val="0A0A0A"/>
          <w:sz w:val="13"/>
        </w:rPr>
        <w:t>(2)</w:t>
      </w:r>
      <w:r>
        <w:rPr>
          <w:color w:val="0A0A0A"/>
        </w:rPr>
        <w:t xml:space="preserve"> </w:t>
      </w:r>
      <w:r>
        <w:rPr>
          <w:rFonts w:ascii="Arial;sans-serif" w:hAnsi="Arial;sans-serif"/>
          <w:b w:val="false"/>
          <w:color w:val="0A0A0A"/>
          <w:sz w:val="20"/>
        </w:rPr>
        <w:t>of 8.1% for the quarter. The revenue environment continues to stay healthy as demonstrated by scheduled service TRASM</w:t>
      </w:r>
      <w:r>
        <w:rPr>
          <w:rFonts w:ascii="Arial;sans-serif" w:hAnsi="Arial;sans-serif"/>
          <w:b w:val="false"/>
          <w:color w:val="0A0A0A"/>
          <w:sz w:val="13"/>
        </w:rPr>
        <w:t>(3)</w:t>
      </w:r>
      <w:r>
        <w:rPr>
          <w:color w:val="0A0A0A"/>
        </w:rPr>
        <w:t xml:space="preserve"> </w:t>
      </w:r>
      <w:r>
        <w:rPr>
          <w:rFonts w:ascii="Arial;sans-serif" w:hAnsi="Arial;sans-serif"/>
          <w:b w:val="false"/>
          <w:color w:val="0A0A0A"/>
          <w:sz w:val="20"/>
        </w:rPr>
        <w:t>declining only 5.0%, while scheduled service ASMs grew 15.1%. This helped to drive GAAP diluted EPS of $0.13 and Adjusted diluted EPS</w:t>
      </w:r>
      <w:r>
        <w:rPr>
          <w:rFonts w:ascii="Arial;sans-serif" w:hAnsi="Arial;sans-serif"/>
          <w:b w:val="false"/>
          <w:color w:val="0A0A0A"/>
          <w:sz w:val="13"/>
        </w:rPr>
        <w:t>(2)</w:t>
      </w:r>
      <w:r>
        <w:rPr>
          <w:color w:val="0A0A0A"/>
        </w:rPr>
        <w:t xml:space="preserve"> </w:t>
      </w:r>
      <w:r>
        <w:rPr>
          <w:rFonts w:ascii="Arial;sans-serif" w:hAnsi="Arial;sans-serif"/>
          <w:b w:val="false"/>
          <w:color w:val="0A0A0A"/>
          <w:sz w:val="20"/>
        </w:rPr>
        <w:t xml:space="preserve">of $0.14 in the </w:t>
      </w:r>
      <w:r>
        <w:rPr>
          <w:rFonts w:ascii="Arial;sans-serif" w:hAnsi="Arial;sans-serif"/>
          <w:b w:val="false"/>
          <w:color w:val="000000"/>
          <w:sz w:val="20"/>
        </w:rPr>
        <w:t xml:space="preserve">third </w:t>
      </w:r>
      <w:r>
        <w:rPr>
          <w:rFonts w:ascii="Arial;sans-serif" w:hAnsi="Arial;sans-serif"/>
          <w:b w:val="false"/>
          <w:color w:val="0A0A0A"/>
          <w:sz w:val="20"/>
        </w:rPr>
        <w:t>quarter. In addition to our excellent performance, our board of directors has authorized an additional $25 million for repurchases of Sun Country shares.”</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Overview of Third Quarter</w:t>
      </w:r>
    </w:p>
    <w:tbl>
      <w:tblPr>
        <w:tblW w:w="8108" w:type="dxa"/>
        <w:jc w:val="left"/>
        <w:tblInd w:w="0" w:type="dxa"/>
        <w:tblLayout w:type="fixed"/>
        <w:tblCellMar>
          <w:top w:w="28" w:type="dxa"/>
          <w:left w:w="28" w:type="dxa"/>
          <w:bottom w:w="28" w:type="dxa"/>
          <w:right w:w="28" w:type="dxa"/>
        </w:tblCellMar>
      </w:tblPr>
      <w:tblGrid>
        <w:gridCol w:w="1517"/>
        <w:gridCol w:w="1330"/>
        <w:gridCol w:w="1338"/>
        <w:gridCol w:w="319"/>
        <w:gridCol w:w="978"/>
        <w:gridCol w:w="165"/>
        <w:gridCol w:w="319"/>
        <w:gridCol w:w="978"/>
        <w:gridCol w:w="165"/>
        <w:gridCol w:w="300"/>
        <w:gridCol w:w="300"/>
        <w:gridCol w:w="399"/>
      </w:tblGrid>
      <w:tr>
        <w:trPr/>
        <w:tc>
          <w:tcPr>
            <w:tcW w:w="151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16"/>
              </w:rPr>
            </w:pPr>
            <w:r>
              <w:rPr>
                <w:rFonts w:ascii="Arial;sans-serif" w:hAnsi="Arial;sans-serif"/>
                <w:b/>
                <w:color w:val="0A0A0A"/>
                <w:sz w:val="16"/>
              </w:rPr>
              <w:t>(unaudited) (in millions, except per share amounts)</w:t>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2023</w:t>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2022</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4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Revenue</w:t>
            </w:r>
          </w:p>
        </w:tc>
        <w:tc>
          <w:tcPr>
            <w:tcW w:w="3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248.9 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221.7 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12.3 </w:t>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Income</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19.0 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23.5 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Before Income Tax</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(22.1)</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Net Income</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(28.9)</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 earnings per share</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0.13</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(27.8)</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70" w:type="dxa"/>
        <w:jc w:val="left"/>
        <w:tblInd w:w="0" w:type="dxa"/>
        <w:tblLayout w:type="fixed"/>
        <w:tblCellMar>
          <w:top w:w="28" w:type="dxa"/>
          <w:left w:w="28" w:type="dxa"/>
          <w:bottom w:w="28" w:type="dxa"/>
          <w:right w:w="28" w:type="dxa"/>
        </w:tblCellMar>
      </w:tblPr>
      <w:tblGrid>
        <w:gridCol w:w="1517"/>
        <w:gridCol w:w="1330"/>
        <w:gridCol w:w="1338"/>
        <w:gridCol w:w="358"/>
        <w:gridCol w:w="919"/>
        <w:gridCol w:w="185"/>
        <w:gridCol w:w="358"/>
        <w:gridCol w:w="919"/>
        <w:gridCol w:w="185"/>
        <w:gridCol w:w="281"/>
        <w:gridCol w:w="281"/>
        <w:gridCol w:w="399"/>
      </w:tblGrid>
      <w:tr>
        <w:trPr/>
        <w:tc>
          <w:tcPr>
            <w:tcW w:w="151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16"/>
              </w:rPr>
            </w:pPr>
            <w:r>
              <w:rPr>
                <w:rFonts w:ascii="Arial;sans-serif" w:hAnsi="Arial;sans-serif"/>
                <w:b/>
                <w:color w:val="0A0A0A"/>
                <w:sz w:val="16"/>
              </w:rPr>
              <w:t>(unaudited) (in millions, except per share amounts)</w:t>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2023</w:t>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2022</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4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Operating Income </w:t>
            </w:r>
            <w:r>
              <w:rPr>
                <w:rFonts w:ascii="Arial;sans-serif" w:hAnsi="Arial;sans-serif"/>
                <w:b w:val="false"/>
                <w:color w:val="0A0A0A"/>
                <w:sz w:val="13"/>
              </w:rPr>
              <w:t>(2)</w:t>
            </w:r>
          </w:p>
        </w:tc>
        <w:tc>
          <w:tcPr>
            <w:tcW w:w="3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11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20.0</w:t>
            </w:r>
          </w:p>
        </w:tc>
        <w:tc>
          <w:tcPr>
            <w:tcW w:w="3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15.9 </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26.2</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Income Before Income Tax </w:t>
            </w:r>
            <w:r>
              <w:rPr>
                <w:rFonts w:ascii="Arial;sans-serif" w:hAnsi="Arial;sans-serif"/>
                <w:b w:val="false"/>
                <w:color w:val="0A0A0A"/>
                <w:sz w:val="13"/>
              </w:rPr>
              <w:t>(2)</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9.7 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14.8</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Net Income </w:t>
            </w:r>
            <w:r>
              <w:rPr>
                <w:rFonts w:ascii="Arial;sans-serif" w:hAnsi="Arial;sans-serif"/>
                <w:b w:val="false"/>
                <w:color w:val="0A0A0A"/>
                <w:sz w:val="13"/>
              </w:rPr>
              <w:t>(2)</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8.4 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13.9</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diluted earnings per share </w:t>
            </w:r>
            <w:r>
              <w:rPr>
                <w:rFonts w:ascii="Arial;sans-serif" w:hAnsi="Arial;sans-serif"/>
                <w:b w:val="false"/>
                <w:color w:val="0A0A0A"/>
                <w:sz w:val="13"/>
              </w:rPr>
              <w:t>(2)</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0.12 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16.7</w:t>
            </w:r>
          </w:p>
        </w:tc>
      </w:tr>
    </w:tbl>
    <w:tbl>
      <w:tblPr>
        <w:tblW w:w="8064" w:type="dxa"/>
        <w:jc w:val="left"/>
        <w:tblInd w:w="0" w:type="dxa"/>
        <w:tblLayout w:type="fixed"/>
        <w:tblCellMar>
          <w:top w:w="28" w:type="dxa"/>
          <w:left w:w="28" w:type="dxa"/>
          <w:bottom w:w="28" w:type="dxa"/>
          <w:right w:w="28" w:type="dxa"/>
        </w:tblCellMar>
      </w:tblPr>
      <w:tblGrid>
        <w:gridCol w:w="1517"/>
        <w:gridCol w:w="1330"/>
        <w:gridCol w:w="1338"/>
        <w:gridCol w:w="309"/>
        <w:gridCol w:w="948"/>
        <w:gridCol w:w="160"/>
        <w:gridCol w:w="309"/>
        <w:gridCol w:w="948"/>
        <w:gridCol w:w="160"/>
        <w:gridCol w:w="323"/>
        <w:gridCol w:w="323"/>
        <w:gridCol w:w="399"/>
      </w:tblGrid>
      <w:tr>
        <w:trPr/>
        <w:tc>
          <w:tcPr>
            <w:tcW w:w="151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16"/>
              </w:rPr>
            </w:pPr>
            <w:r>
              <w:rPr>
                <w:rFonts w:ascii="Arial;sans-serif" w:hAnsi="Arial;sans-serif"/>
                <w:b/>
                <w:color w:val="0A0A0A"/>
                <w:sz w:val="16"/>
              </w:rPr>
              <w:t>(unaudited) (in millions, except per share amounts)</w:t>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2023</w:t>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2022</w:t>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4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Revenue</w:t>
            </w:r>
          </w:p>
        </w:tc>
        <w:tc>
          <w:tcPr>
            <w:tcW w:w="3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804.1 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667.3 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20.5 </w:t>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Income</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110.4 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171.9 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Before Income Tax</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86.5 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496.3 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Net Income</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540.3 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 earnings per share</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1.12</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558.8 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978" w:type="dxa"/>
        <w:jc w:val="left"/>
        <w:tblInd w:w="0" w:type="dxa"/>
        <w:tblLayout w:type="fixed"/>
        <w:tblCellMar>
          <w:top w:w="28" w:type="dxa"/>
          <w:left w:w="28" w:type="dxa"/>
          <w:bottom w:w="28" w:type="dxa"/>
          <w:right w:w="28" w:type="dxa"/>
        </w:tblCellMar>
      </w:tblPr>
      <w:tblGrid>
        <w:gridCol w:w="1517"/>
        <w:gridCol w:w="1330"/>
        <w:gridCol w:w="1338"/>
        <w:gridCol w:w="347"/>
        <w:gridCol w:w="890"/>
        <w:gridCol w:w="179"/>
        <w:gridCol w:w="347"/>
        <w:gridCol w:w="890"/>
        <w:gridCol w:w="179"/>
        <w:gridCol w:w="281"/>
        <w:gridCol w:w="281"/>
        <w:gridCol w:w="399"/>
      </w:tblGrid>
      <w:tr>
        <w:trPr/>
        <w:tc>
          <w:tcPr>
            <w:tcW w:w="151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16"/>
              </w:rPr>
            </w:pPr>
            <w:r>
              <w:rPr>
                <w:rFonts w:ascii="Arial;sans-serif" w:hAnsi="Arial;sans-serif"/>
                <w:b/>
                <w:color w:val="0A0A0A"/>
                <w:sz w:val="16"/>
              </w:rPr>
              <w:t>(unaudited) (in millions, except per share amounts)</w:t>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2023</w:t>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2022</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4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Operating Income </w:t>
            </w:r>
            <w:r>
              <w:rPr>
                <w:rFonts w:ascii="Arial;sans-serif" w:hAnsi="Arial;sans-serif"/>
                <w:b w:val="false"/>
                <w:color w:val="0A0A0A"/>
                <w:sz w:val="13"/>
              </w:rPr>
              <w:t>(2)</w:t>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10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118.5</w:t>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42.6 </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178.4</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Income Before Income Tax </w:t>
            </w:r>
            <w:r>
              <w:rPr>
                <w:rFonts w:ascii="Arial;sans-serif" w:hAnsi="Arial;sans-serif"/>
                <w:b w:val="false"/>
                <w:color w:val="0A0A0A"/>
                <w:sz w:val="13"/>
              </w:rPr>
              <w:t>(2)</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94.9 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22.7 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317.7</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Net Income </w:t>
            </w:r>
            <w:r>
              <w:rPr>
                <w:rFonts w:ascii="Arial;sans-serif" w:hAnsi="Arial;sans-serif"/>
                <w:b w:val="false"/>
                <w:color w:val="0A0A0A"/>
                <w:sz w:val="13"/>
              </w:rPr>
              <w:t>(2)</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72.9 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17.9 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308.1</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diluted earnings per share </w:t>
            </w:r>
            <w:r>
              <w:rPr>
                <w:rFonts w:ascii="Arial;sans-serif" w:hAnsi="Arial;sans-serif"/>
                <w:b w:val="false"/>
                <w:color w:val="0A0A0A"/>
                <w:sz w:val="13"/>
              </w:rPr>
              <w:t>(2)</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0.29 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322.5</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w:t>
                      </w:r>
                    </w:p>
                  </w:txbxContent>
                </v:textbox>
                <w10:wrap type="none"/>
              </v:rect>
            </w:pict>
          </mc:Fallback>
        </mc:AlternateContent>
      </w:r>
    </w:p>
    <w:p>
      <w:pPr>
        <w:pStyle w:val="TextBody"/>
        <w:bidi w:val="0"/>
        <w:spacing w:lineRule="auto" w:line="288" w:before="120" w:after="283"/>
        <w:jc w:val="left"/>
        <w:rPr/>
      </w:pPr>
      <w:r>
        <w:rPr>
          <w:rFonts w:ascii="Arial;sans-serif" w:hAnsi="Arial;sans-serif"/>
          <w:b w:val="false"/>
          <w:color w:val="0A0A0A"/>
          <w:sz w:val="20"/>
        </w:rPr>
        <w:t>For the quarter ended September 30, 2023, Sun Country reported net income of $8 million and income before income tax of $10 million, on $249 million of revenue. Adjusted income before income tax</w:t>
      </w:r>
      <w:r>
        <w:rPr>
          <w:rFonts w:ascii="Arial;sans-serif" w:hAnsi="Arial;sans-serif"/>
          <w:b w:val="false"/>
          <w:color w:val="0A0A0A"/>
          <w:sz w:val="13"/>
        </w:rPr>
        <w:t>(2)</w:t>
      </w:r>
      <w:r>
        <w:rPr>
          <w:color w:val="0A0A0A"/>
        </w:rPr>
        <w:t xml:space="preserve"> </w:t>
      </w:r>
      <w:r>
        <w:rPr>
          <w:rFonts w:ascii="Arial;sans-serif" w:hAnsi="Arial;sans-serif"/>
          <w:b w:val="false"/>
          <w:color w:val="0A0A0A"/>
          <w:sz w:val="20"/>
        </w:rPr>
        <w:t>for the quarter was $11 million. GAAP operating income during the quarter was $19 million, while adjusted operating income</w:t>
      </w:r>
      <w:r>
        <w:rPr>
          <w:rFonts w:ascii="Arial;sans-serif" w:hAnsi="Arial;sans-serif"/>
          <w:b w:val="false"/>
          <w:color w:val="0A0A0A"/>
          <w:sz w:val="13"/>
        </w:rPr>
        <w:t>(2)</w:t>
      </w:r>
      <w:r>
        <w:rPr>
          <w:color w:val="0A0A0A"/>
        </w:rPr>
        <w:t xml:space="preserve"> </w:t>
      </w:r>
      <w:r>
        <w:rPr>
          <w:rFonts w:ascii="Arial;sans-serif" w:hAnsi="Arial;sans-serif"/>
          <w:b w:val="false"/>
          <w:color w:val="0A0A0A"/>
          <w:sz w:val="20"/>
        </w:rPr>
        <w:t>was $20 million, operating margin was 7.6% and adjusted operating margin</w:t>
      </w:r>
      <w:r>
        <w:rPr>
          <w:rFonts w:ascii="Arial;sans-serif" w:hAnsi="Arial;sans-serif"/>
          <w:b w:val="false"/>
          <w:color w:val="0A0A0A"/>
          <w:sz w:val="13"/>
        </w:rPr>
        <w:t>(2)</w:t>
      </w:r>
      <w:r>
        <w:rPr>
          <w:color w:val="0A0A0A"/>
        </w:rPr>
        <w:t xml:space="preserve"> </w:t>
      </w:r>
      <w:r>
        <w:rPr>
          <w:rFonts w:ascii="Arial;sans-serif" w:hAnsi="Arial;sans-serif"/>
          <w:b w:val="false"/>
          <w:color w:val="0A0A0A"/>
          <w:sz w:val="20"/>
        </w:rPr>
        <w:t>was 8.1%</w:t>
      </w:r>
      <w:r>
        <w:rPr>
          <w:rFonts w:ascii="Arial;sans-serif" w:hAnsi="Arial;sans-serif"/>
          <w:b w:val="false"/>
          <w:color w:val="0A0A0A"/>
          <w:sz w:val="13"/>
        </w:rPr>
        <w:t>.</w:t>
      </w:r>
      <w:r>
        <w:rPr>
          <w:color w:val="0A0A0A"/>
        </w:rPr>
        <w:t xml:space="preserve"> </w:t>
      </w:r>
    </w:p>
    <w:p>
      <w:pPr>
        <w:pStyle w:val="TextBody"/>
        <w:bidi w:val="0"/>
        <w:spacing w:before="0" w:after="0"/>
        <w:jc w:val="left"/>
        <w:rPr/>
      </w:pPr>
      <w:r>
        <w:rPr/>
      </w:r>
    </w:p>
    <w:p>
      <w:pPr>
        <w:pStyle w:val="TextBody"/>
        <w:bidi w:val="0"/>
        <w:spacing w:lineRule="auto" w:line="268" w:before="0" w:after="0"/>
        <w:jc w:val="left"/>
        <w:rPr/>
      </w:pPr>
      <w:r>
        <w:rPr>
          <w:color w:val="0A0A0A"/>
        </w:rPr>
        <w:t>“</w:t>
      </w:r>
      <w:r>
        <w:rPr>
          <w:rFonts w:ascii="Arial;sans-serif" w:hAnsi="Arial;sans-serif"/>
          <w:b w:val="false"/>
          <w:color w:val="0A0A0A"/>
          <w:sz w:val="20"/>
        </w:rPr>
        <w:t>For the fourth consecutive quarter, we have seen year-over-year revenue growth across our scheduled service, charter and cargo businesses,” said Dave Davis, President and Chief Financial Officer. “Year-to-date, we have continued to see unit revenue strength with scheduled service TRASM</w:t>
      </w:r>
      <w:r>
        <w:rPr>
          <w:rFonts w:ascii="Arial;sans-serif" w:hAnsi="Arial;sans-serif"/>
          <w:b w:val="false"/>
          <w:color w:val="0A0A0A"/>
          <w:sz w:val="13"/>
        </w:rPr>
        <w:t>(3)</w:t>
      </w:r>
      <w:r>
        <w:rPr>
          <w:color w:val="0A0A0A"/>
        </w:rPr>
        <w:t xml:space="preserve"> </w:t>
      </w:r>
      <w:r>
        <w:rPr>
          <w:rFonts w:ascii="Arial;sans-serif" w:hAnsi="Arial;sans-serif"/>
          <w:b w:val="false"/>
          <w:color w:val="0A0A0A"/>
          <w:sz w:val="20"/>
        </w:rPr>
        <w:t>up 13.6% versus the same time period last year, and we do not see demand abating through the rest of 2023. Sun Country continues to generate strong margins and our outlook for 2024 capital expenditures falls sharply from 2023 levels driving an expected, significant increase in free cash flow next year</w:t>
      </w:r>
      <w:r>
        <w:rPr>
          <w:rFonts w:ascii="Arial;sans-serif" w:hAnsi="Arial;sans-serif"/>
          <w:b w:val="false"/>
          <w:color w:val="0A0A0A"/>
          <w:sz w:val="13"/>
        </w:rPr>
        <w:t>(4)</w:t>
      </w:r>
      <w:r>
        <w:rPr>
          <w:rFonts w:ascii="Arial;sans-serif" w:hAnsi="Arial;sans-serif"/>
          <w:b w:val="false"/>
          <w:color w:val="0A0A0A"/>
          <w:sz w:val="20"/>
        </w:rPr>
        <w:t>. As such, our board of directors has authorized another $25 million to repurchase Sun Country shares.</w:t>
      </w:r>
      <w:r>
        <w:rPr>
          <w:color w:val="0A0A0A"/>
        </w:rPr>
        <w:t xml:space="preserve"> </w:t>
      </w:r>
      <w:r>
        <w:rPr>
          <w:rFonts w:ascii="Arial;sans-serif" w:hAnsi="Arial;sans-serif"/>
          <w:b w:val="false"/>
          <w:color w:val="0A0A0A"/>
          <w:sz w:val="20"/>
        </w:rPr>
        <w:t>This is on top of the $80 million that has already been used to repurchase shares.</w:t>
      </w:r>
      <w:r>
        <w:rPr>
          <w:color w:val="0A0A0A"/>
        </w:rPr>
        <w:t xml:space="preserve"> </w:t>
      </w:r>
      <w:r>
        <w:rPr>
          <w:rFonts w:ascii="Arial;sans-serif" w:hAnsi="Arial;sans-serif"/>
          <w:b w:val="false"/>
          <w:color w:val="0A0A0A"/>
          <w:sz w:val="20"/>
        </w:rPr>
        <w:t>Since November 2022, we have repurchased 4.7 million shares of Sun Country common stock.”</w:t>
      </w:r>
    </w:p>
    <w:p>
      <w:pPr>
        <w:pStyle w:val="TextBody"/>
        <w:bidi w:val="0"/>
        <w:spacing w:lineRule="auto" w:line="288" w:before="240" w:after="283"/>
        <w:jc w:val="both"/>
        <w:rPr>
          <w:rFonts w:ascii="Arial;sans-serif" w:hAnsi="Arial;sans-serif"/>
          <w:b/>
          <w:color w:val="0A0A0A"/>
          <w:sz w:val="20"/>
          <w:shd w:fill="FFFFFF" w:val="clear"/>
        </w:rPr>
      </w:pPr>
      <w:r>
        <w:rPr>
          <w:rFonts w:ascii="Arial;sans-serif" w:hAnsi="Arial;sans-serif"/>
          <w:b/>
          <w:color w:val="0A0A0A"/>
          <w:sz w:val="20"/>
          <w:shd w:fill="FFFFFF" w:val="clear"/>
        </w:rPr>
        <w:t xml:space="preserve">Notable Highlights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A0A0A"/>
          <w:shd w:fill="FFFFFF" w:val="clear"/>
        </w:rPr>
        <w:t>•</w:t>
      </w:r>
      <w:r>
        <w:rPr>
          <w:rFonts w:ascii="Arial;sans-serif" w:hAnsi="Arial;sans-serif"/>
          <w:b w:val="false"/>
          <w:color w:val="0A0A0A"/>
          <w:sz w:val="20"/>
          <w:shd w:fill="FFFFFF" w:val="clear"/>
        </w:rPr>
        <w:t>Announced the extension of our schedule through September 10, 2024 including eight new domestic seasonal nonstop routes from Minneapolis and new flying to Montreal and Toronto Canada (pending final approval from the Canadian airports).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A0A0A"/>
          <w:sz w:val="20"/>
          <w:shd w:fill="FFFFFF" w:val="clear"/>
        </w:rPr>
        <w:t xml:space="preserve">The Company repurchased 2.1 million shares at an average price of $15.30 </w:t>
      </w:r>
      <w:r>
        <w:rPr>
          <w:rFonts w:ascii="Arial;sans-serif" w:hAnsi="Arial;sans-serif"/>
          <w:b w:val="false"/>
          <w:color w:val="000000"/>
          <w:sz w:val="20"/>
        </w:rPr>
        <w:t>during the third quarter</w:t>
      </w:r>
      <w:r>
        <w:rPr>
          <w:rFonts w:ascii="Arial;sans-serif" w:hAnsi="Arial;sans-serif"/>
          <w:b w:val="false"/>
          <w:color w:val="0A0A0A"/>
          <w:sz w:val="20"/>
          <w:shd w:fill="FFFFFF" w:val="clear"/>
        </w:rPr>
        <w:t>. The board of directors approved an additional $25 million of buyback authority which brings the current repurchase authorization to $25 million.</w:t>
      </w:r>
    </w:p>
    <w:p>
      <w:pPr>
        <w:pStyle w:val="TextBody"/>
        <w:bidi w:val="0"/>
        <w:spacing w:lineRule="auto" w:line="288" w:before="240" w:after="283"/>
        <w:jc w:val="both"/>
        <w:rPr>
          <w:rFonts w:ascii="Arial;sans-serif" w:hAnsi="Arial;sans-serif"/>
          <w:b/>
          <w:color w:val="0A0A0A"/>
          <w:sz w:val="20"/>
          <w:shd w:fill="FFFFFF" w:val="clear"/>
        </w:rPr>
      </w:pPr>
      <w:r>
        <w:rPr>
          <w:rFonts w:ascii="Arial;sans-serif" w:hAnsi="Arial;sans-serif"/>
          <w:b/>
          <w:color w:val="0A0A0A"/>
          <w:sz w:val="20"/>
          <w:shd w:fill="FFFFFF" w:val="clear"/>
        </w:rPr>
        <w:t>Capacity</w:t>
      </w:r>
    </w:p>
    <w:p>
      <w:pPr>
        <w:pStyle w:val="TextBody"/>
        <w:bidi w:val="0"/>
        <w:spacing w:lineRule="auto" w:line="288" w:before="240" w:after="283"/>
        <w:jc w:val="left"/>
        <w:rPr>
          <w:rFonts w:ascii="Arial;sans-serif" w:hAnsi="Arial;sans-serif"/>
          <w:b w:val="false"/>
          <w:color w:val="0A0A0A"/>
          <w:sz w:val="20"/>
          <w:shd w:fill="FFFFFF" w:val="clear"/>
        </w:rPr>
      </w:pPr>
      <w:r>
        <w:rPr>
          <w:rFonts w:ascii="Arial;sans-serif" w:hAnsi="Arial;sans-serif"/>
          <w:b w:val="false"/>
          <w:color w:val="0A0A0A"/>
          <w:sz w:val="20"/>
          <w:shd w:fill="FFFFFF" w:val="clear"/>
        </w:rPr>
        <w:t>System block hours flown during the third quarter of 2023 grew by 14.4% year-over-year. Cargo block hours grew in the third quarter by 6.3% year-over-year as Amazon flying was constrained last year due to scheduled maintenance events. Scheduled service block hours and charter block hours increased by 17.6% and 14.1%, respectively year-over-year on a 14.1% increase in average passenger aircraft.</w:t>
      </w:r>
    </w:p>
    <w:p>
      <w:pPr>
        <w:pStyle w:val="TextBody"/>
        <w:bidi w:val="0"/>
        <w:spacing w:lineRule="auto" w:line="288" w:before="240" w:after="283"/>
        <w:jc w:val="left"/>
        <w:rPr>
          <w:rFonts w:ascii="Arial;sans-serif" w:hAnsi="Arial;sans-serif"/>
          <w:b w:val="false"/>
          <w:color w:val="0A0A0A"/>
          <w:sz w:val="20"/>
          <w:shd w:fill="FFFFFF" w:val="clear"/>
        </w:rPr>
      </w:pPr>
      <w:r>
        <w:rPr>
          <w:rFonts w:ascii="Arial;sans-serif" w:hAnsi="Arial;sans-serif"/>
          <w:b w:val="false"/>
          <w:color w:val="0A0A0A"/>
          <w:sz w:val="20"/>
          <w:shd w:fill="FFFFFF" w:val="clear"/>
        </w:rPr>
        <w:t>Charter block hours under long-term contracts comprised 82.2% of the total charter flying performed in the third quarter of 2023. As the Company continues to normalize its aircraft utilization, it intends to pursue more ad-hoc charter flying.</w:t>
      </w:r>
    </w:p>
    <w:p>
      <w:pPr>
        <w:pStyle w:val="TextBody"/>
        <w:bidi w:val="0"/>
        <w:spacing w:lineRule="auto" w:line="288" w:before="240" w:after="283"/>
        <w:jc w:val="both"/>
        <w:rPr>
          <w:rFonts w:ascii="Arial;sans-serif" w:hAnsi="Arial;sans-serif"/>
          <w:b/>
          <w:color w:val="0A0A0A"/>
          <w:sz w:val="20"/>
          <w:shd w:fill="FFFFFF" w:val="clear"/>
        </w:rPr>
      </w:pPr>
      <w:r>
        <w:rPr>
          <w:rFonts w:ascii="Arial;sans-serif" w:hAnsi="Arial;sans-serif"/>
          <w:b/>
          <w:color w:val="0A0A0A"/>
          <w:sz w:val="20"/>
          <w:shd w:fill="FFFFFF" w:val="clear"/>
        </w:rPr>
        <w:t xml:space="preserve">Revenue </w:t>
      </w:r>
    </w:p>
    <w:p>
      <w:pPr>
        <w:pStyle w:val="TextBody"/>
        <w:bidi w:val="0"/>
        <w:spacing w:lineRule="auto" w:line="288" w:before="240" w:after="283"/>
        <w:jc w:val="left"/>
        <w:rPr/>
      </w:pPr>
      <w:r>
        <w:rPr>
          <w:rFonts w:ascii="Arial;sans-serif" w:hAnsi="Arial;sans-serif"/>
          <w:b w:val="false"/>
          <w:color w:val="0A0A0A"/>
          <w:sz w:val="20"/>
          <w:shd w:fill="FFFFFF" w:val="clear"/>
        </w:rPr>
        <w:t xml:space="preserve">For the third quarter of 2023, the Company reported total revenue of $249 million, which was 12.3% more than the third quarter of 2022. </w:t>
      </w:r>
      <w:r>
        <w:rPr>
          <w:rFonts w:ascii="Arial;sans-serif" w:hAnsi="Arial;sans-serif"/>
          <w:b w:val="false"/>
          <w:color w:val="000000"/>
          <w:sz w:val="20"/>
          <w:shd w:fill="FFFFFF" w:val="clear"/>
        </w:rPr>
        <w:t>The Company’s scheduled service TRASM</w:t>
      </w:r>
      <w:r>
        <w:rPr>
          <w:rFonts w:ascii="Arial;sans-serif" w:hAnsi="Arial;sans-serif"/>
          <w:b w:val="false"/>
          <w:color w:val="000000"/>
          <w:sz w:val="13"/>
          <w:shd w:fill="FFFFFF" w:val="clear"/>
        </w:rPr>
        <w:t>(3)</w:t>
      </w:r>
      <w:r>
        <w:rPr>
          <w:color w:val="000000"/>
          <w:shd w:fill="FFFFFF" w:val="clear"/>
        </w:rPr>
        <w:t xml:space="preserve"> </w:t>
      </w:r>
      <w:r>
        <w:rPr>
          <w:rFonts w:ascii="Arial;sans-serif" w:hAnsi="Arial;sans-serif"/>
          <w:b w:val="false"/>
          <w:color w:val="000000"/>
          <w:sz w:val="20"/>
          <w:shd w:fill="FFFFFF" w:val="clear"/>
        </w:rPr>
        <w:t xml:space="preserve">of 11.72 cents in the </w:t>
      </w:r>
      <w:r>
        <w:rPr>
          <w:rFonts w:ascii="Arial;sans-serif" w:hAnsi="Arial;sans-serif"/>
          <w:b w:val="false"/>
          <w:color w:val="0A0A0A"/>
          <w:sz w:val="20"/>
          <w:shd w:fill="FFFFFF" w:val="clear"/>
        </w:rPr>
        <w:t>third</w:t>
      </w:r>
      <w:r>
        <w:rPr>
          <w:color w:val="000000"/>
          <w:shd w:fill="FFFFFF" w:val="clear"/>
        </w:rPr>
        <w:t xml:space="preserve"> </w:t>
      </w:r>
      <w:r>
        <w:rPr>
          <w:rFonts w:ascii="Arial;sans-serif" w:hAnsi="Arial;sans-serif"/>
          <w:b w:val="false"/>
          <w:color w:val="000000"/>
          <w:sz w:val="20"/>
          <w:shd w:fill="FFFFFF" w:val="clear"/>
        </w:rPr>
        <w:t xml:space="preserve">quarter of 2023 decreased 5.0% year-over-year, while scheduled service ASMs increased 15.1%. The third quarter 2023 total fare per scheduled passenger of $153 was lower than </w:t>
      </w:r>
      <w:r>
        <w:rPr>
          <w:rFonts w:ascii="Arial;sans-serif" w:hAnsi="Arial;sans-serif"/>
          <w:b w:val="false"/>
          <w:color w:val="0A0A0A"/>
          <w:sz w:val="20"/>
          <w:shd w:fill="FFFFFF" w:val="clear"/>
        </w:rPr>
        <w:t>third</w:t>
      </w:r>
      <w:r>
        <w:rPr>
          <w:color w:val="000000"/>
          <w:shd w:fill="FFFFFF" w:val="clear"/>
        </w:rPr>
        <w:t xml:space="preserve"> </w:t>
      </w:r>
      <w:r>
        <w:rPr>
          <w:rFonts w:ascii="Arial;sans-serif" w:hAnsi="Arial;sans-serif"/>
          <w:b w:val="false"/>
          <w:color w:val="000000"/>
          <w:sz w:val="20"/>
          <w:shd w:fill="FFFFFF" w:val="clear"/>
        </w:rPr>
        <w:t xml:space="preserve">quarter 2022 by 8.7% as scheduled service revenue passengers grew 19.9%. As a component of total fare, ancillary revenue per passenger continues to show strength at $65, a growth rate of 16.9% versus the same time period last year. In the third quarter of 2023, the Company’s charter service revenue was $47 million, an increase of 10.6% year-over-year. On a rate basis, </w:t>
      </w:r>
      <w:r>
        <w:rPr>
          <w:rFonts w:ascii="Arial;sans-serif" w:hAnsi="Arial;sans-serif"/>
          <w:b w:val="false"/>
          <w:color w:val="0A0A0A"/>
          <w:sz w:val="20"/>
          <w:shd w:fill="FFFFFF" w:val="clear"/>
        </w:rPr>
        <w:t>third</w:t>
      </w:r>
      <w:r>
        <w:rPr>
          <w:color w:val="000000"/>
          <w:shd w:fill="FFFFFF" w:val="clear"/>
        </w:rPr>
        <w:t xml:space="preserve"> </w:t>
      </w:r>
      <w:r>
        <w:rPr>
          <w:rFonts w:ascii="Arial;sans-serif" w:hAnsi="Arial;sans-serif"/>
          <w:b w:val="false"/>
          <w:color w:val="000000"/>
          <w:sz w:val="20"/>
          <w:shd w:fill="FFFFFF" w:val="clear"/>
        </w:rPr>
        <w:t xml:space="preserve">quarter 2023 charter revenue per block hour was 3.1% lower than the rate in the </w:t>
      </w:r>
      <w:r>
        <w:rPr>
          <w:rFonts w:ascii="Arial;sans-serif" w:hAnsi="Arial;sans-serif"/>
          <w:b w:val="false"/>
          <w:color w:val="0A0A0A"/>
          <w:sz w:val="20"/>
          <w:shd w:fill="FFFFFF" w:val="clear"/>
        </w:rPr>
        <w:t>third</w:t>
      </w:r>
      <w:r>
        <w:rPr>
          <w:color w:val="000000"/>
          <w:shd w:fill="FFFFFF" w:val="clear"/>
        </w:rPr>
        <w:t xml:space="preserve"> </w:t>
      </w:r>
      <w:r>
        <w:rPr>
          <w:rFonts w:ascii="Arial;sans-serif" w:hAnsi="Arial;sans-serif"/>
          <w:b w:val="false"/>
          <w:color w:val="000000"/>
          <w:sz w:val="20"/>
          <w:shd w:fill="FFFFFF" w:val="clear"/>
        </w:rPr>
        <w:t xml:space="preserve">quarter of 2022 as lower fuel prices reduced the fuel reimbursement amount that we received from our charter customers. </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the third quarter of 2023, cargo revenue was $26 million, a 10.0% increase versus the third quarter of 2022. The variance was primarily driven by a 6.3% increase in block hours and the annual rate escalation which went into effect in mid-December 2022.</w:t>
      </w:r>
    </w:p>
    <w:p>
      <w:pPr>
        <w:pStyle w:val="TextBody"/>
        <w:bidi w:val="0"/>
        <w:spacing w:lineRule="auto" w:line="288" w:before="240" w:after="283"/>
        <w:jc w:val="left"/>
        <w:rPr>
          <w:rFonts w:ascii="Arial;sans-serif" w:hAnsi="Arial;sans-serif"/>
          <w:b/>
          <w:color w:val="0A0A0A"/>
          <w:sz w:val="20"/>
          <w:shd w:fill="FFFFFF" w:val="clear"/>
        </w:rPr>
      </w:pPr>
      <w:r>
        <w:rPr>
          <w:rFonts w:ascii="Arial;sans-serif" w:hAnsi="Arial;sans-serif"/>
          <w:b/>
          <w:color w:val="0A0A0A"/>
          <w:sz w:val="20"/>
          <w:shd w:fill="FFFFFF" w:val="clear"/>
        </w:rPr>
        <w:t>Cost</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A0A0A"/>
          <w:sz w:val="20"/>
          <w:shd w:fill="FFFFFF" w:val="clear"/>
        </w:rPr>
        <w:t>For the third quarter of 2023, total GAAP operating expenses increased 11.4% year-over-year, primarily due to a 23.7% increase in salaries, wages, and benefits and a 39.1% increase in maintenance expense. Fuel expense decreased by 5.7% compared to third quarter 2022. This combination drove adjusted CASM</w:t>
      </w:r>
      <w:r>
        <w:rPr>
          <w:rFonts w:ascii="Arial;sans-serif" w:hAnsi="Arial;sans-serif"/>
          <w:b w:val="false"/>
          <w:color w:val="0A0A0A"/>
          <w:sz w:val="13"/>
          <w:shd w:fill="FFFFFF" w:val="clear"/>
        </w:rPr>
        <w:t>(5)</w:t>
      </w:r>
      <w:r>
        <w:rPr>
          <w:color w:val="0A0A0A"/>
          <w:shd w:fill="FFFFFF" w:val="clear"/>
        </w:rPr>
        <w:t xml:space="preserve"> </w:t>
      </w:r>
      <w:r>
        <w:rPr>
          <w:rFonts w:ascii="Arial;sans-serif" w:hAnsi="Arial;sans-serif"/>
          <w:b w:val="false"/>
          <w:color w:val="0A0A0A"/>
          <w:sz w:val="20"/>
          <w:shd w:fill="FFFFFF" w:val="clear"/>
        </w:rPr>
        <w:t>in the third quarter to increase 2.6% versus the third quarter 2022.</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2</w:t>
                      </w:r>
                    </w:p>
                  </w:txbxContent>
                </v:textbox>
                <w10:wrap type="none"/>
              </v:rect>
            </w:pict>
          </mc:Fallback>
        </mc:AlternateContent>
      </w:r>
    </w:p>
    <w:p>
      <w:pPr>
        <w:pStyle w:val="TextBody"/>
        <w:bidi w:val="0"/>
        <w:spacing w:lineRule="auto" w:line="288" w:before="240" w:after="283"/>
        <w:jc w:val="left"/>
        <w:rPr>
          <w:rFonts w:ascii="Arial;sans-serif" w:hAnsi="Arial;sans-serif"/>
          <w:b/>
          <w:color w:val="0A0A0A"/>
          <w:sz w:val="20"/>
          <w:shd w:fill="FFFFFF" w:val="clear"/>
        </w:rPr>
      </w:pPr>
      <w:r>
        <w:rPr>
          <w:rFonts w:ascii="Arial;sans-serif" w:hAnsi="Arial;sans-serif"/>
          <w:b/>
          <w:color w:val="0A0A0A"/>
          <w:sz w:val="20"/>
          <w:shd w:fill="FFFFFF" w:val="clear"/>
        </w:rPr>
        <w:t>Balance Sheet and Liquidity</w:t>
      </w:r>
    </w:p>
    <w:p>
      <w:pPr>
        <w:pStyle w:val="TextBody"/>
        <w:bidi w:val="0"/>
        <w:spacing w:lineRule="auto" w:line="288" w:before="240" w:after="283"/>
        <w:jc w:val="both"/>
        <w:rPr/>
      </w:pPr>
      <w:r>
        <w:rPr>
          <w:rFonts w:ascii="Arial;sans-serif" w:hAnsi="Arial;sans-serif"/>
          <w:b w:val="false"/>
          <w:color w:val="0A0A0A"/>
          <w:sz w:val="20"/>
          <w:shd w:fill="FFFFFF" w:val="clear"/>
        </w:rPr>
        <w:t>Total liquidity</w:t>
      </w:r>
      <w:r>
        <w:rPr>
          <w:rFonts w:ascii="Arial;sans-serif" w:hAnsi="Arial;sans-serif"/>
          <w:b w:val="false"/>
          <w:color w:val="0A0A0A"/>
          <w:sz w:val="13"/>
          <w:shd w:fill="FFFFFF" w:val="clear"/>
        </w:rPr>
        <w:t>(6)</w:t>
      </w:r>
      <w:r>
        <w:rPr>
          <w:color w:val="0A0A0A"/>
          <w:shd w:fill="FFFFFF" w:val="clear"/>
        </w:rPr>
        <w:t xml:space="preserve"> </w:t>
      </w:r>
      <w:r>
        <w:rPr>
          <w:rFonts w:ascii="Arial;sans-serif" w:hAnsi="Arial;sans-serif"/>
          <w:b w:val="false"/>
          <w:color w:val="0A0A0A"/>
          <w:sz w:val="20"/>
          <w:shd w:fill="FFFFFF" w:val="clear"/>
        </w:rPr>
        <w:t>was $198 million on September 30, 2023, while the Company’s net debt</w:t>
      </w:r>
      <w:r>
        <w:rPr>
          <w:rFonts w:ascii="Arial;sans-serif" w:hAnsi="Arial;sans-serif"/>
          <w:b w:val="false"/>
          <w:color w:val="0A0A0A"/>
          <w:sz w:val="13"/>
          <w:shd w:fill="FFFFFF" w:val="clear"/>
        </w:rPr>
        <w:t>(7)</w:t>
      </w:r>
      <w:r>
        <w:rPr>
          <w:color w:val="0A0A0A"/>
          <w:shd w:fill="FFFFFF" w:val="clear"/>
        </w:rPr>
        <w:t xml:space="preserve"> </w:t>
      </w:r>
      <w:r>
        <w:rPr>
          <w:rFonts w:ascii="Arial;sans-serif" w:hAnsi="Arial;sans-serif"/>
          <w:b w:val="false"/>
          <w:color w:val="0A0A0A"/>
          <w:sz w:val="20"/>
          <w:shd w:fill="FFFFFF" w:val="clear"/>
        </w:rPr>
        <w:t>was $544 million.</w:t>
      </w:r>
    </w:p>
    <w:p>
      <w:pPr>
        <w:pStyle w:val="TextBody"/>
        <w:bidi w:val="0"/>
        <w:spacing w:before="0" w:after="0"/>
        <w:jc w:val="left"/>
        <w:rPr/>
      </w:pPr>
      <w:r>
        <w:rPr/>
      </w:r>
    </w:p>
    <w:tbl>
      <w:tblPr>
        <w:tblW w:w="8427" w:type="dxa"/>
        <w:jc w:val="left"/>
        <w:tblInd w:w="0" w:type="dxa"/>
        <w:tblLayout w:type="fixed"/>
        <w:tblCellMar>
          <w:top w:w="28" w:type="dxa"/>
          <w:left w:w="28" w:type="dxa"/>
          <w:bottom w:w="28" w:type="dxa"/>
          <w:right w:w="28" w:type="dxa"/>
        </w:tblCellMar>
      </w:tblPr>
      <w:tblGrid>
        <w:gridCol w:w="1752"/>
        <w:gridCol w:w="1544"/>
        <w:gridCol w:w="1549"/>
        <w:gridCol w:w="357"/>
        <w:gridCol w:w="1094"/>
        <w:gridCol w:w="184"/>
        <w:gridCol w:w="109"/>
        <w:gridCol w:w="109"/>
        <w:gridCol w:w="109"/>
        <w:gridCol w:w="338"/>
        <w:gridCol w:w="1036"/>
        <w:gridCol w:w="246"/>
      </w:tblGrid>
      <w:tr>
        <w:trPr/>
        <w:tc>
          <w:tcPr>
            <w:tcW w:w="1752"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 - amounts may not recalculate due to rounding)</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Amount Available Under Revolving Credit Facility</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Liquidity</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198.1 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289.4 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 - amounts may not recalculate due to rounding)</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 net</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 Obligations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Obligations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 net, and Lease Obligations</w:t>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717.8 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629.6 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Debt</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544.3 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364.9 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A0A0A"/>
          <w:sz w:val="20"/>
          <w:shd w:fill="FFFFFF" w:val="clear"/>
        </w:rPr>
      </w:pPr>
      <w:r>
        <w:rPr>
          <w:rFonts w:ascii="Arial;sans-serif" w:hAnsi="Arial;sans-serif"/>
          <w:b/>
          <w:color w:val="0A0A0A"/>
          <w:sz w:val="20"/>
          <w:shd w:fill="FFFFFF" w:val="clear"/>
        </w:rPr>
        <w:t>Fleet</w:t>
      </w:r>
    </w:p>
    <w:p>
      <w:pPr>
        <w:pStyle w:val="TextBody"/>
        <w:bidi w:val="0"/>
        <w:spacing w:lineRule="auto" w:line="288" w:before="240" w:after="100"/>
        <w:jc w:val="both"/>
        <w:rPr/>
      </w:pPr>
      <w:r>
        <w:rPr>
          <w:rFonts w:ascii="Arial;sans-serif" w:hAnsi="Arial;sans-serif"/>
          <w:b w:val="false"/>
          <w:color w:val="000000"/>
          <w:sz w:val="20"/>
          <w:shd w:fill="FFFFFF" w:val="clear"/>
        </w:rPr>
        <w:t xml:space="preserve">As of September 30, 2023, the Company had 42 aircraft in its passenger service fleet, operated </w:t>
      </w:r>
      <w:r>
        <w:rPr>
          <w:rFonts w:ascii="Arial;sans-serif" w:hAnsi="Arial;sans-serif"/>
          <w:b w:val="false"/>
          <w:color w:val="000000"/>
          <w:sz w:val="20"/>
        </w:rPr>
        <w:t>12</w:t>
      </w:r>
      <w:r>
        <w:rPr>
          <w:color w:val="000000"/>
          <w:shd w:fill="FFFFFF" w:val="clear"/>
        </w:rPr>
        <w:t xml:space="preserve"> </w:t>
      </w:r>
      <w:r>
        <w:rPr>
          <w:rFonts w:ascii="Arial;sans-serif" w:hAnsi="Arial;sans-serif"/>
          <w:b w:val="false"/>
          <w:color w:val="000000"/>
          <w:sz w:val="20"/>
          <w:shd w:fill="FFFFFF" w:val="clear"/>
        </w:rPr>
        <w:t>freighter aircraft in its cargo operation, and had five aircraft held for operating lease.</w:t>
      </w:r>
    </w:p>
    <w:p>
      <w:pPr>
        <w:pStyle w:val="TextBody"/>
        <w:bidi w:val="0"/>
        <w:spacing w:lineRule="auto" w:line="288" w:before="240" w:after="283"/>
        <w:jc w:val="left"/>
        <w:rPr>
          <w:rFonts w:ascii="Arial;sans-serif" w:hAnsi="Arial;sans-serif"/>
          <w:b/>
          <w:color w:val="0A0A0A"/>
          <w:sz w:val="20"/>
        </w:rPr>
      </w:pPr>
      <w:r>
        <w:rPr>
          <w:rFonts w:ascii="Arial;sans-serif" w:hAnsi="Arial;sans-serif"/>
          <w:b/>
          <w:color w:val="0A0A0A"/>
          <w:sz w:val="20"/>
        </w:rPr>
        <w:t>Guidance for Fourth Quarter 2023</w:t>
      </w:r>
    </w:p>
    <w:tbl>
      <w:tblPr>
        <w:tblW w:w="6104" w:type="dxa"/>
        <w:jc w:val="left"/>
        <w:tblInd w:w="0" w:type="dxa"/>
        <w:tblLayout w:type="fixed"/>
        <w:tblCellMar>
          <w:top w:w="28" w:type="dxa"/>
          <w:left w:w="28" w:type="dxa"/>
          <w:bottom w:w="28" w:type="dxa"/>
          <w:right w:w="28" w:type="dxa"/>
        </w:tblCellMar>
      </w:tblPr>
      <w:tblGrid>
        <w:gridCol w:w="1243"/>
        <w:gridCol w:w="1094"/>
        <w:gridCol w:w="1097"/>
        <w:gridCol w:w="409"/>
        <w:gridCol w:w="409"/>
        <w:gridCol w:w="412"/>
        <w:gridCol w:w="420"/>
        <w:gridCol w:w="420"/>
        <w:gridCol w:w="600"/>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A0A0A"/>
                <w:sz w:val="16"/>
              </w:rPr>
            </w:pPr>
            <w:r>
              <w:rPr>
                <w:rFonts w:ascii="Arial;sans-serif" w:hAnsi="Arial;sans-serif"/>
                <w:b/>
                <w:color w:val="0A0A0A"/>
                <w:sz w:val="16"/>
              </w:rPr>
              <w:t>Q4 2023</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H/(L) vs Q4 2022</w:t>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revenue - millions</w:t>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$242 to $252</w:t>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7% to 11%</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Economic fuel cost per gallon</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$3.20</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(11%)</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income margin - percentage</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3% to 5%</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(4pp) to (2pp)</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Effective tax rate</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23%</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system block hours - thousands</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36 to 37</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11% to 15%</w:t>
            </w:r>
          </w:p>
        </w:tc>
      </w:tr>
    </w:tbl>
    <w:p>
      <w:pPr>
        <w:pStyle w:val="TextBody"/>
        <w:bidi w:val="0"/>
        <w:spacing w:before="240" w:after="283"/>
        <w:jc w:val="left"/>
        <w:rPr/>
      </w:pPr>
      <w:r>
        <w:rPr/>
      </w:r>
    </w:p>
    <w:p>
      <w:pPr>
        <w:pStyle w:val="TextBody"/>
        <w:bidi w:val="0"/>
        <w:spacing w:lineRule="auto" w:line="288" w:before="0" w:after="0"/>
        <w:jc w:val="left"/>
        <w:rPr>
          <w:rFonts w:ascii="Arial;sans-serif" w:hAnsi="Arial;sans-serif"/>
          <w:b/>
          <w:color w:val="0A0A0A"/>
          <w:sz w:val="20"/>
          <w:shd w:fill="FFFFFF" w:val="clear"/>
        </w:rPr>
      </w:pPr>
      <w:r>
        <w:rPr>
          <w:rFonts w:ascii="Arial;sans-serif" w:hAnsi="Arial;sans-serif"/>
          <w:b/>
          <w:color w:val="0A0A0A"/>
          <w:sz w:val="20"/>
          <w:shd w:fill="FFFFFF" w:val="clear"/>
        </w:rPr>
        <w:t>Conference Call &amp; Webcast Details</w:t>
      </w:r>
    </w:p>
    <w:p>
      <w:pPr>
        <w:pStyle w:val="TextBody"/>
        <w:bidi w:val="0"/>
        <w:spacing w:lineRule="auto" w:line="288" w:before="240" w:after="283"/>
        <w:jc w:val="left"/>
        <w:rPr/>
      </w:pPr>
      <w:r>
        <w:rPr>
          <w:rFonts w:ascii="Arial;sans-serif" w:hAnsi="Arial;sans-serif"/>
          <w:b w:val="false"/>
          <w:color w:val="0A0A0A"/>
          <w:sz w:val="20"/>
          <w:shd w:fill="FFFFFF" w:val="clear"/>
        </w:rPr>
        <w:t>Sun Country Airlines will host a conference call to discuss its third quarter 2023 results at 4:30 p.m. Eastern Time on Tuesday, November 7, 2023. A live broadcast of the conference call will be available via the investor relations section of Sun Country Airlines’ website at</w:t>
      </w:r>
      <w:r>
        <w:rPr>
          <w:color w:val="0A0A0A"/>
          <w:u w:val="single"/>
          <w:shd w:fill="FFFFFF" w:val="clear"/>
        </w:rPr>
        <w:t xml:space="preserve"> </w:t>
      </w:r>
      <w:r>
        <w:rPr>
          <w:rFonts w:ascii="Arial;sans-serif" w:hAnsi="Arial;sans-serif"/>
          <w:b w:val="false"/>
          <w:color w:val="026DCE"/>
          <w:sz w:val="20"/>
          <w:u w:val="single"/>
          <w:shd w:fill="FFFFFF" w:val="clear"/>
        </w:rPr>
        <w:t>https://ir.suncountry.com/news-events/events-and-presentations</w:t>
      </w:r>
      <w:r>
        <w:rPr>
          <w:rFonts w:ascii="Arial;sans-serif" w:hAnsi="Arial;sans-serif"/>
          <w:b w:val="false"/>
          <w:color w:val="0A0A0A"/>
          <w:sz w:val="20"/>
          <w:shd w:fill="FFFFFF" w:val="clear"/>
        </w:rPr>
        <w:t>.</w:t>
      </w:r>
      <w:r>
        <w:rPr>
          <w:color w:val="000000"/>
          <w:shd w:fill="FFFFFF" w:val="clear"/>
        </w:rPr>
        <w:t xml:space="preserve"> </w:t>
      </w:r>
      <w:r>
        <w:rPr>
          <w:rFonts w:ascii="Arial;sans-serif" w:hAnsi="Arial;sans-serif"/>
          <w:b w:val="false"/>
          <w:color w:val="000000"/>
          <w:sz w:val="20"/>
          <w:shd w:fill="FFFFFF" w:val="clear"/>
        </w:rPr>
        <w:t>The online replay will be available on the same website approximately one hour after the call.</w:t>
      </w:r>
    </w:p>
    <w:p>
      <w:pPr>
        <w:pStyle w:val="TextBody"/>
        <w:bidi w:val="0"/>
        <w:spacing w:lineRule="auto" w:line="288" w:before="240" w:after="160"/>
        <w:jc w:val="left"/>
        <w:rPr>
          <w:rFonts w:ascii="Arial;sans-serif" w:hAnsi="Arial;sans-serif"/>
          <w:b/>
          <w:color w:val="0A0A0A"/>
          <w:sz w:val="20"/>
          <w:shd w:fill="FFFFFF" w:val="clear"/>
        </w:rPr>
      </w:pPr>
      <w:r>
        <w:rPr>
          <w:rFonts w:ascii="Arial;sans-serif" w:hAnsi="Arial;sans-serif"/>
          <w:b/>
          <w:color w:val="0A0A0A"/>
          <w:sz w:val="20"/>
          <w:shd w:fill="FFFFFF" w:val="clear"/>
        </w:rPr>
        <w:t>About Sun Country Airlines</w:t>
      </w:r>
    </w:p>
    <w:p>
      <w:pPr>
        <w:pStyle w:val="TextBody"/>
        <w:bidi w:val="0"/>
        <w:spacing w:lineRule="auto" w:line="288" w:before="240" w:after="283"/>
        <w:jc w:val="both"/>
        <w:rPr>
          <w:rFonts w:ascii="Arial;sans-serif" w:hAnsi="Arial;sans-serif"/>
          <w:b w:val="false"/>
          <w:color w:val="0A0A0A"/>
          <w:sz w:val="20"/>
          <w:shd w:fill="FFFFFF" w:val="clear"/>
        </w:rPr>
      </w:pPr>
      <w:r>
        <w:rPr>
          <w:rFonts w:ascii="Arial;sans-serif" w:hAnsi="Arial;sans-serif"/>
          <w:b w:val="false"/>
          <w:color w:val="0A0A0A"/>
          <w:sz w:val="20"/>
          <w:shd w:fill="FFFFFF" w:val="clear"/>
        </w:rPr>
        <w:t>Sun Country Airlines is a new breed of hybrid low-cost air carrier that dynamically deploys shared resources across our synergistic scheduled service, charter and cargo businesses. Based in Minnesota, we focus on serving leisure and visiting friends and relatives ("VFR") passengers and charter customers and providing cargo services, with flights throughout the United States and to destinations in Mexico, Central America, Canada, and the Caribbean.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3</w:t>
                      </w:r>
                    </w:p>
                  </w:txbxContent>
                </v:textbox>
                <w10:wrap type="none"/>
              </v:rect>
            </w:pict>
          </mc:Fallback>
        </mc:AlternateContent>
      </w:r>
    </w:p>
    <w:p>
      <w:pPr>
        <w:pStyle w:val="TextBody"/>
        <w:bidi w:val="0"/>
        <w:spacing w:lineRule="auto" w:line="288" w:before="0" w:after="0"/>
        <w:jc w:val="both"/>
        <w:rPr>
          <w:rFonts w:ascii="Arial;sans-serif" w:hAnsi="Arial;sans-serif"/>
          <w:b/>
          <w:color w:val="0A0A0A"/>
          <w:sz w:val="20"/>
          <w:shd w:fill="FFFFFF" w:val="clear"/>
        </w:rPr>
      </w:pPr>
      <w:r>
        <w:rPr>
          <w:rFonts w:ascii="Arial;sans-serif" w:hAnsi="Arial;sans-serif"/>
          <w:b/>
          <w:color w:val="0A0A0A"/>
          <w:sz w:val="20"/>
          <w:shd w:fill="FFFFFF" w:val="clear"/>
        </w:rPr>
        <w:t>End Notes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406"/>
        <w:gridCol w:w="2672"/>
        <w:gridCol w:w="37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1 -</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Records begin in January 2017</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2 -</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r>
              <w:rPr>
                <w:rFonts w:ascii="Arial;sans-serif" w:hAnsi="Arial;sans-serif"/>
                <w:b w:val="false"/>
                <w:color w:val="0A0A0A"/>
                <w:sz w:val="20"/>
                <w:shd w:fill="FFFFFF" w:val="clear"/>
              </w:rPr>
              <w:t>See additional details, including reconciliations to the most comparable GAAP measures, in the section titled “</w:t>
            </w:r>
            <w:r>
              <w:rPr>
                <w:rFonts w:ascii="Arial;sans-serif" w:hAnsi="Arial;sans-serif"/>
                <w:b w:val="false"/>
                <w:color w:val="000000"/>
                <w:sz w:val="20"/>
                <w:shd w:fill="FFFFFF" w:val="clear"/>
              </w:rPr>
              <w:t>Non-GAAP financial measures”</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3 -</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Scheduled Service TRASM includes Schedule Service revenue, Ancillary revenue, and ASM generating revenue classified within Other Revenue on the Condensed Consolidated Statement of Operations / Scheduled Service ASMs. Other Revenue includes rental revenue of approximately $6 million and $12 million associated with five aircraft held for operating lease in the three and nine months ended September 30, 2023, respectively, which is not included</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4 -</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There can be no assurance that projections or estimates of future performance will be realized</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5 -</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r>
              <w:rPr>
                <w:rFonts w:ascii="Arial;sans-serif" w:hAnsi="Arial;sans-serif"/>
                <w:b w:val="false"/>
                <w:color w:val="0A0A0A"/>
                <w:sz w:val="20"/>
              </w:rPr>
              <w:t xml:space="preserve">Adjusted CASM is a non-GAAP measure derived from CASM by excluding fuel costs, non-cash management stock compensation expense, costs arising from its cargo operations, </w:t>
            </w:r>
            <w:r>
              <w:rPr>
                <w:rFonts w:ascii="Arial;sans-serif" w:hAnsi="Arial;sans-serif"/>
                <w:b w:val="false"/>
                <w:color w:val="000000"/>
                <w:sz w:val="20"/>
              </w:rPr>
              <w:t>depreciation recognized on our aircraft and flight equipment held for operating lease,</w:t>
            </w:r>
            <w:r>
              <w:rPr>
                <w:color w:val="0A0A0A"/>
              </w:rPr>
              <w:t xml:space="preserve"> </w:t>
            </w:r>
            <w:r>
              <w:rPr>
                <w:rFonts w:ascii="Arial;sans-serif" w:hAnsi="Arial;sans-serif"/>
                <w:b w:val="false"/>
                <w:color w:val="0A0A0A"/>
                <w:sz w:val="20"/>
              </w:rPr>
              <w:t>certain commissions, and other costs of selling its vacations product from this measure. See table titled “</w:t>
            </w:r>
            <w:r>
              <w:rPr>
                <w:rFonts w:ascii="Arial;sans-serif" w:hAnsi="Arial;sans-serif"/>
                <w:b w:val="false"/>
                <w:color w:val="000000"/>
                <w:sz w:val="20"/>
              </w:rPr>
              <w:t>Reconciliation of CASM to Adjusted CASM”</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6 -</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Total liquidity = cash and cash equivalents + available-for-sale securities + amount available under revolver</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7 -</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Net debt = current portion of long-term debt + long-term debt + finance lease obligations + operating lease obligations – cash and cash equivalents - available-for-sale securities</w:t>
            </w:r>
          </w:p>
        </w:tc>
      </w:tr>
    </w:tbl>
    <w:p>
      <w:pPr>
        <w:pStyle w:val="TextBody"/>
        <w:bidi w:val="0"/>
        <w:spacing w:lineRule="auto" w:line="288" w:before="240" w:after="283"/>
        <w:jc w:val="left"/>
        <w:rPr>
          <w:rFonts w:ascii="Arial;sans-serif" w:hAnsi="Arial;sans-serif"/>
          <w:b/>
          <w:color w:val="0A0A0A"/>
          <w:sz w:val="20"/>
          <w:shd w:fill="FFFFFF" w:val="clear"/>
        </w:rPr>
      </w:pPr>
      <w:r>
        <w:rPr>
          <w:rFonts w:ascii="Arial;sans-serif" w:hAnsi="Arial;sans-serif"/>
          <w:b/>
          <w:color w:val="0A0A0A"/>
          <w:sz w:val="20"/>
          <w:shd w:fill="FFFFFF" w:val="clear"/>
        </w:rPr>
        <w:t>Contacts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A0A0A"/>
          <w:sz w:val="22"/>
          <w:shd w:fill="FFFFFF" w:val="clear"/>
        </w:rPr>
        <w:t>I</w:t>
      </w:r>
      <w:r>
        <w:rPr>
          <w:rFonts w:ascii="Arial;sans-serif" w:hAnsi="Arial;sans-serif"/>
          <w:b/>
          <w:color w:val="0A0A0A"/>
          <w:sz w:val="20"/>
          <w:shd w:fill="FFFFFF" w:val="clear"/>
        </w:rPr>
        <w:t>nvestor Relations</w:t>
      </w:r>
    </w:p>
    <w:p>
      <w:pPr>
        <w:pStyle w:val="TextBody"/>
        <w:bidi w:val="0"/>
        <w:spacing w:lineRule="auto" w:line="288" w:before="0" w:after="0"/>
        <w:jc w:val="left"/>
        <w:rPr>
          <w:rFonts w:ascii="Arial;sans-serif" w:hAnsi="Arial;sans-serif"/>
          <w:b w:val="false"/>
          <w:color w:val="0563C1"/>
          <w:sz w:val="20"/>
          <w:u w:val="single"/>
          <w:shd w:fill="FFFFFF" w:val="clear"/>
        </w:rPr>
      </w:pPr>
      <w:r>
        <w:rPr>
          <w:rFonts w:ascii="Arial;sans-serif" w:hAnsi="Arial;sans-serif"/>
          <w:b w:val="false"/>
          <w:color w:val="0563C1"/>
          <w:sz w:val="20"/>
          <w:u w:val="single"/>
          <w:shd w:fill="FFFFFF" w:val="clear"/>
        </w:rPr>
        <w:t>IR@suncountry.com</w:t>
      </w:r>
    </w:p>
    <w:p>
      <w:pPr>
        <w:pStyle w:val="TextBody"/>
        <w:bidi w:val="0"/>
        <w:spacing w:lineRule="auto" w:line="288" w:before="240" w:after="283"/>
        <w:jc w:val="left"/>
        <w:rPr>
          <w:rFonts w:ascii="Arial;sans-serif" w:hAnsi="Arial;sans-serif"/>
          <w:b/>
          <w:color w:val="0A0A0A"/>
          <w:sz w:val="20"/>
          <w:shd w:fill="FFFFFF" w:val="clear"/>
        </w:rPr>
      </w:pPr>
      <w:r>
        <w:rPr>
          <w:rFonts w:ascii="Arial;sans-serif" w:hAnsi="Arial;sans-serif"/>
          <w:b/>
          <w:color w:val="0A0A0A"/>
          <w:sz w:val="20"/>
          <w:shd w:fill="FFFFFF" w:val="clear"/>
        </w:rPr>
        <w:t>Media</w:t>
      </w:r>
    </w:p>
    <w:p>
      <w:pPr>
        <w:pStyle w:val="TextBody"/>
        <w:bidi w:val="0"/>
        <w:spacing w:lineRule="auto" w:line="288" w:before="0" w:after="100"/>
        <w:jc w:val="left"/>
        <w:rPr>
          <w:rFonts w:ascii="Arial;sans-serif" w:hAnsi="Arial;sans-serif"/>
          <w:b w:val="false"/>
          <w:color w:val="0563C1"/>
          <w:sz w:val="20"/>
          <w:u w:val="single"/>
          <w:shd w:fill="FFFFFF" w:val="clear"/>
        </w:rPr>
      </w:pPr>
      <w:r>
        <w:rPr>
          <w:rFonts w:ascii="Arial;sans-serif" w:hAnsi="Arial;sans-serif"/>
          <w:b w:val="false"/>
          <w:color w:val="0563C1"/>
          <w:sz w:val="20"/>
          <w:u w:val="single"/>
          <w:shd w:fill="FFFFFF" w:val="clear"/>
        </w:rPr>
        <w:t>mediarelations@suncountry.com</w:t>
      </w:r>
    </w:p>
    <w:p>
      <w:pPr>
        <w:pStyle w:val="TextBody"/>
        <w:bidi w:val="0"/>
        <w:spacing w:before="240" w:after="16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4</w:t>
                      </w:r>
                    </w:p>
                  </w:txbxContent>
                </v:textbox>
                <w10:wrap type="none"/>
              </v:rect>
            </w:pict>
          </mc:Fallback>
        </mc:AlternateContent>
      </w:r>
    </w:p>
    <w:p>
      <w:pPr>
        <w:pStyle w:val="TextBody"/>
        <w:bidi w:val="0"/>
        <w:spacing w:lineRule="auto" w:line="288" w:before="0" w:after="0"/>
        <w:jc w:val="left"/>
        <w:rPr>
          <w:rFonts w:ascii="Arial;sans-serif" w:hAnsi="Arial;sans-serif"/>
          <w:b/>
          <w:color w:val="0A0A0A"/>
          <w:sz w:val="20"/>
          <w:shd w:fill="FFFFFF" w:val="clear"/>
        </w:rPr>
      </w:pPr>
      <w:r>
        <w:rPr>
          <w:rFonts w:ascii="Arial;sans-serif" w:hAnsi="Arial;sans-serif"/>
          <w:b/>
          <w:color w:val="0A0A0A"/>
          <w:sz w:val="20"/>
          <w:shd w:fill="FFFFFF" w:val="clear"/>
        </w:rPr>
        <w:t>Forward Looking Statements</w:t>
      </w:r>
    </w:p>
    <w:p>
      <w:pPr>
        <w:pStyle w:val="TextBody"/>
        <w:bidi w:val="0"/>
        <w:spacing w:lineRule="auto" w:line="288" w:before="240" w:after="283"/>
        <w:jc w:val="both"/>
        <w:rPr>
          <w:rFonts w:ascii="Arial;sans-serif" w:hAnsi="Arial;sans-serif"/>
          <w:b w:val="false"/>
          <w:color w:val="0A0A0A"/>
          <w:sz w:val="20"/>
          <w:shd w:fill="FFFFFF" w:val="clear"/>
        </w:rPr>
      </w:pPr>
      <w:r>
        <w:rPr>
          <w:rFonts w:ascii="Arial;sans-serif" w:hAnsi="Arial;sans-serif"/>
          <w:b w:val="false"/>
          <w:color w:val="0A0A0A"/>
          <w:sz w:val="20"/>
          <w:shd w:fill="FFFFFF" w:val="clear"/>
        </w:rPr>
        <w:t>This press release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press release, including statements regarding our strategy, future operations, future financial position, future revenue, projected costs, prospects, plans, objectives of management, and expected market growth are forward-looking statements. The forward-looking statements are relating to:</w:t>
      </w:r>
    </w:p>
    <w:p>
      <w:pPr>
        <w:pStyle w:val="TextBody"/>
        <w:bidi w:val="0"/>
        <w:spacing w:lineRule="auto" w:line="288" w:before="240" w:after="283"/>
        <w:jc w:val="both"/>
        <w:rPr>
          <w:color w:val="0A0A0A"/>
          <w:shd w:fill="FFFFFF" w:val="clear"/>
        </w:rPr>
      </w:pPr>
      <w:r>
        <w:rPr>
          <w:color w:val="0A0A0A"/>
          <w:shd w:fill="FFFFFF" w:val="clear"/>
        </w:rPr>
        <w:t xml:space="preserve">• </w:t>
      </w:r>
      <w:r>
        <w:rPr>
          <w:rFonts w:ascii="Arial;sans-serif" w:hAnsi="Arial;sans-serif"/>
          <w:b w:val="false"/>
          <w:color w:val="0A0A0A"/>
          <w:sz w:val="20"/>
          <w:shd w:fill="FFFFFF" w:val="clear"/>
        </w:rPr>
        <w:t>our strategy, outlook and growth prospects;</w:t>
      </w:r>
    </w:p>
    <w:p>
      <w:pPr>
        <w:pStyle w:val="TextBody"/>
        <w:bidi w:val="0"/>
        <w:spacing w:lineRule="auto" w:line="288" w:before="240" w:after="283"/>
        <w:jc w:val="both"/>
        <w:rPr>
          <w:color w:val="0A0A0A"/>
          <w:shd w:fill="FFFFFF" w:val="clear"/>
        </w:rPr>
      </w:pPr>
      <w:r>
        <w:rPr>
          <w:color w:val="0A0A0A"/>
          <w:shd w:fill="FFFFFF" w:val="clear"/>
        </w:rPr>
        <w:t xml:space="preserve">• </w:t>
      </w:r>
      <w:r>
        <w:rPr>
          <w:rFonts w:ascii="Arial;sans-serif" w:hAnsi="Arial;sans-serif"/>
          <w:b w:val="false"/>
          <w:color w:val="0A0A0A"/>
          <w:sz w:val="20"/>
          <w:shd w:fill="FFFFFF" w:val="clear"/>
        </w:rPr>
        <w:t>our operational and financial targets and dividend policy;</w:t>
      </w:r>
    </w:p>
    <w:p>
      <w:pPr>
        <w:pStyle w:val="TextBody"/>
        <w:bidi w:val="0"/>
        <w:spacing w:lineRule="auto" w:line="288" w:before="240" w:after="283"/>
        <w:jc w:val="both"/>
        <w:rPr>
          <w:color w:val="0A0A0A"/>
          <w:shd w:fill="FFFFFF" w:val="clear"/>
        </w:rPr>
      </w:pPr>
      <w:r>
        <w:rPr>
          <w:color w:val="0A0A0A"/>
          <w:shd w:fill="FFFFFF" w:val="clear"/>
        </w:rPr>
        <w:t xml:space="preserve">• </w:t>
      </w:r>
      <w:r>
        <w:rPr>
          <w:rFonts w:ascii="Arial;sans-serif" w:hAnsi="Arial;sans-serif"/>
          <w:b w:val="false"/>
          <w:color w:val="0A0A0A"/>
          <w:sz w:val="20"/>
          <w:shd w:fill="FFFFFF" w:val="clear"/>
        </w:rPr>
        <w:t xml:space="preserve">general economic trends and trends in the industry and markets; </w:t>
      </w:r>
    </w:p>
    <w:p>
      <w:pPr>
        <w:pStyle w:val="TextBody"/>
        <w:bidi w:val="0"/>
        <w:spacing w:lineRule="auto" w:line="288" w:before="240" w:after="283"/>
        <w:jc w:val="both"/>
        <w:rPr>
          <w:color w:val="0A0A0A"/>
          <w:shd w:fill="FFFFFF" w:val="clear"/>
        </w:rPr>
      </w:pPr>
      <w:r>
        <w:rPr>
          <w:color w:val="0A0A0A"/>
          <w:shd w:fill="FFFFFF" w:val="clear"/>
        </w:rPr>
        <w:t xml:space="preserve">• </w:t>
      </w:r>
      <w:r>
        <w:rPr>
          <w:rFonts w:ascii="Arial;sans-serif" w:hAnsi="Arial;sans-serif"/>
          <w:b w:val="false"/>
          <w:color w:val="0A0A0A"/>
          <w:sz w:val="20"/>
          <w:shd w:fill="FFFFFF" w:val="clear"/>
        </w:rPr>
        <w:t xml:space="preserve">potential repurchases of our common stock; and </w:t>
      </w:r>
    </w:p>
    <w:p>
      <w:pPr>
        <w:pStyle w:val="TextBody"/>
        <w:bidi w:val="0"/>
        <w:spacing w:lineRule="auto" w:line="288" w:before="240" w:after="283"/>
        <w:jc w:val="both"/>
        <w:rPr>
          <w:color w:val="0A0A0A"/>
          <w:shd w:fill="FFFFFF" w:val="clear"/>
        </w:rPr>
      </w:pPr>
      <w:r>
        <w:rPr>
          <w:color w:val="0A0A0A"/>
          <w:shd w:fill="FFFFFF" w:val="clear"/>
        </w:rPr>
        <w:t xml:space="preserve">• </w:t>
      </w:r>
      <w:r>
        <w:rPr>
          <w:rFonts w:ascii="Arial;sans-serif" w:hAnsi="Arial;sans-serif"/>
          <w:b w:val="false"/>
          <w:color w:val="0A0A0A"/>
          <w:sz w:val="20"/>
          <w:shd w:fill="FFFFFF" w:val="clear"/>
        </w:rPr>
        <w:t>the competitive environment in which we operate.</w:t>
      </w:r>
    </w:p>
    <w:p>
      <w:pPr>
        <w:pStyle w:val="TextBody"/>
        <w:bidi w:val="0"/>
        <w:spacing w:lineRule="auto" w:line="288" w:before="240" w:after="283"/>
        <w:jc w:val="both"/>
        <w:rPr>
          <w:rFonts w:ascii="Arial;sans-serif" w:hAnsi="Arial;sans-serif"/>
          <w:b w:val="false"/>
          <w:color w:val="0A0A0A"/>
          <w:sz w:val="20"/>
          <w:shd w:fill="FFFFFF" w:val="clear"/>
        </w:rPr>
      </w:pPr>
      <w:r>
        <w:rPr>
          <w:rFonts w:ascii="Arial;sans-serif" w:hAnsi="Arial;sans-serif"/>
          <w:b w:val="false"/>
          <w:color w:val="0A0A0A"/>
          <w:sz w:val="20"/>
          <w:shd w:fill="FFFFFF" w:val="clear"/>
        </w:rPr>
        <w:t xml:space="preserve">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lineRule="auto" w:line="288" w:before="240" w:after="283"/>
        <w:jc w:val="both"/>
        <w:rPr>
          <w:rFonts w:ascii="Arial;sans-serif" w:hAnsi="Arial;sans-serif"/>
          <w:b w:val="false"/>
          <w:color w:val="0A0A0A"/>
          <w:sz w:val="20"/>
          <w:shd w:fill="FFFFFF" w:val="clear"/>
        </w:rPr>
      </w:pPr>
      <w:r>
        <w:rPr>
          <w:rFonts w:ascii="Arial;sans-serif" w:hAnsi="Arial;sans-serif"/>
          <w:b w:val="false"/>
          <w:color w:val="0A0A0A"/>
          <w:sz w:val="20"/>
          <w:shd w:fill="FFFFFF" w:val="clear"/>
        </w:rPr>
        <w:t>These forward-looking statements reflect our views with respect to future events as of the date of this press release and are based on assumptions and subject to risks and uncertainties. Given these uncertainties, you should not place undue reliance on these forward-looking statements. These forward-looking statements represent our estimates and assumptions only as of the date of this press release and, except as required by law, we undertake no obligation to update or review publicly any forward-looking statements, whether as a result of new information, future events or otherwise after the date of this press release. We anticipate that subsequent events and developments will cause our views to change. You should read this press release completely and with the understanding that our actual future results may be materially different from what we expect. Our forward-looking statements do not reflect the potential impact of any future acquisitions, mergers,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Annual Reports on Form 10-K, Quarterly Reports on Form 10-Q, and Current Reports on Form 8-K.</w:t>
      </w:r>
    </w:p>
    <w:p>
      <w:pPr>
        <w:pStyle w:val="TextBody"/>
        <w:bidi w:val="0"/>
        <w:spacing w:lineRule="auto" w:line="288" w:before="240" w:after="100"/>
        <w:jc w:val="both"/>
        <w:rPr>
          <w:rFonts w:ascii="Arial;sans-serif" w:hAnsi="Arial;sans-serif"/>
          <w:b/>
          <w:color w:val="0A0A0A"/>
          <w:sz w:val="20"/>
          <w:shd w:fill="FFFFFF" w:val="clear"/>
        </w:rPr>
      </w:pPr>
      <w:r>
        <w:rPr>
          <w:rFonts w:ascii="Arial;sans-serif" w:hAnsi="Arial;sans-serif"/>
          <w:b/>
          <w:color w:val="0A0A0A"/>
          <w:sz w:val="20"/>
          <w:shd w:fill="FFFFFF" w:val="clear"/>
        </w:rPr>
        <w:t>Non-GAAP Financial Measures</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5</w:t>
                      </w:r>
                    </w:p>
                  </w:txbxContent>
                </v:textbox>
                <w10:wrap type="none"/>
              </v:rect>
            </w:pict>
          </mc:Fallback>
        </mc:AlternateContent>
      </w:r>
    </w:p>
    <w:tbl>
      <w:tblPr>
        <w:tblW w:w="6075" w:type="dxa"/>
        <w:jc w:val="left"/>
        <w:tblInd w:w="0" w:type="dxa"/>
        <w:tblLayout w:type="fixed"/>
        <w:tblCellMar>
          <w:top w:w="28" w:type="dxa"/>
          <w:left w:w="28" w:type="dxa"/>
          <w:bottom w:w="28" w:type="dxa"/>
          <w:right w:w="28" w:type="dxa"/>
        </w:tblCellMar>
      </w:tblPr>
      <w:tblGrid>
        <w:gridCol w:w="1946"/>
        <w:gridCol w:w="1708"/>
        <w:gridCol w:w="2421"/>
      </w:tblGrid>
      <w:tr>
        <w:trPr/>
        <w:tc>
          <w:tcPr>
            <w:tcW w:w="19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CONDENSED CONSOLIDATED STATEMENTS OF OPERATIONS</w:t>
              <w:br/>
              <w:t xml:space="preserve">(Dollars in thousands, except per share amounts) </w:t>
            </w:r>
          </w:p>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 xml:space="preserve">(Unaudited) </w:t>
            </w:r>
          </w:p>
        </w:tc>
      </w:tr>
    </w:tbl>
    <w:tbl>
      <w:tblPr>
        <w:tblW w:w="7609" w:type="dxa"/>
        <w:jc w:val="left"/>
        <w:tblInd w:w="0" w:type="dxa"/>
        <w:tblLayout w:type="fixed"/>
        <w:tblCellMar>
          <w:top w:w="28" w:type="dxa"/>
          <w:left w:w="28" w:type="dxa"/>
          <w:bottom w:w="28" w:type="dxa"/>
          <w:right w:w="28" w:type="dxa"/>
        </w:tblCellMar>
      </w:tblPr>
      <w:tblGrid>
        <w:gridCol w:w="1168"/>
        <w:gridCol w:w="1027"/>
        <w:gridCol w:w="1029"/>
        <w:gridCol w:w="246"/>
        <w:gridCol w:w="880"/>
        <w:gridCol w:w="123"/>
        <w:gridCol w:w="123"/>
        <w:gridCol w:w="123"/>
        <w:gridCol w:w="123"/>
        <w:gridCol w:w="239"/>
        <w:gridCol w:w="973"/>
        <w:gridCol w:w="123"/>
        <w:gridCol w:w="109"/>
        <w:gridCol w:w="109"/>
        <w:gridCol w:w="109"/>
        <w:gridCol w:w="353"/>
        <w:gridCol w:w="353"/>
        <w:gridCol w:w="399"/>
      </w:tblGrid>
      <w:tr>
        <w:trPr/>
        <w:tc>
          <w:tcPr>
            <w:tcW w:w="116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2023</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Operating Revenues:</w:t>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Scheduled Service</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102,200 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(5.6)</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Charter Service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42,899 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10.6 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Ancillary</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50,261 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40.1 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Passenger</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214,355 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195,360 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9.7 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Cargo</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26,059 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23,687 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10.0 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8,462 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2,653 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219.0 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Revenue</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248,876 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221,700 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12.3 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Operating Expenses:</w:t>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Aircraft Fuel</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64,843 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(5.7)</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Salaries, Wages, and Benefits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58,661 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Aircraft Rent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1,949 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Maintenance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15,330 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11,018 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Sales and Marketing</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6,827 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Depreciation and Amortization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17,181 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32.5</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Ground Handling</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8,669 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Landing Fees and Airport Rent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12,926 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Operating,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24,235 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Expenses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229,870 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206,309 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11.4 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Income</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15,391 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23.5 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Non-operating Income (Expense):</w:t>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Interest Income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1,610 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Interest Expense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(7,493)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3,422 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Non-operating Expense, net</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(2,461)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263.2 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before Income Tax</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 xml:space="preserve">Income Tax Expense </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2,253 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Net Income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 xml:space="preserve">Net Income per share to common stockholders: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Basic</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Shares used for computation:</w:t>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Basic</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55,435,386 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58,146,606 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58,595,646 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60,793,516 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6</w:t>
                      </w:r>
                    </w:p>
                  </w:txbxContent>
                </v:textbox>
                <w10:wrap type="none"/>
              </v:rect>
            </w:pict>
          </mc:Fallback>
        </mc:AlternateContent>
      </w:r>
    </w:p>
    <w:tbl>
      <w:tblPr>
        <w:tblW w:w="6075" w:type="dxa"/>
        <w:jc w:val="left"/>
        <w:tblInd w:w="0" w:type="dxa"/>
        <w:tblLayout w:type="fixed"/>
        <w:tblCellMar>
          <w:top w:w="28" w:type="dxa"/>
          <w:left w:w="28" w:type="dxa"/>
          <w:bottom w:w="28" w:type="dxa"/>
          <w:right w:w="28" w:type="dxa"/>
        </w:tblCellMar>
      </w:tblPr>
      <w:tblGrid>
        <w:gridCol w:w="1946"/>
        <w:gridCol w:w="1708"/>
        <w:gridCol w:w="2421"/>
      </w:tblGrid>
      <w:tr>
        <w:trPr/>
        <w:tc>
          <w:tcPr>
            <w:tcW w:w="19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CONDENSED CONSOLIDATED STATEMENTS OF OPERATIONS</w:t>
              <w:br/>
              <w:t xml:space="preserve">(Dollars in thousands, except per share amounts) </w:t>
            </w:r>
          </w:p>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 xml:space="preserve">(Unaudited) </w:t>
            </w:r>
          </w:p>
        </w:tc>
      </w:tr>
    </w:tbl>
    <w:tbl>
      <w:tblPr>
        <w:tblW w:w="7429" w:type="dxa"/>
        <w:jc w:val="left"/>
        <w:tblInd w:w="0" w:type="dxa"/>
        <w:tblLayout w:type="fixed"/>
        <w:tblCellMar>
          <w:top w:w="28" w:type="dxa"/>
          <w:left w:w="28" w:type="dxa"/>
          <w:bottom w:w="28" w:type="dxa"/>
          <w:right w:w="28" w:type="dxa"/>
        </w:tblCellMar>
      </w:tblPr>
      <w:tblGrid>
        <w:gridCol w:w="1168"/>
        <w:gridCol w:w="1027"/>
        <w:gridCol w:w="1029"/>
        <w:gridCol w:w="223"/>
        <w:gridCol w:w="906"/>
        <w:gridCol w:w="115"/>
        <w:gridCol w:w="115"/>
        <w:gridCol w:w="115"/>
        <w:gridCol w:w="115"/>
        <w:gridCol w:w="223"/>
        <w:gridCol w:w="906"/>
        <w:gridCol w:w="115"/>
        <w:gridCol w:w="109"/>
        <w:gridCol w:w="109"/>
        <w:gridCol w:w="109"/>
        <w:gridCol w:w="323"/>
        <w:gridCol w:w="323"/>
        <w:gridCol w:w="399"/>
      </w:tblGrid>
      <w:tr>
        <w:trPr/>
        <w:tc>
          <w:tcPr>
            <w:tcW w:w="116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Operating Revenues: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Scheduled Service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360,607 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334,679 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7.7 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Charter Service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118,526 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20.9 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Ancillary</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205,633 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139,548 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47.4 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Passenger</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709,490 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592,753 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19.7 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Cargo</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74,437 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65,930 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12.9 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20,150 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8,607 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134.1 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Revenue</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804,077 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667,290 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20.5 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Operating Expenses: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Aircraft Fuel</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185,829 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206,334 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(9.9)</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Salaries, Wages, and Benefits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178,576 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Aircraft Rent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7,347 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Maintenance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35,794 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Sales and Marketing</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23,336 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Depreciation and Amortization</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49,364 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30.8</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Ground Handling</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24,838 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Landing Fees and Airport Rent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32,708 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Operating, net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68,401 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Expenses</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693,702 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626,698 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10.7 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Income</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110,375 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40,592 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171.9 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Non-operating Income (Expense):</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Interest Income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2,166 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258.5 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Interest Expense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(31,272)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(23,097)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net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(5,156)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Non-operating Expense, net</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(23,876)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(26,087)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before Income Tax</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86,499 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496.3 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Tax Expense</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4,113 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385.4 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Net Income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66,536 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540.3 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7"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 xml:space="preserve">Net Income per share to common stockholders: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Basic</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Shares used for computation:</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Basic</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56,051,173 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58,039,201 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59,281,819 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61,372,735 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7</w:t>
                      </w:r>
                    </w:p>
                  </w:txbxContent>
                </v:textbox>
                <w10:wrap type="none"/>
              </v:rect>
            </w:pict>
          </mc:Fallback>
        </mc:AlternateContent>
      </w:r>
    </w:p>
    <w:tbl>
      <w:tblPr>
        <w:tblW w:w="2999" w:type="dxa"/>
        <w:jc w:val="left"/>
        <w:tblInd w:w="0" w:type="dxa"/>
        <w:tblLayout w:type="fixed"/>
        <w:tblCellMar>
          <w:top w:w="28" w:type="dxa"/>
          <w:left w:w="28" w:type="dxa"/>
          <w:bottom w:w="28" w:type="dxa"/>
          <w:right w:w="28" w:type="dxa"/>
        </w:tblCellMar>
      </w:tblPr>
      <w:tblGrid>
        <w:gridCol w:w="960"/>
        <w:gridCol w:w="845"/>
        <w:gridCol w:w="1194"/>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KEY OPERATING STATISTICS</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tables presents key operating statistics and metrics for the three and nine months ended September 30, 2023 and 2022.</w:t>
      </w:r>
    </w:p>
    <w:tbl>
      <w:tblPr>
        <w:tblW w:w="8098" w:type="dxa"/>
        <w:jc w:val="left"/>
        <w:tblInd w:w="0" w:type="dxa"/>
        <w:tblLayout w:type="fixed"/>
        <w:tblCellMar>
          <w:top w:w="28" w:type="dxa"/>
          <w:left w:w="28" w:type="dxa"/>
          <w:bottom w:w="28" w:type="dxa"/>
          <w:right w:w="28" w:type="dxa"/>
        </w:tblCellMar>
      </w:tblPr>
      <w:tblGrid>
        <w:gridCol w:w="1525"/>
        <w:gridCol w:w="1342"/>
        <w:gridCol w:w="1347"/>
        <w:gridCol w:w="718"/>
        <w:gridCol w:w="371"/>
        <w:gridCol w:w="371"/>
        <w:gridCol w:w="718"/>
        <w:gridCol w:w="371"/>
        <w:gridCol w:w="374"/>
        <w:gridCol w:w="281"/>
        <w:gridCol w:w="281"/>
        <w:gridCol w:w="399"/>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Three Months Ended September 30,</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Scheduled Service Statistics:</w:t>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passenger miles (RPMs) – thousands</w:t>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1,252,583</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1,101,011</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thousands</w:t>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1,446,462</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1,256,755</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Load factor</w:t>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passengers carried</w:t>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1,090,172</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908,967</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6,878</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5,611</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19,935</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16,947</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Scheduled service TRASM</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cents</w:t>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base fare per passenger</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88.50</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112.44</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Ancillary revenue per passenger</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64.61</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55.29</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fare per passenger</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153.11</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167.73</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15,536</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13,352</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Charter Statistics:</w:t>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2,688</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2,359</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5,274</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4,623</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seats miles (ASMs) - thousands</w:t>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322,722</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286,189</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3,056</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Cargo Statistics:</w:t>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3,432</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3,043</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9,287</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8,739</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System Statistics:</w:t>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passenger aircraft</w:t>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aircraft – end of period</w:t>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 aircraft – end of period</w:t>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held for operating lease – end of period</w:t>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thousands</w:t>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1,791,485</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1,553,483</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13,128</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11,072</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34,874</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30,492</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Daily utilization – hours</w:t>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stage length – miles</w:t>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revenue per ASM (TRASM) - cents</w:t>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12.75</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per ASM (CASM) - cents</w:t>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CASM</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cents</w:t>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19,262</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16,509</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cost per gallon</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Employees at end of period</w:t>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2,354</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w:t>
            </w:r>
          </w:p>
        </w:tc>
      </w:tr>
    </w:tbl>
    <w:p>
      <w:pPr>
        <w:pStyle w:val="TextBody"/>
        <w:bidi w:val="0"/>
        <w:spacing w:lineRule="auto" w:line="288" w:before="60" w:after="283"/>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1 – See note 3 in end notes</w:t>
      </w:r>
    </w:p>
    <w:p>
      <w:pPr>
        <w:pStyle w:val="TextBody"/>
        <w:bidi w:val="0"/>
        <w:spacing w:lineRule="auto" w:line="288" w:before="60" w:after="283"/>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2 – See note 4 in end notes</w:t>
      </w:r>
    </w:p>
    <w:p>
      <w:pPr>
        <w:pStyle w:val="TextBody"/>
        <w:bidi w:val="0"/>
        <w:spacing w:lineRule="auto" w:line="288" w:before="60" w:after="283"/>
        <w:jc w:val="left"/>
        <w:rPr>
          <w:color w:val="0A0A0A"/>
        </w:rPr>
      </w:pPr>
      <w:r>
        <w:rPr>
          <w:color w:val="0A0A0A"/>
        </w:rPr>
        <w:t>“</w:t>
      </w:r>
      <w:r>
        <w:rPr>
          <w:rFonts w:ascii="Arial;sans-serif" w:hAnsi="Arial;sans-serif"/>
          <w:b w:val="false"/>
          <w:color w:val="0A0A0A"/>
          <w:sz w:val="16"/>
        </w:rPr>
        <w:t>NM” stands for not meaningful</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8009" w:type="dxa"/>
        <w:jc w:val="left"/>
        <w:tblInd w:w="0" w:type="dxa"/>
        <w:tblLayout w:type="fixed"/>
        <w:tblCellMar>
          <w:top w:w="28" w:type="dxa"/>
          <w:left w:w="28" w:type="dxa"/>
          <w:bottom w:w="28" w:type="dxa"/>
          <w:right w:w="28" w:type="dxa"/>
        </w:tblCellMar>
      </w:tblPr>
      <w:tblGrid>
        <w:gridCol w:w="1525"/>
        <w:gridCol w:w="1342"/>
        <w:gridCol w:w="1347"/>
        <w:gridCol w:w="696"/>
        <w:gridCol w:w="360"/>
        <w:gridCol w:w="360"/>
        <w:gridCol w:w="696"/>
        <w:gridCol w:w="360"/>
        <w:gridCol w:w="362"/>
        <w:gridCol w:w="281"/>
        <w:gridCol w:w="281"/>
        <w:gridCol w:w="399"/>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Nine Months Ended September 30,</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Scheduled Service Statistics:</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passenger miles (RPMs) – thousands</w:t>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3,900,975</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3,565,501</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thousands</w:t>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4,489,968</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4,284,403</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Load factor</w:t>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passengers carried</w:t>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3,093,536</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2,715,707</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19,456</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17,512</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61,438</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57,585</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Scheduled service TRASM</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cents</w:t>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base fare per passenger</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116.57</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123.24</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Ancillary revenue per passenger</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66.47</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51.39</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fare per passenger</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183.04</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174.63</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48,046</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44,940</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Charter Statistics: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7,816</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6,214</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15,994</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seats miles (ASMs) - thousands</w:t>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961,953</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800,698</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11,063</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9,085</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Cargo Statistics: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9,643</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8,310</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25,633</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23,891</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System Statistics: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passenger aircraft</w:t>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aircraft – end of period</w:t>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 aircraft – end of period</w:t>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held for operating lease – end of period</w:t>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thousands</w:t>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5,516,826</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5,114,134</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37,295</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32,246</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104,188</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95,052</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Daily utilization – hours</w:t>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stage length – miles</w:t>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1,169</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revenue per ASM (TRASM) - cents</w:t>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per ASM (CASM) - cents</w:t>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CASM</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cents</w:t>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59,734</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54,322</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cost per gallon</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Employees at end of period</w:t>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2,354</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w:t>
            </w:r>
          </w:p>
        </w:tc>
      </w:tr>
    </w:tbl>
    <w:p>
      <w:pPr>
        <w:pStyle w:val="TextBody"/>
        <w:bidi w:val="0"/>
        <w:spacing w:lineRule="auto" w:line="288" w:before="60" w:after="283"/>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1 – See note 3 in end notes </w:t>
      </w:r>
    </w:p>
    <w:p>
      <w:pPr>
        <w:pStyle w:val="TextBody"/>
        <w:bidi w:val="0"/>
        <w:spacing w:lineRule="auto" w:line="288" w:before="60" w:after="283"/>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2 – See note 4 in end notes</w:t>
      </w:r>
    </w:p>
    <w:p>
      <w:pPr>
        <w:pStyle w:val="TextBody"/>
        <w:bidi w:val="0"/>
        <w:spacing w:lineRule="auto" w:line="288" w:before="60" w:after="283"/>
        <w:jc w:val="left"/>
        <w:rPr>
          <w:color w:val="0A0A0A"/>
        </w:rPr>
      </w:pPr>
      <w:r>
        <w:rPr>
          <w:color w:val="0A0A0A"/>
        </w:rPr>
        <w:t>“</w:t>
      </w:r>
      <w:r>
        <w:rPr>
          <w:rFonts w:ascii="Arial;sans-serif" w:hAnsi="Arial;sans-serif"/>
          <w:b w:val="false"/>
          <w:color w:val="0A0A0A"/>
          <w:sz w:val="16"/>
        </w:rPr>
        <w:t>NM” stands for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9</w:t>
                      </w:r>
                    </w:p>
                  </w:txbxContent>
                </v:textbox>
                <w10:wrap type="none"/>
              </v:rect>
            </w:pict>
          </mc:Fallback>
        </mc:AlternateContent>
      </w:r>
    </w:p>
    <w:tbl>
      <w:tblPr>
        <w:tblW w:w="4589" w:type="dxa"/>
        <w:jc w:val="left"/>
        <w:tblInd w:w="0" w:type="dxa"/>
        <w:tblLayout w:type="fixed"/>
        <w:tblCellMar>
          <w:top w:w="28" w:type="dxa"/>
          <w:left w:w="28" w:type="dxa"/>
          <w:bottom w:w="28" w:type="dxa"/>
          <w:right w:w="28" w:type="dxa"/>
        </w:tblCellMar>
      </w:tblPr>
      <w:tblGrid>
        <w:gridCol w:w="1470"/>
        <w:gridCol w:w="1289"/>
        <w:gridCol w:w="1830"/>
      </w:tblGrid>
      <w:tr>
        <w:trPr/>
        <w:tc>
          <w:tcPr>
            <w:tcW w:w="1470"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SUMMARY BALANCE SHEET</w:t>
              <w:br/>
              <w:t xml:space="preserve">(Dollars in millions) </w:t>
            </w:r>
          </w:p>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 xml:space="preserve">(amounts may not recalculate due to rounding) </w:t>
            </w:r>
          </w:p>
        </w:tc>
      </w:tr>
    </w:tbl>
    <w:tbl>
      <w:tblPr>
        <w:tblW w:w="8894" w:type="dxa"/>
        <w:jc w:val="left"/>
        <w:tblInd w:w="0" w:type="dxa"/>
        <w:tblLayout w:type="fixed"/>
        <w:tblCellMar>
          <w:top w:w="28" w:type="dxa"/>
          <w:left w:w="28" w:type="dxa"/>
          <w:bottom w:w="28" w:type="dxa"/>
          <w:right w:w="28" w:type="dxa"/>
        </w:tblCellMar>
      </w:tblPr>
      <w:tblGrid>
        <w:gridCol w:w="1412"/>
        <w:gridCol w:w="1242"/>
        <w:gridCol w:w="1246"/>
        <w:gridCol w:w="357"/>
        <w:gridCol w:w="1094"/>
        <w:gridCol w:w="184"/>
        <w:gridCol w:w="109"/>
        <w:gridCol w:w="109"/>
        <w:gridCol w:w="109"/>
        <w:gridCol w:w="344"/>
        <w:gridCol w:w="1053"/>
        <w:gridCol w:w="177"/>
        <w:gridCol w:w="109"/>
        <w:gridCol w:w="109"/>
        <w:gridCol w:w="109"/>
        <w:gridCol w:w="322"/>
        <w:gridCol w:w="324"/>
        <w:gridCol w:w="485"/>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9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Cash &amp; Cash Equivalents</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Current Assets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Current Assets</w:t>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Property &amp; Equipment, net</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485"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Total Assets</w:t>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1,601.1 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Air Traffic Liabilities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Current Finance Lease Obligations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Current Operating Lease Obligations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Current Maturities of Long-Term Debt, net</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Tax Receivable Agreement Liability</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Current Liabilities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485"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Current Liabilities</w:t>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Finance Lease Obligations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Lease Obligations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Long-Term Debt, net</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Tax Receivable Agreement Liability</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116.5 </w:t>
            </w:r>
          </w:p>
        </w:tc>
        <w:tc>
          <w:tcPr>
            <w:tcW w:w="485"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Total Liabilities</w:t>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1,081.7 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Total Stockholders’ Equity</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10</w:t>
                      </w:r>
                    </w:p>
                  </w:txbxContent>
                </v:textbox>
                <w10:wrap type="none"/>
              </v:rect>
            </w:pict>
          </mc:Fallback>
        </mc:AlternateContent>
      </w:r>
    </w:p>
    <w:tbl>
      <w:tblPr>
        <w:tblW w:w="5714" w:type="dxa"/>
        <w:jc w:val="left"/>
        <w:tblInd w:w="0" w:type="dxa"/>
        <w:tblLayout w:type="fixed"/>
        <w:tblCellMar>
          <w:top w:w="28" w:type="dxa"/>
          <w:left w:w="28" w:type="dxa"/>
          <w:bottom w:w="28" w:type="dxa"/>
          <w:right w:w="28" w:type="dxa"/>
        </w:tblCellMar>
      </w:tblPr>
      <w:tblGrid>
        <w:gridCol w:w="1830"/>
        <w:gridCol w:w="1605"/>
        <w:gridCol w:w="2279"/>
      </w:tblGrid>
      <w:tr>
        <w:trPr/>
        <w:tc>
          <w:tcPr>
            <w:tcW w:w="183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SUMMARY CASH FLOW</w:t>
              <w:br/>
              <w:t xml:space="preserve">(Dollars in millions) </w:t>
            </w:r>
          </w:p>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 xml:space="preserve">(Unaudited - amounts may not recalculate due to rounding) </w:t>
            </w:r>
          </w:p>
        </w:tc>
      </w:tr>
    </w:tbl>
    <w:tbl>
      <w:tblPr>
        <w:tblW w:w="10205" w:type="dxa"/>
        <w:jc w:val="left"/>
        <w:tblInd w:w="0" w:type="dxa"/>
        <w:tblLayout w:type="fixed"/>
        <w:tblCellMar>
          <w:top w:w="28" w:type="dxa"/>
          <w:left w:w="28" w:type="dxa"/>
          <w:bottom w:w="28" w:type="dxa"/>
          <w:right w:w="28" w:type="dxa"/>
        </w:tblCellMar>
      </w:tblPr>
      <w:tblGrid>
        <w:gridCol w:w="2185"/>
        <w:gridCol w:w="1910"/>
        <w:gridCol w:w="1916"/>
        <w:gridCol w:w="489"/>
        <w:gridCol w:w="293"/>
        <w:gridCol w:w="293"/>
        <w:gridCol w:w="251"/>
        <w:gridCol w:w="251"/>
        <w:gridCol w:w="251"/>
        <w:gridCol w:w="489"/>
        <w:gridCol w:w="316"/>
        <w:gridCol w:w="270"/>
        <w:gridCol w:w="109"/>
        <w:gridCol w:w="109"/>
        <w:gridCol w:w="109"/>
        <w:gridCol w:w="281"/>
        <w:gridCol w:w="281"/>
        <w:gridCol w:w="402"/>
      </w:tblGrid>
      <w:tr>
        <w:trPr/>
        <w:tc>
          <w:tcPr>
            <w:tcW w:w="2185"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6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Net Cash Provided by Operating Activities</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w:t>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w:t>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Purchases of Property &amp; Equipment</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(210.6)</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w:t>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net</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w:t>
            </w:r>
          </w:p>
        </w:tc>
      </w:tr>
      <w:tr>
        <w:trPr/>
        <w:tc>
          <w:tcPr>
            <w:tcW w:w="6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Net Cash Used in Investing Activities</w:t>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(178.3)</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w:t>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Common Stock Repurchases</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Proceeds from Borrowing</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w:t>
            </w:r>
          </w:p>
        </w:tc>
      </w:tr>
      <w:tr>
        <w:trPr/>
        <w:tc>
          <w:tcPr>
            <w:tcW w:w="6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Repayment of Finance Lease Obligations</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w:t>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Repayment of Borrowings</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w:t>
            </w:r>
          </w:p>
        </w:tc>
      </w:tr>
      <w:tr>
        <w:trPr/>
        <w:tc>
          <w:tcPr>
            <w:tcW w:w="6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net</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90.5</w:t>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Net Cash Provided by Financing Activities</w:t>
            </w:r>
          </w:p>
        </w:tc>
        <w:tc>
          <w:tcPr>
            <w:tcW w:w="1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w:t>
            </w:r>
          </w:p>
        </w:tc>
      </w:tr>
      <w:tr>
        <w:trPr/>
        <w:tc>
          <w:tcPr>
            <w:tcW w:w="6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Net Decrease in Cash</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(62.1)</w:t>
            </w:r>
          </w:p>
        </w:tc>
      </w:tr>
      <w:tr>
        <w:trPr/>
        <w:tc>
          <w:tcPr>
            <w:tcW w:w="6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Cash, Cash Equivalents and Restricted Cash – Beginning of the Period</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w:t>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A0A0A"/>
                <w:sz w:val="20"/>
              </w:rPr>
            </w:pPr>
            <w:r>
              <w:rPr>
                <w:rFonts w:ascii="Arial;sans-serif" w:hAnsi="Arial;sans-serif"/>
                <w:b w:val="false"/>
                <w:color w:val="0A0A0A"/>
                <w:sz w:val="20"/>
              </w:rPr>
              <w:t xml:space="preserve">Cash, Cash Equivalents and Restricted Cash – </w:t>
            </w:r>
          </w:p>
          <w:p>
            <w:pPr>
              <w:pStyle w:val="TableContents"/>
              <w:bidi w:val="0"/>
              <w:spacing w:lineRule="auto" w:line="240" w:before="0" w:after="0"/>
              <w:ind w:left="0" w:right="0" w:hanging="90"/>
              <w:jc w:val="left"/>
              <w:rPr>
                <w:rFonts w:ascii="Arial;sans-serif" w:hAnsi="Arial;sans-serif"/>
                <w:b w:val="false"/>
                <w:color w:val="0A0A0A"/>
                <w:sz w:val="20"/>
              </w:rPr>
            </w:pPr>
            <w:r>
              <w:rPr>
                <w:rFonts w:ascii="Arial;sans-serif" w:hAnsi="Arial;sans-serif"/>
                <w:b w:val="false"/>
                <w:color w:val="0A0A0A"/>
                <w:sz w:val="20"/>
              </w:rPr>
              <w:t>End of the Period</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w:t>
            </w:r>
          </w:p>
        </w:tc>
      </w:tr>
    </w:tbl>
    <w:p>
      <w:pPr>
        <w:pStyle w:val="TextBody"/>
        <w:bidi w:val="0"/>
        <w:spacing w:lineRule="auto" w:line="288" w:before="60" w:after="283"/>
        <w:jc w:val="left"/>
        <w:rPr>
          <w:color w:val="0A0A0A"/>
        </w:rPr>
      </w:pPr>
      <w:r>
        <w:rPr>
          <w:color w:val="0A0A0A"/>
        </w:rPr>
        <w:t>“</w:t>
      </w:r>
      <w:r>
        <w:rPr>
          <w:rFonts w:ascii="Arial;sans-serif" w:hAnsi="Arial;sans-serif"/>
          <w:b w:val="false"/>
          <w:color w:val="0A0A0A"/>
          <w:sz w:val="16"/>
        </w:rPr>
        <w:t>NM” stands for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11</w:t>
                      </w:r>
                    </w:p>
                  </w:txbxContent>
                </v:textbox>
                <w10:wrap type="none"/>
              </v:rect>
            </w:pict>
          </mc:Fallback>
        </mc:AlternateConten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Adjusted Operating Income, Adjusted Operating Income Margin, Adjusted Income Before Income Tax, Adjusted Pre-tax Margin, Adjusted Net Income, Adjusted Net Income per Share, Adjusted EBITDA and Adjusted EBITDA Margin</w:t>
      </w:r>
    </w:p>
    <w:p>
      <w:pPr>
        <w:pStyle w:val="TextBody"/>
        <w:bidi w:val="0"/>
        <w:spacing w:lineRule="auto" w:line="288" w:before="240" w:after="283"/>
        <w:jc w:val="both"/>
        <w:rPr/>
      </w:pPr>
      <w:r>
        <w:rPr>
          <w:rFonts w:ascii="Arial;sans-serif" w:hAnsi="Arial;sans-serif"/>
          <w:b w:val="false"/>
          <w:color w:val="000000"/>
          <w:sz w:val="20"/>
          <w:shd w:fill="FFFFFF" w:val="clear"/>
        </w:rPr>
        <w:t xml:space="preserve">Adjusted Operating Income, Adjusted Operating Income Margin, Adjusted Income Before Income Tax, Adjusted Pre-tax Margin, Adjusted Net Income, Adjusted Net Income per share, Adjusted EBITDA and Adjusted EBITDA Margin are non-GAAP measures included as supplemental disclosure because we believe they are useful indicators of our operating performance. </w:t>
      </w:r>
      <w:r>
        <w:rPr>
          <w:rFonts w:ascii="Arial;sans-serif" w:hAnsi="Arial;sans-serif"/>
          <w:b w:val="false"/>
          <w:color w:val="000000"/>
          <w:sz w:val="20"/>
        </w:rPr>
        <w:t>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pStyle w:val="TextBody"/>
        <w:bidi w:val="0"/>
        <w:spacing w:lineRule="auto" w:line="288" w:before="240" w:after="283"/>
        <w:jc w:val="both"/>
        <w:rPr/>
      </w:pPr>
      <w:r>
        <w:rPr>
          <w:rFonts w:ascii="Arial;sans-serif" w:hAnsi="Arial;sans-serif"/>
          <w:b w:val="false"/>
          <w:color w:val="000000"/>
          <w:sz w:val="20"/>
        </w:rPr>
        <w:t>For the aforementioned reasons, Adjusted Operating Income, Adjusted Operating Income Margin, Adjusted Income Before Income Tax, Adjusted Pre-tax Margin, Adjusted Net Income, Adjusted Net Income per Share, Adjusted EBITDA and Adjusted EBITDA Margin have significant limitations which affect their use as indicators of our profitability. Accordingly, readers are cautioned not to place undue reliance on this information</w:t>
      </w:r>
      <w:r>
        <w:rPr>
          <w:rFonts w:ascii="Arial;sans-serif" w:hAnsi="Arial;sans-serif"/>
          <w:b w:val="false"/>
          <w:color w:val="000000"/>
          <w:sz w:val="24"/>
        </w:rPr>
        <w:t>.</w:t>
      </w:r>
    </w:p>
    <w:p>
      <w:pPr>
        <w:pStyle w:val="TextBody"/>
        <w:bidi w:val="0"/>
        <w:spacing w:before="0" w:after="0"/>
        <w:jc w:val="left"/>
        <w:rPr/>
      </w:pPr>
      <w:r>
        <w:rPr/>
      </w:r>
    </w:p>
    <w:tbl>
      <w:tblPr>
        <w:tblW w:w="9135" w:type="dxa"/>
        <w:jc w:val="left"/>
        <w:tblInd w:w="0" w:type="dxa"/>
        <w:tblLayout w:type="fixed"/>
        <w:tblCellMar>
          <w:top w:w="28" w:type="dxa"/>
          <w:left w:w="28" w:type="dxa"/>
          <w:bottom w:w="28" w:type="dxa"/>
          <w:right w:w="28" w:type="dxa"/>
        </w:tblCellMar>
      </w:tblPr>
      <w:tblGrid>
        <w:gridCol w:w="2921"/>
        <w:gridCol w:w="2568"/>
        <w:gridCol w:w="3646"/>
      </w:tblGrid>
      <w:tr>
        <w:trPr/>
        <w:tc>
          <w:tcPr>
            <w:tcW w:w="2921"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9135"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Arial;sans-serif" w:hAnsi="Arial;sans-serif"/>
                <w:b/>
                <w:color w:val="000000"/>
                <w:sz w:val="20"/>
              </w:rPr>
            </w:pPr>
            <w:r>
              <w:rPr>
                <w:rFonts w:ascii="Arial;sans-serif" w:hAnsi="Arial;sans-serif"/>
                <w:b/>
                <w:color w:val="000000"/>
                <w:sz w:val="20"/>
              </w:rPr>
              <w:t xml:space="preserve">Reconciliation of GAAP Operating Income to Adjusted Operating Income </w:t>
            </w:r>
          </w:p>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Dollars in millions – Unaudited - amounts may not recalculate due to rounding</w:t>
            </w:r>
          </w:p>
        </w:tc>
      </w:tr>
      <w:tr>
        <w:trPr/>
        <w:tc>
          <w:tcPr>
            <w:tcW w:w="9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reconciliation of GAAP operating income to adjusted operating income.</w:t>
            </w:r>
          </w:p>
        </w:tc>
      </w:tr>
    </w:tbl>
    <w:tbl>
      <w:tblPr>
        <w:tblW w:w="9292" w:type="dxa"/>
        <w:jc w:val="left"/>
        <w:tblInd w:w="0" w:type="dxa"/>
        <w:tblLayout w:type="fixed"/>
        <w:tblCellMar>
          <w:top w:w="28" w:type="dxa"/>
          <w:left w:w="28" w:type="dxa"/>
          <w:bottom w:w="28" w:type="dxa"/>
          <w:right w:w="28" w:type="dxa"/>
        </w:tblCellMar>
      </w:tblPr>
      <w:tblGrid>
        <w:gridCol w:w="1135"/>
        <w:gridCol w:w="998"/>
        <w:gridCol w:w="1002"/>
        <w:gridCol w:w="297"/>
        <w:gridCol w:w="910"/>
        <w:gridCol w:w="403"/>
        <w:gridCol w:w="153"/>
        <w:gridCol w:w="153"/>
        <w:gridCol w:w="153"/>
        <w:gridCol w:w="297"/>
        <w:gridCol w:w="161"/>
        <w:gridCol w:w="425"/>
        <w:gridCol w:w="109"/>
        <w:gridCol w:w="109"/>
        <w:gridCol w:w="109"/>
        <w:gridCol w:w="383"/>
        <w:gridCol w:w="198"/>
        <w:gridCol w:w="520"/>
        <w:gridCol w:w="198"/>
        <w:gridCol w:w="198"/>
        <w:gridCol w:w="198"/>
        <w:gridCol w:w="383"/>
        <w:gridCol w:w="198"/>
        <w:gridCol w:w="602"/>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Operating Revenue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248.9 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804.1</w:t>
            </w:r>
          </w:p>
        </w:tc>
        <w:tc>
          <w:tcPr>
            <w:tcW w:w="5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667.3</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Operating Income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Stock Compensation Expense</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Adjusted Operating Income</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Operating Income Margin</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Adjusted Operating Income Margin</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12</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263"/>
        <w:gridCol w:w="2868"/>
        <w:gridCol w:w="4074"/>
      </w:tblGrid>
      <w:tr>
        <w:trPr/>
        <w:tc>
          <w:tcPr>
            <w:tcW w:w="3263"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Arial;sans-serif" w:hAnsi="Arial;sans-serif"/>
                <w:b/>
                <w:color w:val="000000"/>
                <w:sz w:val="20"/>
              </w:rPr>
            </w:pPr>
            <w:r>
              <w:rPr>
                <w:rFonts w:ascii="Arial;sans-serif" w:hAnsi="Arial;sans-serif"/>
                <w:b/>
                <w:color w:val="000000"/>
                <w:sz w:val="20"/>
              </w:rPr>
              <w:t xml:space="preserve">Reconciliation of GAAP Income Before Income Tax to Adjusted Income Before Income Tax </w:t>
            </w:r>
          </w:p>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Dollars in millions – Unaudited - amounts may not recalculate due to rounding</w:t>
            </w:r>
          </w:p>
        </w:tc>
      </w:tr>
      <w:tr>
        <w:trPr/>
        <w:tc>
          <w:tcPr>
            <w:tcW w:w="10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reconciliation of GAAP income before income tax to adjusted income before income tax.</w:t>
            </w:r>
          </w:p>
        </w:tc>
      </w:tr>
    </w:tbl>
    <w:tbl>
      <w:tblPr>
        <w:tblW w:w="9843" w:type="dxa"/>
        <w:jc w:val="left"/>
        <w:tblInd w:w="0" w:type="dxa"/>
        <w:tblLayout w:type="fixed"/>
        <w:tblCellMar>
          <w:top w:w="28" w:type="dxa"/>
          <w:left w:w="28" w:type="dxa"/>
          <w:bottom w:w="28" w:type="dxa"/>
          <w:right w:w="28" w:type="dxa"/>
        </w:tblCellMar>
      </w:tblPr>
      <w:tblGrid>
        <w:gridCol w:w="1345"/>
        <w:gridCol w:w="1184"/>
        <w:gridCol w:w="1190"/>
        <w:gridCol w:w="256"/>
        <w:gridCol w:w="658"/>
        <w:gridCol w:w="348"/>
        <w:gridCol w:w="132"/>
        <w:gridCol w:w="132"/>
        <w:gridCol w:w="132"/>
        <w:gridCol w:w="256"/>
        <w:gridCol w:w="658"/>
        <w:gridCol w:w="348"/>
        <w:gridCol w:w="109"/>
        <w:gridCol w:w="109"/>
        <w:gridCol w:w="109"/>
        <w:gridCol w:w="248"/>
        <w:gridCol w:w="636"/>
        <w:gridCol w:w="336"/>
        <w:gridCol w:w="128"/>
        <w:gridCol w:w="128"/>
        <w:gridCol w:w="128"/>
        <w:gridCol w:w="248"/>
        <w:gridCol w:w="636"/>
        <w:gridCol w:w="389"/>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Net Income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Add: Provision for Income Tax Expense </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38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 as reported</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Pre-tax margin</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Tax Receivable Agreement adjustment </w:t>
            </w:r>
            <w:r>
              <w:rPr>
                <w:rFonts w:ascii="Arial;sans-serif" w:hAnsi="Arial;sans-serif"/>
                <w:b w:val="false"/>
                <w:color w:val="000000"/>
                <w:sz w:val="13"/>
              </w:rPr>
              <w:t>(1)</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Gain on asset transactions, net </w:t>
            </w:r>
            <w:r>
              <w:rPr>
                <w:rFonts w:ascii="Arial;sans-serif" w:hAnsi="Arial;sans-serif"/>
                <w:b w:val="false"/>
                <w:color w:val="000000"/>
                <w:sz w:val="13"/>
              </w:rPr>
              <w:t>(2)</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refinancing credit facility</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Income Before Income Tax</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Adjusted Pre-tax margin</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60" w:after="283"/>
              <w:jc w:val="left"/>
              <w:rPr>
                <w:rFonts w:ascii="Arial;sans-serif" w:hAnsi="Arial;sans-serif"/>
                <w:b w:val="false"/>
                <w:color w:val="000000"/>
                <w:sz w:val="16"/>
              </w:rPr>
            </w:pPr>
            <w:r>
              <w:rPr>
                <w:rFonts w:ascii="Arial;sans-serif" w:hAnsi="Arial;sans-serif"/>
                <w:b w:val="false"/>
                <w:color w:val="000000"/>
                <w:sz w:val="16"/>
              </w:rPr>
              <w:t>This represents the adjustment to the TRA for the period, which is recorded in Non-Operating Income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Due to changes in the Company’s operations, Management determined that, beginning in the fourth quarter of 2022, certain asset transactions will no longer be included as adjustments to Adjusted Net Income because these transactions are part of our recurring operations. This change was made prospectively beginning in the fourth quarter of 2022, and no prior period amounts have been adjusted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3"/>
        <w:gridCol w:w="2869"/>
        <w:gridCol w:w="4073"/>
      </w:tblGrid>
      <w:tr>
        <w:trPr/>
        <w:tc>
          <w:tcPr>
            <w:tcW w:w="326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Arial;sans-serif" w:hAnsi="Arial;sans-serif"/>
                <w:b/>
                <w:color w:val="000000"/>
                <w:sz w:val="20"/>
              </w:rPr>
            </w:pPr>
            <w:r>
              <w:rPr>
                <w:rFonts w:ascii="Arial;sans-serif" w:hAnsi="Arial;sans-serif"/>
                <w:b/>
                <w:color w:val="000000"/>
                <w:sz w:val="20"/>
              </w:rPr>
              <w:t>Reconciliation of GAAP Net Income and Earnings per Share to Adjusted Net Income and Adjusted Earnings per Share</w:t>
            </w:r>
          </w:p>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Dollars and shares in millions, except for per share – Unaudited - amounts may not recalculate due to rounding</w:t>
            </w:r>
          </w:p>
        </w:tc>
      </w:tr>
      <w:tr>
        <w:trPr/>
        <w:tc>
          <w:tcPr>
            <w:tcW w:w="10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reconciliation of GAAP net income and earnings per share to adjusted net income and adjusted earnings per share.</w:t>
            </w:r>
          </w:p>
        </w:tc>
      </w:tr>
    </w:tbl>
    <w:tbl>
      <w:tblPr>
        <w:tblW w:w="9631" w:type="dxa"/>
        <w:jc w:val="left"/>
        <w:tblInd w:w="0" w:type="dxa"/>
        <w:tblLayout w:type="fixed"/>
        <w:tblCellMar>
          <w:top w:w="28" w:type="dxa"/>
          <w:left w:w="28" w:type="dxa"/>
          <w:bottom w:w="28" w:type="dxa"/>
          <w:right w:w="28" w:type="dxa"/>
        </w:tblCellMar>
      </w:tblPr>
      <w:tblGrid>
        <w:gridCol w:w="1396"/>
        <w:gridCol w:w="1233"/>
        <w:gridCol w:w="1241"/>
        <w:gridCol w:w="211"/>
        <w:gridCol w:w="436"/>
        <w:gridCol w:w="109"/>
        <w:gridCol w:w="109"/>
        <w:gridCol w:w="109"/>
        <w:gridCol w:w="109"/>
        <w:gridCol w:w="382"/>
        <w:gridCol w:w="980"/>
        <w:gridCol w:w="197"/>
        <w:gridCol w:w="109"/>
        <w:gridCol w:w="109"/>
        <w:gridCol w:w="109"/>
        <w:gridCol w:w="211"/>
        <w:gridCol w:w="541"/>
        <w:gridCol w:w="109"/>
        <w:gridCol w:w="109"/>
        <w:gridCol w:w="109"/>
        <w:gridCol w:w="109"/>
        <w:gridCol w:w="374"/>
        <w:gridCol w:w="958"/>
        <w:gridCol w:w="272"/>
      </w:tblGrid>
      <w:tr>
        <w:trPr/>
        <w:tc>
          <w:tcPr>
            <w:tcW w:w="139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 - diluted</w:t>
            </w:r>
          </w:p>
        </w:tc>
      </w:tr>
      <w:tr>
        <w:trPr/>
        <w:tc>
          <w:tcPr>
            <w:tcW w:w="3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Stock Compensation Expense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val="false"/>
                <w:color w:val="000000"/>
                <w:sz w:val="20"/>
              </w:rPr>
              <w:t xml:space="preserve">Tax Receivable Agreement adjustment </w:t>
            </w:r>
            <w:r>
              <w:rPr>
                <w:rFonts w:ascii="Arial;sans-serif" w:hAnsi="Arial;sans-serif"/>
                <w:b w:val="false"/>
                <w:color w:val="000000"/>
                <w:sz w:val="13"/>
              </w:rPr>
              <w:t>(1)</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Gain on asset transactions, net </w:t>
            </w:r>
            <w:r>
              <w:rPr>
                <w:rFonts w:ascii="Arial;sans-serif" w:hAnsi="Arial;sans-serif"/>
                <w:b w:val="false"/>
                <w:color w:val="000000"/>
                <w:sz w:val="13"/>
              </w:rPr>
              <w:t>(2)</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Income tax effect of adjusting items, net </w:t>
            </w:r>
            <w:r>
              <w:rPr>
                <w:rFonts w:ascii="Arial;sans-serif" w:hAnsi="Arial;sans-serif"/>
                <w:b w:val="false"/>
                <w:color w:val="000000"/>
                <w:sz w:val="13"/>
              </w:rPr>
              <w:t>(3)</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Adjusted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Diluted share count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36" w:type="dxa"/>
        <w:jc w:val="left"/>
        <w:tblInd w:w="0" w:type="dxa"/>
        <w:tblLayout w:type="fixed"/>
        <w:tblCellMar>
          <w:top w:w="28" w:type="dxa"/>
          <w:left w:w="28" w:type="dxa"/>
          <w:bottom w:w="28" w:type="dxa"/>
          <w:right w:w="28" w:type="dxa"/>
        </w:tblCellMar>
      </w:tblPr>
      <w:tblGrid>
        <w:gridCol w:w="1396"/>
        <w:gridCol w:w="1233"/>
        <w:gridCol w:w="1241"/>
        <w:gridCol w:w="211"/>
        <w:gridCol w:w="541"/>
        <w:gridCol w:w="109"/>
        <w:gridCol w:w="109"/>
        <w:gridCol w:w="109"/>
        <w:gridCol w:w="109"/>
        <w:gridCol w:w="382"/>
        <w:gridCol w:w="980"/>
        <w:gridCol w:w="197"/>
        <w:gridCol w:w="109"/>
        <w:gridCol w:w="109"/>
        <w:gridCol w:w="109"/>
        <w:gridCol w:w="211"/>
        <w:gridCol w:w="541"/>
        <w:gridCol w:w="109"/>
        <w:gridCol w:w="109"/>
        <w:gridCol w:w="109"/>
        <w:gridCol w:w="109"/>
        <w:gridCol w:w="374"/>
        <w:gridCol w:w="958"/>
        <w:gridCol w:w="272"/>
      </w:tblGrid>
      <w:tr>
        <w:trPr/>
        <w:tc>
          <w:tcPr>
            <w:tcW w:w="139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 - diluted</w:t>
            </w:r>
          </w:p>
        </w:tc>
      </w:tr>
      <w:tr>
        <w:trPr/>
        <w:tc>
          <w:tcPr>
            <w:tcW w:w="3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Stock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val="false"/>
                <w:color w:val="000000"/>
                <w:sz w:val="20"/>
              </w:rPr>
              <w:t xml:space="preserve">Tax Receivable Agreement adjustment </w:t>
            </w:r>
            <w:r>
              <w:rPr>
                <w:rFonts w:ascii="Arial;sans-serif" w:hAnsi="Arial;sans-serif"/>
                <w:b w:val="false"/>
                <w:color w:val="000000"/>
                <w:sz w:val="13"/>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Gain on asset transactions, net </w:t>
            </w:r>
            <w:r>
              <w:rPr>
                <w:rFonts w:ascii="Arial;sans-serif" w:hAnsi="Arial;sans-serif"/>
                <w:b w:val="false"/>
                <w:color w:val="000000"/>
                <w:sz w:val="13"/>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refinancing credit facility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Income tax effect of adjusting items, net </w:t>
            </w:r>
            <w:r>
              <w:rPr>
                <w:rFonts w:ascii="Arial;sans-serif" w:hAnsi="Arial;sans-serif"/>
                <w:b w:val="false"/>
                <w:color w:val="000000"/>
                <w:sz w:val="13"/>
              </w:rPr>
              <w:t>(3)</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Adjusted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Diluted share count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60" w:after="283"/>
              <w:jc w:val="left"/>
              <w:rPr>
                <w:rFonts w:ascii="Arial;sans-serif" w:hAnsi="Arial;sans-serif"/>
                <w:b w:val="false"/>
                <w:color w:val="000000"/>
                <w:sz w:val="16"/>
              </w:rPr>
            </w:pPr>
            <w:r>
              <w:rPr>
                <w:rFonts w:ascii="Arial;sans-serif" w:hAnsi="Arial;sans-serif"/>
                <w:b w:val="false"/>
                <w:color w:val="000000"/>
                <w:sz w:val="16"/>
              </w:rPr>
              <w:t>This represents the adjustment to the TRA for the period, which is recorded in Non-Operating Income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Due to changes in the Company’s operations, Management determined that, beginning in the fourth quarter of 2022, certain asset transactions will no longer be included as adjustments to Adjusted Net Income because these transactions are part of our recurring operations. This change was made prospectively beginning in the fourth quarter of 2022, and no prior period amounts have been adjusted</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68" w:before="60" w:after="283"/>
              <w:jc w:val="left"/>
              <w:rPr>
                <w:rFonts w:ascii="Arial;sans-serif" w:hAnsi="Arial;sans-serif"/>
                <w:b w:val="false"/>
                <w:color w:val="000000"/>
                <w:sz w:val="16"/>
              </w:rPr>
            </w:pPr>
            <w:r>
              <w:rPr>
                <w:rFonts w:ascii="Arial;sans-serif" w:hAnsi="Arial;sans-serif"/>
                <w:b w:val="false"/>
                <w:color w:val="000000"/>
                <w:sz w:val="16"/>
              </w:rPr>
              <w:t>The tax effect of adjusting items, net is calculated at the Company’s statutory rate for the application period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14</w:t>
                      </w:r>
                    </w:p>
                  </w:txbxContent>
                </v:textbox>
                <w10:wrap type="none"/>
              </v:rect>
            </w:pict>
          </mc:Fallback>
        </mc:AlternateContent>
      </w:r>
    </w:p>
    <w:tbl>
      <w:tblPr>
        <w:tblW w:w="10064" w:type="dxa"/>
        <w:jc w:val="left"/>
        <w:tblInd w:w="0" w:type="dxa"/>
        <w:tblLayout w:type="fixed"/>
        <w:tblCellMar>
          <w:top w:w="28" w:type="dxa"/>
          <w:left w:w="28" w:type="dxa"/>
          <w:bottom w:w="28" w:type="dxa"/>
          <w:right w:w="28" w:type="dxa"/>
        </w:tblCellMar>
      </w:tblPr>
      <w:tblGrid>
        <w:gridCol w:w="3218"/>
        <w:gridCol w:w="2829"/>
        <w:gridCol w:w="4017"/>
      </w:tblGrid>
      <w:tr>
        <w:trPr/>
        <w:tc>
          <w:tcPr>
            <w:tcW w:w="3218"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4017" w:type="dxa"/>
            <w:tcBorders/>
            <w:vAlign w:val="center"/>
          </w:tcPr>
          <w:p>
            <w:pPr>
              <w:pStyle w:val="TableContents"/>
              <w:bidi w:val="0"/>
              <w:spacing w:before="0" w:after="283"/>
              <w:jc w:val="left"/>
              <w:rPr>
                <w:sz w:val="4"/>
                <w:szCs w:val="4"/>
              </w:rPr>
            </w:pPr>
            <w:r>
              <w:rPr>
                <w:sz w:val="4"/>
                <w:szCs w:val="4"/>
              </w:rPr>
            </w:r>
          </w:p>
        </w:tc>
      </w:tr>
      <w:tr>
        <w:trPr/>
        <w:tc>
          <w:tcPr>
            <w:tcW w:w="1006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color w:val="000000"/>
                <w:sz w:val="20"/>
              </w:rPr>
            </w:pPr>
            <w:r>
              <w:rPr>
                <w:rFonts w:ascii="Arial;sans-serif" w:hAnsi="Arial;sans-serif"/>
                <w:b/>
                <w:color w:val="000000"/>
                <w:sz w:val="20"/>
              </w:rPr>
              <w:t>Reconciliation of GAAP Net Income to Adjusted EBITDA</w:t>
            </w:r>
          </w:p>
          <w:p>
            <w:pPr>
              <w:pStyle w:val="TableContents"/>
              <w:bidi w:val="0"/>
              <w:spacing w:lineRule="auto" w:line="288" w:before="60" w:after="283"/>
              <w:jc w:val="left"/>
              <w:rPr>
                <w:rFonts w:ascii="Arial;sans-serif" w:hAnsi="Arial;sans-serif"/>
                <w:b/>
                <w:color w:val="000000"/>
                <w:sz w:val="20"/>
              </w:rPr>
            </w:pPr>
            <w:r>
              <w:rPr>
                <w:rFonts w:ascii="Arial;sans-serif" w:hAnsi="Arial;sans-serif"/>
                <w:b/>
                <w:color w:val="000000"/>
                <w:sz w:val="20"/>
              </w:rPr>
              <w:t>Dollars in millions – Unaudited - amounts may not recalculate due to rounding</w:t>
            </w:r>
          </w:p>
        </w:tc>
      </w:tr>
      <w:tr>
        <w:trPr/>
        <w:tc>
          <w:tcPr>
            <w:tcW w:w="10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following tables present the reconciliation of net income to adjusted EBITDA for the periods presented below. </w:t>
            </w:r>
          </w:p>
        </w:tc>
      </w:tr>
    </w:tbl>
    <w:tbl>
      <w:tblPr>
        <w:tblW w:w="9905" w:type="dxa"/>
        <w:jc w:val="left"/>
        <w:tblInd w:w="0" w:type="dxa"/>
        <w:tblLayout w:type="fixed"/>
        <w:tblCellMar>
          <w:top w:w="28" w:type="dxa"/>
          <w:left w:w="28" w:type="dxa"/>
          <w:bottom w:w="28" w:type="dxa"/>
          <w:right w:w="28" w:type="dxa"/>
        </w:tblCellMar>
      </w:tblPr>
      <w:tblGrid>
        <w:gridCol w:w="1368"/>
        <w:gridCol w:w="1201"/>
        <w:gridCol w:w="1211"/>
        <w:gridCol w:w="256"/>
        <w:gridCol w:w="658"/>
        <w:gridCol w:w="348"/>
        <w:gridCol w:w="132"/>
        <w:gridCol w:w="132"/>
        <w:gridCol w:w="132"/>
        <w:gridCol w:w="256"/>
        <w:gridCol w:w="658"/>
        <w:gridCol w:w="348"/>
        <w:gridCol w:w="109"/>
        <w:gridCol w:w="109"/>
        <w:gridCol w:w="109"/>
        <w:gridCol w:w="238"/>
        <w:gridCol w:w="728"/>
        <w:gridCol w:w="322"/>
        <w:gridCol w:w="123"/>
        <w:gridCol w:w="123"/>
        <w:gridCol w:w="123"/>
        <w:gridCol w:w="238"/>
        <w:gridCol w:w="610"/>
        <w:gridCol w:w="373"/>
      </w:tblGrid>
      <w:tr>
        <w:trPr/>
        <w:tc>
          <w:tcPr>
            <w:tcW w:w="136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val="false"/>
                <w:color w:val="000000"/>
                <w:sz w:val="20"/>
              </w:rPr>
              <w:t xml:space="preserve">Tax Receivable Agreement adjustment </w:t>
            </w:r>
            <w:r>
              <w:rPr>
                <w:rFonts w:ascii="Arial;sans-serif" w:hAnsi="Arial;sans-serif"/>
                <w:b w:val="false"/>
                <w:color w:val="000000"/>
                <w:sz w:val="13"/>
              </w:rPr>
              <w:t>(1)</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Gain on asset transactions, net </w:t>
            </w:r>
            <w:r>
              <w:rPr>
                <w:rFonts w:ascii="Arial;sans-serif" w:hAnsi="Arial;sans-serif"/>
                <w:b w:val="false"/>
                <w:color w:val="000000"/>
                <w:sz w:val="13"/>
              </w:rPr>
              <w:t>(2)</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60" w:after="283"/>
              <w:jc w:val="left"/>
              <w:rPr>
                <w:rFonts w:ascii="Arial;sans-serif" w:hAnsi="Arial;sans-serif"/>
                <w:b w:val="false"/>
                <w:color w:val="000000"/>
                <w:sz w:val="16"/>
              </w:rPr>
            </w:pPr>
            <w:r>
              <w:rPr>
                <w:rFonts w:ascii="Arial;sans-serif" w:hAnsi="Arial;sans-serif"/>
                <w:b w:val="false"/>
                <w:color w:val="000000"/>
                <w:sz w:val="16"/>
              </w:rPr>
              <w:t>This represents the adjustment to the TRA for the period, which is recorded in Non-Operating Income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Due to changes in the Company’s operations, Management determined that, beginning in the fourth quarter of 2022, certain asset transactions will no longer be included as adjustments to Adjusted Net Income because these transactions are part of our recurring operations. This change was made prospectively beginning in the fourth quarter of 2022, and no prior period amounts have been adjusted.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15</w:t>
                      </w:r>
                    </w:p>
                  </w:txbxContent>
                </v:textbox>
                <w10:wrap type="none"/>
              </v:rect>
            </w:pict>
          </mc:Fallback>
        </mc:AlternateContent>
      </w:r>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Adjusted CASM</w:t>
      </w:r>
    </w:p>
    <w:p>
      <w:pPr>
        <w:pStyle w:val="TextBody"/>
        <w:bidi w:val="0"/>
        <w:spacing w:lineRule="auto" w:line="288" w:before="240" w:after="283"/>
        <w:jc w:val="both"/>
        <w:rPr/>
      </w:pPr>
      <w:r>
        <w:rPr>
          <w:rFonts w:ascii="Arial;sans-serif" w:hAnsi="Arial;sans-serif"/>
          <w:b w:val="false"/>
          <w:color w:val="000000"/>
          <w:sz w:val="20"/>
          <w:shd w:fill="FFFFFF" w:val="clear"/>
        </w:rPr>
        <w:t xml:space="preserve">Adjusted CASM is a non-GAAP measure derived from CASM by excluding fuel costs, costs related to our cargo operations, stock based compensation, </w:t>
      </w:r>
      <w:r>
        <w:rPr>
          <w:rFonts w:ascii="Arial;sans-serif" w:hAnsi="Arial;sans-serif"/>
          <w:b w:val="false"/>
          <w:color w:val="000000"/>
          <w:sz w:val="20"/>
        </w:rPr>
        <w:t>depreciation recognized on our aircraft and flight equipment held for operating lease,</w:t>
      </w:r>
      <w:r>
        <w:rPr>
          <w:color w:val="000000"/>
          <w:shd w:fill="FFFFFF" w:val="clear"/>
        </w:rPr>
        <w:t xml:space="preserve"> </w:t>
      </w:r>
      <w:r>
        <w:rPr>
          <w:rFonts w:ascii="Arial;sans-serif" w:hAnsi="Arial;sans-serif"/>
          <w:b w:val="false"/>
          <w:color w:val="000000"/>
          <w:sz w:val="20"/>
          <w:shd w:fill="FFFFFF" w:val="clear"/>
        </w:rPr>
        <w:t xml:space="preserve">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Adjusted CASM excludes fuel costs. By excluding volatile fuel costs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and maintenance costs, and productivity, which are more controllable by management.</w:t>
      </w:r>
    </w:p>
    <w:p>
      <w:pPr>
        <w:pStyle w:val="TextBody"/>
        <w:bidi w:val="0"/>
        <w:spacing w:lineRule="auto" w:line="288" w:before="240" w:after="283"/>
        <w:jc w:val="both"/>
        <w:rPr/>
      </w:pPr>
      <w:r>
        <w:rPr>
          <w:rFonts w:ascii="Arial;sans-serif" w:hAnsi="Arial;sans-serif"/>
          <w:b w:val="false"/>
          <w:color w:val="000000"/>
          <w:sz w:val="20"/>
        </w:rPr>
        <w:t xml:space="preserve">We have excluded costs related to the cargo operations and depreciation recognized on our aircraft and flight equipment held for operating lease as these operations do not create ASMs. During the nine months ended September 30, 2023, the Company acquired five 737-900ERs that are currently on lease to an unaffiliated airline. Depreciation expense on these aircraft materially began during the three months ended June 30, 2023. </w:t>
      </w:r>
      <w:r>
        <w:rPr>
          <w:rFonts w:ascii="Arial;sans-serif" w:hAnsi="Arial;sans-serif"/>
          <w:b w:val="false"/>
          <w:color w:val="000000"/>
          <w:sz w:val="20"/>
          <w:shd w:fill="FFFFFF" w:val="clear"/>
        </w:rPr>
        <w:t>Adjusted CASM further excludes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period.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16</w:t>
                      </w:r>
                    </w:p>
                  </w:txbxContent>
                </v:textbox>
                <w10:wrap type="none"/>
              </v:rect>
            </w:pict>
          </mc:Fallback>
        </mc:AlternateContent>
      </w:r>
    </w:p>
    <w:p>
      <w:pPr>
        <w:pStyle w:val="TextBody"/>
        <w:bidi w:val="0"/>
        <w:spacing w:before="0" w:after="0"/>
        <w:jc w:val="left"/>
        <w:rPr/>
      </w:pPr>
      <w:r>
        <w:rPr/>
      </w:r>
    </w:p>
    <w:tbl>
      <w:tblPr>
        <w:tblW w:w="7035" w:type="dxa"/>
        <w:jc w:val="left"/>
        <w:tblInd w:w="0" w:type="dxa"/>
        <w:tblLayout w:type="fixed"/>
        <w:tblCellMar>
          <w:top w:w="28" w:type="dxa"/>
          <w:left w:w="28" w:type="dxa"/>
          <w:bottom w:w="28" w:type="dxa"/>
          <w:right w:w="28" w:type="dxa"/>
        </w:tblCellMar>
      </w:tblPr>
      <w:tblGrid>
        <w:gridCol w:w="2250"/>
        <w:gridCol w:w="1978"/>
        <w:gridCol w:w="2807"/>
      </w:tblGrid>
      <w:tr>
        <w:trPr/>
        <w:tc>
          <w:tcPr>
            <w:tcW w:w="2250"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color w:val="000000"/>
                <w:sz w:val="20"/>
              </w:rPr>
            </w:pPr>
            <w:r>
              <w:rPr>
                <w:rFonts w:ascii="Arial;sans-serif" w:hAnsi="Arial;sans-serif"/>
                <w:b/>
                <w:color w:val="000000"/>
                <w:sz w:val="20"/>
              </w:rPr>
              <w:t>Reconciliation of CASM to Adjusted CASM</w:t>
            </w:r>
          </w:p>
          <w:p>
            <w:pPr>
              <w:pStyle w:val="TableContents"/>
              <w:bidi w:val="0"/>
              <w:spacing w:lineRule="auto" w:line="288" w:before="60" w:after="283"/>
              <w:jc w:val="left"/>
              <w:rPr>
                <w:rFonts w:ascii="Arial;sans-serif" w:hAnsi="Arial;sans-serif"/>
                <w:b/>
                <w:color w:val="000000"/>
                <w:sz w:val="20"/>
              </w:rPr>
            </w:pPr>
            <w:r>
              <w:rPr>
                <w:rFonts w:ascii="Arial;sans-serif" w:hAnsi="Arial;sans-serif"/>
                <w:b/>
                <w:color w:val="000000"/>
                <w:sz w:val="20"/>
              </w:rPr>
              <w:t>Amounts may not recalculate due to rounding, dollar amounts in millions</w:t>
            </w:r>
          </w:p>
          <w:p>
            <w:pPr>
              <w:pStyle w:val="TableContents"/>
              <w:bidi w:val="0"/>
              <w:spacing w:before="60" w:after="283"/>
              <w:jc w:val="left"/>
              <w:rPr/>
            </w:pPr>
            <w:r>
              <w:rPr/>
            </w:r>
          </w:p>
        </w:tc>
      </w:tr>
      <w:tr>
        <w:trPr/>
        <w:tc>
          <w:tcPr>
            <w:tcW w:w="7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The following table presents the reconciliation of CASM to Adjusted CASM.</w:t>
            </w:r>
          </w:p>
        </w:tc>
      </w:tr>
    </w:tbl>
    <w:tbl>
      <w:tblPr>
        <w:tblW w:w="10205" w:type="dxa"/>
        <w:jc w:val="left"/>
        <w:tblInd w:w="0" w:type="dxa"/>
        <w:tblLayout w:type="fixed"/>
        <w:tblCellMar>
          <w:top w:w="28" w:type="dxa"/>
          <w:left w:w="28" w:type="dxa"/>
          <w:bottom w:w="28" w:type="dxa"/>
          <w:right w:w="28" w:type="dxa"/>
        </w:tblCellMar>
      </w:tblPr>
      <w:tblGrid>
        <w:gridCol w:w="1546"/>
        <w:gridCol w:w="1364"/>
        <w:gridCol w:w="1383"/>
        <w:gridCol w:w="653"/>
        <w:gridCol w:w="396"/>
        <w:gridCol w:w="339"/>
        <w:gridCol w:w="109"/>
        <w:gridCol w:w="109"/>
        <w:gridCol w:w="109"/>
        <w:gridCol w:w="334"/>
        <w:gridCol w:w="334"/>
        <w:gridCol w:w="335"/>
        <w:gridCol w:w="109"/>
        <w:gridCol w:w="109"/>
        <w:gridCol w:w="109"/>
        <w:gridCol w:w="296"/>
        <w:gridCol w:w="909"/>
        <w:gridCol w:w="153"/>
        <w:gridCol w:w="109"/>
        <w:gridCol w:w="109"/>
        <w:gridCol w:w="109"/>
        <w:gridCol w:w="412"/>
        <w:gridCol w:w="328"/>
        <w:gridCol w:w="442"/>
      </w:tblGrid>
      <w:tr>
        <w:trPr/>
        <w:tc>
          <w:tcPr>
            <w:tcW w:w="154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Operating Expenses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mm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 (cents)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Operating Expenses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mm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 (cents)</w:t>
            </w:r>
          </w:p>
        </w:tc>
      </w:tr>
      <w:tr>
        <w:trPr/>
        <w:tc>
          <w:tcPr>
            <w:tcW w:w="42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CASM</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 expenses, not already adjusted above</w:t>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 Country Vacations</w:t>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44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and Flight Equipment Held for Operating Lease, Depreciation Expense</w:t>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CASM</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mm</w:t>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1,553.5 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46"/>
        <w:gridCol w:w="1364"/>
        <w:gridCol w:w="1383"/>
        <w:gridCol w:w="653"/>
        <w:gridCol w:w="396"/>
        <w:gridCol w:w="339"/>
        <w:gridCol w:w="109"/>
        <w:gridCol w:w="109"/>
        <w:gridCol w:w="109"/>
        <w:gridCol w:w="334"/>
        <w:gridCol w:w="334"/>
        <w:gridCol w:w="335"/>
        <w:gridCol w:w="109"/>
        <w:gridCol w:w="109"/>
        <w:gridCol w:w="109"/>
        <w:gridCol w:w="296"/>
        <w:gridCol w:w="909"/>
        <w:gridCol w:w="153"/>
        <w:gridCol w:w="109"/>
        <w:gridCol w:w="109"/>
        <w:gridCol w:w="109"/>
        <w:gridCol w:w="412"/>
        <w:gridCol w:w="328"/>
        <w:gridCol w:w="442"/>
      </w:tblGrid>
      <w:tr>
        <w:trPr/>
        <w:tc>
          <w:tcPr>
            <w:tcW w:w="154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Operating Expenses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mm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 (cents)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Operating Expenses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mm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 (cents)</w:t>
            </w:r>
          </w:p>
        </w:tc>
      </w:tr>
      <w:tr>
        <w:trPr/>
        <w:tc>
          <w:tcPr>
            <w:tcW w:w="42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CASM</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 expenses, not already adjusted above</w:t>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 Country Vacations</w:t>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44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and Flight Equipment Held for Operating Lease, Depreciation Expense</w:t>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CASM</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353.6 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mm</w:t>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5,114.1 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6038</Words>
  <Characters>33069</Characters>
  <CharactersWithSpaces>38135</CharactersWithSpaces>
  <Paragraphs>1494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